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944" w:rsidRPr="00611944" w:rsidRDefault="002F4310" w:rsidP="00611944">
      <w:pPr>
        <w:spacing w:line="480" w:lineRule="auto"/>
        <w:rPr>
          <w:sz w:val="24"/>
          <w:szCs w:val="24"/>
          <w:lang w:val="en-US"/>
        </w:rPr>
      </w:pPr>
      <w:r>
        <w:rPr>
          <w:b/>
          <w:sz w:val="24"/>
          <w:szCs w:val="24"/>
          <w:lang w:val="en-US"/>
        </w:rPr>
        <w:t>P</w:t>
      </w:r>
      <w:r w:rsidR="00DA4ED4">
        <w:rPr>
          <w:b/>
          <w:sz w:val="24"/>
          <w:szCs w:val="24"/>
          <w:lang w:val="en-US"/>
        </w:rPr>
        <w:t xml:space="preserve">revalence of </w:t>
      </w:r>
      <w:r w:rsidR="00444681">
        <w:rPr>
          <w:b/>
          <w:sz w:val="24"/>
          <w:szCs w:val="24"/>
          <w:lang w:val="en-US"/>
        </w:rPr>
        <w:t xml:space="preserve">Pompe disease </w:t>
      </w:r>
      <w:r w:rsidR="00611944" w:rsidRPr="00444681">
        <w:rPr>
          <w:b/>
          <w:sz w:val="24"/>
          <w:szCs w:val="24"/>
          <w:lang w:val="en-US"/>
        </w:rPr>
        <w:t xml:space="preserve">in </w:t>
      </w:r>
      <w:r w:rsidR="002C1569">
        <w:rPr>
          <w:b/>
          <w:sz w:val="24"/>
          <w:szCs w:val="24"/>
          <w:lang w:val="en-US"/>
        </w:rPr>
        <w:t xml:space="preserve">3076 </w:t>
      </w:r>
      <w:r w:rsidR="00611944" w:rsidRPr="00444681">
        <w:rPr>
          <w:b/>
          <w:sz w:val="24"/>
          <w:szCs w:val="24"/>
          <w:lang w:val="en-US"/>
        </w:rPr>
        <w:t>patients with hyper</w:t>
      </w:r>
      <w:r w:rsidR="00B4745B">
        <w:rPr>
          <w:b/>
          <w:sz w:val="24"/>
          <w:szCs w:val="24"/>
          <w:lang w:val="en-US"/>
        </w:rPr>
        <w:t>CK</w:t>
      </w:r>
      <w:r w:rsidR="00611944" w:rsidRPr="00444681">
        <w:rPr>
          <w:b/>
          <w:sz w:val="24"/>
          <w:szCs w:val="24"/>
          <w:lang w:val="en-US"/>
        </w:rPr>
        <w:t xml:space="preserve">emia </w:t>
      </w:r>
      <w:r w:rsidR="00300ED5">
        <w:rPr>
          <w:b/>
          <w:sz w:val="24"/>
          <w:szCs w:val="24"/>
          <w:lang w:val="en-US"/>
        </w:rPr>
        <w:t>and</w:t>
      </w:r>
      <w:r w:rsidR="00611944" w:rsidRPr="00444681">
        <w:rPr>
          <w:b/>
          <w:sz w:val="24"/>
          <w:szCs w:val="24"/>
          <w:lang w:val="en-US"/>
        </w:rPr>
        <w:t xml:space="preserve"> limb-girdle muscular </w:t>
      </w:r>
      <w:r w:rsidR="00611944" w:rsidRPr="0030348B">
        <w:rPr>
          <w:b/>
          <w:sz w:val="24"/>
          <w:szCs w:val="24"/>
          <w:lang w:val="en-US"/>
        </w:rPr>
        <w:t>weakness.</w:t>
      </w:r>
      <w:r w:rsidR="0030348B" w:rsidRPr="0030348B">
        <w:rPr>
          <w:b/>
          <w:sz w:val="24"/>
          <w:szCs w:val="24"/>
          <w:lang w:val="en-US"/>
        </w:rPr>
        <w:t xml:space="preserve"> </w:t>
      </w:r>
    </w:p>
    <w:p w:rsidR="00F761FB" w:rsidRPr="007D31A7" w:rsidRDefault="00F80D33" w:rsidP="00F761FB">
      <w:pPr>
        <w:spacing w:line="480" w:lineRule="auto"/>
        <w:rPr>
          <w:sz w:val="24"/>
          <w:szCs w:val="24"/>
          <w:lang w:val="en-US"/>
        </w:rPr>
      </w:pPr>
      <w:r w:rsidRPr="003A18D5">
        <w:rPr>
          <w:sz w:val="24"/>
          <w:szCs w:val="24"/>
          <w:lang w:val="en-US"/>
        </w:rPr>
        <w:t xml:space="preserve">Zoltan Lukacs*, PhD, </w:t>
      </w:r>
      <w:r w:rsidR="007166B9" w:rsidRPr="007166B9">
        <w:rPr>
          <w:sz w:val="24"/>
          <w:szCs w:val="24"/>
          <w:lang w:val="en-US"/>
        </w:rPr>
        <w:t>Paulina Nieves Cobo</w:t>
      </w:r>
      <w:r w:rsidR="00A53147">
        <w:rPr>
          <w:sz w:val="24"/>
          <w:szCs w:val="24"/>
          <w:lang w:val="en-US"/>
        </w:rPr>
        <w:t>s</w:t>
      </w:r>
      <w:r w:rsidR="007166B9" w:rsidRPr="007166B9">
        <w:rPr>
          <w:sz w:val="24"/>
          <w:szCs w:val="24"/>
          <w:lang w:val="en-US"/>
        </w:rPr>
        <w:t xml:space="preserve">*, </w:t>
      </w:r>
      <w:r w:rsidR="00790FFE">
        <w:rPr>
          <w:sz w:val="24"/>
          <w:szCs w:val="24"/>
          <w:lang w:val="en-US"/>
        </w:rPr>
        <w:t>M.Sc.</w:t>
      </w:r>
      <w:r w:rsidR="007166B9" w:rsidRPr="007D31A7">
        <w:rPr>
          <w:sz w:val="24"/>
          <w:szCs w:val="24"/>
          <w:lang w:val="en-US"/>
        </w:rPr>
        <w:t xml:space="preserve">, </w:t>
      </w:r>
      <w:r w:rsidR="00BE6143" w:rsidRPr="007D31A7">
        <w:rPr>
          <w:sz w:val="24"/>
          <w:szCs w:val="24"/>
          <w:lang w:val="en-US"/>
        </w:rPr>
        <w:t xml:space="preserve">Stephan Wenninger, MD, </w:t>
      </w:r>
      <w:r w:rsidR="00AA5CAD" w:rsidRPr="007D31A7">
        <w:rPr>
          <w:sz w:val="24"/>
          <w:szCs w:val="24"/>
          <w:lang w:val="en-US"/>
        </w:rPr>
        <w:t>Teresinha Evangelista, MD</w:t>
      </w:r>
      <w:r w:rsidR="0030348B" w:rsidRPr="007D31A7">
        <w:rPr>
          <w:sz w:val="24"/>
          <w:szCs w:val="24"/>
          <w:lang w:val="en-US"/>
        </w:rPr>
        <w:t>,</w:t>
      </w:r>
      <w:r w:rsidR="00AA5CAD" w:rsidRPr="007D31A7">
        <w:rPr>
          <w:sz w:val="24"/>
          <w:szCs w:val="24"/>
          <w:lang w:val="en-US"/>
        </w:rPr>
        <w:t xml:space="preserve"> Marc Roberts, MD, Michela Guglieri, MD, </w:t>
      </w:r>
      <w:r w:rsidR="00B5272C" w:rsidRPr="00B5272C">
        <w:rPr>
          <w:sz w:val="24"/>
          <w:szCs w:val="24"/>
          <w:lang w:val="en-US"/>
        </w:rPr>
        <w:t>Volker Straub, MD,</w:t>
      </w:r>
      <w:r w:rsidR="00B5272C">
        <w:rPr>
          <w:sz w:val="24"/>
          <w:szCs w:val="24"/>
          <w:lang w:val="en-US"/>
        </w:rPr>
        <w:t xml:space="preserve"> </w:t>
      </w:r>
      <w:r w:rsidR="001B52B8">
        <w:rPr>
          <w:sz w:val="24"/>
          <w:szCs w:val="24"/>
          <w:lang w:val="en-US"/>
        </w:rPr>
        <w:t xml:space="preserve">Stephan Zierz, MD, </w:t>
      </w:r>
      <w:r w:rsidR="002A5322" w:rsidRPr="00D20676">
        <w:rPr>
          <w:sz w:val="24"/>
          <w:szCs w:val="24"/>
          <w:lang w:val="en-US"/>
        </w:rPr>
        <w:t xml:space="preserve">Beate Schlotter-Weigel, MD, Maggie C. Walter, MD, Peter Reilich, MD, Thomas </w:t>
      </w:r>
      <w:r w:rsidR="002A5322" w:rsidRPr="00C86C38">
        <w:rPr>
          <w:sz w:val="24"/>
          <w:szCs w:val="24"/>
          <w:lang w:val="en-GB"/>
        </w:rPr>
        <w:t xml:space="preserve">Klopstock, </w:t>
      </w:r>
      <w:r w:rsidR="002A5322">
        <w:rPr>
          <w:sz w:val="24"/>
          <w:szCs w:val="24"/>
          <w:lang w:val="en-GB"/>
        </w:rPr>
        <w:t>MD,</w:t>
      </w:r>
      <w:r w:rsidR="002A5322" w:rsidRPr="007D31A7">
        <w:rPr>
          <w:sz w:val="24"/>
          <w:szCs w:val="24"/>
          <w:lang w:val="en-US"/>
        </w:rPr>
        <w:t xml:space="preserve"> </w:t>
      </w:r>
      <w:r w:rsidR="00AA5CAD" w:rsidRPr="007D31A7">
        <w:rPr>
          <w:sz w:val="24"/>
          <w:szCs w:val="24"/>
          <w:lang w:val="en-US"/>
        </w:rPr>
        <w:t xml:space="preserve">Rosaline Quinlivan, MD, David Hilton-Jones, MD, Marcus Deschauer, MD, </w:t>
      </w:r>
      <w:r w:rsidR="00F761FB" w:rsidRPr="007D31A7">
        <w:rPr>
          <w:sz w:val="24"/>
          <w:szCs w:val="24"/>
          <w:lang w:val="en-US"/>
        </w:rPr>
        <w:t xml:space="preserve">Wolfgang Müller-Felber, MD, </w:t>
      </w:r>
      <w:r w:rsidR="00444681" w:rsidRPr="007D31A7">
        <w:rPr>
          <w:sz w:val="24"/>
          <w:szCs w:val="24"/>
          <w:lang w:val="en-US"/>
        </w:rPr>
        <w:t>and</w:t>
      </w:r>
      <w:r w:rsidR="00611944" w:rsidRPr="007D31A7">
        <w:rPr>
          <w:sz w:val="24"/>
          <w:szCs w:val="24"/>
          <w:lang w:val="en-US"/>
        </w:rPr>
        <w:t xml:space="preserve"> Benedikt Schoser</w:t>
      </w:r>
      <w:r w:rsidR="00444681" w:rsidRPr="007D31A7">
        <w:rPr>
          <w:sz w:val="24"/>
          <w:szCs w:val="24"/>
          <w:lang w:val="en-US"/>
        </w:rPr>
        <w:t>, MD</w:t>
      </w:r>
    </w:p>
    <w:p w:rsidR="00F761FB" w:rsidRDefault="00F761FB" w:rsidP="00F761FB">
      <w:pPr>
        <w:spacing w:line="480" w:lineRule="auto"/>
        <w:rPr>
          <w:sz w:val="24"/>
          <w:szCs w:val="24"/>
          <w:lang w:val="en-US"/>
        </w:rPr>
      </w:pPr>
      <w:r>
        <w:rPr>
          <w:sz w:val="24"/>
          <w:szCs w:val="24"/>
          <w:lang w:val="en-US"/>
        </w:rPr>
        <w:t>*These authors contributed equally.</w:t>
      </w:r>
    </w:p>
    <w:p w:rsidR="00444681" w:rsidRDefault="00A354CA" w:rsidP="00444681">
      <w:pPr>
        <w:spacing w:line="480" w:lineRule="auto"/>
        <w:rPr>
          <w:sz w:val="24"/>
          <w:szCs w:val="24"/>
          <w:lang w:val="en-US"/>
        </w:rPr>
      </w:pPr>
      <w:r w:rsidRPr="00A354CA">
        <w:rPr>
          <w:sz w:val="24"/>
          <w:szCs w:val="24"/>
          <w:lang w:val="en-US"/>
        </w:rPr>
        <w:t xml:space="preserve">From the </w:t>
      </w:r>
      <w:r w:rsidR="00A53147" w:rsidRPr="00A53147">
        <w:rPr>
          <w:sz w:val="24"/>
          <w:szCs w:val="24"/>
          <w:lang w:val="en-US"/>
        </w:rPr>
        <w:t xml:space="preserve">Newborn Screening and Metabolic Diagnostics </w:t>
      </w:r>
      <w:r w:rsidR="00A53147">
        <w:rPr>
          <w:sz w:val="24"/>
          <w:szCs w:val="24"/>
          <w:lang w:val="en-US"/>
        </w:rPr>
        <w:t>,</w:t>
      </w:r>
      <w:r w:rsidR="00444681" w:rsidRPr="00444681">
        <w:rPr>
          <w:sz w:val="24"/>
          <w:szCs w:val="24"/>
          <w:lang w:val="en-US"/>
        </w:rPr>
        <w:t xml:space="preserve"> University Medical Center Hamburg-Eppendorf, Hamburg, Germany </w:t>
      </w:r>
      <w:r>
        <w:rPr>
          <w:sz w:val="24"/>
          <w:szCs w:val="24"/>
          <w:lang w:val="en-US"/>
        </w:rPr>
        <w:t>( Z. L., P. N.C.)</w:t>
      </w:r>
      <w:r w:rsidR="004210F7">
        <w:rPr>
          <w:sz w:val="24"/>
          <w:szCs w:val="24"/>
          <w:lang w:val="en-US"/>
        </w:rPr>
        <w:t xml:space="preserve">, </w:t>
      </w:r>
      <w:r w:rsidR="00B4745B" w:rsidRPr="00B4745B">
        <w:rPr>
          <w:sz w:val="24"/>
          <w:szCs w:val="24"/>
          <w:lang w:val="en-US"/>
        </w:rPr>
        <w:t xml:space="preserve">Friedrich-Baur-Institute, </w:t>
      </w:r>
      <w:r w:rsidR="00BE6143">
        <w:rPr>
          <w:sz w:val="24"/>
          <w:szCs w:val="24"/>
          <w:lang w:val="en-US"/>
        </w:rPr>
        <w:t>D</w:t>
      </w:r>
      <w:r w:rsidR="00B4745B" w:rsidRPr="00B4745B">
        <w:rPr>
          <w:sz w:val="24"/>
          <w:szCs w:val="24"/>
          <w:lang w:val="en-US"/>
        </w:rPr>
        <w:t>epartment of Neurology, Ludwig-Maximilians-University Munich, Germany</w:t>
      </w:r>
      <w:r w:rsidR="004210F7">
        <w:rPr>
          <w:sz w:val="24"/>
          <w:szCs w:val="24"/>
          <w:lang w:val="en-US"/>
        </w:rPr>
        <w:t xml:space="preserve"> (S.W., </w:t>
      </w:r>
      <w:r w:rsidR="002A5322">
        <w:rPr>
          <w:sz w:val="24"/>
          <w:szCs w:val="24"/>
          <w:lang w:val="en-US"/>
        </w:rPr>
        <w:t xml:space="preserve">B.S-W., M.C.W, P.R., T. K., </w:t>
      </w:r>
      <w:r w:rsidR="004210F7">
        <w:rPr>
          <w:sz w:val="24"/>
          <w:szCs w:val="24"/>
          <w:lang w:val="en-US"/>
        </w:rPr>
        <w:t xml:space="preserve">B.S.), </w:t>
      </w:r>
      <w:r w:rsidR="00DC370D">
        <w:rPr>
          <w:sz w:val="24"/>
          <w:szCs w:val="24"/>
          <w:lang w:val="en-US"/>
        </w:rPr>
        <w:t xml:space="preserve"> </w:t>
      </w:r>
      <w:r w:rsidR="00DC370D" w:rsidRPr="00DC370D">
        <w:rPr>
          <w:sz w:val="24"/>
          <w:szCs w:val="24"/>
          <w:lang w:val="en-US"/>
        </w:rPr>
        <w:t>Institute of Genetic Medicine, Newcastle University, UK</w:t>
      </w:r>
      <w:r w:rsidR="004210F7">
        <w:rPr>
          <w:sz w:val="24"/>
          <w:szCs w:val="24"/>
          <w:lang w:val="en-US"/>
        </w:rPr>
        <w:t xml:space="preserve"> ( T.E., M.G., V.S.), </w:t>
      </w:r>
      <w:r w:rsidR="00DC370D" w:rsidRPr="00DC370D">
        <w:rPr>
          <w:sz w:val="24"/>
          <w:szCs w:val="24"/>
          <w:lang w:val="en-GB"/>
        </w:rPr>
        <w:t>Salford Royal NHS Foundation Trust, Salford, UK</w:t>
      </w:r>
      <w:r w:rsidR="004210F7">
        <w:rPr>
          <w:sz w:val="24"/>
          <w:szCs w:val="24"/>
          <w:lang w:val="en-GB"/>
        </w:rPr>
        <w:t xml:space="preserve"> (M.R.), </w:t>
      </w:r>
      <w:r w:rsidR="00E85BF2" w:rsidRPr="00E85BF2">
        <w:rPr>
          <w:sz w:val="24"/>
          <w:szCs w:val="24"/>
          <w:lang w:val="en-GB"/>
        </w:rPr>
        <w:t xml:space="preserve">UCL Institute of Neurology and National Hospital, Queen Square, London </w:t>
      </w:r>
      <w:r w:rsidR="00BE6143">
        <w:rPr>
          <w:sz w:val="24"/>
          <w:szCs w:val="24"/>
          <w:lang w:val="en-US"/>
        </w:rPr>
        <w:t>, UK</w:t>
      </w:r>
      <w:r w:rsidR="004210F7">
        <w:rPr>
          <w:sz w:val="24"/>
          <w:szCs w:val="24"/>
          <w:lang w:val="en-US"/>
        </w:rPr>
        <w:t xml:space="preserve"> (R.Q.),</w:t>
      </w:r>
      <w:r w:rsidR="00BE6143">
        <w:rPr>
          <w:sz w:val="24"/>
          <w:szCs w:val="24"/>
          <w:lang w:val="en-US"/>
        </w:rPr>
        <w:t>Department of Neurology, Oxford university Hospital, UK</w:t>
      </w:r>
      <w:r w:rsidR="004210F7">
        <w:rPr>
          <w:sz w:val="24"/>
          <w:szCs w:val="24"/>
          <w:lang w:val="en-US"/>
        </w:rPr>
        <w:t xml:space="preserve"> (D.H-J.),</w:t>
      </w:r>
      <w:r w:rsidR="00F761FB" w:rsidRPr="00F761FB">
        <w:rPr>
          <w:sz w:val="24"/>
          <w:szCs w:val="24"/>
          <w:lang w:val="en-US"/>
        </w:rPr>
        <w:t>Department of Neurology, Halle University, Germany</w:t>
      </w:r>
      <w:r w:rsidR="004210F7">
        <w:rPr>
          <w:sz w:val="24"/>
          <w:szCs w:val="24"/>
          <w:lang w:val="en-US"/>
        </w:rPr>
        <w:t xml:space="preserve"> (</w:t>
      </w:r>
      <w:r w:rsidR="001B52B8">
        <w:rPr>
          <w:sz w:val="24"/>
          <w:szCs w:val="24"/>
          <w:lang w:val="en-US"/>
        </w:rPr>
        <w:t xml:space="preserve">S.Z., </w:t>
      </w:r>
      <w:r w:rsidR="004210F7">
        <w:rPr>
          <w:sz w:val="24"/>
          <w:szCs w:val="24"/>
          <w:lang w:val="en-US"/>
        </w:rPr>
        <w:t>M.D.),</w:t>
      </w:r>
      <w:r w:rsidR="00444681">
        <w:rPr>
          <w:sz w:val="24"/>
          <w:szCs w:val="24"/>
          <w:lang w:val="en-US"/>
        </w:rPr>
        <w:t>Department of Neuropediatrics, Dr. Von Haunersche Kinderklinik, Ludwig-Maximilians-University Munich, Germany</w:t>
      </w:r>
      <w:r w:rsidR="004210F7">
        <w:rPr>
          <w:sz w:val="24"/>
          <w:szCs w:val="24"/>
          <w:lang w:val="en-US"/>
        </w:rPr>
        <w:t xml:space="preserve"> ( W.M-F.).</w:t>
      </w:r>
    </w:p>
    <w:p w:rsidR="00444681" w:rsidRPr="00444681" w:rsidRDefault="00444681" w:rsidP="00BD2738">
      <w:pPr>
        <w:spacing w:line="480" w:lineRule="auto"/>
        <w:outlineLvl w:val="0"/>
        <w:rPr>
          <w:sz w:val="24"/>
          <w:szCs w:val="24"/>
          <w:lang w:val="en-US"/>
        </w:rPr>
      </w:pPr>
      <w:r w:rsidRPr="00B4745B">
        <w:rPr>
          <w:b/>
          <w:sz w:val="24"/>
          <w:szCs w:val="24"/>
          <w:lang w:val="en-US"/>
        </w:rPr>
        <w:t>Correspondence to:</w:t>
      </w:r>
      <w:r w:rsidRPr="00444681">
        <w:rPr>
          <w:sz w:val="24"/>
          <w:szCs w:val="24"/>
          <w:lang w:val="en-US"/>
        </w:rPr>
        <w:tab/>
      </w:r>
      <w:r w:rsidR="00DC6C60">
        <w:rPr>
          <w:sz w:val="24"/>
          <w:szCs w:val="24"/>
          <w:lang w:val="en-US"/>
        </w:rPr>
        <w:t xml:space="preserve">Professor </w:t>
      </w:r>
      <w:r w:rsidR="00447130">
        <w:rPr>
          <w:sz w:val="24"/>
          <w:szCs w:val="24"/>
          <w:lang w:val="en-US"/>
        </w:rPr>
        <w:t>Benedikt Schoser</w:t>
      </w:r>
    </w:p>
    <w:p w:rsidR="00444681" w:rsidRPr="00444681" w:rsidRDefault="00447130" w:rsidP="00444681">
      <w:pPr>
        <w:spacing w:line="480" w:lineRule="auto"/>
        <w:rPr>
          <w:sz w:val="24"/>
          <w:szCs w:val="24"/>
          <w:lang w:val="en-US"/>
        </w:rPr>
      </w:pPr>
      <w:r>
        <w:rPr>
          <w:sz w:val="24"/>
          <w:szCs w:val="24"/>
          <w:lang w:val="en-US"/>
        </w:rPr>
        <w:t>Friedrich-Baur-Institute, Department of Neurology</w:t>
      </w:r>
    </w:p>
    <w:p w:rsidR="00444681" w:rsidRPr="00444681" w:rsidRDefault="00447130" w:rsidP="00444681">
      <w:pPr>
        <w:spacing w:line="480" w:lineRule="auto"/>
        <w:rPr>
          <w:sz w:val="24"/>
          <w:szCs w:val="24"/>
          <w:lang w:val="en-US"/>
        </w:rPr>
      </w:pPr>
      <w:r>
        <w:rPr>
          <w:sz w:val="24"/>
          <w:szCs w:val="24"/>
          <w:lang w:val="en-US"/>
        </w:rPr>
        <w:t>Ludwig-Maximilians-University Munich, Germany</w:t>
      </w:r>
    </w:p>
    <w:p w:rsidR="00444681" w:rsidRPr="00444681" w:rsidRDefault="00447130" w:rsidP="00444681">
      <w:pPr>
        <w:spacing w:line="480" w:lineRule="auto"/>
        <w:rPr>
          <w:sz w:val="24"/>
          <w:szCs w:val="24"/>
          <w:lang w:val="en-US"/>
        </w:rPr>
      </w:pPr>
      <w:r>
        <w:rPr>
          <w:sz w:val="24"/>
          <w:szCs w:val="24"/>
          <w:lang w:val="en-US"/>
        </w:rPr>
        <w:t>Ziemssenstr. 1a</w:t>
      </w:r>
      <w:r w:rsidR="00444681" w:rsidRPr="00444681">
        <w:rPr>
          <w:sz w:val="24"/>
          <w:szCs w:val="24"/>
          <w:lang w:val="en-US"/>
        </w:rPr>
        <w:t xml:space="preserve">, </w:t>
      </w:r>
      <w:r>
        <w:rPr>
          <w:sz w:val="24"/>
          <w:szCs w:val="24"/>
          <w:lang w:val="en-US"/>
        </w:rPr>
        <w:t>80336 Munich</w:t>
      </w:r>
      <w:r w:rsidR="00444681" w:rsidRPr="00444681">
        <w:rPr>
          <w:sz w:val="24"/>
          <w:szCs w:val="24"/>
          <w:lang w:val="en-US"/>
        </w:rPr>
        <w:t xml:space="preserve">, </w:t>
      </w:r>
      <w:r>
        <w:rPr>
          <w:sz w:val="24"/>
          <w:szCs w:val="24"/>
          <w:lang w:val="en-US"/>
        </w:rPr>
        <w:t>Germany</w:t>
      </w:r>
    </w:p>
    <w:p w:rsidR="00444681" w:rsidRPr="00444681" w:rsidRDefault="00444681" w:rsidP="00444681">
      <w:pPr>
        <w:spacing w:line="480" w:lineRule="auto"/>
        <w:rPr>
          <w:sz w:val="24"/>
          <w:szCs w:val="24"/>
          <w:lang w:val="en-US"/>
        </w:rPr>
      </w:pPr>
      <w:r w:rsidRPr="00444681">
        <w:rPr>
          <w:sz w:val="24"/>
          <w:szCs w:val="24"/>
          <w:lang w:val="en-US"/>
        </w:rPr>
        <w:t>Phone: + 4</w:t>
      </w:r>
      <w:r w:rsidR="00447130">
        <w:rPr>
          <w:sz w:val="24"/>
          <w:szCs w:val="24"/>
          <w:lang w:val="en-US"/>
        </w:rPr>
        <w:t>9</w:t>
      </w:r>
      <w:r w:rsidRPr="00444681">
        <w:rPr>
          <w:sz w:val="24"/>
          <w:szCs w:val="24"/>
          <w:lang w:val="en-US"/>
        </w:rPr>
        <w:t xml:space="preserve"> </w:t>
      </w:r>
      <w:r w:rsidR="00447130">
        <w:rPr>
          <w:sz w:val="24"/>
          <w:szCs w:val="24"/>
          <w:lang w:val="en-US"/>
        </w:rPr>
        <w:t>89 4400</w:t>
      </w:r>
      <w:r w:rsidRPr="00444681">
        <w:rPr>
          <w:sz w:val="24"/>
          <w:szCs w:val="24"/>
          <w:lang w:val="en-US"/>
        </w:rPr>
        <w:t xml:space="preserve"> </w:t>
      </w:r>
      <w:r w:rsidR="00447130">
        <w:rPr>
          <w:sz w:val="24"/>
          <w:szCs w:val="24"/>
          <w:lang w:val="en-US"/>
        </w:rPr>
        <w:t>57400</w:t>
      </w:r>
      <w:r w:rsidRPr="00444681">
        <w:rPr>
          <w:sz w:val="24"/>
          <w:szCs w:val="24"/>
          <w:lang w:val="en-US"/>
        </w:rPr>
        <w:t>; Fax: + 4</w:t>
      </w:r>
      <w:r w:rsidR="00447130">
        <w:rPr>
          <w:sz w:val="24"/>
          <w:szCs w:val="24"/>
          <w:lang w:val="en-US"/>
        </w:rPr>
        <w:t>9</w:t>
      </w:r>
      <w:r w:rsidRPr="00444681">
        <w:rPr>
          <w:sz w:val="24"/>
          <w:szCs w:val="24"/>
          <w:lang w:val="en-US"/>
        </w:rPr>
        <w:t xml:space="preserve"> </w:t>
      </w:r>
      <w:r w:rsidR="00447130">
        <w:rPr>
          <w:sz w:val="24"/>
          <w:szCs w:val="24"/>
          <w:lang w:val="en-US"/>
        </w:rPr>
        <w:t xml:space="preserve">89 4400 </w:t>
      </w:r>
      <w:r w:rsidRPr="00444681">
        <w:rPr>
          <w:sz w:val="24"/>
          <w:szCs w:val="24"/>
          <w:lang w:val="en-US"/>
        </w:rPr>
        <w:t>5</w:t>
      </w:r>
      <w:r w:rsidR="00447130">
        <w:rPr>
          <w:sz w:val="24"/>
          <w:szCs w:val="24"/>
          <w:lang w:val="en-US"/>
        </w:rPr>
        <w:t>7402</w:t>
      </w:r>
    </w:p>
    <w:p w:rsidR="00444681" w:rsidRPr="00447130" w:rsidRDefault="00444681" w:rsidP="00444681">
      <w:pPr>
        <w:spacing w:line="480" w:lineRule="auto"/>
        <w:rPr>
          <w:sz w:val="24"/>
          <w:szCs w:val="24"/>
          <w:lang w:val="en-US"/>
        </w:rPr>
      </w:pPr>
      <w:r w:rsidRPr="00447130">
        <w:rPr>
          <w:sz w:val="24"/>
          <w:szCs w:val="24"/>
          <w:lang w:val="en-US"/>
        </w:rPr>
        <w:lastRenderedPageBreak/>
        <w:t xml:space="preserve">E-mail: </w:t>
      </w:r>
      <w:r w:rsidR="00447130" w:rsidRPr="00447130">
        <w:rPr>
          <w:sz w:val="24"/>
          <w:szCs w:val="24"/>
          <w:lang w:val="en-US"/>
        </w:rPr>
        <w:t>bschoser@med.uni-muenchen.de</w:t>
      </w:r>
      <w:r w:rsidRPr="00447130">
        <w:rPr>
          <w:sz w:val="24"/>
          <w:szCs w:val="24"/>
          <w:lang w:val="en-US"/>
        </w:rPr>
        <w:t xml:space="preserve"> </w:t>
      </w:r>
      <w:r w:rsidRPr="00447130">
        <w:rPr>
          <w:sz w:val="24"/>
          <w:szCs w:val="24"/>
          <w:lang w:val="en-US"/>
        </w:rPr>
        <w:tab/>
      </w:r>
    </w:p>
    <w:p w:rsidR="00444681" w:rsidRPr="00B5272C" w:rsidRDefault="00444681" w:rsidP="00444681">
      <w:pPr>
        <w:spacing w:line="480" w:lineRule="auto"/>
        <w:rPr>
          <w:sz w:val="24"/>
          <w:szCs w:val="24"/>
          <w:lang w:val="en-US"/>
        </w:rPr>
      </w:pPr>
      <w:r w:rsidRPr="00A178DD">
        <w:rPr>
          <w:b/>
          <w:sz w:val="24"/>
          <w:szCs w:val="24"/>
          <w:lang w:val="en-US"/>
        </w:rPr>
        <w:t xml:space="preserve">Word count </w:t>
      </w:r>
      <w:r w:rsidRPr="00B5272C">
        <w:rPr>
          <w:sz w:val="24"/>
          <w:szCs w:val="24"/>
          <w:lang w:val="en-US"/>
        </w:rPr>
        <w:t xml:space="preserve">     </w:t>
      </w:r>
      <w:r w:rsidRPr="00B5272C">
        <w:rPr>
          <w:sz w:val="24"/>
          <w:szCs w:val="24"/>
          <w:lang w:val="en-US"/>
        </w:rPr>
        <w:tab/>
      </w:r>
      <w:r w:rsidR="00A178DD">
        <w:rPr>
          <w:sz w:val="24"/>
          <w:szCs w:val="24"/>
          <w:lang w:val="en-US"/>
        </w:rPr>
        <w:t>Title: 97 with spaces</w:t>
      </w:r>
      <w:r w:rsidR="00A178DD">
        <w:rPr>
          <w:sz w:val="24"/>
          <w:szCs w:val="24"/>
          <w:lang w:val="en-US"/>
        </w:rPr>
        <w:tab/>
      </w:r>
      <w:r w:rsidRPr="00B5272C">
        <w:rPr>
          <w:sz w:val="24"/>
          <w:szCs w:val="24"/>
          <w:lang w:val="en-US"/>
        </w:rPr>
        <w:t xml:space="preserve">Manuscript: </w:t>
      </w:r>
      <w:r w:rsidR="00F65A9E">
        <w:rPr>
          <w:sz w:val="24"/>
          <w:szCs w:val="24"/>
          <w:lang w:val="en-US"/>
        </w:rPr>
        <w:t>1111</w:t>
      </w:r>
      <w:r w:rsidR="00DB3C96" w:rsidRPr="00B5272C">
        <w:rPr>
          <w:sz w:val="24"/>
          <w:szCs w:val="24"/>
          <w:lang w:val="en-US"/>
        </w:rPr>
        <w:tab/>
      </w:r>
      <w:r w:rsidRPr="00B5272C">
        <w:rPr>
          <w:sz w:val="24"/>
          <w:szCs w:val="24"/>
          <w:lang w:val="en-US"/>
        </w:rPr>
        <w:t>abstract:</w:t>
      </w:r>
      <w:r w:rsidR="00D13B67" w:rsidRPr="00B5272C">
        <w:rPr>
          <w:sz w:val="24"/>
          <w:szCs w:val="24"/>
          <w:lang w:val="en-US"/>
        </w:rPr>
        <w:t xml:space="preserve"> 1</w:t>
      </w:r>
      <w:r w:rsidR="00F65A9E">
        <w:rPr>
          <w:sz w:val="24"/>
          <w:szCs w:val="24"/>
          <w:lang w:val="en-US"/>
        </w:rPr>
        <w:t>90</w:t>
      </w:r>
      <w:r w:rsidR="00D13B67" w:rsidRPr="00B5272C">
        <w:rPr>
          <w:sz w:val="24"/>
          <w:szCs w:val="24"/>
          <w:lang w:val="en-US"/>
        </w:rPr>
        <w:t xml:space="preserve"> </w:t>
      </w:r>
    </w:p>
    <w:p w:rsidR="00447130" w:rsidRDefault="00444681" w:rsidP="00444681">
      <w:pPr>
        <w:spacing w:line="480" w:lineRule="auto"/>
        <w:rPr>
          <w:sz w:val="24"/>
          <w:szCs w:val="24"/>
          <w:lang w:val="en-US"/>
        </w:rPr>
      </w:pPr>
      <w:r w:rsidRPr="00DB3C96">
        <w:rPr>
          <w:sz w:val="24"/>
          <w:szCs w:val="24"/>
          <w:lang w:val="en-US"/>
        </w:rPr>
        <w:t xml:space="preserve">References: </w:t>
      </w:r>
      <w:r w:rsidR="00354351">
        <w:rPr>
          <w:sz w:val="24"/>
          <w:szCs w:val="24"/>
          <w:lang w:val="en-US"/>
        </w:rPr>
        <w:t>1</w:t>
      </w:r>
      <w:r w:rsidR="00F65A9E">
        <w:rPr>
          <w:sz w:val="24"/>
          <w:szCs w:val="24"/>
          <w:lang w:val="en-US"/>
        </w:rPr>
        <w:t>3</w:t>
      </w:r>
      <w:r w:rsidR="00354351">
        <w:rPr>
          <w:sz w:val="24"/>
          <w:szCs w:val="24"/>
          <w:lang w:val="en-US"/>
        </w:rPr>
        <w:t xml:space="preserve"> </w:t>
      </w:r>
      <w:r w:rsidR="00354351">
        <w:rPr>
          <w:sz w:val="24"/>
          <w:szCs w:val="24"/>
          <w:lang w:val="en-US"/>
        </w:rPr>
        <w:tab/>
        <w:t xml:space="preserve">Tables: </w:t>
      </w:r>
      <w:r w:rsidR="00F65A9E">
        <w:rPr>
          <w:sz w:val="24"/>
          <w:szCs w:val="24"/>
          <w:lang w:val="en-US"/>
        </w:rPr>
        <w:t>2</w:t>
      </w:r>
      <w:r w:rsidR="00354351">
        <w:rPr>
          <w:sz w:val="24"/>
          <w:szCs w:val="24"/>
          <w:lang w:val="en-US"/>
        </w:rPr>
        <w:t xml:space="preserve"> </w:t>
      </w:r>
      <w:r w:rsidR="00354351">
        <w:rPr>
          <w:sz w:val="24"/>
          <w:szCs w:val="24"/>
          <w:lang w:val="en-US"/>
        </w:rPr>
        <w:tab/>
      </w:r>
      <w:r w:rsidRPr="00DC370D">
        <w:rPr>
          <w:sz w:val="24"/>
          <w:szCs w:val="24"/>
          <w:lang w:val="en-US"/>
        </w:rPr>
        <w:t>Supplemental data:</w:t>
      </w:r>
      <w:r w:rsidRPr="00DC370D">
        <w:rPr>
          <w:sz w:val="24"/>
          <w:szCs w:val="24"/>
          <w:lang w:val="en-US"/>
        </w:rPr>
        <w:tab/>
      </w:r>
      <w:r w:rsidR="00F65A9E">
        <w:rPr>
          <w:sz w:val="24"/>
          <w:szCs w:val="24"/>
          <w:lang w:val="en-US"/>
        </w:rPr>
        <w:t>1</w:t>
      </w:r>
      <w:r w:rsidRPr="00444681">
        <w:rPr>
          <w:sz w:val="24"/>
          <w:szCs w:val="24"/>
          <w:lang w:val="en-US"/>
        </w:rPr>
        <w:t xml:space="preserve"> </w:t>
      </w:r>
    </w:p>
    <w:p w:rsidR="00DB3C96" w:rsidRPr="003A18D5" w:rsidRDefault="00DB3C96" w:rsidP="00DB3C96">
      <w:pPr>
        <w:spacing w:line="480" w:lineRule="auto"/>
        <w:rPr>
          <w:sz w:val="24"/>
          <w:szCs w:val="24"/>
          <w:lang w:val="en-US"/>
        </w:rPr>
      </w:pPr>
      <w:r>
        <w:rPr>
          <w:b/>
          <w:sz w:val="24"/>
          <w:szCs w:val="24"/>
          <w:lang w:val="en-US"/>
        </w:rPr>
        <w:t>Search terms</w:t>
      </w:r>
      <w:r w:rsidRPr="00DB3C96">
        <w:rPr>
          <w:sz w:val="24"/>
          <w:szCs w:val="24"/>
          <w:lang w:val="en-US"/>
        </w:rPr>
        <w:tab/>
      </w:r>
      <w:r w:rsidRPr="003A18D5">
        <w:rPr>
          <w:sz w:val="24"/>
          <w:szCs w:val="24"/>
          <w:lang w:val="en-US"/>
        </w:rPr>
        <w:tab/>
        <w:t>[160] Glycogenoses, and [185] Muscle disease</w:t>
      </w:r>
    </w:p>
    <w:p w:rsidR="00B94C37" w:rsidRPr="00B94C37" w:rsidRDefault="003A18D5" w:rsidP="00BD2738">
      <w:pPr>
        <w:spacing w:line="480" w:lineRule="auto"/>
        <w:outlineLvl w:val="0"/>
        <w:rPr>
          <w:b/>
          <w:sz w:val="24"/>
          <w:szCs w:val="24"/>
          <w:lang w:val="en-US"/>
        </w:rPr>
      </w:pPr>
      <w:r w:rsidRPr="00B94C37">
        <w:rPr>
          <w:b/>
          <w:sz w:val="24"/>
          <w:szCs w:val="24"/>
          <w:lang w:val="en-US"/>
        </w:rPr>
        <w:t>S</w:t>
      </w:r>
      <w:r w:rsidR="00B94C37" w:rsidRPr="00B94C37">
        <w:rPr>
          <w:b/>
          <w:sz w:val="24"/>
          <w:szCs w:val="24"/>
          <w:lang w:val="en-US"/>
        </w:rPr>
        <w:t>TUDY</w:t>
      </w:r>
      <w:r w:rsidRPr="00B94C37">
        <w:rPr>
          <w:b/>
          <w:sz w:val="24"/>
          <w:szCs w:val="24"/>
          <w:lang w:val="en-US"/>
        </w:rPr>
        <w:t xml:space="preserve"> </w:t>
      </w:r>
      <w:r w:rsidR="00B94C37" w:rsidRPr="00B94C37">
        <w:rPr>
          <w:b/>
          <w:sz w:val="24"/>
          <w:szCs w:val="24"/>
          <w:lang w:val="en-US"/>
        </w:rPr>
        <w:t>FUNDING</w:t>
      </w:r>
      <w:r w:rsidRPr="00B94C37">
        <w:rPr>
          <w:b/>
          <w:sz w:val="24"/>
          <w:szCs w:val="24"/>
          <w:lang w:val="en-US"/>
        </w:rPr>
        <w:t xml:space="preserve"> </w:t>
      </w:r>
    </w:p>
    <w:p w:rsidR="003A18D5" w:rsidRPr="003A18D5" w:rsidRDefault="003A18D5" w:rsidP="003A18D5">
      <w:pPr>
        <w:spacing w:line="480" w:lineRule="auto"/>
        <w:rPr>
          <w:sz w:val="24"/>
          <w:szCs w:val="24"/>
          <w:lang w:val="en-US"/>
        </w:rPr>
      </w:pPr>
      <w:r w:rsidRPr="003A18D5">
        <w:rPr>
          <w:sz w:val="24"/>
          <w:szCs w:val="24"/>
          <w:lang w:val="en-US"/>
        </w:rPr>
        <w:t>This study was supported in parts by an</w:t>
      </w:r>
      <w:r>
        <w:rPr>
          <w:sz w:val="24"/>
          <w:szCs w:val="24"/>
          <w:lang w:val="en-US"/>
        </w:rPr>
        <w:t xml:space="preserve"> unrestricted research grant </w:t>
      </w:r>
      <w:r w:rsidRPr="003A18D5">
        <w:rPr>
          <w:sz w:val="24"/>
          <w:szCs w:val="24"/>
          <w:lang w:val="en-US"/>
        </w:rPr>
        <w:t>from Genzyme, a Sanofi company to Dr. Lukac</w:t>
      </w:r>
      <w:r w:rsidR="007166B9">
        <w:rPr>
          <w:sz w:val="24"/>
          <w:szCs w:val="24"/>
          <w:lang w:val="en-US"/>
        </w:rPr>
        <w:t>s</w:t>
      </w:r>
      <w:r w:rsidRPr="003A18D5">
        <w:rPr>
          <w:sz w:val="24"/>
          <w:szCs w:val="24"/>
          <w:lang w:val="en-US"/>
        </w:rPr>
        <w:t>, Hamburg, Germany.</w:t>
      </w:r>
    </w:p>
    <w:p w:rsidR="00B94C37" w:rsidRPr="00B94C37" w:rsidRDefault="00B94C37" w:rsidP="00BD2738">
      <w:pPr>
        <w:spacing w:line="480" w:lineRule="auto"/>
        <w:outlineLvl w:val="0"/>
        <w:rPr>
          <w:b/>
          <w:sz w:val="24"/>
          <w:szCs w:val="24"/>
          <w:lang w:val="en-US"/>
        </w:rPr>
      </w:pPr>
      <w:r w:rsidRPr="00B94C37">
        <w:rPr>
          <w:b/>
          <w:sz w:val="24"/>
          <w:szCs w:val="24"/>
          <w:lang w:val="en-US"/>
        </w:rPr>
        <w:t>DISCLOSURE</w:t>
      </w:r>
      <w:r w:rsidR="003A18D5" w:rsidRPr="00B94C37">
        <w:rPr>
          <w:b/>
          <w:sz w:val="24"/>
          <w:szCs w:val="24"/>
          <w:lang w:val="en-US"/>
        </w:rPr>
        <w:t xml:space="preserve"> </w:t>
      </w:r>
    </w:p>
    <w:p w:rsidR="003A18D5" w:rsidRPr="003A18D5" w:rsidRDefault="003A18D5" w:rsidP="003A18D5">
      <w:pPr>
        <w:spacing w:line="480" w:lineRule="auto"/>
        <w:rPr>
          <w:sz w:val="24"/>
          <w:szCs w:val="24"/>
          <w:lang w:val="en-GB"/>
        </w:rPr>
      </w:pPr>
      <w:r w:rsidRPr="003A18D5">
        <w:rPr>
          <w:sz w:val="24"/>
          <w:szCs w:val="24"/>
          <w:lang w:val="en-US"/>
        </w:rPr>
        <w:t xml:space="preserve">Drs. Lukacs, Roberts, Müller-Felber, </w:t>
      </w:r>
      <w:r w:rsidR="00271A23">
        <w:rPr>
          <w:sz w:val="24"/>
          <w:szCs w:val="24"/>
          <w:lang w:val="en-US"/>
        </w:rPr>
        <w:t xml:space="preserve">Klopstock, </w:t>
      </w:r>
      <w:r w:rsidRPr="003A18D5">
        <w:rPr>
          <w:sz w:val="24"/>
          <w:szCs w:val="24"/>
          <w:lang w:val="en-US"/>
        </w:rPr>
        <w:t>Straub, Deschauer, Schoser have received research support, honoraria, and travel funding from Genzyme, a Sanofi company during the past 5 years. Dr. Straub and Dr. Schoser are member</w:t>
      </w:r>
      <w:r w:rsidR="00FE527A">
        <w:rPr>
          <w:sz w:val="24"/>
          <w:szCs w:val="24"/>
          <w:lang w:val="en-US"/>
        </w:rPr>
        <w:t>s</w:t>
      </w:r>
      <w:r w:rsidRPr="003A18D5">
        <w:rPr>
          <w:sz w:val="24"/>
          <w:szCs w:val="24"/>
          <w:lang w:val="en-US"/>
        </w:rPr>
        <w:t xml:space="preserve"> of the Genzyme Pompe Disease Global Advisory Board.</w:t>
      </w:r>
      <w:r w:rsidRPr="003A18D5">
        <w:rPr>
          <w:lang w:val="en-GB"/>
        </w:rPr>
        <w:t xml:space="preserve"> </w:t>
      </w:r>
      <w:r w:rsidR="00410614" w:rsidRPr="003A18D5">
        <w:rPr>
          <w:sz w:val="24"/>
          <w:szCs w:val="24"/>
          <w:lang w:val="en-US"/>
        </w:rPr>
        <w:t xml:space="preserve">Dr. Schoser </w:t>
      </w:r>
      <w:r w:rsidR="00410614">
        <w:rPr>
          <w:sz w:val="24"/>
          <w:szCs w:val="24"/>
          <w:lang w:val="en-US"/>
        </w:rPr>
        <w:t xml:space="preserve">received honoraria and travel funding from Biomarin </w:t>
      </w:r>
      <w:r w:rsidR="00781FF8">
        <w:rPr>
          <w:sz w:val="24"/>
          <w:szCs w:val="24"/>
          <w:lang w:val="en-US"/>
        </w:rPr>
        <w:t>Pharmaceutical</w:t>
      </w:r>
      <w:r w:rsidR="00410614">
        <w:rPr>
          <w:sz w:val="24"/>
          <w:szCs w:val="24"/>
          <w:lang w:val="en-US"/>
        </w:rPr>
        <w:t xml:space="preserve"> </w:t>
      </w:r>
      <w:r w:rsidR="00781FF8">
        <w:rPr>
          <w:sz w:val="24"/>
          <w:szCs w:val="24"/>
          <w:lang w:val="en-US"/>
        </w:rPr>
        <w:t>a</w:t>
      </w:r>
      <w:r w:rsidR="00410614">
        <w:rPr>
          <w:sz w:val="24"/>
          <w:szCs w:val="24"/>
          <w:lang w:val="en-US"/>
        </w:rPr>
        <w:t xml:space="preserve">nd Audentes </w:t>
      </w:r>
      <w:r w:rsidR="00781FF8">
        <w:rPr>
          <w:sz w:val="24"/>
          <w:szCs w:val="24"/>
          <w:lang w:val="en-US"/>
        </w:rPr>
        <w:t>Therapeutics</w:t>
      </w:r>
      <w:r w:rsidR="00410614">
        <w:rPr>
          <w:sz w:val="24"/>
          <w:szCs w:val="24"/>
          <w:lang w:val="en-US"/>
        </w:rPr>
        <w:t xml:space="preserve">. </w:t>
      </w:r>
      <w:r w:rsidR="00E85BF2" w:rsidRPr="00E85BF2">
        <w:rPr>
          <w:sz w:val="24"/>
          <w:szCs w:val="24"/>
          <w:lang w:val="en-US"/>
        </w:rPr>
        <w:t xml:space="preserve">Dr Quinlivan has received honoraria from Genzyme and research funding and honoraria from PTC bio. </w:t>
      </w:r>
      <w:r w:rsidRPr="003A18D5">
        <w:rPr>
          <w:sz w:val="24"/>
          <w:szCs w:val="24"/>
          <w:lang w:val="en-GB"/>
        </w:rPr>
        <w:t>All other authors report no disclosures.</w:t>
      </w:r>
    </w:p>
    <w:p w:rsidR="003A18D5" w:rsidRPr="00417049" w:rsidRDefault="00417049" w:rsidP="00BD2738">
      <w:pPr>
        <w:spacing w:line="480" w:lineRule="auto"/>
        <w:outlineLvl w:val="0"/>
        <w:rPr>
          <w:b/>
          <w:sz w:val="24"/>
          <w:szCs w:val="24"/>
          <w:lang w:val="en-US"/>
        </w:rPr>
      </w:pPr>
      <w:r w:rsidRPr="00417049">
        <w:rPr>
          <w:b/>
          <w:sz w:val="24"/>
          <w:szCs w:val="24"/>
          <w:lang w:val="en-US"/>
        </w:rPr>
        <w:t>AUTHOR CONTRIBUTIONS</w:t>
      </w:r>
      <w:r w:rsidR="003A18D5" w:rsidRPr="00417049">
        <w:rPr>
          <w:b/>
          <w:sz w:val="24"/>
          <w:szCs w:val="24"/>
          <w:lang w:val="en-US"/>
        </w:rPr>
        <w:t xml:space="preserve"> </w:t>
      </w:r>
    </w:p>
    <w:p w:rsidR="003A18D5" w:rsidRDefault="003A18D5" w:rsidP="000A6229">
      <w:pPr>
        <w:spacing w:line="480" w:lineRule="auto"/>
        <w:rPr>
          <w:sz w:val="24"/>
          <w:szCs w:val="24"/>
          <w:lang w:val="en-US"/>
        </w:rPr>
      </w:pPr>
      <w:r w:rsidRPr="003A18D5">
        <w:rPr>
          <w:sz w:val="24"/>
          <w:szCs w:val="24"/>
          <w:lang w:val="en-US"/>
        </w:rPr>
        <w:t>Lukacs Z. and Schoser B: Design of study, analysis, acquisition and interpretation of all data and drafting of the manuscript.</w:t>
      </w:r>
      <w:r w:rsidR="00DB3C96">
        <w:rPr>
          <w:sz w:val="24"/>
          <w:szCs w:val="24"/>
          <w:lang w:val="en-US"/>
        </w:rPr>
        <w:t xml:space="preserve"> </w:t>
      </w:r>
      <w:r w:rsidRPr="003A18D5">
        <w:rPr>
          <w:sz w:val="24"/>
          <w:szCs w:val="24"/>
          <w:lang w:val="en-US"/>
        </w:rPr>
        <w:t>Willis TA, Evangelista T, Roberts M, Guglieri M, Quinlivian R, Hilton-Jones D, Straub V: Acquisition and interpretation of data from the UK and critical revision of the manuscript.</w:t>
      </w:r>
      <w:r w:rsidR="00DB3C96">
        <w:rPr>
          <w:sz w:val="24"/>
          <w:szCs w:val="24"/>
          <w:lang w:val="en-US"/>
        </w:rPr>
        <w:t xml:space="preserve"> </w:t>
      </w:r>
      <w:r w:rsidRPr="003A18D5">
        <w:rPr>
          <w:sz w:val="24"/>
          <w:szCs w:val="24"/>
          <w:lang w:val="en-US"/>
        </w:rPr>
        <w:t>Nieves Cobo</w:t>
      </w:r>
      <w:r w:rsidR="00A53147">
        <w:rPr>
          <w:sz w:val="24"/>
          <w:szCs w:val="24"/>
          <w:lang w:val="en-US"/>
        </w:rPr>
        <w:t>s</w:t>
      </w:r>
      <w:r w:rsidRPr="003A18D5">
        <w:rPr>
          <w:sz w:val="24"/>
          <w:szCs w:val="24"/>
          <w:lang w:val="en-US"/>
        </w:rPr>
        <w:t xml:space="preserve"> P, Wenninger S, </w:t>
      </w:r>
      <w:r w:rsidR="0058392C">
        <w:rPr>
          <w:sz w:val="24"/>
          <w:szCs w:val="24"/>
          <w:lang w:val="en-US"/>
        </w:rPr>
        <w:t>Z</w:t>
      </w:r>
      <w:r w:rsidR="001B52B8">
        <w:rPr>
          <w:sz w:val="24"/>
          <w:szCs w:val="24"/>
          <w:lang w:val="en-US"/>
        </w:rPr>
        <w:t>ierz</w:t>
      </w:r>
      <w:r w:rsidR="0058392C">
        <w:rPr>
          <w:sz w:val="24"/>
          <w:szCs w:val="24"/>
          <w:lang w:val="en-US"/>
        </w:rPr>
        <w:t xml:space="preserve"> S</w:t>
      </w:r>
      <w:r w:rsidR="001B52B8">
        <w:rPr>
          <w:sz w:val="24"/>
          <w:szCs w:val="24"/>
          <w:lang w:val="en-US"/>
        </w:rPr>
        <w:t xml:space="preserve">, </w:t>
      </w:r>
      <w:r w:rsidR="0058392C" w:rsidRPr="00D20676">
        <w:rPr>
          <w:sz w:val="24"/>
          <w:szCs w:val="24"/>
          <w:lang w:val="en-GB"/>
        </w:rPr>
        <w:t xml:space="preserve">Schlotter-Weigel B, Walter MC, Reilich P, </w:t>
      </w:r>
      <w:r w:rsidR="0058392C" w:rsidRPr="00C86C38">
        <w:rPr>
          <w:sz w:val="24"/>
          <w:szCs w:val="24"/>
          <w:lang w:val="en-GB"/>
        </w:rPr>
        <w:t>Klopstock</w:t>
      </w:r>
      <w:r w:rsidR="0058392C">
        <w:rPr>
          <w:sz w:val="24"/>
          <w:szCs w:val="24"/>
          <w:lang w:val="en-GB"/>
        </w:rPr>
        <w:t xml:space="preserve"> T</w:t>
      </w:r>
      <w:r w:rsidR="0058392C" w:rsidRPr="00C86C38">
        <w:rPr>
          <w:sz w:val="24"/>
          <w:szCs w:val="24"/>
          <w:lang w:val="en-GB"/>
        </w:rPr>
        <w:t xml:space="preserve">, </w:t>
      </w:r>
      <w:r w:rsidRPr="003A18D5">
        <w:rPr>
          <w:sz w:val="24"/>
          <w:szCs w:val="24"/>
          <w:lang w:val="en-US"/>
        </w:rPr>
        <w:t>Deschauer M, Müller-Felber W: Acquisition of data in Germany and critical revision of the manuscript.</w:t>
      </w:r>
    </w:p>
    <w:p w:rsidR="00611944" w:rsidRPr="003A7328" w:rsidRDefault="00611944" w:rsidP="00BD2738">
      <w:pPr>
        <w:spacing w:line="480" w:lineRule="auto"/>
        <w:outlineLvl w:val="0"/>
        <w:rPr>
          <w:b/>
          <w:sz w:val="24"/>
          <w:szCs w:val="24"/>
          <w:lang w:val="en-US"/>
        </w:rPr>
      </w:pPr>
      <w:r w:rsidRPr="003A7328">
        <w:rPr>
          <w:b/>
          <w:sz w:val="24"/>
          <w:szCs w:val="24"/>
          <w:lang w:val="en-US"/>
        </w:rPr>
        <w:lastRenderedPageBreak/>
        <w:t xml:space="preserve">Abstract </w:t>
      </w:r>
    </w:p>
    <w:p w:rsidR="00611944" w:rsidRDefault="00AC3E13" w:rsidP="003A7328">
      <w:pPr>
        <w:spacing w:line="480" w:lineRule="auto"/>
        <w:rPr>
          <w:sz w:val="24"/>
          <w:szCs w:val="24"/>
          <w:lang w:val="en-US"/>
        </w:rPr>
      </w:pPr>
      <w:r w:rsidRPr="00AC3E13">
        <w:rPr>
          <w:b/>
          <w:sz w:val="24"/>
          <w:szCs w:val="24"/>
          <w:lang w:val="en-US"/>
        </w:rPr>
        <w:t xml:space="preserve">Objective: </w:t>
      </w:r>
      <w:r w:rsidR="00524BB1">
        <w:rPr>
          <w:sz w:val="24"/>
          <w:szCs w:val="24"/>
          <w:lang w:val="en-US"/>
        </w:rPr>
        <w:t>We</w:t>
      </w:r>
      <w:r w:rsidR="00611944">
        <w:rPr>
          <w:sz w:val="24"/>
          <w:szCs w:val="24"/>
          <w:lang w:val="en-US"/>
        </w:rPr>
        <w:t xml:space="preserve"> prospectively screened </w:t>
      </w:r>
      <w:r w:rsidR="00524BB1">
        <w:rPr>
          <w:sz w:val="24"/>
          <w:szCs w:val="24"/>
          <w:lang w:val="en-US"/>
        </w:rPr>
        <w:t xml:space="preserve">a </w:t>
      </w:r>
      <w:r w:rsidR="00DC370D">
        <w:rPr>
          <w:sz w:val="24"/>
          <w:szCs w:val="24"/>
          <w:lang w:val="en-US"/>
        </w:rPr>
        <w:t xml:space="preserve">large European </w:t>
      </w:r>
      <w:r w:rsidR="00611944">
        <w:rPr>
          <w:sz w:val="24"/>
          <w:szCs w:val="24"/>
          <w:lang w:val="en-US"/>
        </w:rPr>
        <w:t xml:space="preserve">cohort </w:t>
      </w:r>
      <w:r w:rsidR="00B4745B">
        <w:rPr>
          <w:sz w:val="24"/>
          <w:szCs w:val="24"/>
          <w:lang w:val="en-US"/>
        </w:rPr>
        <w:t>of patients presenting with hype</w:t>
      </w:r>
      <w:r w:rsidR="00A61D75">
        <w:rPr>
          <w:sz w:val="24"/>
          <w:szCs w:val="24"/>
          <w:lang w:val="en-US"/>
        </w:rPr>
        <w:t>r</w:t>
      </w:r>
      <w:r w:rsidR="00B4745B">
        <w:rPr>
          <w:sz w:val="24"/>
          <w:szCs w:val="24"/>
          <w:lang w:val="en-US"/>
        </w:rPr>
        <w:t xml:space="preserve">CKemia and/or limb girdle weakness </w:t>
      </w:r>
      <w:r w:rsidR="00DA4ED4">
        <w:rPr>
          <w:sz w:val="24"/>
          <w:szCs w:val="24"/>
          <w:lang w:val="en-US"/>
        </w:rPr>
        <w:t xml:space="preserve">(LGMW) </w:t>
      </w:r>
      <w:r w:rsidR="00611944">
        <w:rPr>
          <w:sz w:val="24"/>
          <w:szCs w:val="24"/>
          <w:lang w:val="en-US"/>
        </w:rPr>
        <w:t xml:space="preserve">for alpha glucosidase </w:t>
      </w:r>
      <w:r w:rsidR="000A6229">
        <w:rPr>
          <w:sz w:val="24"/>
          <w:szCs w:val="24"/>
          <w:lang w:val="en-US"/>
        </w:rPr>
        <w:t xml:space="preserve">(GAA) </w:t>
      </w:r>
      <w:r w:rsidR="00611944">
        <w:rPr>
          <w:sz w:val="24"/>
          <w:szCs w:val="24"/>
          <w:lang w:val="en-US"/>
        </w:rPr>
        <w:t xml:space="preserve">deficiency by dried blood spot </w:t>
      </w:r>
      <w:r w:rsidR="00DA4ED4">
        <w:rPr>
          <w:sz w:val="24"/>
          <w:szCs w:val="24"/>
          <w:lang w:val="en-US"/>
        </w:rPr>
        <w:t xml:space="preserve">(DBS) </w:t>
      </w:r>
      <w:r w:rsidR="00611944">
        <w:rPr>
          <w:sz w:val="24"/>
          <w:szCs w:val="24"/>
          <w:lang w:val="en-US"/>
        </w:rPr>
        <w:t xml:space="preserve">investigation. </w:t>
      </w:r>
    </w:p>
    <w:p w:rsidR="003A7328" w:rsidRDefault="00611944" w:rsidP="003A7328">
      <w:pPr>
        <w:spacing w:line="480" w:lineRule="auto"/>
        <w:rPr>
          <w:sz w:val="24"/>
          <w:szCs w:val="24"/>
          <w:lang w:val="en-US"/>
        </w:rPr>
      </w:pPr>
      <w:r w:rsidRPr="003A7328">
        <w:rPr>
          <w:b/>
          <w:sz w:val="24"/>
          <w:szCs w:val="24"/>
          <w:lang w:val="en-US"/>
        </w:rPr>
        <w:t>Methods:</w:t>
      </w:r>
      <w:r w:rsidRPr="00611944">
        <w:rPr>
          <w:sz w:val="24"/>
          <w:szCs w:val="24"/>
          <w:lang w:val="en-US"/>
        </w:rPr>
        <w:t xml:space="preserve"> </w:t>
      </w:r>
      <w:r w:rsidR="003A7328">
        <w:rPr>
          <w:sz w:val="24"/>
          <w:szCs w:val="24"/>
          <w:lang w:val="en-US"/>
        </w:rPr>
        <w:t xml:space="preserve"> DBS were collected from </w:t>
      </w:r>
      <w:r w:rsidR="00DC370D">
        <w:rPr>
          <w:sz w:val="24"/>
          <w:szCs w:val="24"/>
          <w:lang w:val="en-US"/>
        </w:rPr>
        <w:t>3076</w:t>
      </w:r>
      <w:r w:rsidR="003A7328">
        <w:rPr>
          <w:sz w:val="24"/>
          <w:szCs w:val="24"/>
          <w:lang w:val="en-US"/>
        </w:rPr>
        <w:t xml:space="preserve"> </w:t>
      </w:r>
      <w:r w:rsidR="00524BB1">
        <w:rPr>
          <w:sz w:val="24"/>
          <w:szCs w:val="24"/>
          <w:lang w:val="en-US"/>
        </w:rPr>
        <w:t xml:space="preserve">adult </w:t>
      </w:r>
      <w:r w:rsidR="003A7328">
        <w:rPr>
          <w:sz w:val="24"/>
          <w:szCs w:val="24"/>
          <w:lang w:val="en-US"/>
        </w:rPr>
        <w:t>patients</w:t>
      </w:r>
      <w:r w:rsidR="00DC370D">
        <w:rPr>
          <w:sz w:val="24"/>
          <w:szCs w:val="24"/>
          <w:lang w:val="en-US"/>
        </w:rPr>
        <w:t xml:space="preserve"> </w:t>
      </w:r>
      <w:r w:rsidR="003A7328">
        <w:rPr>
          <w:sz w:val="24"/>
          <w:szCs w:val="24"/>
          <w:lang w:val="en-US"/>
        </w:rPr>
        <w:t xml:space="preserve">from </w:t>
      </w:r>
      <w:r w:rsidR="00CD5896">
        <w:rPr>
          <w:sz w:val="24"/>
          <w:szCs w:val="24"/>
          <w:lang w:val="en-US"/>
        </w:rPr>
        <w:t xml:space="preserve">six </w:t>
      </w:r>
      <w:r w:rsidR="00DC370D">
        <w:rPr>
          <w:sz w:val="24"/>
          <w:szCs w:val="24"/>
          <w:lang w:val="en-US"/>
        </w:rPr>
        <w:t>German</w:t>
      </w:r>
      <w:r w:rsidR="00DF6D81">
        <w:rPr>
          <w:sz w:val="24"/>
          <w:szCs w:val="24"/>
          <w:lang w:val="en-US"/>
        </w:rPr>
        <w:t xml:space="preserve"> and British neuromuscular centres</w:t>
      </w:r>
      <w:r w:rsidR="003A7328">
        <w:rPr>
          <w:sz w:val="24"/>
          <w:szCs w:val="24"/>
          <w:lang w:val="en-US"/>
        </w:rPr>
        <w:t xml:space="preserve">. </w:t>
      </w:r>
      <w:r w:rsidR="00DC370D">
        <w:rPr>
          <w:sz w:val="24"/>
          <w:szCs w:val="24"/>
          <w:lang w:val="en-US"/>
        </w:rPr>
        <w:t>All</w:t>
      </w:r>
      <w:r w:rsidR="003A7328">
        <w:rPr>
          <w:sz w:val="24"/>
          <w:szCs w:val="24"/>
          <w:lang w:val="en-US"/>
        </w:rPr>
        <w:t xml:space="preserve"> specimens were investigated for alpha glucosidase deficiency</w:t>
      </w:r>
      <w:r w:rsidR="005507CE">
        <w:rPr>
          <w:sz w:val="24"/>
          <w:szCs w:val="24"/>
          <w:lang w:val="en-US"/>
        </w:rPr>
        <w:t xml:space="preserve"> by fluorometry</w:t>
      </w:r>
      <w:r w:rsidR="00524BB1">
        <w:rPr>
          <w:sz w:val="24"/>
          <w:szCs w:val="24"/>
          <w:lang w:val="en-US"/>
        </w:rPr>
        <w:t>. S</w:t>
      </w:r>
      <w:r w:rsidR="003A7328">
        <w:rPr>
          <w:sz w:val="24"/>
          <w:szCs w:val="24"/>
          <w:lang w:val="en-US"/>
        </w:rPr>
        <w:t xml:space="preserve">amples with </w:t>
      </w:r>
      <w:r w:rsidR="00524BB1">
        <w:rPr>
          <w:sz w:val="24"/>
          <w:szCs w:val="24"/>
          <w:lang w:val="en-US"/>
        </w:rPr>
        <w:t>reduced</w:t>
      </w:r>
      <w:r w:rsidR="003A7328">
        <w:rPr>
          <w:sz w:val="24"/>
          <w:szCs w:val="24"/>
          <w:lang w:val="en-US"/>
        </w:rPr>
        <w:t xml:space="preserve"> enzyme activity</w:t>
      </w:r>
      <w:r w:rsidR="00524BB1">
        <w:rPr>
          <w:sz w:val="24"/>
          <w:szCs w:val="24"/>
          <w:lang w:val="en-US"/>
        </w:rPr>
        <w:t xml:space="preserve"> were </w:t>
      </w:r>
      <w:r w:rsidR="00DA4ED4">
        <w:rPr>
          <w:sz w:val="24"/>
          <w:szCs w:val="24"/>
          <w:lang w:val="en-US"/>
        </w:rPr>
        <w:t>subsequently</w:t>
      </w:r>
      <w:r w:rsidR="00524BB1">
        <w:rPr>
          <w:sz w:val="24"/>
          <w:szCs w:val="24"/>
          <w:lang w:val="en-US"/>
        </w:rPr>
        <w:t xml:space="preserve"> </w:t>
      </w:r>
      <w:r w:rsidR="00DA4ED4">
        <w:rPr>
          <w:sz w:val="24"/>
          <w:szCs w:val="24"/>
          <w:lang w:val="en-US"/>
        </w:rPr>
        <w:t xml:space="preserve">investigated </w:t>
      </w:r>
      <w:r w:rsidR="00524BB1">
        <w:rPr>
          <w:sz w:val="24"/>
          <w:szCs w:val="24"/>
          <w:lang w:val="en-US"/>
        </w:rPr>
        <w:t xml:space="preserve">for </w:t>
      </w:r>
      <w:r w:rsidR="003A7328" w:rsidRPr="00D20676">
        <w:rPr>
          <w:i/>
          <w:sz w:val="24"/>
          <w:szCs w:val="24"/>
          <w:lang w:val="en-US"/>
        </w:rPr>
        <w:t>GAA</w:t>
      </w:r>
      <w:r w:rsidR="003A7328">
        <w:rPr>
          <w:sz w:val="24"/>
          <w:szCs w:val="24"/>
          <w:lang w:val="en-US"/>
        </w:rPr>
        <w:t xml:space="preserve"> gene</w:t>
      </w:r>
      <w:r w:rsidR="00524BB1">
        <w:rPr>
          <w:sz w:val="24"/>
          <w:szCs w:val="24"/>
          <w:lang w:val="en-US"/>
        </w:rPr>
        <w:t xml:space="preserve"> mutations</w:t>
      </w:r>
      <w:r w:rsidR="003A7328">
        <w:rPr>
          <w:sz w:val="24"/>
          <w:szCs w:val="24"/>
          <w:lang w:val="en-US"/>
        </w:rPr>
        <w:t xml:space="preserve">.  </w:t>
      </w:r>
    </w:p>
    <w:p w:rsidR="003A7328" w:rsidRPr="00DF6D81" w:rsidRDefault="00611944" w:rsidP="003A7328">
      <w:pPr>
        <w:spacing w:line="480" w:lineRule="auto"/>
        <w:rPr>
          <w:b/>
          <w:bCs/>
          <w:sz w:val="24"/>
          <w:szCs w:val="24"/>
          <w:lang w:val="en-GB"/>
        </w:rPr>
      </w:pPr>
      <w:r w:rsidRPr="003A7328">
        <w:rPr>
          <w:b/>
          <w:sz w:val="24"/>
          <w:szCs w:val="24"/>
          <w:lang w:val="en-US"/>
        </w:rPr>
        <w:t>Results:</w:t>
      </w:r>
      <w:r w:rsidRPr="00611944">
        <w:rPr>
          <w:sz w:val="24"/>
          <w:szCs w:val="24"/>
          <w:lang w:val="en-US"/>
        </w:rPr>
        <w:t xml:space="preserve"> </w:t>
      </w:r>
      <w:r w:rsidR="00524BB1">
        <w:rPr>
          <w:sz w:val="24"/>
          <w:szCs w:val="24"/>
          <w:lang w:val="en-US"/>
        </w:rPr>
        <w:t>Out of</w:t>
      </w:r>
      <w:r w:rsidR="003A7328">
        <w:rPr>
          <w:sz w:val="24"/>
          <w:szCs w:val="24"/>
          <w:lang w:val="en-US"/>
        </w:rPr>
        <w:t xml:space="preserve"> </w:t>
      </w:r>
      <w:r w:rsidR="005507CE">
        <w:rPr>
          <w:sz w:val="24"/>
          <w:szCs w:val="24"/>
          <w:lang w:val="en-US"/>
        </w:rPr>
        <w:t>3076</w:t>
      </w:r>
      <w:r w:rsidR="003A7328">
        <w:rPr>
          <w:sz w:val="24"/>
          <w:szCs w:val="24"/>
          <w:lang w:val="en-US"/>
        </w:rPr>
        <w:t xml:space="preserve"> </w:t>
      </w:r>
      <w:r w:rsidR="00271A23">
        <w:rPr>
          <w:sz w:val="24"/>
          <w:szCs w:val="24"/>
          <w:lang w:val="en-US"/>
        </w:rPr>
        <w:t xml:space="preserve">DBS </w:t>
      </w:r>
      <w:r w:rsidR="003A7328">
        <w:rPr>
          <w:sz w:val="24"/>
          <w:szCs w:val="24"/>
          <w:lang w:val="en-US"/>
        </w:rPr>
        <w:t>samples</w:t>
      </w:r>
      <w:r w:rsidR="00271A23">
        <w:rPr>
          <w:sz w:val="24"/>
          <w:szCs w:val="24"/>
          <w:lang w:val="en-US"/>
        </w:rPr>
        <w:t>,</w:t>
      </w:r>
      <w:r w:rsidR="003A7328">
        <w:rPr>
          <w:sz w:val="24"/>
          <w:szCs w:val="24"/>
          <w:lang w:val="en-US"/>
        </w:rPr>
        <w:t xml:space="preserve"> </w:t>
      </w:r>
      <w:r w:rsidR="00410614">
        <w:rPr>
          <w:sz w:val="24"/>
          <w:szCs w:val="24"/>
          <w:lang w:val="en-US"/>
        </w:rPr>
        <w:t>232 (</w:t>
      </w:r>
      <w:r w:rsidR="005507CE">
        <w:rPr>
          <w:sz w:val="24"/>
          <w:szCs w:val="24"/>
          <w:lang w:val="en-US"/>
        </w:rPr>
        <w:t>7.6%</w:t>
      </w:r>
      <w:r w:rsidR="00410614">
        <w:rPr>
          <w:sz w:val="24"/>
          <w:szCs w:val="24"/>
          <w:lang w:val="en-US"/>
        </w:rPr>
        <w:t>)</w:t>
      </w:r>
      <w:r w:rsidR="003A7328">
        <w:rPr>
          <w:sz w:val="24"/>
          <w:szCs w:val="24"/>
          <w:lang w:val="en-US"/>
        </w:rPr>
        <w:t xml:space="preserve"> showed low </w:t>
      </w:r>
      <w:r w:rsidR="00E0686C">
        <w:rPr>
          <w:sz w:val="24"/>
          <w:szCs w:val="24"/>
          <w:lang w:val="en-US"/>
        </w:rPr>
        <w:t xml:space="preserve">GAA </w:t>
      </w:r>
      <w:r w:rsidR="00524BB1">
        <w:rPr>
          <w:sz w:val="24"/>
          <w:szCs w:val="24"/>
          <w:lang w:val="en-US"/>
        </w:rPr>
        <w:t xml:space="preserve">enzyme </w:t>
      </w:r>
      <w:r w:rsidR="003A7328">
        <w:rPr>
          <w:sz w:val="24"/>
          <w:szCs w:val="24"/>
          <w:lang w:val="en-US"/>
        </w:rPr>
        <w:t>activity.</w:t>
      </w:r>
      <w:r w:rsidR="005507CE">
        <w:rPr>
          <w:sz w:val="24"/>
          <w:szCs w:val="24"/>
          <w:lang w:val="en-US"/>
        </w:rPr>
        <w:t xml:space="preserve"> </w:t>
      </w:r>
      <w:r w:rsidR="00454780">
        <w:rPr>
          <w:sz w:val="24"/>
          <w:szCs w:val="24"/>
          <w:lang w:val="en-US"/>
        </w:rPr>
        <w:t xml:space="preserve">Of </w:t>
      </w:r>
      <w:r w:rsidR="0045046F">
        <w:rPr>
          <w:sz w:val="24"/>
          <w:szCs w:val="24"/>
          <w:lang w:val="en-US"/>
        </w:rPr>
        <w:t>the according 232 patients</w:t>
      </w:r>
      <w:r w:rsidR="00454780">
        <w:rPr>
          <w:sz w:val="24"/>
          <w:szCs w:val="24"/>
          <w:lang w:val="en-US"/>
        </w:rPr>
        <w:t xml:space="preserve">, </w:t>
      </w:r>
      <w:r w:rsidR="0045046F">
        <w:rPr>
          <w:sz w:val="24"/>
          <w:szCs w:val="24"/>
          <w:lang w:val="en-US"/>
        </w:rPr>
        <w:t>55 (</w:t>
      </w:r>
      <w:r w:rsidR="003C0A02">
        <w:rPr>
          <w:sz w:val="24"/>
          <w:szCs w:val="24"/>
          <w:lang w:val="en-US"/>
        </w:rPr>
        <w:t>24</w:t>
      </w:r>
      <w:r w:rsidR="005507CE">
        <w:rPr>
          <w:sz w:val="24"/>
          <w:szCs w:val="24"/>
          <w:lang w:val="en-US"/>
        </w:rPr>
        <w:t>%</w:t>
      </w:r>
      <w:r w:rsidR="0045046F">
        <w:rPr>
          <w:sz w:val="24"/>
          <w:szCs w:val="24"/>
          <w:lang w:val="en-US"/>
        </w:rPr>
        <w:t>)</w:t>
      </w:r>
      <w:r w:rsidR="003A7328">
        <w:rPr>
          <w:sz w:val="24"/>
          <w:szCs w:val="24"/>
          <w:lang w:val="en-US"/>
        </w:rPr>
        <w:t xml:space="preserve"> </w:t>
      </w:r>
      <w:r w:rsidR="00454780">
        <w:rPr>
          <w:sz w:val="24"/>
          <w:szCs w:val="24"/>
          <w:lang w:val="en-US"/>
        </w:rPr>
        <w:t>presented with isolated</w:t>
      </w:r>
      <w:r w:rsidR="00410614">
        <w:rPr>
          <w:sz w:val="24"/>
          <w:szCs w:val="24"/>
          <w:lang w:val="en-US"/>
        </w:rPr>
        <w:t xml:space="preserve"> </w:t>
      </w:r>
      <w:r w:rsidR="003A7328">
        <w:rPr>
          <w:sz w:val="24"/>
          <w:szCs w:val="24"/>
          <w:lang w:val="en-US"/>
        </w:rPr>
        <w:t>hyper</w:t>
      </w:r>
      <w:r w:rsidR="00A61D75">
        <w:rPr>
          <w:sz w:val="24"/>
          <w:szCs w:val="24"/>
          <w:lang w:val="en-US"/>
        </w:rPr>
        <w:t>CK</w:t>
      </w:r>
      <w:r w:rsidR="003A7328">
        <w:rPr>
          <w:sz w:val="24"/>
          <w:szCs w:val="24"/>
          <w:lang w:val="en-US"/>
        </w:rPr>
        <w:t>emia</w:t>
      </w:r>
      <w:r w:rsidR="005507CE">
        <w:rPr>
          <w:sz w:val="24"/>
          <w:szCs w:val="24"/>
          <w:lang w:val="en-US"/>
        </w:rPr>
        <w:t>,</w:t>
      </w:r>
      <w:r w:rsidR="003A7328">
        <w:rPr>
          <w:sz w:val="24"/>
          <w:szCs w:val="24"/>
          <w:lang w:val="en-US"/>
        </w:rPr>
        <w:t xml:space="preserve"> and</w:t>
      </w:r>
      <w:r w:rsidR="0045046F">
        <w:rPr>
          <w:sz w:val="24"/>
          <w:szCs w:val="24"/>
          <w:lang w:val="en-US"/>
        </w:rPr>
        <w:t xml:space="preserve"> 176</w:t>
      </w:r>
      <w:r w:rsidR="003A7328">
        <w:rPr>
          <w:sz w:val="24"/>
          <w:szCs w:val="24"/>
          <w:lang w:val="en-US"/>
        </w:rPr>
        <w:t xml:space="preserve"> </w:t>
      </w:r>
      <w:r w:rsidR="0045046F">
        <w:rPr>
          <w:sz w:val="24"/>
          <w:szCs w:val="24"/>
          <w:lang w:val="en-US"/>
        </w:rPr>
        <w:t>(</w:t>
      </w:r>
      <w:r w:rsidR="003C0A02">
        <w:rPr>
          <w:sz w:val="24"/>
          <w:szCs w:val="24"/>
          <w:lang w:val="en-US"/>
        </w:rPr>
        <w:t>76</w:t>
      </w:r>
      <w:r w:rsidR="005507CE">
        <w:rPr>
          <w:sz w:val="24"/>
          <w:szCs w:val="24"/>
          <w:lang w:val="en-US"/>
        </w:rPr>
        <w:t>%</w:t>
      </w:r>
      <w:r w:rsidR="0045046F">
        <w:rPr>
          <w:sz w:val="24"/>
          <w:szCs w:val="24"/>
          <w:lang w:val="en-US"/>
        </w:rPr>
        <w:t>)</w:t>
      </w:r>
      <w:r w:rsidR="005507CE">
        <w:rPr>
          <w:sz w:val="24"/>
          <w:szCs w:val="24"/>
          <w:lang w:val="en-US"/>
        </w:rPr>
        <w:t xml:space="preserve"> </w:t>
      </w:r>
      <w:r w:rsidR="003A7328">
        <w:rPr>
          <w:sz w:val="24"/>
          <w:szCs w:val="24"/>
          <w:lang w:val="en-US"/>
        </w:rPr>
        <w:t xml:space="preserve">with </w:t>
      </w:r>
      <w:r w:rsidR="00454780">
        <w:rPr>
          <w:sz w:val="24"/>
          <w:szCs w:val="24"/>
          <w:lang w:val="en-US"/>
        </w:rPr>
        <w:t xml:space="preserve">hyperCKemia and </w:t>
      </w:r>
      <w:r w:rsidR="00DA4ED4">
        <w:rPr>
          <w:sz w:val="24"/>
          <w:szCs w:val="24"/>
          <w:lang w:val="en-US"/>
        </w:rPr>
        <w:t>LGMW</w:t>
      </w:r>
      <w:r w:rsidR="003A7328">
        <w:rPr>
          <w:sz w:val="24"/>
          <w:szCs w:val="24"/>
          <w:lang w:val="en-US"/>
        </w:rPr>
        <w:t xml:space="preserve">. </w:t>
      </w:r>
      <w:r w:rsidR="004A3CFE">
        <w:rPr>
          <w:sz w:val="24"/>
          <w:szCs w:val="24"/>
          <w:lang w:val="en-US"/>
        </w:rPr>
        <w:t>With both features present</w:t>
      </w:r>
      <w:r w:rsidR="003A7328">
        <w:rPr>
          <w:sz w:val="24"/>
          <w:szCs w:val="24"/>
          <w:lang w:val="en-US"/>
        </w:rPr>
        <w:t xml:space="preserve">, </w:t>
      </w:r>
      <w:r w:rsidR="003C0A02">
        <w:rPr>
          <w:sz w:val="24"/>
          <w:szCs w:val="24"/>
          <w:lang w:val="en-US"/>
        </w:rPr>
        <w:t>9</w:t>
      </w:r>
      <w:r w:rsidR="00410614">
        <w:rPr>
          <w:sz w:val="24"/>
          <w:szCs w:val="24"/>
          <w:lang w:val="en-US"/>
        </w:rPr>
        <w:t>4</w:t>
      </w:r>
      <w:r w:rsidR="005507CE">
        <w:rPr>
          <w:sz w:val="24"/>
          <w:szCs w:val="24"/>
          <w:lang w:val="en-US"/>
        </w:rPr>
        <w:t>%</w:t>
      </w:r>
      <w:r w:rsidR="003A7328">
        <w:rPr>
          <w:sz w:val="24"/>
          <w:szCs w:val="24"/>
          <w:lang w:val="en-US"/>
        </w:rPr>
        <w:t xml:space="preserve"> </w:t>
      </w:r>
      <w:r w:rsidR="005507CE">
        <w:rPr>
          <w:sz w:val="24"/>
          <w:szCs w:val="24"/>
          <w:lang w:val="en-US"/>
        </w:rPr>
        <w:t xml:space="preserve">of the </w:t>
      </w:r>
      <w:r w:rsidR="003A7328">
        <w:rPr>
          <w:sz w:val="24"/>
          <w:szCs w:val="24"/>
          <w:lang w:val="en-US"/>
        </w:rPr>
        <w:t>patients</w:t>
      </w:r>
      <w:r w:rsidR="005507CE">
        <w:rPr>
          <w:sz w:val="24"/>
          <w:szCs w:val="24"/>
          <w:lang w:val="en-US"/>
        </w:rPr>
        <w:t xml:space="preserve"> </w:t>
      </w:r>
      <w:r w:rsidR="003A7328">
        <w:rPr>
          <w:sz w:val="24"/>
          <w:szCs w:val="24"/>
          <w:lang w:val="en-US"/>
        </w:rPr>
        <w:t xml:space="preserve">showed a low enzymatic activity. </w:t>
      </w:r>
      <w:r w:rsidR="005C41E1">
        <w:rPr>
          <w:sz w:val="24"/>
          <w:szCs w:val="24"/>
          <w:lang w:val="en-US"/>
        </w:rPr>
        <w:t>Mutational</w:t>
      </w:r>
      <w:r w:rsidR="003A7328">
        <w:rPr>
          <w:sz w:val="24"/>
          <w:szCs w:val="24"/>
          <w:lang w:val="en-US"/>
        </w:rPr>
        <w:t xml:space="preserve"> analysis found </w:t>
      </w:r>
      <w:r w:rsidR="003A7328" w:rsidRPr="00D20676">
        <w:rPr>
          <w:i/>
          <w:sz w:val="24"/>
          <w:szCs w:val="24"/>
          <w:lang w:val="en-US"/>
        </w:rPr>
        <w:t>GAA</w:t>
      </w:r>
      <w:r w:rsidR="003A7328">
        <w:rPr>
          <w:sz w:val="24"/>
          <w:szCs w:val="24"/>
          <w:lang w:val="en-US"/>
        </w:rPr>
        <w:t xml:space="preserve"> gene mutation</w:t>
      </w:r>
      <w:r w:rsidR="005C41E1">
        <w:rPr>
          <w:sz w:val="24"/>
          <w:szCs w:val="24"/>
          <w:lang w:val="en-US"/>
        </w:rPr>
        <w:t>s</w:t>
      </w:r>
      <w:r w:rsidR="003A7328">
        <w:rPr>
          <w:sz w:val="24"/>
          <w:szCs w:val="24"/>
          <w:lang w:val="en-US"/>
        </w:rPr>
        <w:t xml:space="preserve"> in </w:t>
      </w:r>
      <w:r w:rsidR="005507CE">
        <w:rPr>
          <w:sz w:val="24"/>
          <w:szCs w:val="24"/>
          <w:lang w:val="en-US"/>
        </w:rPr>
        <w:t xml:space="preserve">74 </w:t>
      </w:r>
      <w:r w:rsidR="003A7328">
        <w:rPr>
          <w:sz w:val="24"/>
          <w:szCs w:val="24"/>
          <w:lang w:val="en-US"/>
        </w:rPr>
        <w:t>patients</w:t>
      </w:r>
      <w:r w:rsidR="005507CE">
        <w:rPr>
          <w:sz w:val="24"/>
          <w:szCs w:val="24"/>
          <w:lang w:val="en-US"/>
        </w:rPr>
        <w:t xml:space="preserve"> (2.4%)</w:t>
      </w:r>
      <w:r w:rsidR="005C41E1">
        <w:rPr>
          <w:sz w:val="24"/>
          <w:szCs w:val="24"/>
          <w:lang w:val="en-US"/>
        </w:rPr>
        <w:t xml:space="preserve">, herein all </w:t>
      </w:r>
      <w:r w:rsidR="00E0686C">
        <w:rPr>
          <w:sz w:val="24"/>
          <w:szCs w:val="24"/>
          <w:lang w:val="en-US"/>
        </w:rPr>
        <w:t xml:space="preserve">were heterozygote for </w:t>
      </w:r>
      <w:r w:rsidR="005C41E1">
        <w:rPr>
          <w:sz w:val="24"/>
          <w:szCs w:val="24"/>
          <w:lang w:val="en-US"/>
        </w:rPr>
        <w:t xml:space="preserve">the </w:t>
      </w:r>
      <w:r w:rsidR="00DF6D81" w:rsidRPr="00DF6D81">
        <w:rPr>
          <w:bCs/>
          <w:sz w:val="24"/>
          <w:szCs w:val="24"/>
          <w:lang w:val="en-GB"/>
        </w:rPr>
        <w:t xml:space="preserve">common </w:t>
      </w:r>
      <w:r w:rsidR="00DF6D81" w:rsidRPr="000A6229">
        <w:rPr>
          <w:bCs/>
          <w:i/>
          <w:sz w:val="24"/>
          <w:szCs w:val="24"/>
          <w:lang w:val="en-GB"/>
        </w:rPr>
        <w:t>GAA</w:t>
      </w:r>
      <w:r w:rsidR="00DF6D81" w:rsidRPr="00DF6D81">
        <w:rPr>
          <w:bCs/>
          <w:sz w:val="24"/>
          <w:szCs w:val="24"/>
          <w:lang w:val="en-GB"/>
        </w:rPr>
        <w:t xml:space="preserve"> gene splice site mutation c.-32-13T&gt;G</w:t>
      </w:r>
      <w:r w:rsidR="005C41E1" w:rsidRPr="00DF6D81">
        <w:rPr>
          <w:sz w:val="24"/>
          <w:szCs w:val="24"/>
          <w:lang w:val="en-US"/>
        </w:rPr>
        <w:t>.</w:t>
      </w:r>
      <w:r w:rsidR="0024103C">
        <w:rPr>
          <w:sz w:val="24"/>
          <w:szCs w:val="24"/>
          <w:lang w:val="en-US"/>
        </w:rPr>
        <w:t xml:space="preserve"> The most common clinical presentation </w:t>
      </w:r>
      <w:r w:rsidR="001B52B8">
        <w:rPr>
          <w:sz w:val="24"/>
          <w:szCs w:val="24"/>
          <w:lang w:val="en-US"/>
        </w:rPr>
        <w:t xml:space="preserve">in the </w:t>
      </w:r>
      <w:r w:rsidR="0045046F">
        <w:rPr>
          <w:sz w:val="24"/>
          <w:szCs w:val="24"/>
          <w:lang w:val="en-US"/>
        </w:rPr>
        <w:t xml:space="preserve">confirmed </w:t>
      </w:r>
      <w:r w:rsidR="001B52B8">
        <w:rPr>
          <w:sz w:val="24"/>
          <w:szCs w:val="24"/>
          <w:lang w:val="en-US"/>
        </w:rPr>
        <w:t xml:space="preserve">Pompe cohort </w:t>
      </w:r>
      <w:r w:rsidR="0024103C">
        <w:rPr>
          <w:sz w:val="24"/>
          <w:szCs w:val="24"/>
          <w:lang w:val="en-US"/>
        </w:rPr>
        <w:t xml:space="preserve">was a limb girdle phenotype </w:t>
      </w:r>
      <w:r w:rsidR="001B52B8">
        <w:rPr>
          <w:sz w:val="24"/>
          <w:szCs w:val="24"/>
          <w:lang w:val="en-US"/>
        </w:rPr>
        <w:t xml:space="preserve">(88%) combined with </w:t>
      </w:r>
      <w:r w:rsidR="0024103C">
        <w:rPr>
          <w:sz w:val="24"/>
          <w:szCs w:val="24"/>
          <w:lang w:val="en-US"/>
        </w:rPr>
        <w:t>ventilator</w:t>
      </w:r>
      <w:r w:rsidR="00CF5400">
        <w:rPr>
          <w:sz w:val="24"/>
          <w:szCs w:val="24"/>
          <w:lang w:val="en-US"/>
        </w:rPr>
        <w:t>y</w:t>
      </w:r>
      <w:r w:rsidR="0024103C">
        <w:rPr>
          <w:sz w:val="24"/>
          <w:szCs w:val="24"/>
          <w:lang w:val="en-US"/>
        </w:rPr>
        <w:t xml:space="preserve"> insufficiency (</w:t>
      </w:r>
      <w:r w:rsidR="001B52B8">
        <w:rPr>
          <w:sz w:val="24"/>
          <w:szCs w:val="24"/>
          <w:lang w:val="en-US"/>
        </w:rPr>
        <w:t>61</w:t>
      </w:r>
      <w:r w:rsidR="0024103C">
        <w:rPr>
          <w:sz w:val="24"/>
          <w:szCs w:val="24"/>
          <w:lang w:val="en-US"/>
        </w:rPr>
        <w:t>%)</w:t>
      </w:r>
      <w:r w:rsidR="001B52B8">
        <w:rPr>
          <w:sz w:val="24"/>
          <w:szCs w:val="24"/>
          <w:lang w:val="en-US"/>
        </w:rPr>
        <w:t>, while isolated hyperCKemia was found in 12%.</w:t>
      </w:r>
    </w:p>
    <w:p w:rsidR="005C41E1" w:rsidRDefault="00611944" w:rsidP="005C41E1">
      <w:pPr>
        <w:spacing w:line="480" w:lineRule="auto"/>
        <w:rPr>
          <w:sz w:val="24"/>
          <w:szCs w:val="24"/>
          <w:lang w:val="en-US"/>
        </w:rPr>
      </w:pPr>
      <w:r w:rsidRPr="003A7328">
        <w:rPr>
          <w:b/>
          <w:sz w:val="24"/>
          <w:szCs w:val="24"/>
          <w:lang w:val="en-US"/>
        </w:rPr>
        <w:t>Conclusion:</w:t>
      </w:r>
      <w:r w:rsidR="005C41E1">
        <w:rPr>
          <w:b/>
          <w:sz w:val="24"/>
          <w:szCs w:val="24"/>
          <w:lang w:val="en-US"/>
        </w:rPr>
        <w:t xml:space="preserve"> </w:t>
      </w:r>
      <w:r w:rsidR="00DA4ED4" w:rsidRPr="00DA4ED4">
        <w:rPr>
          <w:sz w:val="24"/>
          <w:szCs w:val="24"/>
          <w:lang w:val="en-US"/>
        </w:rPr>
        <w:t xml:space="preserve">In a </w:t>
      </w:r>
      <w:r w:rsidR="00DA4ED4">
        <w:rPr>
          <w:sz w:val="24"/>
          <w:szCs w:val="24"/>
          <w:lang w:val="en-US"/>
        </w:rPr>
        <w:t xml:space="preserve">large </w:t>
      </w:r>
      <w:r w:rsidR="00FE527A">
        <w:rPr>
          <w:sz w:val="24"/>
          <w:szCs w:val="24"/>
          <w:lang w:val="en-US"/>
        </w:rPr>
        <w:t xml:space="preserve">cohort </w:t>
      </w:r>
      <w:r w:rsidR="00DA4ED4" w:rsidRPr="00DA4ED4">
        <w:rPr>
          <w:sz w:val="24"/>
          <w:szCs w:val="24"/>
          <w:lang w:val="en-US"/>
        </w:rPr>
        <w:t xml:space="preserve">of unselected adult patients with hyperCKemia and/or LGMW, we found a prevalence of </w:t>
      </w:r>
      <w:r w:rsidR="003C0A02">
        <w:rPr>
          <w:sz w:val="24"/>
          <w:szCs w:val="24"/>
          <w:lang w:val="en-US"/>
        </w:rPr>
        <w:t xml:space="preserve">late-onset </w:t>
      </w:r>
      <w:r w:rsidR="00DA4ED4" w:rsidRPr="00DA4ED4">
        <w:rPr>
          <w:sz w:val="24"/>
          <w:szCs w:val="24"/>
          <w:lang w:val="en-US"/>
        </w:rPr>
        <w:t xml:space="preserve">Pompe disease </w:t>
      </w:r>
      <w:r w:rsidR="00410614">
        <w:rPr>
          <w:sz w:val="24"/>
          <w:szCs w:val="24"/>
          <w:lang w:val="en-US"/>
        </w:rPr>
        <w:t xml:space="preserve">of </w:t>
      </w:r>
      <w:r w:rsidR="00DA4ED4" w:rsidRPr="00DA4ED4">
        <w:rPr>
          <w:sz w:val="24"/>
          <w:szCs w:val="24"/>
          <w:lang w:val="en-US"/>
        </w:rPr>
        <w:t>2.</w:t>
      </w:r>
      <w:r w:rsidR="003C0A02">
        <w:rPr>
          <w:sz w:val="24"/>
          <w:szCs w:val="24"/>
          <w:lang w:val="en-US"/>
        </w:rPr>
        <w:t>4</w:t>
      </w:r>
      <w:r w:rsidR="00DA4ED4" w:rsidRPr="00DA4ED4">
        <w:rPr>
          <w:sz w:val="24"/>
          <w:szCs w:val="24"/>
          <w:lang w:val="en-US"/>
        </w:rPr>
        <w:t>%</w:t>
      </w:r>
      <w:r w:rsidR="00DA4ED4">
        <w:rPr>
          <w:sz w:val="24"/>
          <w:szCs w:val="24"/>
          <w:lang w:val="en-US"/>
        </w:rPr>
        <w:t>.</w:t>
      </w:r>
      <w:r w:rsidR="00790FFE">
        <w:rPr>
          <w:sz w:val="24"/>
          <w:szCs w:val="24"/>
          <w:lang w:val="en-US"/>
        </w:rPr>
        <w:t xml:space="preserve"> Therefore, targeted-screening of such a population should be encouraged in clinical practice.</w:t>
      </w:r>
      <w:r w:rsidR="00DA4ED4">
        <w:rPr>
          <w:b/>
          <w:sz w:val="24"/>
          <w:szCs w:val="24"/>
          <w:lang w:val="en-US"/>
        </w:rPr>
        <w:t xml:space="preserve">  </w:t>
      </w:r>
    </w:p>
    <w:p w:rsidR="005C41E1" w:rsidRDefault="005C41E1">
      <w:pPr>
        <w:rPr>
          <w:sz w:val="24"/>
          <w:szCs w:val="24"/>
          <w:lang w:val="en-US"/>
        </w:rPr>
      </w:pPr>
      <w:r>
        <w:rPr>
          <w:sz w:val="24"/>
          <w:szCs w:val="24"/>
          <w:lang w:val="en-US"/>
        </w:rPr>
        <w:br w:type="page"/>
      </w:r>
    </w:p>
    <w:p w:rsidR="005C41E1" w:rsidRPr="005C41E1" w:rsidRDefault="005C41E1" w:rsidP="005C41E1">
      <w:pPr>
        <w:spacing w:line="480" w:lineRule="auto"/>
        <w:rPr>
          <w:sz w:val="24"/>
          <w:szCs w:val="24"/>
          <w:lang w:val="en-US"/>
        </w:rPr>
      </w:pPr>
      <w:r w:rsidRPr="00D9334A">
        <w:rPr>
          <w:sz w:val="24"/>
          <w:szCs w:val="24"/>
          <w:lang w:val="en-US"/>
        </w:rPr>
        <w:lastRenderedPageBreak/>
        <w:t>Pompe disease</w:t>
      </w:r>
      <w:r w:rsidR="00D9334A">
        <w:rPr>
          <w:sz w:val="24"/>
          <w:szCs w:val="24"/>
          <w:lang w:val="en-US"/>
        </w:rPr>
        <w:t>,</w:t>
      </w:r>
      <w:r w:rsidRPr="00D9334A">
        <w:rPr>
          <w:sz w:val="24"/>
          <w:szCs w:val="24"/>
          <w:lang w:val="en-US"/>
        </w:rPr>
        <w:t xml:space="preserve"> </w:t>
      </w:r>
      <w:r w:rsidR="00A61D75" w:rsidRPr="00D9334A">
        <w:rPr>
          <w:sz w:val="24"/>
          <w:szCs w:val="24"/>
          <w:lang w:val="en-US"/>
        </w:rPr>
        <w:t xml:space="preserve">also termed </w:t>
      </w:r>
      <w:r w:rsidRPr="00D9334A">
        <w:rPr>
          <w:sz w:val="24"/>
          <w:szCs w:val="24"/>
          <w:lang w:val="en-US"/>
        </w:rPr>
        <w:t xml:space="preserve">glycogen storage disease type II </w:t>
      </w:r>
      <w:r w:rsidR="00D9334A">
        <w:rPr>
          <w:sz w:val="24"/>
          <w:szCs w:val="24"/>
          <w:lang w:val="en-US"/>
        </w:rPr>
        <w:t>or acid malt</w:t>
      </w:r>
      <w:r w:rsidR="00DB2B6C">
        <w:rPr>
          <w:sz w:val="24"/>
          <w:szCs w:val="24"/>
          <w:lang w:val="en-US"/>
        </w:rPr>
        <w:t>a</w:t>
      </w:r>
      <w:r w:rsidR="00D9334A">
        <w:rPr>
          <w:sz w:val="24"/>
          <w:szCs w:val="24"/>
          <w:lang w:val="en-US"/>
        </w:rPr>
        <w:t xml:space="preserve">se deficiency, </w:t>
      </w:r>
      <w:r w:rsidRPr="00D9334A">
        <w:rPr>
          <w:sz w:val="24"/>
          <w:szCs w:val="24"/>
          <w:lang w:val="en-US"/>
        </w:rPr>
        <w:t xml:space="preserve">is a </w:t>
      </w:r>
      <w:r w:rsidR="00F80D33">
        <w:rPr>
          <w:sz w:val="24"/>
          <w:szCs w:val="24"/>
          <w:lang w:val="en-US"/>
        </w:rPr>
        <w:t>multisystem</w:t>
      </w:r>
      <w:r w:rsidR="005507CE">
        <w:rPr>
          <w:sz w:val="24"/>
          <w:szCs w:val="24"/>
          <w:lang w:val="en-US"/>
        </w:rPr>
        <w:t>ic</w:t>
      </w:r>
      <w:r w:rsidR="00D9334A">
        <w:rPr>
          <w:sz w:val="24"/>
          <w:szCs w:val="24"/>
          <w:lang w:val="en-US"/>
        </w:rPr>
        <w:t xml:space="preserve"> </w:t>
      </w:r>
      <w:r w:rsidRPr="00D9334A">
        <w:rPr>
          <w:sz w:val="24"/>
          <w:szCs w:val="24"/>
          <w:lang w:val="en-US"/>
        </w:rPr>
        <w:t>metabolic disease caused by deficiency of the lysosomal enzyme acid-alpha-1,4-glucosi</w:t>
      </w:r>
      <w:r w:rsidR="00686CAA">
        <w:rPr>
          <w:sz w:val="24"/>
          <w:szCs w:val="24"/>
          <w:lang w:val="en-US"/>
        </w:rPr>
        <w:t>dase.</w:t>
      </w:r>
      <w:r w:rsidRPr="00686CAA">
        <w:rPr>
          <w:sz w:val="24"/>
          <w:szCs w:val="24"/>
          <w:vertAlign w:val="superscript"/>
          <w:lang w:val="en-US"/>
        </w:rPr>
        <w:t>1</w:t>
      </w:r>
      <w:r w:rsidRPr="00D9334A">
        <w:rPr>
          <w:sz w:val="24"/>
          <w:szCs w:val="24"/>
          <w:lang w:val="en-US"/>
        </w:rPr>
        <w:t xml:space="preserve"> </w:t>
      </w:r>
      <w:r w:rsidR="005507CE">
        <w:rPr>
          <w:sz w:val="24"/>
          <w:szCs w:val="24"/>
          <w:lang w:val="en-US"/>
        </w:rPr>
        <w:t>Late-onset</w:t>
      </w:r>
      <w:r w:rsidRPr="00D9334A">
        <w:rPr>
          <w:sz w:val="24"/>
          <w:szCs w:val="24"/>
          <w:lang w:val="en-US"/>
        </w:rPr>
        <w:t xml:space="preserve"> Pompe disease has </w:t>
      </w:r>
      <w:r w:rsidR="00F65A9E" w:rsidRPr="00D9334A">
        <w:rPr>
          <w:sz w:val="24"/>
          <w:szCs w:val="24"/>
          <w:lang w:val="en-US"/>
        </w:rPr>
        <w:t>a</w:t>
      </w:r>
      <w:r w:rsidRPr="00D9334A">
        <w:rPr>
          <w:sz w:val="24"/>
          <w:szCs w:val="24"/>
          <w:lang w:val="en-US"/>
        </w:rPr>
        <w:t xml:space="preserve"> </w:t>
      </w:r>
      <w:r w:rsidR="00DB2B6C">
        <w:rPr>
          <w:sz w:val="24"/>
          <w:szCs w:val="24"/>
          <w:lang w:val="en-US"/>
        </w:rPr>
        <w:t>variable</w:t>
      </w:r>
      <w:r w:rsidR="00DB2B6C" w:rsidRPr="00D9334A">
        <w:rPr>
          <w:sz w:val="24"/>
          <w:szCs w:val="24"/>
          <w:lang w:val="en-US"/>
        </w:rPr>
        <w:t xml:space="preserve"> </w:t>
      </w:r>
      <w:r w:rsidRPr="00D9334A">
        <w:rPr>
          <w:sz w:val="24"/>
          <w:szCs w:val="24"/>
          <w:lang w:val="en-US"/>
        </w:rPr>
        <w:t xml:space="preserve">age of onset and phenotype. In </w:t>
      </w:r>
      <w:r w:rsidR="00A61D75" w:rsidRPr="00D9334A">
        <w:rPr>
          <w:sz w:val="24"/>
          <w:szCs w:val="24"/>
          <w:lang w:val="en-US"/>
        </w:rPr>
        <w:t>most patients</w:t>
      </w:r>
      <w:r w:rsidRPr="00D9334A">
        <w:rPr>
          <w:sz w:val="24"/>
          <w:szCs w:val="24"/>
          <w:lang w:val="en-US"/>
        </w:rPr>
        <w:t xml:space="preserve">, the presenting symptom </w:t>
      </w:r>
      <w:r w:rsidR="005507CE">
        <w:rPr>
          <w:sz w:val="24"/>
          <w:szCs w:val="24"/>
          <w:lang w:val="en-US"/>
        </w:rPr>
        <w:t>is</w:t>
      </w:r>
      <w:r w:rsidRPr="00D9334A">
        <w:rPr>
          <w:sz w:val="24"/>
          <w:szCs w:val="24"/>
          <w:lang w:val="en-US"/>
        </w:rPr>
        <w:t xml:space="preserve"> </w:t>
      </w:r>
      <w:r w:rsidR="005507CE">
        <w:rPr>
          <w:sz w:val="24"/>
          <w:szCs w:val="24"/>
          <w:lang w:val="en-US"/>
        </w:rPr>
        <w:t xml:space="preserve">axial and proximal </w:t>
      </w:r>
      <w:r w:rsidRPr="00D9334A">
        <w:rPr>
          <w:sz w:val="24"/>
          <w:szCs w:val="24"/>
          <w:lang w:val="en-US"/>
        </w:rPr>
        <w:t xml:space="preserve">skeletal muscle weakness, </w:t>
      </w:r>
      <w:r w:rsidR="00A61D75" w:rsidRPr="00D9334A">
        <w:rPr>
          <w:sz w:val="24"/>
          <w:szCs w:val="24"/>
          <w:lang w:val="en-US"/>
        </w:rPr>
        <w:t>however</w:t>
      </w:r>
      <w:r w:rsidRPr="00D9334A">
        <w:rPr>
          <w:sz w:val="24"/>
          <w:szCs w:val="24"/>
          <w:lang w:val="en-US"/>
        </w:rPr>
        <w:t xml:space="preserve"> morbidity and mortality is</w:t>
      </w:r>
      <w:r w:rsidR="00A61D75" w:rsidRPr="00D9334A">
        <w:rPr>
          <w:sz w:val="24"/>
          <w:szCs w:val="24"/>
          <w:lang w:val="en-US"/>
        </w:rPr>
        <w:t xml:space="preserve"> </w:t>
      </w:r>
      <w:r w:rsidR="00692C3C">
        <w:rPr>
          <w:sz w:val="24"/>
          <w:szCs w:val="24"/>
          <w:lang w:val="en-US"/>
        </w:rPr>
        <w:t>are also affected by</w:t>
      </w:r>
      <w:r w:rsidR="00A61D75" w:rsidRPr="00D9334A">
        <w:rPr>
          <w:sz w:val="24"/>
          <w:szCs w:val="24"/>
          <w:lang w:val="en-US"/>
        </w:rPr>
        <w:t>ventilatory insuffiency</w:t>
      </w:r>
      <w:r w:rsidR="00686CAA">
        <w:rPr>
          <w:sz w:val="24"/>
          <w:szCs w:val="24"/>
          <w:lang w:val="en-US"/>
        </w:rPr>
        <w:t>.</w:t>
      </w:r>
      <w:r w:rsidRPr="00686CAA">
        <w:rPr>
          <w:sz w:val="24"/>
          <w:szCs w:val="24"/>
          <w:vertAlign w:val="superscript"/>
          <w:lang w:val="en-US"/>
        </w:rPr>
        <w:t>2</w:t>
      </w:r>
      <w:r w:rsidRPr="00D9334A">
        <w:rPr>
          <w:sz w:val="24"/>
          <w:szCs w:val="24"/>
          <w:lang w:val="en-US"/>
        </w:rPr>
        <w:t xml:space="preserve"> </w:t>
      </w:r>
      <w:r w:rsidR="00A61D75" w:rsidRPr="00D9334A">
        <w:rPr>
          <w:sz w:val="24"/>
          <w:szCs w:val="24"/>
          <w:lang w:val="en-US"/>
        </w:rPr>
        <w:t>T</w:t>
      </w:r>
      <w:r w:rsidRPr="00D9334A">
        <w:rPr>
          <w:sz w:val="24"/>
          <w:szCs w:val="24"/>
          <w:lang w:val="en-US"/>
        </w:rPr>
        <w:t xml:space="preserve">he </w:t>
      </w:r>
      <w:r w:rsidR="00DB2B6C">
        <w:rPr>
          <w:sz w:val="24"/>
          <w:szCs w:val="24"/>
          <w:lang w:val="en-US"/>
        </w:rPr>
        <w:t>advent of enzyme replacement therapy has arguably increased the need for awareness of the condition</w:t>
      </w:r>
      <w:r w:rsidR="00A61D75" w:rsidRPr="00D9334A">
        <w:rPr>
          <w:sz w:val="24"/>
          <w:szCs w:val="24"/>
          <w:lang w:val="en-US"/>
        </w:rPr>
        <w:t>.</w:t>
      </w:r>
      <w:r w:rsidRPr="00D9334A">
        <w:rPr>
          <w:sz w:val="24"/>
          <w:szCs w:val="24"/>
          <w:lang w:val="en-US"/>
        </w:rPr>
        <w:t xml:space="preserve"> </w:t>
      </w:r>
      <w:r w:rsidR="00A61D75" w:rsidRPr="00D9334A">
        <w:rPr>
          <w:sz w:val="24"/>
          <w:szCs w:val="24"/>
          <w:lang w:val="en-US"/>
        </w:rPr>
        <w:t xml:space="preserve">However, </w:t>
      </w:r>
      <w:r w:rsidR="005507CE">
        <w:rPr>
          <w:sz w:val="24"/>
          <w:szCs w:val="24"/>
          <w:lang w:val="en-US"/>
        </w:rPr>
        <w:t>late-onset</w:t>
      </w:r>
      <w:r w:rsidR="00A61D75" w:rsidRPr="00D9334A">
        <w:rPr>
          <w:sz w:val="24"/>
          <w:szCs w:val="24"/>
          <w:lang w:val="en-US"/>
        </w:rPr>
        <w:t xml:space="preserve"> </w:t>
      </w:r>
      <w:r w:rsidRPr="00D9334A">
        <w:rPr>
          <w:sz w:val="24"/>
          <w:szCs w:val="24"/>
          <w:lang w:val="en-US"/>
        </w:rPr>
        <w:t xml:space="preserve">Pompe disease </w:t>
      </w:r>
      <w:r w:rsidR="005507CE">
        <w:rPr>
          <w:sz w:val="24"/>
          <w:szCs w:val="24"/>
          <w:lang w:val="en-US"/>
        </w:rPr>
        <w:t>presents w</w:t>
      </w:r>
      <w:r w:rsidR="00F80D33">
        <w:rPr>
          <w:sz w:val="24"/>
          <w:szCs w:val="24"/>
          <w:lang w:val="en-US"/>
        </w:rPr>
        <w:t xml:space="preserve">ith a wide spectrum </w:t>
      </w:r>
      <w:r w:rsidR="003C0A02">
        <w:rPr>
          <w:sz w:val="24"/>
          <w:szCs w:val="24"/>
          <w:lang w:val="en-US"/>
        </w:rPr>
        <w:t xml:space="preserve">of </w:t>
      </w:r>
      <w:r w:rsidR="00CE234E">
        <w:rPr>
          <w:sz w:val="24"/>
          <w:szCs w:val="24"/>
          <w:lang w:val="en-US"/>
        </w:rPr>
        <w:t>symptoms</w:t>
      </w:r>
      <w:r w:rsidR="003C0A02">
        <w:rPr>
          <w:sz w:val="24"/>
          <w:szCs w:val="24"/>
          <w:lang w:val="en-US"/>
        </w:rPr>
        <w:t xml:space="preserve"> including </w:t>
      </w:r>
      <w:r w:rsidR="00F80D33" w:rsidRPr="00F80D33">
        <w:rPr>
          <w:sz w:val="24"/>
          <w:szCs w:val="24"/>
          <w:lang w:val="en-US"/>
        </w:rPr>
        <w:t xml:space="preserve">pauci-neuromuscular </w:t>
      </w:r>
      <w:r w:rsidR="00F80D33">
        <w:rPr>
          <w:sz w:val="24"/>
          <w:szCs w:val="24"/>
          <w:lang w:val="en-US"/>
        </w:rPr>
        <w:t>symptoms at onset</w:t>
      </w:r>
      <w:r w:rsidR="005507CE">
        <w:rPr>
          <w:sz w:val="24"/>
          <w:szCs w:val="24"/>
          <w:lang w:val="en-US"/>
        </w:rPr>
        <w:t xml:space="preserve">, </w:t>
      </w:r>
      <w:r w:rsidR="007A0CB8">
        <w:rPr>
          <w:sz w:val="24"/>
          <w:szCs w:val="24"/>
          <w:lang w:val="en-US"/>
        </w:rPr>
        <w:t xml:space="preserve">and the diagnosis </w:t>
      </w:r>
      <w:r w:rsidR="00F80D33">
        <w:rPr>
          <w:sz w:val="24"/>
          <w:szCs w:val="24"/>
          <w:lang w:val="en-US"/>
        </w:rPr>
        <w:t xml:space="preserve">can be </w:t>
      </w:r>
      <w:r w:rsidR="007A0CB8">
        <w:rPr>
          <w:sz w:val="24"/>
          <w:szCs w:val="24"/>
          <w:lang w:val="en-US"/>
        </w:rPr>
        <w:t xml:space="preserve">easily </w:t>
      </w:r>
      <w:r w:rsidR="005507CE">
        <w:rPr>
          <w:sz w:val="24"/>
          <w:szCs w:val="24"/>
          <w:lang w:val="en-US"/>
        </w:rPr>
        <w:t>overlooked</w:t>
      </w:r>
      <w:r w:rsidR="00F80D33">
        <w:rPr>
          <w:sz w:val="24"/>
          <w:szCs w:val="24"/>
          <w:lang w:val="en-US"/>
        </w:rPr>
        <w:t>.</w:t>
      </w:r>
      <w:r w:rsidR="00686CAA" w:rsidRPr="00686CAA">
        <w:rPr>
          <w:sz w:val="24"/>
          <w:szCs w:val="24"/>
          <w:vertAlign w:val="superscript"/>
          <w:lang w:val="en-US"/>
        </w:rPr>
        <w:t>3</w:t>
      </w:r>
      <w:r w:rsidR="00F80D33">
        <w:rPr>
          <w:sz w:val="24"/>
          <w:szCs w:val="24"/>
          <w:lang w:val="en-US"/>
        </w:rPr>
        <w:t xml:space="preserve"> </w:t>
      </w:r>
      <w:r w:rsidR="00A61D75" w:rsidRPr="00D9334A">
        <w:rPr>
          <w:sz w:val="24"/>
          <w:szCs w:val="24"/>
          <w:lang w:val="en-US"/>
        </w:rPr>
        <w:t>Delay</w:t>
      </w:r>
      <w:r w:rsidRPr="00D9334A">
        <w:rPr>
          <w:sz w:val="24"/>
          <w:szCs w:val="24"/>
          <w:lang w:val="en-US"/>
        </w:rPr>
        <w:t xml:space="preserve"> </w:t>
      </w:r>
      <w:r w:rsidR="00A61D75" w:rsidRPr="00D9334A">
        <w:rPr>
          <w:sz w:val="24"/>
          <w:szCs w:val="24"/>
          <w:lang w:val="en-US"/>
        </w:rPr>
        <w:t xml:space="preserve">in </w:t>
      </w:r>
      <w:r w:rsidRPr="00D9334A">
        <w:rPr>
          <w:sz w:val="24"/>
          <w:szCs w:val="24"/>
          <w:lang w:val="en-US"/>
        </w:rPr>
        <w:t>diagnosis has</w:t>
      </w:r>
      <w:r w:rsidR="00A61D75" w:rsidRPr="00D9334A">
        <w:rPr>
          <w:sz w:val="24"/>
          <w:szCs w:val="24"/>
          <w:lang w:val="en-US"/>
        </w:rPr>
        <w:t xml:space="preserve"> </w:t>
      </w:r>
      <w:r w:rsidRPr="00D9334A">
        <w:rPr>
          <w:sz w:val="24"/>
          <w:szCs w:val="24"/>
          <w:lang w:val="en-US"/>
        </w:rPr>
        <w:t xml:space="preserve">been reported to be </w:t>
      </w:r>
      <w:r w:rsidR="00E85BF2" w:rsidRPr="00E85BF2">
        <w:rPr>
          <w:sz w:val="24"/>
          <w:szCs w:val="24"/>
          <w:lang w:val="en-US"/>
        </w:rPr>
        <w:t xml:space="preserve">on average </w:t>
      </w:r>
      <w:r w:rsidRPr="00D9334A">
        <w:rPr>
          <w:sz w:val="24"/>
          <w:szCs w:val="24"/>
          <w:lang w:val="en-US"/>
        </w:rPr>
        <w:t>7</w:t>
      </w:r>
      <w:r w:rsidR="00A61D75" w:rsidRPr="00D9334A">
        <w:rPr>
          <w:sz w:val="24"/>
          <w:szCs w:val="24"/>
          <w:lang w:val="en-US"/>
        </w:rPr>
        <w:t xml:space="preserve"> to 10</w:t>
      </w:r>
      <w:r w:rsidRPr="00D9334A">
        <w:rPr>
          <w:sz w:val="24"/>
          <w:szCs w:val="24"/>
          <w:lang w:val="en-US"/>
        </w:rPr>
        <w:t xml:space="preserve"> years</w:t>
      </w:r>
      <w:r w:rsidR="00DF6D81">
        <w:rPr>
          <w:sz w:val="24"/>
          <w:szCs w:val="24"/>
          <w:lang w:val="en-US"/>
        </w:rPr>
        <w:t>.</w:t>
      </w:r>
      <w:r w:rsidR="00DF6D81" w:rsidRPr="00DF6D81">
        <w:rPr>
          <w:sz w:val="24"/>
          <w:szCs w:val="24"/>
          <w:vertAlign w:val="superscript"/>
          <w:lang w:val="en-US"/>
        </w:rPr>
        <w:t>4</w:t>
      </w:r>
      <w:r w:rsidRPr="00D9334A">
        <w:rPr>
          <w:sz w:val="24"/>
          <w:szCs w:val="24"/>
          <w:lang w:val="en-US"/>
        </w:rPr>
        <w:t xml:space="preserve"> </w:t>
      </w:r>
    </w:p>
    <w:p w:rsidR="005C41E1" w:rsidRPr="00585557" w:rsidRDefault="00585557" w:rsidP="00BD2738">
      <w:pPr>
        <w:spacing w:line="480" w:lineRule="auto"/>
        <w:outlineLvl w:val="0"/>
        <w:rPr>
          <w:b/>
          <w:sz w:val="24"/>
          <w:szCs w:val="24"/>
          <w:lang w:val="en-US"/>
        </w:rPr>
      </w:pPr>
      <w:r w:rsidRPr="00585557">
        <w:rPr>
          <w:b/>
          <w:sz w:val="24"/>
          <w:szCs w:val="24"/>
          <w:lang w:val="en-US"/>
        </w:rPr>
        <w:t>S</w:t>
      </w:r>
      <w:r w:rsidR="00E0686C">
        <w:rPr>
          <w:b/>
          <w:sz w:val="24"/>
          <w:szCs w:val="24"/>
          <w:lang w:val="en-US"/>
        </w:rPr>
        <w:t>UBJECTS and METHODS</w:t>
      </w:r>
    </w:p>
    <w:p w:rsidR="005C41E1" w:rsidRPr="005C41E1" w:rsidRDefault="005C41E1" w:rsidP="005C41E1">
      <w:pPr>
        <w:spacing w:line="480" w:lineRule="auto"/>
        <w:rPr>
          <w:sz w:val="24"/>
          <w:szCs w:val="24"/>
          <w:lang w:val="en-US"/>
        </w:rPr>
      </w:pPr>
      <w:r w:rsidRPr="005C41E1">
        <w:rPr>
          <w:sz w:val="24"/>
          <w:szCs w:val="24"/>
          <w:lang w:val="en-US"/>
        </w:rPr>
        <w:t>The patients</w:t>
      </w:r>
      <w:r>
        <w:rPr>
          <w:sz w:val="24"/>
          <w:szCs w:val="24"/>
          <w:lang w:val="en-US"/>
        </w:rPr>
        <w:t xml:space="preserve"> </w:t>
      </w:r>
      <w:r w:rsidRPr="005C41E1">
        <w:rPr>
          <w:sz w:val="24"/>
          <w:szCs w:val="24"/>
          <w:lang w:val="en-US"/>
        </w:rPr>
        <w:t xml:space="preserve">were </w:t>
      </w:r>
      <w:r w:rsidR="000F1826">
        <w:rPr>
          <w:sz w:val="24"/>
          <w:szCs w:val="24"/>
          <w:lang w:val="en-US"/>
        </w:rPr>
        <w:t xml:space="preserve">prospectively </w:t>
      </w:r>
      <w:r w:rsidR="00DF6D81" w:rsidRPr="00DF6D81">
        <w:rPr>
          <w:sz w:val="24"/>
          <w:szCs w:val="24"/>
          <w:lang w:val="en-US"/>
        </w:rPr>
        <w:t xml:space="preserve">identified through medical examination at </w:t>
      </w:r>
      <w:r w:rsidR="009D19B9">
        <w:rPr>
          <w:sz w:val="24"/>
          <w:szCs w:val="24"/>
          <w:lang w:val="en-US"/>
        </w:rPr>
        <w:t>s</w:t>
      </w:r>
      <w:r w:rsidR="00B97A50">
        <w:rPr>
          <w:sz w:val="24"/>
          <w:szCs w:val="24"/>
          <w:lang w:val="en-US"/>
        </w:rPr>
        <w:t>ix</w:t>
      </w:r>
      <w:r w:rsidR="009D19B9">
        <w:rPr>
          <w:sz w:val="24"/>
          <w:szCs w:val="24"/>
          <w:lang w:val="en-US"/>
        </w:rPr>
        <w:t xml:space="preserve"> </w:t>
      </w:r>
      <w:r w:rsidR="00DF6D81" w:rsidRPr="00DF6D81">
        <w:rPr>
          <w:sz w:val="24"/>
          <w:szCs w:val="24"/>
          <w:lang w:val="en-US"/>
        </w:rPr>
        <w:t xml:space="preserve">in- and outpatient neuromuscular clinics </w:t>
      </w:r>
      <w:r w:rsidR="00D9334A">
        <w:rPr>
          <w:sz w:val="24"/>
          <w:szCs w:val="24"/>
          <w:lang w:val="en-US"/>
        </w:rPr>
        <w:t xml:space="preserve">in </w:t>
      </w:r>
      <w:r w:rsidR="00DF6D81">
        <w:rPr>
          <w:sz w:val="24"/>
          <w:szCs w:val="24"/>
          <w:lang w:val="en-US"/>
        </w:rPr>
        <w:t xml:space="preserve">Germany </w:t>
      </w:r>
      <w:r w:rsidR="009D19B9">
        <w:rPr>
          <w:sz w:val="24"/>
          <w:szCs w:val="24"/>
          <w:lang w:val="en-US"/>
        </w:rPr>
        <w:t xml:space="preserve">(Munich, Halle) </w:t>
      </w:r>
      <w:r w:rsidR="00DF6D81">
        <w:rPr>
          <w:sz w:val="24"/>
          <w:szCs w:val="24"/>
          <w:lang w:val="en-US"/>
        </w:rPr>
        <w:t>and the</w:t>
      </w:r>
      <w:r w:rsidR="00D9334A">
        <w:rPr>
          <w:sz w:val="24"/>
          <w:szCs w:val="24"/>
          <w:lang w:val="en-US"/>
        </w:rPr>
        <w:t xml:space="preserve"> </w:t>
      </w:r>
      <w:r w:rsidR="000F1826">
        <w:rPr>
          <w:sz w:val="24"/>
          <w:szCs w:val="24"/>
          <w:lang w:val="en-US"/>
        </w:rPr>
        <w:t>United Kingdom</w:t>
      </w:r>
      <w:r w:rsidRPr="005C41E1">
        <w:rPr>
          <w:sz w:val="24"/>
          <w:szCs w:val="24"/>
          <w:lang w:val="en-US"/>
        </w:rPr>
        <w:t xml:space="preserve"> </w:t>
      </w:r>
      <w:r w:rsidR="009D19B9">
        <w:rPr>
          <w:sz w:val="24"/>
          <w:szCs w:val="24"/>
          <w:lang w:val="en-US"/>
        </w:rPr>
        <w:t xml:space="preserve">(Newcastle, </w:t>
      </w:r>
      <w:r w:rsidR="00B97A50">
        <w:rPr>
          <w:sz w:val="24"/>
          <w:szCs w:val="24"/>
          <w:lang w:val="en-US"/>
        </w:rPr>
        <w:t xml:space="preserve">Salford, </w:t>
      </w:r>
      <w:r w:rsidR="009D19B9">
        <w:rPr>
          <w:sz w:val="24"/>
          <w:szCs w:val="24"/>
          <w:lang w:val="en-US"/>
        </w:rPr>
        <w:t xml:space="preserve">Oxford, London) </w:t>
      </w:r>
      <w:r w:rsidR="000F1826" w:rsidRPr="000F1826">
        <w:rPr>
          <w:sz w:val="24"/>
          <w:szCs w:val="24"/>
          <w:lang w:val="en-US"/>
        </w:rPr>
        <w:t>between the years 2009 and 2014</w:t>
      </w:r>
      <w:r w:rsidRPr="005C41E1">
        <w:rPr>
          <w:sz w:val="24"/>
          <w:szCs w:val="24"/>
          <w:lang w:val="en-US"/>
        </w:rPr>
        <w:t>.</w:t>
      </w:r>
    </w:p>
    <w:p w:rsidR="005C41E1" w:rsidRPr="005C41E1" w:rsidRDefault="005C41E1" w:rsidP="005C41E1">
      <w:pPr>
        <w:spacing w:line="480" w:lineRule="auto"/>
        <w:rPr>
          <w:sz w:val="24"/>
          <w:szCs w:val="24"/>
          <w:lang w:val="en-US"/>
        </w:rPr>
      </w:pPr>
      <w:r w:rsidRPr="000F1826">
        <w:rPr>
          <w:b/>
          <w:sz w:val="24"/>
          <w:szCs w:val="24"/>
          <w:lang w:val="en-US"/>
        </w:rPr>
        <w:t>Inclusion criteria</w:t>
      </w:r>
      <w:r w:rsidR="00DF6D81">
        <w:rPr>
          <w:b/>
          <w:sz w:val="24"/>
          <w:szCs w:val="24"/>
          <w:lang w:val="en-US"/>
        </w:rPr>
        <w:t xml:space="preserve">: </w:t>
      </w:r>
      <w:r w:rsidRPr="005C41E1">
        <w:rPr>
          <w:sz w:val="24"/>
          <w:szCs w:val="24"/>
          <w:lang w:val="en-US"/>
        </w:rPr>
        <w:t xml:space="preserve">Patients with unclassified </w:t>
      </w:r>
      <w:r w:rsidR="00B4064F">
        <w:rPr>
          <w:sz w:val="24"/>
          <w:szCs w:val="24"/>
          <w:lang w:val="en-US"/>
        </w:rPr>
        <w:t xml:space="preserve">proximal </w:t>
      </w:r>
      <w:r w:rsidRPr="005C41E1">
        <w:rPr>
          <w:sz w:val="24"/>
          <w:szCs w:val="24"/>
          <w:lang w:val="en-US"/>
        </w:rPr>
        <w:t xml:space="preserve">limb-girdle muscular </w:t>
      </w:r>
      <w:r w:rsidR="000F1826">
        <w:rPr>
          <w:sz w:val="24"/>
          <w:szCs w:val="24"/>
          <w:lang w:val="en-US"/>
        </w:rPr>
        <w:t>weakness</w:t>
      </w:r>
      <w:r w:rsidR="00DA4ED4">
        <w:rPr>
          <w:sz w:val="24"/>
          <w:szCs w:val="24"/>
          <w:lang w:val="en-US"/>
        </w:rPr>
        <w:t xml:space="preserve"> (LGMW) and / or</w:t>
      </w:r>
      <w:r w:rsidR="000F1826">
        <w:rPr>
          <w:sz w:val="24"/>
          <w:szCs w:val="24"/>
          <w:lang w:val="en-US"/>
        </w:rPr>
        <w:t xml:space="preserve"> </w:t>
      </w:r>
      <w:r w:rsidR="007A0CB8">
        <w:rPr>
          <w:sz w:val="24"/>
          <w:szCs w:val="24"/>
          <w:lang w:val="en-US"/>
        </w:rPr>
        <w:t xml:space="preserve">unexplained </w:t>
      </w:r>
      <w:r w:rsidR="00DA4ED4">
        <w:rPr>
          <w:sz w:val="24"/>
          <w:szCs w:val="24"/>
          <w:lang w:val="en-US"/>
        </w:rPr>
        <w:t>sustained</w:t>
      </w:r>
      <w:r w:rsidR="000F1826">
        <w:rPr>
          <w:sz w:val="24"/>
          <w:szCs w:val="24"/>
          <w:lang w:val="en-US"/>
        </w:rPr>
        <w:t xml:space="preserve"> </w:t>
      </w:r>
      <w:r w:rsidRPr="005C41E1">
        <w:rPr>
          <w:sz w:val="24"/>
          <w:szCs w:val="24"/>
          <w:lang w:val="en-US"/>
        </w:rPr>
        <w:t>ele</w:t>
      </w:r>
      <w:r w:rsidR="000F1826">
        <w:rPr>
          <w:sz w:val="24"/>
          <w:szCs w:val="24"/>
          <w:lang w:val="en-US"/>
        </w:rPr>
        <w:t xml:space="preserve">vation of </w:t>
      </w:r>
      <w:r w:rsidR="00692C3C">
        <w:rPr>
          <w:sz w:val="24"/>
          <w:szCs w:val="24"/>
          <w:lang w:val="en-US"/>
        </w:rPr>
        <w:t xml:space="preserve">serum </w:t>
      </w:r>
      <w:r w:rsidR="000F1826">
        <w:rPr>
          <w:sz w:val="24"/>
          <w:szCs w:val="24"/>
          <w:lang w:val="en-US"/>
        </w:rPr>
        <w:t>creatine kinase (CK)</w:t>
      </w:r>
      <w:r w:rsidR="00D9334A">
        <w:rPr>
          <w:sz w:val="24"/>
          <w:szCs w:val="24"/>
          <w:lang w:val="en-US"/>
        </w:rPr>
        <w:t xml:space="preserve"> </w:t>
      </w:r>
      <w:r w:rsidR="00692C3C">
        <w:rPr>
          <w:sz w:val="24"/>
          <w:szCs w:val="24"/>
          <w:lang w:val="en-US"/>
        </w:rPr>
        <w:t xml:space="preserve">levels </w:t>
      </w:r>
      <w:r w:rsidRPr="005C41E1">
        <w:rPr>
          <w:sz w:val="24"/>
          <w:szCs w:val="24"/>
          <w:lang w:val="en-US"/>
        </w:rPr>
        <w:t>were included</w:t>
      </w:r>
      <w:r w:rsidR="000F1826">
        <w:rPr>
          <w:sz w:val="24"/>
          <w:szCs w:val="24"/>
          <w:lang w:val="en-US"/>
        </w:rPr>
        <w:t xml:space="preserve">. </w:t>
      </w:r>
      <w:r w:rsidR="009A5A3D" w:rsidRPr="00F65A9E">
        <w:rPr>
          <w:sz w:val="24"/>
          <w:szCs w:val="24"/>
          <w:lang w:val="en-GB"/>
        </w:rPr>
        <w:t xml:space="preserve">We defined </w:t>
      </w:r>
      <w:r w:rsidR="00C93189" w:rsidRPr="00F65A9E">
        <w:rPr>
          <w:sz w:val="24"/>
          <w:szCs w:val="24"/>
          <w:lang w:val="en-GB"/>
        </w:rPr>
        <w:t xml:space="preserve"> </w:t>
      </w:r>
      <w:r w:rsidR="009A5A3D" w:rsidRPr="00F65A9E">
        <w:rPr>
          <w:sz w:val="24"/>
          <w:szCs w:val="24"/>
          <w:lang w:val="en-GB"/>
        </w:rPr>
        <w:t xml:space="preserve">LGMW </w:t>
      </w:r>
      <w:r w:rsidR="00CF5400">
        <w:rPr>
          <w:sz w:val="24"/>
          <w:szCs w:val="24"/>
          <w:lang w:val="en-GB"/>
        </w:rPr>
        <w:t xml:space="preserve">as </w:t>
      </w:r>
      <w:r w:rsidR="009A5A3D" w:rsidRPr="00F65A9E">
        <w:rPr>
          <w:sz w:val="24"/>
          <w:szCs w:val="24"/>
          <w:lang w:val="en-GB"/>
        </w:rPr>
        <w:t xml:space="preserve">weakness of the proximal muscles in the arms and legs, </w:t>
      </w:r>
      <w:r w:rsidR="00B4064F" w:rsidRPr="00F65A9E">
        <w:rPr>
          <w:sz w:val="24"/>
          <w:szCs w:val="24"/>
          <w:lang w:val="en-GB"/>
        </w:rPr>
        <w:t>including the</w:t>
      </w:r>
      <w:r w:rsidR="009A5A3D" w:rsidRPr="00F65A9E">
        <w:rPr>
          <w:sz w:val="24"/>
          <w:szCs w:val="24"/>
          <w:lang w:val="en-GB"/>
        </w:rPr>
        <w:t xml:space="preserve"> muscles of the shoulders, upper arms, axial paravertebral</w:t>
      </w:r>
      <w:r w:rsidR="00C93189" w:rsidRPr="00F65A9E">
        <w:rPr>
          <w:sz w:val="24"/>
          <w:szCs w:val="24"/>
          <w:lang w:val="en-GB"/>
        </w:rPr>
        <w:t xml:space="preserve"> area</w:t>
      </w:r>
      <w:r w:rsidR="009A5A3D" w:rsidRPr="00F65A9E">
        <w:rPr>
          <w:sz w:val="24"/>
          <w:szCs w:val="24"/>
          <w:lang w:val="en-GB"/>
        </w:rPr>
        <w:t>, pelvic area, and thighs.</w:t>
      </w:r>
      <w:r w:rsidR="009A5A3D" w:rsidRPr="00F65A9E">
        <w:rPr>
          <w:sz w:val="24"/>
          <w:szCs w:val="24"/>
          <w:vertAlign w:val="superscript"/>
          <w:lang w:val="en-GB"/>
        </w:rPr>
        <w:t>1-3</w:t>
      </w:r>
      <w:r w:rsidR="00B4064F" w:rsidRPr="00F65A9E">
        <w:rPr>
          <w:sz w:val="24"/>
          <w:szCs w:val="24"/>
          <w:vertAlign w:val="superscript"/>
          <w:lang w:val="en-GB"/>
        </w:rPr>
        <w:t xml:space="preserve">   </w:t>
      </w:r>
      <w:r w:rsidR="00B4064F" w:rsidRPr="00F65A9E">
        <w:rPr>
          <w:sz w:val="24"/>
          <w:szCs w:val="24"/>
          <w:lang w:val="en-GB"/>
        </w:rPr>
        <w:t xml:space="preserve">Repeated CK elevation as </w:t>
      </w:r>
      <w:r w:rsidR="00692C3C">
        <w:rPr>
          <w:sz w:val="24"/>
          <w:szCs w:val="24"/>
          <w:lang w:val="en-GB"/>
        </w:rPr>
        <w:t xml:space="preserve">an </w:t>
      </w:r>
      <w:r w:rsidR="00B4064F" w:rsidRPr="00F65A9E">
        <w:rPr>
          <w:sz w:val="24"/>
          <w:szCs w:val="24"/>
          <w:lang w:val="en-GB"/>
        </w:rPr>
        <w:t xml:space="preserve">inclusion criteria was defined as </w:t>
      </w:r>
      <w:r w:rsidR="00AB142A" w:rsidRPr="00F65A9E">
        <w:rPr>
          <w:sz w:val="24"/>
          <w:szCs w:val="24"/>
          <w:lang w:val="en-GB"/>
        </w:rPr>
        <w:t>a minimum of</w:t>
      </w:r>
      <w:r w:rsidR="00B4064F" w:rsidRPr="00F65A9E">
        <w:rPr>
          <w:sz w:val="24"/>
          <w:szCs w:val="24"/>
          <w:lang w:val="en-GB"/>
        </w:rPr>
        <w:t xml:space="preserve"> 2X </w:t>
      </w:r>
      <w:r w:rsidR="00AB142A" w:rsidRPr="00F65A9E">
        <w:rPr>
          <w:sz w:val="24"/>
          <w:szCs w:val="24"/>
          <w:lang w:val="en-GB"/>
        </w:rPr>
        <w:t xml:space="preserve">the </w:t>
      </w:r>
      <w:r w:rsidR="00B4064F" w:rsidRPr="00F65A9E">
        <w:rPr>
          <w:sz w:val="24"/>
          <w:szCs w:val="24"/>
          <w:lang w:val="en-GB"/>
        </w:rPr>
        <w:t>upper limit of normal for females and males.</w:t>
      </w:r>
    </w:p>
    <w:p w:rsidR="005C41E1" w:rsidRDefault="005C41E1" w:rsidP="005C41E1">
      <w:pPr>
        <w:spacing w:line="480" w:lineRule="auto"/>
        <w:rPr>
          <w:sz w:val="24"/>
          <w:szCs w:val="24"/>
          <w:vertAlign w:val="superscript"/>
          <w:lang w:val="en-US"/>
        </w:rPr>
      </w:pPr>
      <w:r w:rsidRPr="000F1826">
        <w:rPr>
          <w:b/>
          <w:sz w:val="24"/>
          <w:szCs w:val="24"/>
          <w:lang w:val="en-US"/>
        </w:rPr>
        <w:t>Sampling</w:t>
      </w:r>
      <w:r w:rsidR="00956FF6">
        <w:rPr>
          <w:b/>
          <w:sz w:val="24"/>
          <w:szCs w:val="24"/>
          <w:lang w:val="en-US"/>
        </w:rPr>
        <w:t xml:space="preserve"> and fluorometry: </w:t>
      </w:r>
      <w:r w:rsidRPr="005C41E1">
        <w:rPr>
          <w:sz w:val="24"/>
          <w:szCs w:val="24"/>
          <w:lang w:val="en-US"/>
        </w:rPr>
        <w:t>A blood sample was collected from a peripheral vein in an EDTA</w:t>
      </w:r>
      <w:r w:rsidR="000F1826">
        <w:rPr>
          <w:sz w:val="24"/>
          <w:szCs w:val="24"/>
          <w:lang w:val="en-US"/>
        </w:rPr>
        <w:t xml:space="preserve"> </w:t>
      </w:r>
      <w:r w:rsidRPr="005C41E1">
        <w:rPr>
          <w:sz w:val="24"/>
          <w:szCs w:val="24"/>
          <w:lang w:val="en-US"/>
        </w:rPr>
        <w:t>coated tube, and blood was immediately afterwards spotted</w:t>
      </w:r>
      <w:r w:rsidR="000F1826">
        <w:rPr>
          <w:sz w:val="24"/>
          <w:szCs w:val="24"/>
          <w:lang w:val="en-US"/>
        </w:rPr>
        <w:t xml:space="preserve"> </w:t>
      </w:r>
      <w:r w:rsidRPr="005C41E1">
        <w:rPr>
          <w:sz w:val="24"/>
          <w:szCs w:val="24"/>
          <w:lang w:val="en-US"/>
        </w:rPr>
        <w:t>onto a filter paper (Whatman 903® Specimen Collection Paper).</w:t>
      </w:r>
      <w:r w:rsidR="000F1826">
        <w:rPr>
          <w:sz w:val="24"/>
          <w:szCs w:val="24"/>
          <w:lang w:val="en-US"/>
        </w:rPr>
        <w:t xml:space="preserve"> </w:t>
      </w:r>
      <w:r w:rsidR="00956FF6">
        <w:rPr>
          <w:sz w:val="24"/>
          <w:szCs w:val="24"/>
          <w:lang w:val="en-US"/>
        </w:rPr>
        <w:t xml:space="preserve">All </w:t>
      </w:r>
      <w:r w:rsidRPr="005C41E1">
        <w:rPr>
          <w:sz w:val="24"/>
          <w:szCs w:val="24"/>
          <w:lang w:val="en-US"/>
        </w:rPr>
        <w:t xml:space="preserve">samples were anonymized and </w:t>
      </w:r>
      <w:r w:rsidR="00956FF6">
        <w:rPr>
          <w:sz w:val="24"/>
          <w:szCs w:val="24"/>
          <w:lang w:val="en-US"/>
        </w:rPr>
        <w:t>analyzed at</w:t>
      </w:r>
      <w:r w:rsidRPr="005C41E1">
        <w:rPr>
          <w:sz w:val="24"/>
          <w:szCs w:val="24"/>
          <w:lang w:val="en-US"/>
        </w:rPr>
        <w:t xml:space="preserve"> the </w:t>
      </w:r>
      <w:r w:rsidRPr="005C41E1">
        <w:rPr>
          <w:sz w:val="24"/>
          <w:szCs w:val="24"/>
          <w:lang w:val="en-US"/>
        </w:rPr>
        <w:lastRenderedPageBreak/>
        <w:t>Metabolic Laboratory,</w:t>
      </w:r>
      <w:r w:rsidR="000F1826">
        <w:rPr>
          <w:sz w:val="24"/>
          <w:szCs w:val="24"/>
          <w:lang w:val="en-US"/>
        </w:rPr>
        <w:t xml:space="preserve"> </w:t>
      </w:r>
      <w:r w:rsidRPr="005C41E1">
        <w:rPr>
          <w:sz w:val="24"/>
          <w:szCs w:val="24"/>
          <w:lang w:val="en-US"/>
        </w:rPr>
        <w:t>Institute of Clinical Chemistry, Hamburg University</w:t>
      </w:r>
      <w:r w:rsidR="000F1826">
        <w:rPr>
          <w:sz w:val="24"/>
          <w:szCs w:val="24"/>
          <w:lang w:val="en-US"/>
        </w:rPr>
        <w:t xml:space="preserve"> </w:t>
      </w:r>
      <w:r w:rsidRPr="005C41E1">
        <w:rPr>
          <w:sz w:val="24"/>
          <w:szCs w:val="24"/>
          <w:lang w:val="en-US"/>
        </w:rPr>
        <w:t>Medical Centre</w:t>
      </w:r>
      <w:r w:rsidR="00956FF6">
        <w:rPr>
          <w:sz w:val="24"/>
          <w:szCs w:val="24"/>
          <w:lang w:val="en-US"/>
        </w:rPr>
        <w:t>,</w:t>
      </w:r>
      <w:r w:rsidR="000F1826">
        <w:rPr>
          <w:sz w:val="24"/>
          <w:szCs w:val="24"/>
          <w:lang w:val="en-US"/>
        </w:rPr>
        <w:t xml:space="preserve"> </w:t>
      </w:r>
      <w:r w:rsidRPr="005C41E1">
        <w:rPr>
          <w:sz w:val="24"/>
          <w:szCs w:val="24"/>
          <w:lang w:val="en-US"/>
        </w:rPr>
        <w:t>Germany</w:t>
      </w:r>
      <w:r w:rsidR="00956FF6">
        <w:rPr>
          <w:sz w:val="24"/>
          <w:szCs w:val="24"/>
          <w:lang w:val="en-US"/>
        </w:rPr>
        <w:t>.</w:t>
      </w:r>
      <w:r w:rsidRPr="005C41E1">
        <w:rPr>
          <w:sz w:val="24"/>
          <w:szCs w:val="24"/>
          <w:lang w:val="en-US"/>
        </w:rPr>
        <w:t xml:space="preserve"> </w:t>
      </w:r>
      <w:r w:rsidR="00956FF6">
        <w:rPr>
          <w:sz w:val="24"/>
          <w:szCs w:val="24"/>
          <w:lang w:val="en-US"/>
        </w:rPr>
        <w:t>F</w:t>
      </w:r>
      <w:r w:rsidRPr="005C41E1">
        <w:rPr>
          <w:sz w:val="24"/>
          <w:szCs w:val="24"/>
          <w:lang w:val="en-US"/>
        </w:rPr>
        <w:t>or analysis</w:t>
      </w:r>
      <w:r w:rsidR="007A0CB8">
        <w:rPr>
          <w:sz w:val="24"/>
          <w:szCs w:val="24"/>
          <w:lang w:val="en-US"/>
        </w:rPr>
        <w:t>,</w:t>
      </w:r>
      <w:r w:rsidRPr="005C41E1">
        <w:rPr>
          <w:sz w:val="24"/>
          <w:szCs w:val="24"/>
          <w:lang w:val="en-US"/>
        </w:rPr>
        <w:t xml:space="preserve"> a fluorometric assay </w:t>
      </w:r>
      <w:r w:rsidR="00956FF6">
        <w:rPr>
          <w:sz w:val="24"/>
          <w:szCs w:val="24"/>
          <w:lang w:val="en-US"/>
        </w:rPr>
        <w:t>was used.</w:t>
      </w:r>
      <w:r w:rsidRPr="00956FF6">
        <w:rPr>
          <w:sz w:val="24"/>
          <w:szCs w:val="24"/>
          <w:vertAlign w:val="superscript"/>
          <w:lang w:val="en-US"/>
        </w:rPr>
        <w:t>5</w:t>
      </w:r>
    </w:p>
    <w:p w:rsidR="00BD2738" w:rsidRPr="00151124" w:rsidRDefault="00BD2738" w:rsidP="00151124">
      <w:pPr>
        <w:spacing w:line="480" w:lineRule="auto"/>
        <w:rPr>
          <w:sz w:val="24"/>
          <w:szCs w:val="24"/>
          <w:lang w:val="en-US"/>
        </w:rPr>
      </w:pPr>
      <w:r>
        <w:rPr>
          <w:b/>
          <w:sz w:val="24"/>
          <w:szCs w:val="24"/>
          <w:lang w:val="en-US"/>
        </w:rPr>
        <w:t>Statistic</w:t>
      </w:r>
      <w:r w:rsidR="00151124">
        <w:rPr>
          <w:b/>
          <w:sz w:val="24"/>
          <w:szCs w:val="24"/>
          <w:lang w:val="en-US"/>
        </w:rPr>
        <w:t xml:space="preserve">s: </w:t>
      </w:r>
      <w:r w:rsidR="00692C3C">
        <w:rPr>
          <w:sz w:val="24"/>
          <w:szCs w:val="24"/>
          <w:lang w:val="en-US"/>
        </w:rPr>
        <w:t>For d</w:t>
      </w:r>
      <w:r w:rsidR="00232B11" w:rsidRPr="00232B11">
        <w:rPr>
          <w:sz w:val="24"/>
          <w:szCs w:val="24"/>
          <w:lang w:val="en-US"/>
        </w:rPr>
        <w:t xml:space="preserve">escriptive </w:t>
      </w:r>
      <w:r w:rsidR="00232B11">
        <w:rPr>
          <w:sz w:val="24"/>
          <w:szCs w:val="24"/>
          <w:lang w:val="en-US"/>
        </w:rPr>
        <w:t xml:space="preserve">statistical </w:t>
      </w:r>
      <w:r w:rsidR="00232B11" w:rsidRPr="00232B11">
        <w:rPr>
          <w:sz w:val="24"/>
          <w:szCs w:val="24"/>
          <w:lang w:val="en-US"/>
        </w:rPr>
        <w:t>analyses</w:t>
      </w:r>
      <w:r w:rsidR="00232B11">
        <w:rPr>
          <w:b/>
          <w:sz w:val="24"/>
          <w:szCs w:val="24"/>
          <w:lang w:val="en-US"/>
        </w:rPr>
        <w:t xml:space="preserve"> </w:t>
      </w:r>
      <w:r w:rsidR="00151124" w:rsidRPr="00D20676">
        <w:rPr>
          <w:sz w:val="24"/>
          <w:szCs w:val="24"/>
          <w:lang w:val="en-GB"/>
        </w:rPr>
        <w:t xml:space="preserve"> the statistics program SPSS for Windows</w:t>
      </w:r>
      <w:r w:rsidR="00232B11" w:rsidRPr="00D20676">
        <w:rPr>
          <w:sz w:val="24"/>
          <w:szCs w:val="24"/>
          <w:lang w:val="en-GB"/>
        </w:rPr>
        <w:t xml:space="preserve"> </w:t>
      </w:r>
      <w:r w:rsidR="00151124" w:rsidRPr="00D20676">
        <w:rPr>
          <w:sz w:val="24"/>
          <w:szCs w:val="24"/>
          <w:lang w:val="en-GB"/>
        </w:rPr>
        <w:t>version 23.0 (SPSS Inc., Chicago, IL)</w:t>
      </w:r>
      <w:r w:rsidR="00692C3C">
        <w:rPr>
          <w:sz w:val="24"/>
          <w:szCs w:val="24"/>
          <w:lang w:val="en-GB"/>
        </w:rPr>
        <w:t xml:space="preserve"> was used</w:t>
      </w:r>
      <w:r w:rsidR="00151124" w:rsidRPr="00D20676">
        <w:rPr>
          <w:sz w:val="24"/>
          <w:szCs w:val="24"/>
          <w:lang w:val="en-GB"/>
        </w:rPr>
        <w:t xml:space="preserve">. </w:t>
      </w:r>
    </w:p>
    <w:p w:rsidR="005C41E1" w:rsidRPr="005C41E1" w:rsidRDefault="005C41E1" w:rsidP="005C41E1">
      <w:pPr>
        <w:spacing w:line="480" w:lineRule="auto"/>
        <w:rPr>
          <w:sz w:val="24"/>
          <w:szCs w:val="24"/>
          <w:lang w:val="en-US"/>
        </w:rPr>
      </w:pPr>
      <w:r w:rsidRPr="000F1826">
        <w:rPr>
          <w:b/>
          <w:sz w:val="24"/>
          <w:szCs w:val="24"/>
          <w:lang w:val="en-US"/>
        </w:rPr>
        <w:t>Gene sequencing</w:t>
      </w:r>
      <w:r w:rsidR="00956FF6">
        <w:rPr>
          <w:b/>
          <w:sz w:val="24"/>
          <w:szCs w:val="24"/>
          <w:lang w:val="en-US"/>
        </w:rPr>
        <w:t xml:space="preserve">: </w:t>
      </w:r>
      <w:r w:rsidR="00956FF6" w:rsidRPr="00956FF6">
        <w:rPr>
          <w:sz w:val="24"/>
          <w:szCs w:val="24"/>
          <w:lang w:val="en-US"/>
        </w:rPr>
        <w:t xml:space="preserve">Sanger </w:t>
      </w:r>
      <w:r w:rsidRPr="005C41E1">
        <w:rPr>
          <w:sz w:val="24"/>
          <w:szCs w:val="24"/>
          <w:lang w:val="en-US"/>
        </w:rPr>
        <w:t>sequencing of the coding and exon flanking region</w:t>
      </w:r>
      <w:r w:rsidR="000F1826">
        <w:rPr>
          <w:sz w:val="24"/>
          <w:szCs w:val="24"/>
          <w:lang w:val="en-US"/>
        </w:rPr>
        <w:t xml:space="preserve"> </w:t>
      </w:r>
      <w:r w:rsidRPr="005C41E1">
        <w:rPr>
          <w:sz w:val="24"/>
          <w:szCs w:val="24"/>
          <w:lang w:val="en-US"/>
        </w:rPr>
        <w:t xml:space="preserve">of the </w:t>
      </w:r>
      <w:r w:rsidRPr="00D20676">
        <w:rPr>
          <w:i/>
          <w:sz w:val="24"/>
          <w:szCs w:val="24"/>
          <w:lang w:val="en-US"/>
        </w:rPr>
        <w:t>GAA</w:t>
      </w:r>
      <w:r w:rsidRPr="005C41E1">
        <w:rPr>
          <w:sz w:val="24"/>
          <w:szCs w:val="24"/>
          <w:lang w:val="en-US"/>
        </w:rPr>
        <w:t xml:space="preserve"> gene </w:t>
      </w:r>
      <w:r w:rsidR="00692C3C">
        <w:rPr>
          <w:sz w:val="24"/>
          <w:szCs w:val="24"/>
          <w:lang w:val="en-US"/>
        </w:rPr>
        <w:t>was</w:t>
      </w:r>
      <w:r w:rsidR="00692C3C" w:rsidRPr="005C41E1">
        <w:rPr>
          <w:sz w:val="24"/>
          <w:szCs w:val="24"/>
          <w:lang w:val="en-US"/>
        </w:rPr>
        <w:t xml:space="preserve"> </w:t>
      </w:r>
      <w:r w:rsidRPr="005C41E1">
        <w:rPr>
          <w:sz w:val="24"/>
          <w:szCs w:val="24"/>
          <w:lang w:val="en-US"/>
        </w:rPr>
        <w:t xml:space="preserve">performed if the </w:t>
      </w:r>
      <w:r w:rsidR="00956FF6">
        <w:rPr>
          <w:sz w:val="24"/>
          <w:szCs w:val="24"/>
          <w:lang w:val="en-US"/>
        </w:rPr>
        <w:t xml:space="preserve">DBS </w:t>
      </w:r>
      <w:r w:rsidRPr="005C41E1">
        <w:rPr>
          <w:sz w:val="24"/>
          <w:szCs w:val="24"/>
          <w:lang w:val="en-US"/>
        </w:rPr>
        <w:t>activity of acid alpha</w:t>
      </w:r>
      <w:r w:rsidR="000F1826">
        <w:rPr>
          <w:sz w:val="24"/>
          <w:szCs w:val="24"/>
          <w:lang w:val="en-US"/>
        </w:rPr>
        <w:t xml:space="preserve"> </w:t>
      </w:r>
      <w:r w:rsidRPr="005C41E1">
        <w:rPr>
          <w:sz w:val="24"/>
          <w:szCs w:val="24"/>
          <w:lang w:val="en-US"/>
        </w:rPr>
        <w:t>glucosidase</w:t>
      </w:r>
      <w:r w:rsidR="000F1826">
        <w:rPr>
          <w:sz w:val="24"/>
          <w:szCs w:val="24"/>
          <w:lang w:val="en-US"/>
        </w:rPr>
        <w:t xml:space="preserve"> </w:t>
      </w:r>
      <w:r w:rsidRPr="005C41E1">
        <w:rPr>
          <w:sz w:val="24"/>
          <w:szCs w:val="24"/>
          <w:lang w:val="en-US"/>
        </w:rPr>
        <w:t>was below 0.9 nmol/</w:t>
      </w:r>
      <w:r w:rsidR="008B1088" w:rsidRPr="00FE527A">
        <w:rPr>
          <w:sz w:val="24"/>
          <w:szCs w:val="24"/>
          <w:lang w:val="en-US"/>
        </w:rPr>
        <w:t xml:space="preserve">punch*21 h </w:t>
      </w:r>
      <w:r w:rsidRPr="005C41E1">
        <w:rPr>
          <w:sz w:val="24"/>
          <w:szCs w:val="24"/>
          <w:lang w:val="en-US"/>
        </w:rPr>
        <w:t>in two independently</w:t>
      </w:r>
      <w:r w:rsidR="000F1826">
        <w:rPr>
          <w:sz w:val="24"/>
          <w:szCs w:val="24"/>
          <w:lang w:val="en-US"/>
        </w:rPr>
        <w:t xml:space="preserve"> </w:t>
      </w:r>
      <w:r w:rsidRPr="005C41E1">
        <w:rPr>
          <w:sz w:val="24"/>
          <w:szCs w:val="24"/>
          <w:lang w:val="en-US"/>
        </w:rPr>
        <w:t xml:space="preserve">taken </w:t>
      </w:r>
      <w:r w:rsidR="00692C3C">
        <w:rPr>
          <w:sz w:val="24"/>
          <w:szCs w:val="24"/>
          <w:lang w:val="en-US"/>
        </w:rPr>
        <w:t>DBS</w:t>
      </w:r>
      <w:r w:rsidR="00DA4ED4">
        <w:rPr>
          <w:sz w:val="24"/>
          <w:szCs w:val="24"/>
          <w:lang w:val="en-US"/>
        </w:rPr>
        <w:t xml:space="preserve"> </w:t>
      </w:r>
      <w:r w:rsidRPr="005C41E1">
        <w:rPr>
          <w:sz w:val="24"/>
          <w:szCs w:val="24"/>
          <w:lang w:val="en-US"/>
        </w:rPr>
        <w:t>samples.</w:t>
      </w:r>
    </w:p>
    <w:p w:rsidR="005C41E1" w:rsidRPr="005C41E1" w:rsidRDefault="005C41E1" w:rsidP="005C41E1">
      <w:pPr>
        <w:spacing w:line="480" w:lineRule="auto"/>
        <w:rPr>
          <w:sz w:val="24"/>
          <w:szCs w:val="24"/>
          <w:lang w:val="en-US"/>
        </w:rPr>
      </w:pPr>
      <w:r w:rsidRPr="000F1826">
        <w:rPr>
          <w:b/>
          <w:sz w:val="24"/>
          <w:szCs w:val="24"/>
          <w:lang w:val="en-US"/>
        </w:rPr>
        <w:t>Ethics</w:t>
      </w:r>
      <w:r w:rsidR="00956FF6">
        <w:rPr>
          <w:b/>
          <w:sz w:val="24"/>
          <w:szCs w:val="24"/>
          <w:lang w:val="en-US"/>
        </w:rPr>
        <w:t xml:space="preserve">: </w:t>
      </w:r>
      <w:r w:rsidRPr="005C41E1">
        <w:rPr>
          <w:sz w:val="24"/>
          <w:szCs w:val="24"/>
          <w:lang w:val="en-US"/>
        </w:rPr>
        <w:t>Oral and written informed consent was obtained from all subjects</w:t>
      </w:r>
      <w:r w:rsidR="000F1826">
        <w:rPr>
          <w:sz w:val="24"/>
          <w:szCs w:val="24"/>
          <w:lang w:val="en-US"/>
        </w:rPr>
        <w:t xml:space="preserve"> </w:t>
      </w:r>
      <w:r w:rsidRPr="005C41E1">
        <w:rPr>
          <w:sz w:val="24"/>
          <w:szCs w:val="24"/>
          <w:lang w:val="en-US"/>
        </w:rPr>
        <w:t>prior to blood sampling</w:t>
      </w:r>
      <w:r w:rsidR="00956FF6">
        <w:rPr>
          <w:sz w:val="24"/>
          <w:szCs w:val="24"/>
          <w:lang w:val="en-US"/>
        </w:rPr>
        <w:t>.</w:t>
      </w:r>
      <w:r w:rsidRPr="005C41E1">
        <w:rPr>
          <w:sz w:val="24"/>
          <w:szCs w:val="24"/>
          <w:lang w:val="en-US"/>
        </w:rPr>
        <w:t xml:space="preserve"> </w:t>
      </w:r>
      <w:r w:rsidR="00956FF6">
        <w:rPr>
          <w:sz w:val="24"/>
          <w:szCs w:val="24"/>
          <w:lang w:val="en-US"/>
        </w:rPr>
        <w:t>T</w:t>
      </w:r>
      <w:r w:rsidRPr="005C41E1">
        <w:rPr>
          <w:sz w:val="24"/>
          <w:szCs w:val="24"/>
          <w:lang w:val="en-US"/>
        </w:rPr>
        <w:t xml:space="preserve">he </w:t>
      </w:r>
      <w:r w:rsidR="00956FF6">
        <w:rPr>
          <w:sz w:val="24"/>
          <w:szCs w:val="24"/>
          <w:lang w:val="en-US"/>
        </w:rPr>
        <w:t>study</w:t>
      </w:r>
      <w:r w:rsidRPr="005C41E1">
        <w:rPr>
          <w:sz w:val="24"/>
          <w:szCs w:val="24"/>
          <w:lang w:val="en-US"/>
        </w:rPr>
        <w:t xml:space="preserve"> was conducted in accordance</w:t>
      </w:r>
      <w:r w:rsidR="000F1826">
        <w:rPr>
          <w:sz w:val="24"/>
          <w:szCs w:val="24"/>
          <w:lang w:val="en-US"/>
        </w:rPr>
        <w:t xml:space="preserve"> </w:t>
      </w:r>
      <w:r w:rsidRPr="005C41E1">
        <w:rPr>
          <w:sz w:val="24"/>
          <w:szCs w:val="24"/>
          <w:lang w:val="en-US"/>
        </w:rPr>
        <w:t>with the Declaration of</w:t>
      </w:r>
      <w:r w:rsidR="000F1826">
        <w:rPr>
          <w:sz w:val="24"/>
          <w:szCs w:val="24"/>
          <w:lang w:val="en-US"/>
        </w:rPr>
        <w:t xml:space="preserve"> </w:t>
      </w:r>
      <w:r w:rsidRPr="005C41E1">
        <w:rPr>
          <w:sz w:val="24"/>
          <w:szCs w:val="24"/>
          <w:lang w:val="en-US"/>
        </w:rPr>
        <w:t>Helsinki. The study</w:t>
      </w:r>
      <w:r w:rsidR="000F1826">
        <w:rPr>
          <w:sz w:val="24"/>
          <w:szCs w:val="24"/>
          <w:lang w:val="en-US"/>
        </w:rPr>
        <w:t xml:space="preserve"> </w:t>
      </w:r>
      <w:r w:rsidRPr="005C41E1">
        <w:rPr>
          <w:sz w:val="24"/>
          <w:szCs w:val="24"/>
          <w:lang w:val="en-US"/>
        </w:rPr>
        <w:t xml:space="preserve">was approved by the </w:t>
      </w:r>
      <w:r w:rsidR="000F1826">
        <w:rPr>
          <w:sz w:val="24"/>
          <w:szCs w:val="24"/>
          <w:lang w:val="en-US"/>
        </w:rPr>
        <w:t xml:space="preserve">Ethic </w:t>
      </w:r>
      <w:r w:rsidRPr="005C41E1">
        <w:rPr>
          <w:sz w:val="24"/>
          <w:szCs w:val="24"/>
          <w:lang w:val="en-US"/>
        </w:rPr>
        <w:t xml:space="preserve">Committee </w:t>
      </w:r>
      <w:r w:rsidR="008B1088" w:rsidRPr="005C41E1">
        <w:rPr>
          <w:sz w:val="24"/>
          <w:szCs w:val="24"/>
          <w:lang w:val="en-US"/>
        </w:rPr>
        <w:t>o</w:t>
      </w:r>
      <w:r w:rsidR="008B1088">
        <w:rPr>
          <w:sz w:val="24"/>
          <w:szCs w:val="24"/>
          <w:lang w:val="en-US"/>
        </w:rPr>
        <w:t>f</w:t>
      </w:r>
      <w:r w:rsidR="008B1088" w:rsidRPr="005C41E1">
        <w:rPr>
          <w:sz w:val="24"/>
          <w:szCs w:val="24"/>
          <w:lang w:val="en-US"/>
        </w:rPr>
        <w:t xml:space="preserve"> </w:t>
      </w:r>
      <w:r w:rsidR="000F1826">
        <w:rPr>
          <w:sz w:val="24"/>
          <w:szCs w:val="24"/>
          <w:lang w:val="en-US"/>
        </w:rPr>
        <w:t>the Ludwig-</w:t>
      </w:r>
      <w:r w:rsidR="003C0A02">
        <w:rPr>
          <w:sz w:val="24"/>
          <w:szCs w:val="24"/>
          <w:lang w:val="en-US"/>
        </w:rPr>
        <w:t>Maximilians</w:t>
      </w:r>
      <w:r w:rsidR="000F1826">
        <w:rPr>
          <w:sz w:val="24"/>
          <w:szCs w:val="24"/>
          <w:lang w:val="en-US"/>
        </w:rPr>
        <w:t>-University Munich, Germany</w:t>
      </w:r>
      <w:r w:rsidRPr="005C41E1">
        <w:rPr>
          <w:sz w:val="24"/>
          <w:szCs w:val="24"/>
          <w:lang w:val="en-US"/>
        </w:rPr>
        <w:t xml:space="preserve"> (</w:t>
      </w:r>
      <w:r w:rsidR="003C0A02">
        <w:rPr>
          <w:sz w:val="24"/>
          <w:szCs w:val="24"/>
          <w:lang w:val="en-US"/>
        </w:rPr>
        <w:t>no.</w:t>
      </w:r>
      <w:r w:rsidR="00DA4ED4">
        <w:rPr>
          <w:sz w:val="24"/>
          <w:szCs w:val="24"/>
          <w:lang w:val="en-US"/>
        </w:rPr>
        <w:t>201-</w:t>
      </w:r>
      <w:r w:rsidR="00F80D33">
        <w:rPr>
          <w:sz w:val="24"/>
          <w:szCs w:val="24"/>
          <w:lang w:val="en-US"/>
        </w:rPr>
        <w:t>09</w:t>
      </w:r>
      <w:r w:rsidRPr="005C41E1">
        <w:rPr>
          <w:sz w:val="24"/>
          <w:szCs w:val="24"/>
          <w:lang w:val="en-US"/>
        </w:rPr>
        <w:t>).</w:t>
      </w:r>
    </w:p>
    <w:p w:rsidR="005C41E1" w:rsidRPr="00585557" w:rsidRDefault="00E0686C" w:rsidP="00BD2738">
      <w:pPr>
        <w:spacing w:line="480" w:lineRule="auto"/>
        <w:outlineLvl w:val="0"/>
        <w:rPr>
          <w:b/>
          <w:sz w:val="24"/>
          <w:szCs w:val="24"/>
          <w:lang w:val="en-US"/>
        </w:rPr>
      </w:pPr>
      <w:r>
        <w:rPr>
          <w:b/>
          <w:sz w:val="24"/>
          <w:szCs w:val="24"/>
          <w:lang w:val="en-US"/>
        </w:rPr>
        <w:t>RESULTS</w:t>
      </w:r>
    </w:p>
    <w:p w:rsidR="00611944" w:rsidRPr="00CF231C" w:rsidRDefault="002D1552" w:rsidP="00DB6352">
      <w:pPr>
        <w:spacing w:line="480" w:lineRule="auto"/>
        <w:rPr>
          <w:sz w:val="24"/>
          <w:szCs w:val="24"/>
          <w:lang w:val="en-GB"/>
        </w:rPr>
      </w:pPr>
      <w:r>
        <w:rPr>
          <w:sz w:val="24"/>
          <w:szCs w:val="24"/>
          <w:lang w:val="en-US"/>
        </w:rPr>
        <w:t>3076</w:t>
      </w:r>
      <w:r w:rsidR="000F1826">
        <w:rPr>
          <w:sz w:val="24"/>
          <w:szCs w:val="24"/>
          <w:lang w:val="en-US"/>
        </w:rPr>
        <w:t xml:space="preserve"> </w:t>
      </w:r>
      <w:r w:rsidR="005C41E1" w:rsidRPr="005C41E1">
        <w:rPr>
          <w:sz w:val="24"/>
          <w:szCs w:val="24"/>
          <w:lang w:val="en-US"/>
        </w:rPr>
        <w:t xml:space="preserve">patients </w:t>
      </w:r>
      <w:r w:rsidR="005C41E1" w:rsidRPr="008320A3">
        <w:rPr>
          <w:sz w:val="24"/>
          <w:szCs w:val="24"/>
          <w:lang w:val="en-US"/>
        </w:rPr>
        <w:t xml:space="preserve">aged </w:t>
      </w:r>
      <w:r w:rsidR="00410614" w:rsidRPr="008320A3">
        <w:rPr>
          <w:sz w:val="24"/>
          <w:szCs w:val="24"/>
          <w:lang w:val="en-US"/>
        </w:rPr>
        <w:t xml:space="preserve">between </w:t>
      </w:r>
      <w:r w:rsidR="00DB6352" w:rsidRPr="008320A3">
        <w:rPr>
          <w:sz w:val="24"/>
          <w:szCs w:val="24"/>
          <w:lang w:val="en-US"/>
        </w:rPr>
        <w:t xml:space="preserve">18 and 89 </w:t>
      </w:r>
      <w:r w:rsidR="005C41E1" w:rsidRPr="008320A3">
        <w:rPr>
          <w:sz w:val="24"/>
          <w:szCs w:val="24"/>
          <w:lang w:val="en-US"/>
        </w:rPr>
        <w:t>years</w:t>
      </w:r>
      <w:r w:rsidR="00DB6352" w:rsidRPr="008320A3">
        <w:rPr>
          <w:sz w:val="24"/>
          <w:szCs w:val="24"/>
          <w:lang w:val="en-US"/>
        </w:rPr>
        <w:t xml:space="preserve"> with a median of</w:t>
      </w:r>
      <w:r w:rsidR="00DB6352" w:rsidRPr="008320A3">
        <w:rPr>
          <w:sz w:val="24"/>
          <w:szCs w:val="24"/>
          <w:lang w:val="en-GB"/>
        </w:rPr>
        <w:t xml:space="preserve"> 48 years </w:t>
      </w:r>
      <w:r w:rsidR="005C41E1" w:rsidRPr="008320A3">
        <w:rPr>
          <w:sz w:val="24"/>
          <w:szCs w:val="24"/>
          <w:lang w:val="en-US"/>
        </w:rPr>
        <w:t>participate</w:t>
      </w:r>
      <w:r w:rsidRPr="008320A3">
        <w:rPr>
          <w:sz w:val="24"/>
          <w:szCs w:val="24"/>
          <w:lang w:val="en-US"/>
        </w:rPr>
        <w:t>d</w:t>
      </w:r>
      <w:r w:rsidR="005C41E1" w:rsidRPr="008320A3">
        <w:rPr>
          <w:sz w:val="24"/>
          <w:szCs w:val="24"/>
          <w:lang w:val="en-US"/>
        </w:rPr>
        <w:t xml:space="preserve"> (</w:t>
      </w:r>
      <w:r w:rsidR="00DB6352" w:rsidRPr="008320A3">
        <w:rPr>
          <w:sz w:val="24"/>
          <w:szCs w:val="24"/>
          <w:lang w:val="en-US"/>
        </w:rPr>
        <w:t>58.2%</w:t>
      </w:r>
      <w:r w:rsidR="000F1826" w:rsidRPr="008320A3">
        <w:rPr>
          <w:sz w:val="24"/>
          <w:szCs w:val="24"/>
          <w:lang w:val="en-US"/>
        </w:rPr>
        <w:t xml:space="preserve"> </w:t>
      </w:r>
      <w:r w:rsidR="005C41E1" w:rsidRPr="008320A3">
        <w:rPr>
          <w:sz w:val="24"/>
          <w:szCs w:val="24"/>
          <w:lang w:val="en-US"/>
        </w:rPr>
        <w:t>women).</w:t>
      </w:r>
      <w:r w:rsidR="005C41E1" w:rsidRPr="005C41E1">
        <w:rPr>
          <w:sz w:val="24"/>
          <w:szCs w:val="24"/>
          <w:lang w:val="en-US"/>
        </w:rPr>
        <w:t xml:space="preserve"> </w:t>
      </w:r>
      <w:r w:rsidR="0024103C">
        <w:rPr>
          <w:sz w:val="24"/>
          <w:szCs w:val="24"/>
          <w:lang w:val="en-US"/>
        </w:rPr>
        <w:t xml:space="preserve">The demographic and clinical presentation of the studied cohort is summarized in table 1. </w:t>
      </w:r>
      <w:r w:rsidR="0090128C" w:rsidRPr="0090128C">
        <w:rPr>
          <w:sz w:val="24"/>
          <w:szCs w:val="24"/>
          <w:lang w:val="en-US"/>
        </w:rPr>
        <w:t>GAA</w:t>
      </w:r>
      <w:r w:rsidR="0090128C">
        <w:rPr>
          <w:sz w:val="24"/>
          <w:szCs w:val="24"/>
          <w:lang w:val="en-US"/>
        </w:rPr>
        <w:t xml:space="preserve"> </w:t>
      </w:r>
      <w:r w:rsidR="0090128C" w:rsidRPr="0090128C">
        <w:rPr>
          <w:sz w:val="24"/>
          <w:szCs w:val="24"/>
          <w:lang w:val="en-US"/>
        </w:rPr>
        <w:t>activity</w:t>
      </w:r>
      <w:r w:rsidR="0090128C">
        <w:rPr>
          <w:sz w:val="24"/>
          <w:szCs w:val="24"/>
          <w:lang w:val="en-US"/>
        </w:rPr>
        <w:t xml:space="preserve"> </w:t>
      </w:r>
      <w:r w:rsidR="0090128C" w:rsidRPr="0090128C">
        <w:rPr>
          <w:sz w:val="24"/>
          <w:szCs w:val="24"/>
          <w:lang w:val="en-US"/>
        </w:rPr>
        <w:t>results</w:t>
      </w:r>
      <w:r w:rsidR="0090128C">
        <w:rPr>
          <w:sz w:val="24"/>
          <w:szCs w:val="24"/>
          <w:lang w:val="en-US"/>
        </w:rPr>
        <w:t xml:space="preserve"> </w:t>
      </w:r>
      <w:r w:rsidR="0090128C" w:rsidRPr="0090128C">
        <w:rPr>
          <w:sz w:val="24"/>
          <w:szCs w:val="24"/>
          <w:lang w:val="en-US"/>
        </w:rPr>
        <w:t>were</w:t>
      </w:r>
      <w:r w:rsidR="0090128C">
        <w:rPr>
          <w:sz w:val="24"/>
          <w:szCs w:val="24"/>
          <w:lang w:val="en-US"/>
        </w:rPr>
        <w:t xml:space="preserve"> </w:t>
      </w:r>
      <w:r w:rsidR="00F65A9E">
        <w:rPr>
          <w:sz w:val="24"/>
          <w:szCs w:val="24"/>
          <w:lang w:val="en-US"/>
        </w:rPr>
        <w:t>with</w:t>
      </w:r>
      <w:r w:rsidR="0090128C" w:rsidRPr="0090128C">
        <w:rPr>
          <w:sz w:val="24"/>
          <w:szCs w:val="24"/>
          <w:lang w:val="en-US"/>
        </w:rPr>
        <w:t>in</w:t>
      </w:r>
      <w:r w:rsidR="0090128C">
        <w:rPr>
          <w:sz w:val="24"/>
          <w:szCs w:val="24"/>
          <w:lang w:val="en-US"/>
        </w:rPr>
        <w:t xml:space="preserve"> </w:t>
      </w:r>
      <w:r w:rsidR="0090128C" w:rsidRPr="0090128C">
        <w:rPr>
          <w:sz w:val="24"/>
          <w:szCs w:val="24"/>
          <w:lang w:val="en-US"/>
        </w:rPr>
        <w:t>the</w:t>
      </w:r>
      <w:r w:rsidR="0090128C">
        <w:rPr>
          <w:sz w:val="24"/>
          <w:szCs w:val="24"/>
          <w:lang w:val="en-US"/>
        </w:rPr>
        <w:t xml:space="preserve"> </w:t>
      </w:r>
      <w:r w:rsidR="0090128C" w:rsidRPr="0090128C">
        <w:rPr>
          <w:sz w:val="24"/>
          <w:szCs w:val="24"/>
          <w:lang w:val="en-US"/>
        </w:rPr>
        <w:t>normal</w:t>
      </w:r>
      <w:r w:rsidR="0090128C">
        <w:rPr>
          <w:sz w:val="24"/>
          <w:szCs w:val="24"/>
          <w:lang w:val="en-US"/>
        </w:rPr>
        <w:t xml:space="preserve"> </w:t>
      </w:r>
      <w:r w:rsidR="0090128C" w:rsidRPr="0090128C">
        <w:rPr>
          <w:sz w:val="24"/>
          <w:szCs w:val="24"/>
          <w:lang w:val="en-US"/>
        </w:rPr>
        <w:t>range</w:t>
      </w:r>
      <w:r w:rsidR="0090128C">
        <w:rPr>
          <w:sz w:val="24"/>
          <w:szCs w:val="24"/>
          <w:lang w:val="en-US"/>
        </w:rPr>
        <w:t xml:space="preserve"> </w:t>
      </w:r>
      <w:r w:rsidR="0090128C" w:rsidRPr="0090128C">
        <w:rPr>
          <w:sz w:val="24"/>
          <w:szCs w:val="24"/>
          <w:lang w:val="en-US"/>
        </w:rPr>
        <w:t>for</w:t>
      </w:r>
      <w:r w:rsidR="0090128C">
        <w:rPr>
          <w:sz w:val="24"/>
          <w:szCs w:val="24"/>
          <w:lang w:val="en-US"/>
        </w:rPr>
        <w:t xml:space="preserve"> 2844 </w:t>
      </w:r>
      <w:r w:rsidR="0090128C" w:rsidRPr="0090128C">
        <w:rPr>
          <w:sz w:val="24"/>
          <w:szCs w:val="24"/>
          <w:lang w:val="en-US"/>
        </w:rPr>
        <w:t>(</w:t>
      </w:r>
      <w:r w:rsidR="0090128C">
        <w:rPr>
          <w:sz w:val="24"/>
          <w:szCs w:val="24"/>
          <w:lang w:val="en-US"/>
        </w:rPr>
        <w:t>92.2%</w:t>
      </w:r>
      <w:r w:rsidR="0090128C" w:rsidRPr="0090128C">
        <w:rPr>
          <w:sz w:val="24"/>
          <w:szCs w:val="24"/>
          <w:lang w:val="en-US"/>
        </w:rPr>
        <w:t>)</w:t>
      </w:r>
      <w:r w:rsidR="0090128C">
        <w:rPr>
          <w:sz w:val="24"/>
          <w:szCs w:val="24"/>
          <w:lang w:val="en-US"/>
        </w:rPr>
        <w:t xml:space="preserve"> </w:t>
      </w:r>
      <w:r w:rsidR="0090128C" w:rsidRPr="0090128C">
        <w:rPr>
          <w:sz w:val="24"/>
          <w:szCs w:val="24"/>
          <w:lang w:val="en-US"/>
        </w:rPr>
        <w:t xml:space="preserve">patients. </w:t>
      </w:r>
      <w:r w:rsidR="0024103C" w:rsidRPr="00D20676">
        <w:rPr>
          <w:sz w:val="24"/>
          <w:szCs w:val="24"/>
          <w:lang w:val="en-GB"/>
        </w:rPr>
        <w:t xml:space="preserve">The average value of CK levels in all patients was 563 (SD 371) </w:t>
      </w:r>
      <w:r w:rsidR="002141A0" w:rsidRPr="00D20676">
        <w:rPr>
          <w:sz w:val="24"/>
          <w:szCs w:val="24"/>
          <w:lang w:val="en-GB"/>
        </w:rPr>
        <w:t>IU</w:t>
      </w:r>
      <w:r w:rsidR="0024103C" w:rsidRPr="00D20676">
        <w:rPr>
          <w:sz w:val="24"/>
          <w:szCs w:val="24"/>
          <w:lang w:val="en-GB"/>
        </w:rPr>
        <w:t>/L (range normal</w:t>
      </w:r>
      <w:r w:rsidR="0024103C" w:rsidRPr="00D20676">
        <w:rPr>
          <w:bCs/>
          <w:sz w:val="24"/>
          <w:szCs w:val="24"/>
          <w:lang w:val="en-GB"/>
        </w:rPr>
        <w:t>–15</w:t>
      </w:r>
      <w:r w:rsidR="0024103C" w:rsidRPr="00D20676">
        <w:rPr>
          <w:sz w:val="24"/>
          <w:szCs w:val="24"/>
          <w:lang w:val="en-GB"/>
        </w:rPr>
        <w:t xml:space="preserve">,000 </w:t>
      </w:r>
      <w:r w:rsidR="002141A0" w:rsidRPr="00D20676">
        <w:rPr>
          <w:sz w:val="24"/>
          <w:szCs w:val="24"/>
          <w:lang w:val="en-GB"/>
        </w:rPr>
        <w:t>IU</w:t>
      </w:r>
      <w:r w:rsidR="0024103C" w:rsidRPr="00D20676">
        <w:rPr>
          <w:sz w:val="24"/>
          <w:szCs w:val="24"/>
          <w:lang w:val="en-GB"/>
        </w:rPr>
        <w:t>/L).</w:t>
      </w:r>
      <w:r w:rsidR="0024103C" w:rsidRPr="0024103C">
        <w:rPr>
          <w:sz w:val="24"/>
          <w:szCs w:val="24"/>
          <w:lang w:val="en-US"/>
        </w:rPr>
        <w:t xml:space="preserve"> </w:t>
      </w:r>
      <w:r w:rsidR="0024103C">
        <w:rPr>
          <w:sz w:val="24"/>
          <w:szCs w:val="24"/>
          <w:lang w:val="en-US"/>
        </w:rPr>
        <w:t xml:space="preserve"> </w:t>
      </w:r>
      <w:r w:rsidR="00A53147" w:rsidRPr="00A53147">
        <w:rPr>
          <w:sz w:val="24"/>
          <w:szCs w:val="24"/>
          <w:lang w:val="en-US"/>
        </w:rPr>
        <w:t>DBS activity of acid alpha glucosidase was below the cut-off of 0.9 nmol</w:t>
      </w:r>
      <w:r w:rsidR="00CA6E96">
        <w:rPr>
          <w:sz w:val="24"/>
          <w:szCs w:val="24"/>
          <w:lang w:val="en-US"/>
        </w:rPr>
        <w:t>/</w:t>
      </w:r>
      <w:r w:rsidR="00FE527A" w:rsidRPr="00FE527A">
        <w:rPr>
          <w:sz w:val="24"/>
          <w:szCs w:val="24"/>
          <w:lang w:val="en-US"/>
        </w:rPr>
        <w:t xml:space="preserve">punch*21 h </w:t>
      </w:r>
      <w:r w:rsidR="00A53147" w:rsidRPr="00A53147">
        <w:rPr>
          <w:sz w:val="24"/>
          <w:szCs w:val="24"/>
          <w:lang w:val="en-US"/>
        </w:rPr>
        <w:t>in 232 patients</w:t>
      </w:r>
      <w:r w:rsidR="00CF231C" w:rsidRPr="00CF231C">
        <w:rPr>
          <w:sz w:val="24"/>
          <w:szCs w:val="24"/>
          <w:lang w:val="en-GB"/>
        </w:rPr>
        <w:t xml:space="preserve"> </w:t>
      </w:r>
      <w:r w:rsidR="00CF231C">
        <w:rPr>
          <w:sz w:val="24"/>
          <w:szCs w:val="24"/>
          <w:lang w:val="en-GB"/>
        </w:rPr>
        <w:t xml:space="preserve">with a </w:t>
      </w:r>
      <w:r w:rsidR="00CF231C" w:rsidRPr="00CF231C">
        <w:rPr>
          <w:sz w:val="24"/>
          <w:szCs w:val="24"/>
          <w:lang w:val="en-GB"/>
        </w:rPr>
        <w:t>median age</w:t>
      </w:r>
      <w:r w:rsidR="00CF231C">
        <w:rPr>
          <w:sz w:val="24"/>
          <w:szCs w:val="24"/>
          <w:lang w:val="en-GB"/>
        </w:rPr>
        <w:t xml:space="preserve"> of</w:t>
      </w:r>
      <w:r w:rsidR="00CF231C" w:rsidRPr="00CF231C">
        <w:rPr>
          <w:sz w:val="24"/>
          <w:szCs w:val="24"/>
          <w:lang w:val="en-GB"/>
        </w:rPr>
        <w:t xml:space="preserve"> 40</w:t>
      </w:r>
      <w:r w:rsidR="00CF231C">
        <w:rPr>
          <w:sz w:val="24"/>
          <w:szCs w:val="24"/>
          <w:lang w:val="en-GB"/>
        </w:rPr>
        <w:t>.</w:t>
      </w:r>
      <w:r w:rsidR="00CF231C" w:rsidRPr="00CF231C">
        <w:rPr>
          <w:sz w:val="24"/>
          <w:szCs w:val="24"/>
          <w:lang w:val="en-GB"/>
        </w:rPr>
        <w:t xml:space="preserve">7 </w:t>
      </w:r>
      <w:r w:rsidR="00CF231C">
        <w:rPr>
          <w:sz w:val="24"/>
          <w:szCs w:val="24"/>
          <w:lang w:val="en-GB"/>
        </w:rPr>
        <w:t>years</w:t>
      </w:r>
      <w:r w:rsidR="00A53147" w:rsidRPr="00A53147">
        <w:rPr>
          <w:sz w:val="24"/>
          <w:szCs w:val="24"/>
          <w:lang w:val="en-US"/>
        </w:rPr>
        <w:t>.</w:t>
      </w:r>
      <w:r w:rsidR="00CF231C" w:rsidRPr="00CF231C">
        <w:rPr>
          <w:lang w:val="en-GB"/>
        </w:rPr>
        <w:t xml:space="preserve"> </w:t>
      </w:r>
      <w:r w:rsidR="00CF231C" w:rsidRPr="007D31A7">
        <w:rPr>
          <w:sz w:val="24"/>
          <w:szCs w:val="24"/>
          <w:lang w:val="en-GB"/>
        </w:rPr>
        <w:t xml:space="preserve">On average the DBS alpha glucosidase activity </w:t>
      </w:r>
      <w:r w:rsidR="00BC29F7" w:rsidRPr="007D31A7">
        <w:rPr>
          <w:sz w:val="24"/>
          <w:szCs w:val="24"/>
          <w:lang w:val="en-GB"/>
        </w:rPr>
        <w:t xml:space="preserve">with </w:t>
      </w:r>
      <w:r w:rsidR="00EF15B7">
        <w:rPr>
          <w:sz w:val="24"/>
          <w:szCs w:val="24"/>
          <w:lang w:val="en-GB"/>
        </w:rPr>
        <w:t xml:space="preserve">the specific </w:t>
      </w:r>
      <w:r w:rsidR="00BC29F7" w:rsidRPr="007D31A7">
        <w:rPr>
          <w:sz w:val="24"/>
          <w:szCs w:val="24"/>
          <w:lang w:val="en-GB"/>
        </w:rPr>
        <w:t>inhibitor</w:t>
      </w:r>
      <w:r w:rsidR="00EF15B7">
        <w:rPr>
          <w:sz w:val="24"/>
          <w:szCs w:val="24"/>
          <w:lang w:val="en-GB"/>
        </w:rPr>
        <w:t xml:space="preserve"> acrabose</w:t>
      </w:r>
      <w:r w:rsidR="00BC29F7" w:rsidRPr="007D31A7">
        <w:rPr>
          <w:sz w:val="24"/>
          <w:szCs w:val="24"/>
          <w:lang w:val="en-GB"/>
        </w:rPr>
        <w:t xml:space="preserve"> </w:t>
      </w:r>
      <w:r w:rsidR="00CF231C" w:rsidRPr="007D31A7">
        <w:rPr>
          <w:sz w:val="24"/>
          <w:szCs w:val="24"/>
          <w:lang w:val="en-GB"/>
        </w:rPr>
        <w:t xml:space="preserve">was </w:t>
      </w:r>
      <w:r w:rsidR="00CF231C" w:rsidRPr="00790FFE">
        <w:rPr>
          <w:sz w:val="24"/>
          <w:szCs w:val="24"/>
          <w:lang w:val="en-GB"/>
        </w:rPr>
        <w:t>1.73 nmol/punch*21 h (median</w:t>
      </w:r>
      <w:r w:rsidR="00CF231C">
        <w:rPr>
          <w:sz w:val="24"/>
          <w:szCs w:val="24"/>
          <w:lang w:val="en-GB"/>
        </w:rPr>
        <w:t xml:space="preserve"> </w:t>
      </w:r>
      <w:r w:rsidR="00CF231C" w:rsidRPr="00CF231C">
        <w:rPr>
          <w:sz w:val="24"/>
          <w:szCs w:val="24"/>
          <w:lang w:val="en-GB"/>
        </w:rPr>
        <w:t>1.22 nmol/punch*21 h</w:t>
      </w:r>
      <w:r w:rsidR="00CF231C">
        <w:rPr>
          <w:sz w:val="24"/>
          <w:szCs w:val="24"/>
          <w:lang w:val="en-GB"/>
        </w:rPr>
        <w:t>)</w:t>
      </w:r>
      <w:r w:rsidR="00790FFE">
        <w:rPr>
          <w:sz w:val="24"/>
          <w:szCs w:val="24"/>
          <w:lang w:val="en-GB"/>
        </w:rPr>
        <w:t xml:space="preserve"> in non-affected individuals</w:t>
      </w:r>
      <w:r w:rsidR="00CF231C">
        <w:rPr>
          <w:sz w:val="24"/>
          <w:szCs w:val="24"/>
          <w:lang w:val="en-GB"/>
        </w:rPr>
        <w:t xml:space="preserve">. </w:t>
      </w:r>
      <w:r w:rsidR="00790FFE">
        <w:rPr>
          <w:sz w:val="24"/>
          <w:szCs w:val="24"/>
          <w:lang w:val="en-GB"/>
        </w:rPr>
        <w:t xml:space="preserve">In contrast, </w:t>
      </w:r>
      <w:r w:rsidR="00CF231C">
        <w:rPr>
          <w:sz w:val="24"/>
          <w:szCs w:val="24"/>
          <w:lang w:val="en-GB"/>
        </w:rPr>
        <w:t>all finally confirmed 74 Pompe patients</w:t>
      </w:r>
      <w:r w:rsidR="00790FFE">
        <w:rPr>
          <w:sz w:val="24"/>
          <w:szCs w:val="24"/>
          <w:lang w:val="en-GB"/>
        </w:rPr>
        <w:t xml:space="preserve"> showed an</w:t>
      </w:r>
      <w:r w:rsidR="00CF231C">
        <w:rPr>
          <w:sz w:val="24"/>
          <w:szCs w:val="24"/>
          <w:lang w:val="en-GB"/>
        </w:rPr>
        <w:t xml:space="preserve"> average alpha glucosidase activity with inhibitor </w:t>
      </w:r>
      <w:r w:rsidR="00823E03">
        <w:rPr>
          <w:sz w:val="24"/>
          <w:szCs w:val="24"/>
          <w:lang w:val="en-GB"/>
        </w:rPr>
        <w:t xml:space="preserve">of </w:t>
      </w:r>
      <w:r w:rsidR="00823E03" w:rsidRPr="00CF231C">
        <w:rPr>
          <w:sz w:val="24"/>
          <w:szCs w:val="24"/>
          <w:lang w:val="en-GB"/>
        </w:rPr>
        <w:t>0.18</w:t>
      </w:r>
      <w:r w:rsidR="00CF231C" w:rsidRPr="00CF231C">
        <w:rPr>
          <w:sz w:val="24"/>
          <w:szCs w:val="24"/>
          <w:lang w:val="en-GB"/>
        </w:rPr>
        <w:t xml:space="preserve"> nmol/punch*21 h (median 0.12</w:t>
      </w:r>
      <w:r w:rsidR="00CF231C">
        <w:rPr>
          <w:sz w:val="24"/>
          <w:szCs w:val="24"/>
          <w:lang w:val="en-GB"/>
        </w:rPr>
        <w:t xml:space="preserve"> nmol/punch*21h</w:t>
      </w:r>
      <w:r w:rsidR="00CF231C" w:rsidRPr="00CF231C">
        <w:rPr>
          <w:sz w:val="24"/>
          <w:szCs w:val="24"/>
          <w:lang w:val="en-GB"/>
        </w:rPr>
        <w:t>)</w:t>
      </w:r>
      <w:r w:rsidR="00CF231C">
        <w:rPr>
          <w:sz w:val="24"/>
          <w:szCs w:val="24"/>
          <w:lang w:val="en-GB"/>
        </w:rPr>
        <w:t xml:space="preserve">. </w:t>
      </w:r>
      <w:r>
        <w:rPr>
          <w:sz w:val="24"/>
          <w:szCs w:val="24"/>
          <w:lang w:val="en-US"/>
        </w:rPr>
        <w:t>42</w:t>
      </w:r>
      <w:r w:rsidR="005C41E1" w:rsidRPr="005C41E1">
        <w:rPr>
          <w:sz w:val="24"/>
          <w:szCs w:val="24"/>
          <w:lang w:val="en-US"/>
        </w:rPr>
        <w:t xml:space="preserve"> women </w:t>
      </w:r>
      <w:r w:rsidR="00CF231C">
        <w:rPr>
          <w:sz w:val="24"/>
          <w:szCs w:val="24"/>
          <w:lang w:val="en-US"/>
        </w:rPr>
        <w:t xml:space="preserve">(56%) </w:t>
      </w:r>
      <w:r w:rsidR="005C41E1" w:rsidRPr="005C41E1">
        <w:rPr>
          <w:sz w:val="24"/>
          <w:szCs w:val="24"/>
          <w:lang w:val="en-US"/>
        </w:rPr>
        <w:t xml:space="preserve">and </w:t>
      </w:r>
      <w:r>
        <w:rPr>
          <w:sz w:val="24"/>
          <w:szCs w:val="24"/>
          <w:lang w:val="en-US"/>
        </w:rPr>
        <w:t>32</w:t>
      </w:r>
      <w:r w:rsidR="005C41E1" w:rsidRPr="005C41E1">
        <w:rPr>
          <w:sz w:val="24"/>
          <w:szCs w:val="24"/>
          <w:lang w:val="en-US"/>
        </w:rPr>
        <w:t xml:space="preserve"> m</w:t>
      </w:r>
      <w:r w:rsidR="000F1826">
        <w:rPr>
          <w:sz w:val="24"/>
          <w:szCs w:val="24"/>
          <w:lang w:val="en-US"/>
        </w:rPr>
        <w:t>e</w:t>
      </w:r>
      <w:r w:rsidR="005C41E1" w:rsidRPr="005C41E1">
        <w:rPr>
          <w:sz w:val="24"/>
          <w:szCs w:val="24"/>
          <w:lang w:val="en-US"/>
        </w:rPr>
        <w:t xml:space="preserve">n were </w:t>
      </w:r>
      <w:r w:rsidR="00DA4ED4">
        <w:rPr>
          <w:sz w:val="24"/>
          <w:szCs w:val="24"/>
          <w:lang w:val="en-US"/>
        </w:rPr>
        <w:t xml:space="preserve">finally </w:t>
      </w:r>
      <w:r w:rsidR="005C41E1" w:rsidRPr="005C41E1">
        <w:rPr>
          <w:sz w:val="24"/>
          <w:szCs w:val="24"/>
          <w:lang w:val="en-US"/>
        </w:rPr>
        <w:t>diagnosed</w:t>
      </w:r>
      <w:r w:rsidR="000F1826">
        <w:rPr>
          <w:sz w:val="24"/>
          <w:szCs w:val="24"/>
          <w:lang w:val="en-US"/>
        </w:rPr>
        <w:t xml:space="preserve"> </w:t>
      </w:r>
      <w:r w:rsidR="00410614">
        <w:rPr>
          <w:sz w:val="24"/>
          <w:szCs w:val="24"/>
          <w:lang w:val="en-US"/>
        </w:rPr>
        <w:t xml:space="preserve">by mutational analysis </w:t>
      </w:r>
      <w:r w:rsidR="00401AC4">
        <w:rPr>
          <w:sz w:val="24"/>
          <w:szCs w:val="24"/>
          <w:lang w:val="en-US"/>
        </w:rPr>
        <w:t xml:space="preserve">as </w:t>
      </w:r>
      <w:r w:rsidR="00DA4ED4">
        <w:rPr>
          <w:sz w:val="24"/>
          <w:szCs w:val="24"/>
          <w:lang w:val="en-US"/>
        </w:rPr>
        <w:t xml:space="preserve">having </w:t>
      </w:r>
      <w:r>
        <w:rPr>
          <w:sz w:val="24"/>
          <w:szCs w:val="24"/>
          <w:lang w:val="en-US"/>
        </w:rPr>
        <w:t>late-onset</w:t>
      </w:r>
      <w:r w:rsidR="005C41E1" w:rsidRPr="005C41E1">
        <w:rPr>
          <w:sz w:val="24"/>
          <w:szCs w:val="24"/>
          <w:lang w:val="en-US"/>
        </w:rPr>
        <w:t xml:space="preserve"> Pompe disease. Sequencing of the </w:t>
      </w:r>
      <w:r w:rsidR="005C41E1" w:rsidRPr="00D20676">
        <w:rPr>
          <w:i/>
          <w:sz w:val="24"/>
          <w:szCs w:val="24"/>
          <w:lang w:val="en-US"/>
        </w:rPr>
        <w:t>GAA</w:t>
      </w:r>
      <w:r w:rsidR="005C41E1" w:rsidRPr="005C41E1">
        <w:rPr>
          <w:sz w:val="24"/>
          <w:szCs w:val="24"/>
          <w:lang w:val="en-US"/>
        </w:rPr>
        <w:t xml:space="preserve"> gene</w:t>
      </w:r>
      <w:r w:rsidR="000F1826">
        <w:rPr>
          <w:sz w:val="24"/>
          <w:szCs w:val="24"/>
          <w:lang w:val="en-US"/>
        </w:rPr>
        <w:t xml:space="preserve"> </w:t>
      </w:r>
      <w:r w:rsidR="005C41E1" w:rsidRPr="005C41E1">
        <w:rPr>
          <w:sz w:val="24"/>
          <w:szCs w:val="24"/>
          <w:lang w:val="en-US"/>
        </w:rPr>
        <w:t>revealed</w:t>
      </w:r>
      <w:r w:rsidR="00932539">
        <w:rPr>
          <w:sz w:val="24"/>
          <w:szCs w:val="24"/>
          <w:lang w:val="en-US"/>
        </w:rPr>
        <w:t xml:space="preserve"> two </w:t>
      </w:r>
      <w:r w:rsidR="00823E03">
        <w:rPr>
          <w:sz w:val="24"/>
          <w:szCs w:val="24"/>
          <w:lang w:val="en-US"/>
        </w:rPr>
        <w:lastRenderedPageBreak/>
        <w:t xml:space="preserve">heterozygous </w:t>
      </w:r>
      <w:r w:rsidR="00823E03" w:rsidRPr="005C41E1">
        <w:rPr>
          <w:sz w:val="24"/>
          <w:szCs w:val="24"/>
          <w:lang w:val="en-US"/>
        </w:rPr>
        <w:t>known</w:t>
      </w:r>
      <w:r w:rsidR="005C41E1" w:rsidRPr="005C41E1">
        <w:rPr>
          <w:sz w:val="24"/>
          <w:szCs w:val="24"/>
          <w:lang w:val="en-US"/>
        </w:rPr>
        <w:t xml:space="preserve"> pathogenic</w:t>
      </w:r>
      <w:r w:rsidR="000F1826">
        <w:rPr>
          <w:sz w:val="24"/>
          <w:szCs w:val="24"/>
          <w:lang w:val="en-US"/>
        </w:rPr>
        <w:t xml:space="preserve"> </w:t>
      </w:r>
      <w:r w:rsidR="005C41E1" w:rsidRPr="005C41E1">
        <w:rPr>
          <w:sz w:val="24"/>
          <w:szCs w:val="24"/>
          <w:lang w:val="en-US"/>
        </w:rPr>
        <w:t>mutations</w:t>
      </w:r>
      <w:r>
        <w:rPr>
          <w:sz w:val="24"/>
          <w:szCs w:val="24"/>
          <w:lang w:val="en-US"/>
        </w:rPr>
        <w:t>, including</w:t>
      </w:r>
      <w:r w:rsidR="005C41E1" w:rsidRPr="005C41E1">
        <w:rPr>
          <w:sz w:val="24"/>
          <w:szCs w:val="24"/>
          <w:lang w:val="en-US"/>
        </w:rPr>
        <w:t xml:space="preserve"> </w:t>
      </w:r>
      <w:r>
        <w:rPr>
          <w:sz w:val="24"/>
          <w:szCs w:val="24"/>
          <w:lang w:val="en-US"/>
        </w:rPr>
        <w:t xml:space="preserve">the </w:t>
      </w:r>
      <w:r w:rsidR="00956FF6" w:rsidRPr="00956FF6">
        <w:rPr>
          <w:sz w:val="24"/>
          <w:szCs w:val="24"/>
          <w:lang w:val="en-US"/>
        </w:rPr>
        <w:t xml:space="preserve">common </w:t>
      </w:r>
      <w:r w:rsidR="00956FF6" w:rsidRPr="00D20676">
        <w:rPr>
          <w:i/>
          <w:sz w:val="24"/>
          <w:szCs w:val="24"/>
          <w:lang w:val="en-US"/>
        </w:rPr>
        <w:t>GAA</w:t>
      </w:r>
      <w:r w:rsidR="00956FF6" w:rsidRPr="00956FF6">
        <w:rPr>
          <w:sz w:val="24"/>
          <w:szCs w:val="24"/>
          <w:lang w:val="en-US"/>
        </w:rPr>
        <w:t xml:space="preserve"> gene splice site mutation c.-32-13T&gt;G </w:t>
      </w:r>
      <w:r>
        <w:rPr>
          <w:sz w:val="24"/>
          <w:szCs w:val="24"/>
          <w:lang w:val="en-US"/>
        </w:rPr>
        <w:t>on one allele in all patients</w:t>
      </w:r>
      <w:r w:rsidR="005C41E1" w:rsidRPr="005C41E1">
        <w:rPr>
          <w:sz w:val="24"/>
          <w:szCs w:val="24"/>
          <w:lang w:val="en-US"/>
        </w:rPr>
        <w:t xml:space="preserve">, confirming the diagnosis. </w:t>
      </w:r>
      <w:r>
        <w:rPr>
          <w:sz w:val="24"/>
          <w:szCs w:val="24"/>
          <w:lang w:val="en-US"/>
        </w:rPr>
        <w:t>1</w:t>
      </w:r>
      <w:r w:rsidR="00ED230F">
        <w:rPr>
          <w:sz w:val="24"/>
          <w:szCs w:val="24"/>
          <w:lang w:val="en-US"/>
        </w:rPr>
        <w:t>47</w:t>
      </w:r>
      <w:r w:rsidR="005C41E1" w:rsidRPr="005C41E1">
        <w:rPr>
          <w:sz w:val="24"/>
          <w:szCs w:val="24"/>
          <w:lang w:val="en-US"/>
        </w:rPr>
        <w:t xml:space="preserve"> </w:t>
      </w:r>
      <w:r>
        <w:rPr>
          <w:sz w:val="24"/>
          <w:szCs w:val="24"/>
          <w:lang w:val="en-US"/>
        </w:rPr>
        <w:t xml:space="preserve">possible </w:t>
      </w:r>
      <w:r w:rsidR="005C41E1" w:rsidRPr="005C41E1">
        <w:rPr>
          <w:sz w:val="24"/>
          <w:szCs w:val="24"/>
          <w:lang w:val="en-US"/>
        </w:rPr>
        <w:t>carriers of Pompe disease were also identified</w:t>
      </w:r>
      <w:r>
        <w:rPr>
          <w:sz w:val="24"/>
          <w:szCs w:val="24"/>
          <w:lang w:val="en-US"/>
        </w:rPr>
        <w:t xml:space="preserve"> by </w:t>
      </w:r>
      <w:r w:rsidR="007A0CB8">
        <w:rPr>
          <w:sz w:val="24"/>
          <w:szCs w:val="24"/>
          <w:lang w:val="en-US"/>
        </w:rPr>
        <w:t xml:space="preserve">borderline </w:t>
      </w:r>
      <w:r w:rsidR="00956FF6">
        <w:rPr>
          <w:sz w:val="24"/>
          <w:szCs w:val="24"/>
          <w:lang w:val="en-US"/>
        </w:rPr>
        <w:t xml:space="preserve">GAA </w:t>
      </w:r>
      <w:r w:rsidR="00DA4ED4">
        <w:rPr>
          <w:sz w:val="24"/>
          <w:szCs w:val="24"/>
          <w:lang w:val="en-US"/>
        </w:rPr>
        <w:t>enzyme activ</w:t>
      </w:r>
      <w:r w:rsidR="00354FDF">
        <w:rPr>
          <w:sz w:val="24"/>
          <w:szCs w:val="24"/>
          <w:lang w:val="en-US"/>
        </w:rPr>
        <w:t>ity</w:t>
      </w:r>
      <w:r w:rsidR="00AB2A8A">
        <w:rPr>
          <w:sz w:val="24"/>
          <w:szCs w:val="24"/>
          <w:lang w:val="en-US"/>
        </w:rPr>
        <w:t xml:space="preserve">. </w:t>
      </w:r>
      <w:r>
        <w:rPr>
          <w:sz w:val="24"/>
          <w:szCs w:val="24"/>
          <w:lang w:val="en-US"/>
        </w:rPr>
        <w:t>11</w:t>
      </w:r>
      <w:r w:rsidR="000F1826">
        <w:rPr>
          <w:sz w:val="24"/>
          <w:szCs w:val="24"/>
          <w:lang w:val="en-US"/>
        </w:rPr>
        <w:t xml:space="preserve"> </w:t>
      </w:r>
      <w:r w:rsidR="00956FF6">
        <w:rPr>
          <w:sz w:val="24"/>
          <w:szCs w:val="24"/>
          <w:lang w:val="en-US"/>
        </w:rPr>
        <w:t>patients</w:t>
      </w:r>
      <w:r w:rsidR="005C41E1" w:rsidRPr="005C41E1">
        <w:rPr>
          <w:sz w:val="24"/>
          <w:szCs w:val="24"/>
          <w:lang w:val="en-US"/>
        </w:rPr>
        <w:t xml:space="preserve"> w</w:t>
      </w:r>
      <w:r>
        <w:rPr>
          <w:sz w:val="24"/>
          <w:szCs w:val="24"/>
          <w:lang w:val="en-US"/>
        </w:rPr>
        <w:t>ere</w:t>
      </w:r>
      <w:r w:rsidR="005C41E1" w:rsidRPr="005C41E1">
        <w:rPr>
          <w:sz w:val="24"/>
          <w:szCs w:val="24"/>
          <w:lang w:val="en-US"/>
        </w:rPr>
        <w:t xml:space="preserve"> found to be heterozygous for the</w:t>
      </w:r>
      <w:r w:rsidR="000F1826">
        <w:rPr>
          <w:sz w:val="24"/>
          <w:szCs w:val="24"/>
          <w:lang w:val="en-US"/>
        </w:rPr>
        <w:t xml:space="preserve"> </w:t>
      </w:r>
      <w:r w:rsidR="005C41E1" w:rsidRPr="005C41E1">
        <w:rPr>
          <w:sz w:val="24"/>
          <w:szCs w:val="24"/>
          <w:lang w:val="en-US"/>
        </w:rPr>
        <w:t xml:space="preserve">common </w:t>
      </w:r>
      <w:r>
        <w:rPr>
          <w:sz w:val="24"/>
          <w:szCs w:val="24"/>
          <w:lang w:val="en-US"/>
        </w:rPr>
        <w:t>splice site</w:t>
      </w:r>
      <w:r w:rsidR="000F1826">
        <w:rPr>
          <w:sz w:val="24"/>
          <w:szCs w:val="24"/>
          <w:lang w:val="en-US"/>
        </w:rPr>
        <w:t xml:space="preserve"> </w:t>
      </w:r>
      <w:r w:rsidR="00585557" w:rsidRPr="00D20676">
        <w:rPr>
          <w:i/>
          <w:sz w:val="24"/>
          <w:szCs w:val="24"/>
          <w:lang w:val="en-US"/>
        </w:rPr>
        <w:t>GAA</w:t>
      </w:r>
      <w:r w:rsidR="00585557">
        <w:rPr>
          <w:sz w:val="24"/>
          <w:szCs w:val="24"/>
          <w:lang w:val="en-US"/>
        </w:rPr>
        <w:t xml:space="preserve"> gene</w:t>
      </w:r>
      <w:r w:rsidR="005C41E1" w:rsidRPr="005C41E1">
        <w:rPr>
          <w:sz w:val="24"/>
          <w:szCs w:val="24"/>
          <w:lang w:val="en-US"/>
        </w:rPr>
        <w:t xml:space="preserve"> mutation c.-32-13T</w:t>
      </w:r>
      <w:r w:rsidR="00585557">
        <w:rPr>
          <w:sz w:val="24"/>
          <w:szCs w:val="24"/>
          <w:lang w:val="en-US"/>
        </w:rPr>
        <w:t>&gt;</w:t>
      </w:r>
      <w:r w:rsidR="00932539">
        <w:rPr>
          <w:sz w:val="24"/>
          <w:szCs w:val="24"/>
          <w:lang w:val="en-US"/>
        </w:rPr>
        <w:t>G</w:t>
      </w:r>
      <w:r w:rsidR="00956FF6">
        <w:rPr>
          <w:sz w:val="24"/>
          <w:szCs w:val="24"/>
          <w:lang w:val="en-US"/>
        </w:rPr>
        <w:t xml:space="preserve"> without detection of a second </w:t>
      </w:r>
      <w:r w:rsidR="00956FF6" w:rsidRPr="00D20676">
        <w:rPr>
          <w:i/>
          <w:sz w:val="24"/>
          <w:szCs w:val="24"/>
          <w:lang w:val="en-US"/>
        </w:rPr>
        <w:t>GAA</w:t>
      </w:r>
      <w:r w:rsidR="00956FF6">
        <w:rPr>
          <w:sz w:val="24"/>
          <w:szCs w:val="24"/>
          <w:lang w:val="en-US"/>
        </w:rPr>
        <w:t xml:space="preserve"> gene mutation</w:t>
      </w:r>
      <w:r w:rsidR="005C41E1" w:rsidRPr="005C41E1">
        <w:rPr>
          <w:sz w:val="24"/>
          <w:szCs w:val="24"/>
          <w:lang w:val="en-US"/>
        </w:rPr>
        <w:t xml:space="preserve">. </w:t>
      </w:r>
    </w:p>
    <w:p w:rsidR="00370E0F" w:rsidRPr="00D9334A" w:rsidRDefault="00E0686C" w:rsidP="00BD2738">
      <w:pPr>
        <w:spacing w:line="480" w:lineRule="auto"/>
        <w:outlineLvl w:val="0"/>
        <w:rPr>
          <w:b/>
          <w:sz w:val="24"/>
          <w:szCs w:val="24"/>
          <w:lang w:val="en-US"/>
        </w:rPr>
      </w:pPr>
      <w:r>
        <w:rPr>
          <w:b/>
          <w:sz w:val="24"/>
          <w:szCs w:val="24"/>
          <w:lang w:val="en-US"/>
        </w:rPr>
        <w:t>DISCUSSION</w:t>
      </w:r>
    </w:p>
    <w:p w:rsidR="0058392C" w:rsidRPr="0058392C" w:rsidRDefault="00956FF6" w:rsidP="0058392C">
      <w:pPr>
        <w:spacing w:line="480" w:lineRule="auto"/>
        <w:rPr>
          <w:b/>
          <w:sz w:val="24"/>
          <w:szCs w:val="24"/>
          <w:lang w:val="en-GB"/>
        </w:rPr>
      </w:pPr>
      <w:r>
        <w:rPr>
          <w:sz w:val="24"/>
          <w:szCs w:val="24"/>
          <w:lang w:val="en-US"/>
        </w:rPr>
        <w:t xml:space="preserve">This is the </w:t>
      </w:r>
      <w:r w:rsidR="00932AF1">
        <w:rPr>
          <w:sz w:val="24"/>
          <w:szCs w:val="24"/>
          <w:lang w:val="en-US"/>
        </w:rPr>
        <w:t>large</w:t>
      </w:r>
      <w:r>
        <w:rPr>
          <w:sz w:val="24"/>
          <w:szCs w:val="24"/>
          <w:lang w:val="en-US"/>
        </w:rPr>
        <w:t>st</w:t>
      </w:r>
      <w:r w:rsidR="00932AF1">
        <w:rPr>
          <w:sz w:val="24"/>
          <w:szCs w:val="24"/>
          <w:lang w:val="en-US"/>
        </w:rPr>
        <w:t xml:space="preserve"> prospective cohort screening for </w:t>
      </w:r>
      <w:r w:rsidR="002D1552">
        <w:rPr>
          <w:sz w:val="24"/>
          <w:szCs w:val="24"/>
          <w:lang w:val="en-US"/>
        </w:rPr>
        <w:t>late-onset</w:t>
      </w:r>
      <w:r w:rsidR="00932AF1">
        <w:rPr>
          <w:sz w:val="24"/>
          <w:szCs w:val="24"/>
          <w:lang w:val="en-US"/>
        </w:rPr>
        <w:t xml:space="preserve"> </w:t>
      </w:r>
      <w:r w:rsidR="00932AF1" w:rsidRPr="00932AF1">
        <w:rPr>
          <w:sz w:val="24"/>
          <w:szCs w:val="24"/>
          <w:lang w:val="en-US"/>
        </w:rPr>
        <w:t>Pompe disease</w:t>
      </w:r>
      <w:r>
        <w:rPr>
          <w:sz w:val="24"/>
          <w:szCs w:val="24"/>
          <w:lang w:val="en-US"/>
        </w:rPr>
        <w:t xml:space="preserve"> in </w:t>
      </w:r>
      <w:r w:rsidR="00932AF1" w:rsidRPr="00932AF1">
        <w:rPr>
          <w:sz w:val="24"/>
          <w:szCs w:val="24"/>
          <w:lang w:val="en-US"/>
        </w:rPr>
        <w:t>a population of unclassified muscle diseases</w:t>
      </w:r>
      <w:r w:rsidR="00932AF1">
        <w:rPr>
          <w:sz w:val="24"/>
          <w:szCs w:val="24"/>
          <w:lang w:val="en-US"/>
        </w:rPr>
        <w:t xml:space="preserve"> so far.</w:t>
      </w:r>
      <w:r w:rsidR="00932AF1" w:rsidRPr="00932AF1">
        <w:rPr>
          <w:sz w:val="24"/>
          <w:szCs w:val="24"/>
          <w:lang w:val="en-US"/>
        </w:rPr>
        <w:t xml:space="preserve"> </w:t>
      </w:r>
      <w:r w:rsidR="007A0CB8">
        <w:rPr>
          <w:sz w:val="24"/>
          <w:szCs w:val="24"/>
          <w:lang w:val="en-US"/>
        </w:rPr>
        <w:t>T</w:t>
      </w:r>
      <w:r w:rsidR="00932AF1" w:rsidRPr="00932AF1">
        <w:rPr>
          <w:sz w:val="24"/>
          <w:szCs w:val="24"/>
          <w:lang w:val="en-US"/>
        </w:rPr>
        <w:t xml:space="preserve">he </w:t>
      </w:r>
      <w:r w:rsidR="00932AF1">
        <w:rPr>
          <w:sz w:val="24"/>
          <w:szCs w:val="24"/>
          <w:lang w:val="en-US"/>
        </w:rPr>
        <w:t xml:space="preserve">screening </w:t>
      </w:r>
      <w:r w:rsidR="00932AF1" w:rsidRPr="00932AF1">
        <w:rPr>
          <w:sz w:val="24"/>
          <w:szCs w:val="24"/>
          <w:lang w:val="en-US"/>
        </w:rPr>
        <w:t xml:space="preserve">efficacy of DBS has been described in newborn screening </w:t>
      </w:r>
      <w:r w:rsidR="00932AF1">
        <w:rPr>
          <w:sz w:val="24"/>
          <w:szCs w:val="24"/>
          <w:lang w:val="en-US"/>
        </w:rPr>
        <w:t>and</w:t>
      </w:r>
      <w:r w:rsidR="00932AF1" w:rsidRPr="00932AF1">
        <w:rPr>
          <w:sz w:val="24"/>
          <w:szCs w:val="24"/>
          <w:lang w:val="en-US"/>
        </w:rPr>
        <w:t xml:space="preserve"> </w:t>
      </w:r>
      <w:r w:rsidR="00932AF1">
        <w:rPr>
          <w:sz w:val="24"/>
          <w:szCs w:val="24"/>
          <w:lang w:val="en-US"/>
        </w:rPr>
        <w:t xml:space="preserve">other </w:t>
      </w:r>
      <w:r w:rsidR="002D1552">
        <w:rPr>
          <w:sz w:val="24"/>
          <w:szCs w:val="24"/>
          <w:lang w:val="en-US"/>
        </w:rPr>
        <w:t xml:space="preserve">smaller </w:t>
      </w:r>
      <w:r>
        <w:rPr>
          <w:sz w:val="24"/>
          <w:szCs w:val="24"/>
          <w:lang w:val="en-US"/>
        </w:rPr>
        <w:t xml:space="preserve">focused </w:t>
      </w:r>
      <w:r w:rsidR="00932AF1" w:rsidRPr="00932AF1">
        <w:rPr>
          <w:sz w:val="24"/>
          <w:szCs w:val="24"/>
          <w:lang w:val="en-US"/>
        </w:rPr>
        <w:t>studies in Pompe disease</w:t>
      </w:r>
      <w:r>
        <w:rPr>
          <w:sz w:val="24"/>
          <w:szCs w:val="24"/>
          <w:lang w:val="en-US"/>
        </w:rPr>
        <w:t xml:space="preserve"> </w:t>
      </w:r>
      <w:r w:rsidR="008666DC" w:rsidRPr="00CD58A3">
        <w:rPr>
          <w:sz w:val="24"/>
          <w:szCs w:val="24"/>
          <w:lang w:val="en-US"/>
        </w:rPr>
        <w:t>(</w:t>
      </w:r>
      <w:r w:rsidR="002D1552" w:rsidRPr="00CD58A3">
        <w:rPr>
          <w:sz w:val="24"/>
          <w:szCs w:val="24"/>
          <w:lang w:val="en-US"/>
        </w:rPr>
        <w:t xml:space="preserve">table </w:t>
      </w:r>
      <w:r w:rsidR="0024103C">
        <w:rPr>
          <w:sz w:val="24"/>
          <w:szCs w:val="24"/>
          <w:lang w:val="en-US"/>
        </w:rPr>
        <w:t>2</w:t>
      </w:r>
      <w:r w:rsidR="008666DC" w:rsidRPr="00CD58A3">
        <w:rPr>
          <w:sz w:val="24"/>
          <w:szCs w:val="24"/>
          <w:lang w:val="en-US"/>
        </w:rPr>
        <w:t>)</w:t>
      </w:r>
      <w:r w:rsidR="00CD58A3" w:rsidRPr="00CD58A3">
        <w:rPr>
          <w:sz w:val="24"/>
          <w:szCs w:val="24"/>
          <w:lang w:val="en-US"/>
        </w:rPr>
        <w:t>.</w:t>
      </w:r>
      <w:r w:rsidR="00CD58A3" w:rsidRPr="00CD58A3">
        <w:rPr>
          <w:sz w:val="24"/>
          <w:szCs w:val="24"/>
          <w:vertAlign w:val="superscript"/>
          <w:lang w:val="en-US"/>
        </w:rPr>
        <w:t>6-1</w:t>
      </w:r>
      <w:r w:rsidR="00CD5896">
        <w:rPr>
          <w:sz w:val="24"/>
          <w:szCs w:val="24"/>
          <w:vertAlign w:val="superscript"/>
          <w:lang w:val="en-US"/>
        </w:rPr>
        <w:t>2</w:t>
      </w:r>
      <w:r w:rsidR="008666DC">
        <w:rPr>
          <w:sz w:val="24"/>
          <w:szCs w:val="24"/>
          <w:lang w:val="en-US"/>
        </w:rPr>
        <w:t xml:space="preserve"> </w:t>
      </w:r>
      <w:r w:rsidR="00932AF1" w:rsidRPr="00932AF1">
        <w:rPr>
          <w:sz w:val="24"/>
          <w:szCs w:val="24"/>
          <w:lang w:val="en-US"/>
        </w:rPr>
        <w:t xml:space="preserve"> </w:t>
      </w:r>
      <w:r w:rsidR="0058392C" w:rsidRPr="00CB4B18">
        <w:rPr>
          <w:sz w:val="24"/>
          <w:szCs w:val="24"/>
          <w:lang w:val="en-US"/>
        </w:rPr>
        <w:t xml:space="preserve">All </w:t>
      </w:r>
      <w:r w:rsidR="0058392C">
        <w:rPr>
          <w:sz w:val="24"/>
          <w:szCs w:val="24"/>
          <w:lang w:val="en-US"/>
        </w:rPr>
        <w:t xml:space="preserve">of our </w:t>
      </w:r>
      <w:r w:rsidR="0058392C" w:rsidRPr="00CB4B18">
        <w:rPr>
          <w:sz w:val="24"/>
          <w:szCs w:val="24"/>
          <w:lang w:val="en-US"/>
        </w:rPr>
        <w:t xml:space="preserve">newly diagnosed </w:t>
      </w:r>
      <w:r w:rsidR="00F33D74">
        <w:rPr>
          <w:sz w:val="24"/>
          <w:szCs w:val="24"/>
          <w:lang w:val="en-US"/>
        </w:rPr>
        <w:t xml:space="preserve">74 </w:t>
      </w:r>
      <w:r w:rsidR="0058392C" w:rsidRPr="00CB4B18">
        <w:rPr>
          <w:sz w:val="24"/>
          <w:szCs w:val="24"/>
          <w:lang w:val="en-US"/>
        </w:rPr>
        <w:t>Pompe patients revealed the</w:t>
      </w:r>
      <w:r w:rsidR="0058392C">
        <w:rPr>
          <w:sz w:val="24"/>
          <w:szCs w:val="24"/>
          <w:lang w:val="en-US"/>
        </w:rPr>
        <w:t xml:space="preserve"> </w:t>
      </w:r>
      <w:r w:rsidR="0058392C" w:rsidRPr="00CB4B18">
        <w:rPr>
          <w:sz w:val="24"/>
          <w:szCs w:val="24"/>
          <w:lang w:val="en-US"/>
        </w:rPr>
        <w:t>clinical key elements</w:t>
      </w:r>
      <w:r w:rsidR="0058392C">
        <w:rPr>
          <w:sz w:val="24"/>
          <w:szCs w:val="24"/>
          <w:lang w:val="en-US"/>
        </w:rPr>
        <w:t xml:space="preserve"> of late-onset Pompe di</w:t>
      </w:r>
      <w:r w:rsidR="008B1088">
        <w:rPr>
          <w:sz w:val="24"/>
          <w:szCs w:val="24"/>
          <w:lang w:val="en-US"/>
        </w:rPr>
        <w:t>s</w:t>
      </w:r>
      <w:r w:rsidR="0058392C">
        <w:rPr>
          <w:sz w:val="24"/>
          <w:szCs w:val="24"/>
          <w:lang w:val="en-US"/>
        </w:rPr>
        <w:t>ease (table 1)</w:t>
      </w:r>
      <w:r w:rsidR="0058392C" w:rsidRPr="00CB4B18">
        <w:rPr>
          <w:sz w:val="24"/>
          <w:szCs w:val="24"/>
          <w:lang w:val="en-US"/>
        </w:rPr>
        <w:t>.</w:t>
      </w:r>
      <w:r w:rsidR="0058392C" w:rsidRPr="00370E0F">
        <w:rPr>
          <w:sz w:val="24"/>
          <w:szCs w:val="24"/>
          <w:lang w:val="en-US"/>
        </w:rPr>
        <w:t xml:space="preserve"> </w:t>
      </w:r>
      <w:r w:rsidR="00370E0F" w:rsidRPr="00370E0F">
        <w:rPr>
          <w:sz w:val="24"/>
          <w:szCs w:val="24"/>
          <w:lang w:val="en-US"/>
        </w:rPr>
        <w:t xml:space="preserve">In </w:t>
      </w:r>
      <w:r w:rsidR="002D1552">
        <w:rPr>
          <w:sz w:val="24"/>
          <w:szCs w:val="24"/>
          <w:lang w:val="en-US"/>
        </w:rPr>
        <w:t>our</w:t>
      </w:r>
      <w:r w:rsidR="00932AF1">
        <w:rPr>
          <w:sz w:val="24"/>
          <w:szCs w:val="24"/>
          <w:lang w:val="en-US"/>
        </w:rPr>
        <w:t xml:space="preserve"> </w:t>
      </w:r>
      <w:r w:rsidR="00370E0F" w:rsidRPr="00370E0F">
        <w:rPr>
          <w:sz w:val="24"/>
          <w:szCs w:val="24"/>
          <w:lang w:val="en-US"/>
        </w:rPr>
        <w:t>study</w:t>
      </w:r>
      <w:r w:rsidR="008666DC">
        <w:rPr>
          <w:sz w:val="24"/>
          <w:szCs w:val="24"/>
          <w:lang w:val="en-US"/>
        </w:rPr>
        <w:t xml:space="preserve"> t</w:t>
      </w:r>
      <w:r w:rsidR="00370E0F" w:rsidRPr="00370E0F">
        <w:rPr>
          <w:sz w:val="24"/>
          <w:szCs w:val="24"/>
          <w:lang w:val="en-US"/>
        </w:rPr>
        <w:t xml:space="preserve">he main finding </w:t>
      </w:r>
      <w:r w:rsidR="008666DC">
        <w:rPr>
          <w:sz w:val="24"/>
          <w:szCs w:val="24"/>
          <w:lang w:val="en-US"/>
        </w:rPr>
        <w:t>i</w:t>
      </w:r>
      <w:r w:rsidR="00370E0F" w:rsidRPr="00370E0F">
        <w:rPr>
          <w:sz w:val="24"/>
          <w:szCs w:val="24"/>
          <w:lang w:val="en-US"/>
        </w:rPr>
        <w:t xml:space="preserve">s </w:t>
      </w:r>
      <w:r w:rsidR="00CB4B18">
        <w:rPr>
          <w:sz w:val="24"/>
          <w:szCs w:val="24"/>
          <w:lang w:val="en-US"/>
        </w:rPr>
        <w:t xml:space="preserve">the prevalence of adult Pompe disease </w:t>
      </w:r>
      <w:r w:rsidR="007A0CB8">
        <w:rPr>
          <w:sz w:val="24"/>
          <w:szCs w:val="24"/>
          <w:lang w:val="en-US"/>
        </w:rPr>
        <w:t xml:space="preserve">of </w:t>
      </w:r>
      <w:r w:rsidR="00E73425">
        <w:rPr>
          <w:sz w:val="24"/>
          <w:szCs w:val="24"/>
          <w:lang w:val="en-US"/>
        </w:rPr>
        <w:t>2.</w:t>
      </w:r>
      <w:r w:rsidR="00CD58A3">
        <w:rPr>
          <w:sz w:val="24"/>
          <w:szCs w:val="24"/>
          <w:lang w:val="en-US"/>
        </w:rPr>
        <w:t>4</w:t>
      </w:r>
      <w:r w:rsidR="00E73425">
        <w:rPr>
          <w:sz w:val="24"/>
          <w:szCs w:val="24"/>
          <w:lang w:val="en-US"/>
        </w:rPr>
        <w:t>%</w:t>
      </w:r>
      <w:r w:rsidR="00370E0F" w:rsidRPr="00370E0F">
        <w:rPr>
          <w:sz w:val="24"/>
          <w:szCs w:val="24"/>
          <w:lang w:val="en-US"/>
        </w:rPr>
        <w:t xml:space="preserve"> </w:t>
      </w:r>
      <w:r w:rsidR="00CB4B18">
        <w:rPr>
          <w:sz w:val="24"/>
          <w:szCs w:val="24"/>
          <w:lang w:val="en-US"/>
        </w:rPr>
        <w:t xml:space="preserve">in </w:t>
      </w:r>
      <w:r w:rsidR="00370E0F" w:rsidRPr="00370E0F">
        <w:rPr>
          <w:sz w:val="24"/>
          <w:szCs w:val="24"/>
          <w:lang w:val="en-US"/>
        </w:rPr>
        <w:t xml:space="preserve">patients with </w:t>
      </w:r>
      <w:r w:rsidR="00E844DD" w:rsidRPr="00370E0F">
        <w:rPr>
          <w:sz w:val="24"/>
          <w:szCs w:val="24"/>
          <w:lang w:val="en-US"/>
        </w:rPr>
        <w:t>unclassified</w:t>
      </w:r>
      <w:r w:rsidR="00370E0F" w:rsidRPr="00370E0F">
        <w:rPr>
          <w:sz w:val="24"/>
          <w:szCs w:val="24"/>
          <w:lang w:val="en-US"/>
        </w:rPr>
        <w:t xml:space="preserve"> </w:t>
      </w:r>
      <w:r w:rsidR="00245A26">
        <w:rPr>
          <w:sz w:val="24"/>
          <w:szCs w:val="24"/>
          <w:lang w:val="en-US"/>
        </w:rPr>
        <w:t>LGMW</w:t>
      </w:r>
      <w:r w:rsidR="00D9334A">
        <w:rPr>
          <w:sz w:val="24"/>
          <w:szCs w:val="24"/>
          <w:lang w:val="en-US"/>
        </w:rPr>
        <w:t xml:space="preserve"> </w:t>
      </w:r>
      <w:r w:rsidR="00E73425">
        <w:rPr>
          <w:sz w:val="24"/>
          <w:szCs w:val="24"/>
          <w:lang w:val="en-US"/>
        </w:rPr>
        <w:t>and/or hyperCKemia</w:t>
      </w:r>
      <w:r w:rsidR="00370E0F" w:rsidRPr="00370E0F">
        <w:rPr>
          <w:sz w:val="24"/>
          <w:szCs w:val="24"/>
          <w:lang w:val="en-US"/>
        </w:rPr>
        <w:t>.</w:t>
      </w:r>
      <w:r w:rsidR="008666DC">
        <w:rPr>
          <w:sz w:val="24"/>
          <w:szCs w:val="24"/>
          <w:lang w:val="en-US"/>
        </w:rPr>
        <w:t xml:space="preserve"> </w:t>
      </w:r>
      <w:r w:rsidR="00CD58A3">
        <w:rPr>
          <w:sz w:val="24"/>
          <w:szCs w:val="24"/>
          <w:lang w:val="en-US"/>
        </w:rPr>
        <w:t xml:space="preserve">This finding is in accordance with published smaller studies, </w:t>
      </w:r>
      <w:r w:rsidR="007A0CB8">
        <w:rPr>
          <w:sz w:val="24"/>
          <w:szCs w:val="24"/>
          <w:lang w:val="en-US"/>
        </w:rPr>
        <w:t xml:space="preserve">with </w:t>
      </w:r>
      <w:r w:rsidR="00CD58A3">
        <w:rPr>
          <w:sz w:val="24"/>
          <w:szCs w:val="24"/>
          <w:lang w:val="en-US"/>
        </w:rPr>
        <w:t>a combined prevalence of 2.</w:t>
      </w:r>
      <w:r w:rsidR="00CD5896">
        <w:rPr>
          <w:sz w:val="24"/>
          <w:szCs w:val="24"/>
          <w:lang w:val="en-US"/>
        </w:rPr>
        <w:t>5</w:t>
      </w:r>
      <w:r w:rsidR="00CD58A3">
        <w:rPr>
          <w:sz w:val="24"/>
          <w:szCs w:val="24"/>
          <w:lang w:val="en-US"/>
        </w:rPr>
        <w:t>%.</w:t>
      </w:r>
      <w:r w:rsidR="00CD58A3" w:rsidRPr="00CD58A3">
        <w:rPr>
          <w:sz w:val="24"/>
          <w:szCs w:val="24"/>
          <w:vertAlign w:val="superscript"/>
          <w:lang w:val="en-US"/>
        </w:rPr>
        <w:t>6-1</w:t>
      </w:r>
      <w:r w:rsidR="00CD58A3">
        <w:rPr>
          <w:sz w:val="24"/>
          <w:szCs w:val="24"/>
          <w:lang w:val="en-US"/>
        </w:rPr>
        <w:t xml:space="preserve"> </w:t>
      </w:r>
      <w:r w:rsidR="00437EBB" w:rsidRPr="00437EBB">
        <w:rPr>
          <w:sz w:val="24"/>
          <w:szCs w:val="24"/>
          <w:lang w:val="en-GB"/>
        </w:rPr>
        <w:t>Although using similar fluor</w:t>
      </w:r>
      <w:r w:rsidR="00245A26">
        <w:rPr>
          <w:sz w:val="24"/>
          <w:szCs w:val="24"/>
          <w:lang w:val="en-GB"/>
        </w:rPr>
        <w:t>o</w:t>
      </w:r>
      <w:r w:rsidR="00437EBB" w:rsidRPr="00437EBB">
        <w:rPr>
          <w:sz w:val="24"/>
          <w:szCs w:val="24"/>
          <w:lang w:val="en-GB"/>
        </w:rPr>
        <w:t>metric assay</w:t>
      </w:r>
      <w:r w:rsidR="00245A26">
        <w:rPr>
          <w:sz w:val="24"/>
          <w:szCs w:val="24"/>
          <w:lang w:val="en-GB"/>
        </w:rPr>
        <w:t>s</w:t>
      </w:r>
      <w:r w:rsidR="00437EBB" w:rsidRPr="00437EBB">
        <w:rPr>
          <w:sz w:val="24"/>
          <w:szCs w:val="24"/>
          <w:lang w:val="en-GB"/>
        </w:rPr>
        <w:t xml:space="preserve">, all eight DBS </w:t>
      </w:r>
      <w:r w:rsidR="007A18D9">
        <w:rPr>
          <w:sz w:val="24"/>
          <w:szCs w:val="24"/>
          <w:lang w:val="en-GB"/>
        </w:rPr>
        <w:t xml:space="preserve">screening </w:t>
      </w:r>
      <w:r w:rsidR="00437EBB" w:rsidRPr="00437EBB">
        <w:rPr>
          <w:sz w:val="24"/>
          <w:szCs w:val="24"/>
          <w:lang w:val="en-GB"/>
        </w:rPr>
        <w:t>studies</w:t>
      </w:r>
      <w:r w:rsidR="007A18D9">
        <w:rPr>
          <w:sz w:val="24"/>
          <w:szCs w:val="24"/>
          <w:lang w:val="en-GB"/>
        </w:rPr>
        <w:t xml:space="preserve"> show</w:t>
      </w:r>
      <w:r w:rsidR="00437EBB" w:rsidRPr="00437EBB">
        <w:rPr>
          <w:sz w:val="24"/>
          <w:szCs w:val="24"/>
          <w:lang w:val="en-GB"/>
        </w:rPr>
        <w:t xml:space="preserve"> </w:t>
      </w:r>
      <w:r w:rsidR="007A18D9">
        <w:rPr>
          <w:sz w:val="24"/>
          <w:szCs w:val="24"/>
          <w:lang w:val="en-GB"/>
        </w:rPr>
        <w:t>a</w:t>
      </w:r>
      <w:r w:rsidR="00437EBB" w:rsidRPr="00437EBB">
        <w:rPr>
          <w:sz w:val="24"/>
          <w:szCs w:val="24"/>
          <w:lang w:val="en-GB"/>
        </w:rPr>
        <w:t xml:space="preserve"> slight difference in the prevalence. Th</w:t>
      </w:r>
      <w:r w:rsidR="00245A26">
        <w:rPr>
          <w:sz w:val="24"/>
          <w:szCs w:val="24"/>
          <w:lang w:val="en-GB"/>
        </w:rPr>
        <w:t>ese</w:t>
      </w:r>
      <w:r w:rsidR="00437EBB" w:rsidRPr="00437EBB">
        <w:rPr>
          <w:sz w:val="24"/>
          <w:szCs w:val="24"/>
          <w:lang w:val="en-GB"/>
        </w:rPr>
        <w:t xml:space="preserve"> differences may reflect country specific differences in the frequency of </w:t>
      </w:r>
      <w:r w:rsidR="007A18D9">
        <w:rPr>
          <w:sz w:val="24"/>
          <w:szCs w:val="24"/>
          <w:lang w:val="en-GB"/>
        </w:rPr>
        <w:t>a</w:t>
      </w:r>
      <w:r w:rsidR="00437EBB" w:rsidRPr="00437EBB">
        <w:rPr>
          <w:sz w:val="24"/>
          <w:szCs w:val="24"/>
          <w:lang w:val="en-GB"/>
        </w:rPr>
        <w:t xml:space="preserve"> rare disease. </w:t>
      </w:r>
      <w:r w:rsidR="007A18D9">
        <w:rPr>
          <w:sz w:val="24"/>
          <w:szCs w:val="24"/>
          <w:lang w:val="en-GB"/>
        </w:rPr>
        <w:t>I</w:t>
      </w:r>
      <w:r w:rsidR="00437EBB" w:rsidRPr="00437EBB">
        <w:rPr>
          <w:sz w:val="24"/>
          <w:szCs w:val="24"/>
          <w:lang w:val="en-GB"/>
        </w:rPr>
        <w:t>n the Black American, Dutch and Taiwanese population</w:t>
      </w:r>
      <w:r w:rsidR="00401AC4">
        <w:rPr>
          <w:sz w:val="24"/>
          <w:szCs w:val="24"/>
          <w:lang w:val="en-GB"/>
        </w:rPr>
        <w:t>s</w:t>
      </w:r>
      <w:r w:rsidR="00437EBB" w:rsidRPr="00437EBB">
        <w:rPr>
          <w:sz w:val="24"/>
          <w:szCs w:val="24"/>
          <w:lang w:val="en-GB"/>
        </w:rPr>
        <w:t xml:space="preserve"> </w:t>
      </w:r>
      <w:r w:rsidR="00401AC4">
        <w:rPr>
          <w:sz w:val="24"/>
          <w:szCs w:val="24"/>
          <w:lang w:val="en-GB"/>
        </w:rPr>
        <w:t xml:space="preserve">there is known to be a higher prevalence of </w:t>
      </w:r>
      <w:r w:rsidR="00437EBB" w:rsidRPr="00437EBB">
        <w:rPr>
          <w:sz w:val="24"/>
          <w:szCs w:val="24"/>
          <w:lang w:val="en-GB"/>
        </w:rPr>
        <w:t>Pompe disease compared to other countries worldwide.</w:t>
      </w:r>
      <w:r w:rsidR="007A18D9" w:rsidRPr="007A18D9">
        <w:rPr>
          <w:sz w:val="24"/>
          <w:szCs w:val="24"/>
          <w:vertAlign w:val="superscript"/>
          <w:lang w:val="en-GB"/>
        </w:rPr>
        <w:t>1,4</w:t>
      </w:r>
      <w:r w:rsidR="0058392C">
        <w:rPr>
          <w:b/>
          <w:sz w:val="24"/>
          <w:szCs w:val="24"/>
          <w:lang w:val="en-GB"/>
        </w:rPr>
        <w:t xml:space="preserve"> </w:t>
      </w:r>
      <w:r w:rsidR="0058392C" w:rsidRPr="00D20676">
        <w:rPr>
          <w:sz w:val="24"/>
          <w:szCs w:val="24"/>
          <w:lang w:val="en-GB"/>
        </w:rPr>
        <w:t xml:space="preserve">Deficient DBS GAA activity </w:t>
      </w:r>
      <w:r w:rsidR="00245A26" w:rsidRPr="00245A26">
        <w:rPr>
          <w:sz w:val="24"/>
          <w:szCs w:val="24"/>
          <w:lang w:val="en-GB"/>
        </w:rPr>
        <w:t>cannot</w:t>
      </w:r>
      <w:r w:rsidR="0058392C" w:rsidRPr="00D20676">
        <w:rPr>
          <w:sz w:val="24"/>
          <w:szCs w:val="24"/>
          <w:lang w:val="en-GB"/>
        </w:rPr>
        <w:t xml:space="preserve"> always be confirmed</w:t>
      </w:r>
      <w:r w:rsidR="00401AC4" w:rsidRPr="00D20676">
        <w:rPr>
          <w:sz w:val="24"/>
          <w:szCs w:val="24"/>
          <w:lang w:val="en-GB"/>
        </w:rPr>
        <w:t xml:space="preserve"> on analysis of </w:t>
      </w:r>
      <w:r w:rsidR="0058392C" w:rsidRPr="00D20676">
        <w:rPr>
          <w:sz w:val="24"/>
          <w:szCs w:val="24"/>
          <w:lang w:val="en-GB"/>
        </w:rPr>
        <w:t xml:space="preserve">a second sample. Known reasons </w:t>
      </w:r>
      <w:r w:rsidR="00401AC4" w:rsidRPr="00D20676">
        <w:rPr>
          <w:sz w:val="24"/>
          <w:szCs w:val="24"/>
          <w:lang w:val="en-GB"/>
        </w:rPr>
        <w:t>include</w:t>
      </w:r>
      <w:r w:rsidR="0058392C" w:rsidRPr="00D20676">
        <w:rPr>
          <w:sz w:val="24"/>
          <w:szCs w:val="24"/>
          <w:lang w:val="en-GB"/>
        </w:rPr>
        <w:t xml:space="preserve"> blood draw after transfusion, incorrect DBS spotting and sampling, and environmental circumstances such as high temperature during transport. Even in this study of experienced centres</w:t>
      </w:r>
      <w:r w:rsidR="008B1088" w:rsidRPr="00D20676">
        <w:rPr>
          <w:sz w:val="24"/>
          <w:szCs w:val="24"/>
          <w:lang w:val="en-GB"/>
        </w:rPr>
        <w:t>,</w:t>
      </w:r>
      <w:r w:rsidR="0058392C" w:rsidRPr="00D20676">
        <w:rPr>
          <w:sz w:val="24"/>
          <w:szCs w:val="24"/>
          <w:lang w:val="en-GB"/>
        </w:rPr>
        <w:t xml:space="preserve"> errors in spotting the blood or </w:t>
      </w:r>
      <w:r w:rsidR="00245A26" w:rsidRPr="00245A26">
        <w:rPr>
          <w:sz w:val="24"/>
          <w:szCs w:val="24"/>
          <w:lang w:val="en-GB"/>
        </w:rPr>
        <w:t>environmental</w:t>
      </w:r>
      <w:r w:rsidR="0058392C" w:rsidRPr="00D20676">
        <w:rPr>
          <w:sz w:val="24"/>
          <w:szCs w:val="24"/>
          <w:lang w:val="en-GB"/>
        </w:rPr>
        <w:t xml:space="preserve"> conditions can not completely be exclu</w:t>
      </w:r>
      <w:r w:rsidR="008B1088" w:rsidRPr="00D20676">
        <w:rPr>
          <w:sz w:val="24"/>
          <w:szCs w:val="24"/>
          <w:lang w:val="en-GB"/>
        </w:rPr>
        <w:t>d</w:t>
      </w:r>
      <w:r w:rsidR="0058392C" w:rsidRPr="00D20676">
        <w:rPr>
          <w:sz w:val="24"/>
          <w:szCs w:val="24"/>
          <w:lang w:val="en-GB"/>
        </w:rPr>
        <w:t xml:space="preserve">ed. However, the internal control of the DBS assay by measurement of neutral maltase activity was performed in all assays and was acceptable in the first sample for our patients. There is still a chance of a false-positive result, therefore we </w:t>
      </w:r>
      <w:r w:rsidR="0058392C" w:rsidRPr="00D20676">
        <w:rPr>
          <w:sz w:val="24"/>
          <w:szCs w:val="24"/>
          <w:lang w:val="en-GB"/>
        </w:rPr>
        <w:lastRenderedPageBreak/>
        <w:t>recommend that DBS GAA deficiency has to be confirmed using a second tissue, e.g. fibroblasts, muscle</w:t>
      </w:r>
      <w:r w:rsidR="00401AC4" w:rsidRPr="00D20676">
        <w:rPr>
          <w:sz w:val="24"/>
          <w:szCs w:val="24"/>
          <w:lang w:val="en-GB"/>
        </w:rPr>
        <w:t>,</w:t>
      </w:r>
      <w:r w:rsidR="0058392C" w:rsidRPr="00D20676">
        <w:rPr>
          <w:sz w:val="24"/>
          <w:szCs w:val="24"/>
          <w:lang w:val="en-GB"/>
        </w:rPr>
        <w:t xml:space="preserve"> or the gold standard</w:t>
      </w:r>
      <w:r w:rsidR="00401AC4" w:rsidRPr="00D20676">
        <w:rPr>
          <w:sz w:val="24"/>
          <w:szCs w:val="24"/>
          <w:lang w:val="en-GB"/>
        </w:rPr>
        <w:t xml:space="preserve"> of</w:t>
      </w:r>
      <w:r w:rsidR="0058392C" w:rsidRPr="00D20676">
        <w:rPr>
          <w:sz w:val="24"/>
          <w:szCs w:val="24"/>
          <w:lang w:val="en-GB"/>
        </w:rPr>
        <w:t xml:space="preserve"> </w:t>
      </w:r>
      <w:r w:rsidR="0058392C" w:rsidRPr="00D20676">
        <w:rPr>
          <w:i/>
          <w:sz w:val="24"/>
          <w:szCs w:val="24"/>
          <w:lang w:val="en-GB"/>
        </w:rPr>
        <w:t>GAA</w:t>
      </w:r>
      <w:r w:rsidR="0058392C" w:rsidRPr="00D20676">
        <w:rPr>
          <w:sz w:val="24"/>
          <w:szCs w:val="24"/>
          <w:lang w:val="en-GB"/>
        </w:rPr>
        <w:t xml:space="preserve"> Sanger gene sequencing.</w:t>
      </w:r>
      <w:r w:rsidR="0058392C">
        <w:rPr>
          <w:b/>
          <w:sz w:val="24"/>
          <w:szCs w:val="24"/>
          <w:lang w:val="en-GB"/>
        </w:rPr>
        <w:t xml:space="preserve"> </w:t>
      </w:r>
      <w:r w:rsidR="0058392C">
        <w:rPr>
          <w:sz w:val="24"/>
          <w:szCs w:val="24"/>
          <w:lang w:val="en-US"/>
        </w:rPr>
        <w:t>Classically, muscle biopsy in late-onset Pompe disease shows myopathic changes, glycogen accumulation and acid phosphatase positive inclusions. The latter may be seen without obvious glycogen accumulation. However, it is well-recognized by neuromuscular specialists that glycogen accumulation and acid phosphatase inclusions may be absent, and if so that should not preclude DBS analysis. Arguably, DBS could be performed before biopsy when</w:t>
      </w:r>
      <w:r w:rsidR="00000177">
        <w:rPr>
          <w:sz w:val="24"/>
          <w:szCs w:val="24"/>
          <w:lang w:val="en-US"/>
        </w:rPr>
        <w:t>ever</w:t>
      </w:r>
      <w:r w:rsidR="0058392C">
        <w:rPr>
          <w:sz w:val="24"/>
          <w:szCs w:val="24"/>
          <w:lang w:val="en-US"/>
        </w:rPr>
        <w:t xml:space="preserve"> there is a clinical suspicion of Pompe disease. </w:t>
      </w:r>
    </w:p>
    <w:p w:rsidR="0049427A" w:rsidRDefault="0049427A" w:rsidP="00370E0F">
      <w:pPr>
        <w:spacing w:line="480" w:lineRule="auto"/>
        <w:rPr>
          <w:sz w:val="24"/>
          <w:szCs w:val="24"/>
          <w:lang w:val="en-US"/>
        </w:rPr>
      </w:pPr>
      <w:r>
        <w:rPr>
          <w:sz w:val="24"/>
          <w:szCs w:val="24"/>
          <w:lang w:val="en-US"/>
        </w:rPr>
        <w:t xml:space="preserve">Given the relative rarity of late-onset Pompe disease, the relatively non-specific clinical features of proximal weakness and elevated CK, and the frequent absence of diagnostic muscle biopsy findings, even experienced neuromuscular clinicians may not consider the diagnosis. </w:t>
      </w:r>
    </w:p>
    <w:p w:rsidR="00D43F66" w:rsidRPr="00D43F66" w:rsidRDefault="0049427A" w:rsidP="00D43F66">
      <w:pPr>
        <w:spacing w:line="480" w:lineRule="auto"/>
        <w:rPr>
          <w:sz w:val="24"/>
          <w:szCs w:val="24"/>
          <w:lang w:val="en-GB"/>
        </w:rPr>
      </w:pPr>
      <w:r>
        <w:rPr>
          <w:sz w:val="24"/>
          <w:szCs w:val="24"/>
          <w:lang w:val="en-US"/>
        </w:rPr>
        <w:t>On the basis of our finding</w:t>
      </w:r>
      <w:r w:rsidR="00245A26">
        <w:rPr>
          <w:sz w:val="24"/>
          <w:szCs w:val="24"/>
          <w:lang w:val="en-US"/>
        </w:rPr>
        <w:t>s</w:t>
      </w:r>
      <w:r>
        <w:rPr>
          <w:sz w:val="24"/>
          <w:szCs w:val="24"/>
          <w:lang w:val="en-US"/>
        </w:rPr>
        <w:t>, we</w:t>
      </w:r>
      <w:r w:rsidR="00370E0F" w:rsidRPr="00CB4B18">
        <w:rPr>
          <w:sz w:val="24"/>
          <w:szCs w:val="24"/>
          <w:lang w:val="en-US"/>
        </w:rPr>
        <w:t xml:space="preserve"> recommend that a DBS test should be </w:t>
      </w:r>
      <w:r>
        <w:rPr>
          <w:sz w:val="24"/>
          <w:szCs w:val="24"/>
          <w:lang w:val="en-US"/>
        </w:rPr>
        <w:t>undertaken</w:t>
      </w:r>
      <w:r w:rsidRPr="00CB4B18">
        <w:rPr>
          <w:sz w:val="24"/>
          <w:szCs w:val="24"/>
          <w:lang w:val="en-US"/>
        </w:rPr>
        <w:t xml:space="preserve"> </w:t>
      </w:r>
      <w:r w:rsidR="00370E0F" w:rsidRPr="00CB4B18">
        <w:rPr>
          <w:sz w:val="24"/>
          <w:szCs w:val="24"/>
          <w:lang w:val="en-US"/>
        </w:rPr>
        <w:t xml:space="preserve">early in the diagnostic </w:t>
      </w:r>
      <w:r w:rsidR="00D9334A" w:rsidRPr="00CB4B18">
        <w:rPr>
          <w:sz w:val="24"/>
          <w:szCs w:val="24"/>
          <w:lang w:val="en-US"/>
        </w:rPr>
        <w:t>work-up</w:t>
      </w:r>
      <w:r w:rsidR="00370E0F" w:rsidRPr="00CB4B18">
        <w:rPr>
          <w:sz w:val="24"/>
          <w:szCs w:val="24"/>
          <w:lang w:val="en-US"/>
        </w:rPr>
        <w:t xml:space="preserve"> of patient</w:t>
      </w:r>
      <w:r w:rsidR="00D9334A" w:rsidRPr="00CB4B18">
        <w:rPr>
          <w:sz w:val="24"/>
          <w:szCs w:val="24"/>
          <w:lang w:val="en-US"/>
        </w:rPr>
        <w:t>s</w:t>
      </w:r>
      <w:r w:rsidR="00370E0F" w:rsidRPr="00CB4B18">
        <w:rPr>
          <w:sz w:val="24"/>
          <w:szCs w:val="24"/>
          <w:lang w:val="en-US"/>
        </w:rPr>
        <w:t xml:space="preserve"> with </w:t>
      </w:r>
      <w:r w:rsidR="00E73425" w:rsidRPr="00CB4B18">
        <w:rPr>
          <w:sz w:val="24"/>
          <w:szCs w:val="24"/>
          <w:lang w:val="en-US"/>
        </w:rPr>
        <w:t xml:space="preserve">unclassified </w:t>
      </w:r>
      <w:r w:rsidR="00245A26">
        <w:rPr>
          <w:sz w:val="24"/>
          <w:szCs w:val="24"/>
          <w:lang w:val="en-US"/>
        </w:rPr>
        <w:t xml:space="preserve">LGMW </w:t>
      </w:r>
      <w:r w:rsidR="00E73425" w:rsidRPr="00CB4B18">
        <w:rPr>
          <w:sz w:val="24"/>
          <w:szCs w:val="24"/>
          <w:lang w:val="en-US"/>
        </w:rPr>
        <w:t xml:space="preserve">or </w:t>
      </w:r>
      <w:r w:rsidR="00354FDF">
        <w:rPr>
          <w:sz w:val="24"/>
          <w:szCs w:val="24"/>
          <w:lang w:val="en-US"/>
        </w:rPr>
        <w:t xml:space="preserve">persistent </w:t>
      </w:r>
      <w:r w:rsidR="00E73425" w:rsidRPr="00CB4B18">
        <w:rPr>
          <w:sz w:val="24"/>
          <w:szCs w:val="24"/>
          <w:lang w:val="en-US"/>
        </w:rPr>
        <w:t>hyperCKemia</w:t>
      </w:r>
      <w:r w:rsidR="00370E0F" w:rsidRPr="00CB4B18">
        <w:rPr>
          <w:sz w:val="24"/>
          <w:szCs w:val="24"/>
          <w:lang w:val="en-US"/>
        </w:rPr>
        <w:t xml:space="preserve"> to </w:t>
      </w:r>
      <w:r w:rsidR="00932AF1" w:rsidRPr="00CB4B18">
        <w:rPr>
          <w:sz w:val="24"/>
          <w:szCs w:val="24"/>
          <w:lang w:val="en-US"/>
        </w:rPr>
        <w:t>exclude</w:t>
      </w:r>
      <w:r w:rsidR="00370E0F" w:rsidRPr="00CB4B18">
        <w:rPr>
          <w:sz w:val="24"/>
          <w:szCs w:val="24"/>
          <w:lang w:val="en-US"/>
        </w:rPr>
        <w:t xml:space="preserve"> </w:t>
      </w:r>
      <w:r w:rsidR="00245A26">
        <w:rPr>
          <w:sz w:val="24"/>
          <w:szCs w:val="24"/>
          <w:lang w:val="en-US"/>
        </w:rPr>
        <w:t xml:space="preserve">late-onset </w:t>
      </w:r>
      <w:r w:rsidR="00370E0F" w:rsidRPr="00CB4B18">
        <w:rPr>
          <w:sz w:val="24"/>
          <w:szCs w:val="24"/>
          <w:lang w:val="en-US"/>
        </w:rPr>
        <w:t xml:space="preserve">Pompe disease. </w:t>
      </w:r>
      <w:r w:rsidR="007A0CB8">
        <w:rPr>
          <w:sz w:val="24"/>
          <w:szCs w:val="24"/>
          <w:lang w:val="en-US"/>
        </w:rPr>
        <w:t>Key clinical</w:t>
      </w:r>
      <w:r w:rsidR="00932AF1" w:rsidRPr="00CB4B18">
        <w:rPr>
          <w:sz w:val="24"/>
          <w:szCs w:val="24"/>
          <w:lang w:val="en-US"/>
        </w:rPr>
        <w:t xml:space="preserve"> elements </w:t>
      </w:r>
      <w:r w:rsidR="00370E0F" w:rsidRPr="00CB4B18">
        <w:rPr>
          <w:sz w:val="24"/>
          <w:szCs w:val="24"/>
          <w:lang w:val="en-US"/>
        </w:rPr>
        <w:t xml:space="preserve">that should </w:t>
      </w:r>
      <w:r w:rsidR="007A0CB8">
        <w:rPr>
          <w:sz w:val="24"/>
          <w:szCs w:val="24"/>
          <w:lang w:val="en-US"/>
        </w:rPr>
        <w:t>alert</w:t>
      </w:r>
      <w:r w:rsidR="007A0CB8" w:rsidRPr="00CB4B18">
        <w:rPr>
          <w:sz w:val="24"/>
          <w:szCs w:val="24"/>
          <w:lang w:val="en-US"/>
        </w:rPr>
        <w:t xml:space="preserve"> </w:t>
      </w:r>
      <w:r w:rsidR="00370E0F" w:rsidRPr="00CB4B18">
        <w:rPr>
          <w:sz w:val="24"/>
          <w:szCs w:val="24"/>
          <w:lang w:val="en-US"/>
        </w:rPr>
        <w:t>clinician</w:t>
      </w:r>
      <w:r w:rsidR="00932AF1" w:rsidRPr="00CB4B18">
        <w:rPr>
          <w:sz w:val="24"/>
          <w:szCs w:val="24"/>
          <w:lang w:val="en-US"/>
        </w:rPr>
        <w:t>s</w:t>
      </w:r>
      <w:r w:rsidR="00370E0F" w:rsidRPr="00CB4B18">
        <w:rPr>
          <w:sz w:val="24"/>
          <w:szCs w:val="24"/>
          <w:lang w:val="en-US"/>
        </w:rPr>
        <w:t xml:space="preserve"> </w:t>
      </w:r>
      <w:r w:rsidR="009C0764" w:rsidRPr="00CB4B18">
        <w:rPr>
          <w:sz w:val="24"/>
          <w:szCs w:val="24"/>
          <w:lang w:val="en-US"/>
        </w:rPr>
        <w:t xml:space="preserve">to perform a DBS </w:t>
      </w:r>
      <w:r w:rsidR="003C0A02">
        <w:rPr>
          <w:sz w:val="24"/>
          <w:szCs w:val="24"/>
          <w:lang w:val="en-US"/>
        </w:rPr>
        <w:t xml:space="preserve">screening </w:t>
      </w:r>
      <w:r w:rsidR="009C0764" w:rsidRPr="00CB4B18">
        <w:rPr>
          <w:sz w:val="24"/>
          <w:szCs w:val="24"/>
          <w:lang w:val="en-US"/>
        </w:rPr>
        <w:t>for</w:t>
      </w:r>
      <w:r w:rsidR="00245A26">
        <w:rPr>
          <w:sz w:val="24"/>
          <w:szCs w:val="24"/>
          <w:lang w:val="en-US"/>
        </w:rPr>
        <w:t xml:space="preserve"> late-onset</w:t>
      </w:r>
      <w:r w:rsidR="009C0764" w:rsidRPr="00CB4B18">
        <w:rPr>
          <w:sz w:val="24"/>
          <w:szCs w:val="24"/>
          <w:lang w:val="en-US"/>
        </w:rPr>
        <w:t xml:space="preserve"> Pompe disease </w:t>
      </w:r>
      <w:r w:rsidR="00370E0F" w:rsidRPr="00CB4B18">
        <w:rPr>
          <w:sz w:val="24"/>
          <w:szCs w:val="24"/>
          <w:lang w:val="en-US"/>
        </w:rPr>
        <w:t>are</w:t>
      </w:r>
      <w:r w:rsidR="00932AF1" w:rsidRPr="00CB4B18">
        <w:rPr>
          <w:sz w:val="24"/>
          <w:szCs w:val="24"/>
          <w:lang w:val="en-US"/>
        </w:rPr>
        <w:t>:</w:t>
      </w:r>
      <w:r w:rsidR="00370E0F" w:rsidRPr="00CB4B18">
        <w:rPr>
          <w:sz w:val="24"/>
          <w:szCs w:val="24"/>
          <w:lang w:val="en-US"/>
        </w:rPr>
        <w:t xml:space="preserve"> </w:t>
      </w:r>
      <w:r w:rsidR="00932AF1" w:rsidRPr="00CB4B18">
        <w:rPr>
          <w:sz w:val="24"/>
          <w:szCs w:val="24"/>
          <w:lang w:val="en-US"/>
        </w:rPr>
        <w:t>i) axial, pelvic, and respiratory muscle involvement</w:t>
      </w:r>
      <w:r w:rsidR="007A0CB8">
        <w:rPr>
          <w:sz w:val="24"/>
          <w:szCs w:val="24"/>
          <w:lang w:val="en-US"/>
        </w:rPr>
        <w:t xml:space="preserve"> and</w:t>
      </w:r>
      <w:r w:rsidR="00932AF1" w:rsidRPr="00CB4B18">
        <w:rPr>
          <w:sz w:val="24"/>
          <w:szCs w:val="24"/>
          <w:lang w:val="en-US"/>
        </w:rPr>
        <w:t xml:space="preserve"> ii) </w:t>
      </w:r>
      <w:r w:rsidR="00E73425" w:rsidRPr="00CB4B18">
        <w:rPr>
          <w:sz w:val="24"/>
          <w:szCs w:val="24"/>
          <w:lang w:val="en-US"/>
        </w:rPr>
        <w:t>persistent</w:t>
      </w:r>
      <w:r w:rsidR="007A0CB8">
        <w:rPr>
          <w:sz w:val="24"/>
          <w:szCs w:val="24"/>
          <w:lang w:val="en-US"/>
        </w:rPr>
        <w:t xml:space="preserve"> CK</w:t>
      </w:r>
      <w:r w:rsidR="00E73425" w:rsidRPr="00CB4B18">
        <w:rPr>
          <w:sz w:val="24"/>
          <w:szCs w:val="24"/>
          <w:lang w:val="en-US"/>
        </w:rPr>
        <w:t xml:space="preserve"> </w:t>
      </w:r>
      <w:r w:rsidR="007A0CB8">
        <w:rPr>
          <w:sz w:val="24"/>
          <w:szCs w:val="24"/>
          <w:lang w:val="en-US"/>
        </w:rPr>
        <w:t>elevation</w:t>
      </w:r>
      <w:r w:rsidR="00245A26">
        <w:rPr>
          <w:sz w:val="24"/>
          <w:szCs w:val="24"/>
          <w:lang w:val="en-US"/>
        </w:rPr>
        <w:t>.</w:t>
      </w:r>
    </w:p>
    <w:p w:rsidR="00932AF1" w:rsidRDefault="00D43F66" w:rsidP="00370E0F">
      <w:pPr>
        <w:spacing w:line="480" w:lineRule="auto"/>
        <w:rPr>
          <w:sz w:val="24"/>
          <w:szCs w:val="24"/>
          <w:lang w:val="en-US"/>
        </w:rPr>
      </w:pPr>
      <w:r>
        <w:rPr>
          <w:sz w:val="24"/>
          <w:szCs w:val="24"/>
          <w:lang w:val="en-US"/>
        </w:rPr>
        <w:t>Finally, t</w:t>
      </w:r>
      <w:r w:rsidR="00354FDF" w:rsidRPr="00CB4B18">
        <w:rPr>
          <w:sz w:val="24"/>
          <w:szCs w:val="24"/>
          <w:lang w:val="en-US"/>
        </w:rPr>
        <w:t xml:space="preserve">here is growing evidence </w:t>
      </w:r>
      <w:r w:rsidR="00000177">
        <w:rPr>
          <w:sz w:val="24"/>
          <w:szCs w:val="24"/>
          <w:lang w:val="en-US"/>
        </w:rPr>
        <w:t xml:space="preserve">to </w:t>
      </w:r>
      <w:r w:rsidR="00354FDF" w:rsidRPr="00CB4B18">
        <w:rPr>
          <w:sz w:val="24"/>
          <w:szCs w:val="24"/>
          <w:lang w:val="en-US"/>
        </w:rPr>
        <w:t xml:space="preserve">suggest that early </w:t>
      </w:r>
      <w:r w:rsidR="00365EAE">
        <w:rPr>
          <w:sz w:val="24"/>
          <w:szCs w:val="24"/>
          <w:lang w:val="en-US"/>
        </w:rPr>
        <w:t>treatment</w:t>
      </w:r>
      <w:r w:rsidR="00365EAE" w:rsidRPr="00CB4B18">
        <w:rPr>
          <w:sz w:val="24"/>
          <w:szCs w:val="24"/>
          <w:lang w:val="en-US"/>
        </w:rPr>
        <w:t xml:space="preserve"> </w:t>
      </w:r>
      <w:r w:rsidR="00354FDF" w:rsidRPr="00CB4B18">
        <w:rPr>
          <w:sz w:val="24"/>
          <w:szCs w:val="24"/>
          <w:lang w:val="en-US"/>
        </w:rPr>
        <w:t>of late-onset Pompe disease</w:t>
      </w:r>
      <w:r w:rsidR="00365EAE">
        <w:rPr>
          <w:sz w:val="24"/>
          <w:szCs w:val="24"/>
          <w:lang w:val="en-US"/>
        </w:rPr>
        <w:t xml:space="preserve"> with enzyme replacement therapy</w:t>
      </w:r>
      <w:r w:rsidR="00354FDF" w:rsidRPr="00CB4B18">
        <w:rPr>
          <w:sz w:val="24"/>
          <w:szCs w:val="24"/>
          <w:lang w:val="en-US"/>
        </w:rPr>
        <w:t xml:space="preserve">, </w:t>
      </w:r>
      <w:r w:rsidR="00365EAE">
        <w:rPr>
          <w:sz w:val="24"/>
          <w:szCs w:val="24"/>
          <w:lang w:val="en-US"/>
        </w:rPr>
        <w:t>before there is extensive, possibly irreversible, muscle damage</w:t>
      </w:r>
      <w:r w:rsidR="0049427A">
        <w:rPr>
          <w:sz w:val="24"/>
          <w:szCs w:val="24"/>
          <w:lang w:val="en-US"/>
        </w:rPr>
        <w:t>, is more efficacious than later treatment, emphasizing the importance of early diagnosis</w:t>
      </w:r>
      <w:r w:rsidR="00354FDF" w:rsidRPr="00CB4B18">
        <w:rPr>
          <w:sz w:val="24"/>
          <w:szCs w:val="24"/>
          <w:lang w:val="en-US"/>
        </w:rPr>
        <w:t>.</w:t>
      </w:r>
      <w:r w:rsidR="00354FDF" w:rsidRPr="00354FDF">
        <w:rPr>
          <w:sz w:val="24"/>
          <w:szCs w:val="24"/>
          <w:vertAlign w:val="superscript"/>
          <w:lang w:val="en-US"/>
        </w:rPr>
        <w:t>1,7,11,1</w:t>
      </w:r>
      <w:r w:rsidR="00CD5896">
        <w:rPr>
          <w:sz w:val="24"/>
          <w:szCs w:val="24"/>
          <w:vertAlign w:val="superscript"/>
          <w:lang w:val="en-US"/>
        </w:rPr>
        <w:t>3</w:t>
      </w:r>
    </w:p>
    <w:p w:rsidR="00585557" w:rsidRDefault="00585557" w:rsidP="00BD2738">
      <w:pPr>
        <w:spacing w:line="480" w:lineRule="auto"/>
        <w:outlineLvl w:val="0"/>
        <w:rPr>
          <w:sz w:val="24"/>
          <w:szCs w:val="24"/>
          <w:lang w:val="en-US"/>
        </w:rPr>
      </w:pPr>
      <w:r w:rsidRPr="00585557">
        <w:rPr>
          <w:b/>
          <w:sz w:val="24"/>
          <w:szCs w:val="24"/>
          <w:lang w:val="en-US"/>
        </w:rPr>
        <w:t>Acknowledgement</w:t>
      </w:r>
      <w:r w:rsidRPr="00585557">
        <w:rPr>
          <w:sz w:val="24"/>
          <w:szCs w:val="24"/>
          <w:lang w:val="en-US"/>
        </w:rPr>
        <w:t xml:space="preserve">  </w:t>
      </w:r>
    </w:p>
    <w:p w:rsidR="00585557" w:rsidRPr="00C86C38" w:rsidRDefault="00585557" w:rsidP="00585557">
      <w:pPr>
        <w:spacing w:line="480" w:lineRule="auto"/>
        <w:rPr>
          <w:sz w:val="24"/>
          <w:szCs w:val="24"/>
          <w:lang w:val="en-GB"/>
        </w:rPr>
      </w:pPr>
      <w:r w:rsidRPr="00585557">
        <w:rPr>
          <w:sz w:val="24"/>
          <w:szCs w:val="24"/>
          <w:lang w:val="en-US"/>
        </w:rPr>
        <w:lastRenderedPageBreak/>
        <w:t xml:space="preserve">The authors thank </w:t>
      </w:r>
      <w:r>
        <w:rPr>
          <w:sz w:val="24"/>
          <w:szCs w:val="24"/>
          <w:lang w:val="en-US"/>
        </w:rPr>
        <w:t>all patients and the patient support groups for the</w:t>
      </w:r>
      <w:r w:rsidR="0049427A">
        <w:rPr>
          <w:sz w:val="24"/>
          <w:szCs w:val="24"/>
          <w:lang w:val="en-US"/>
        </w:rPr>
        <w:t>ir</w:t>
      </w:r>
      <w:r>
        <w:rPr>
          <w:sz w:val="24"/>
          <w:szCs w:val="24"/>
          <w:lang w:val="en-US"/>
        </w:rPr>
        <w:t xml:space="preserve"> ongoing help and commitment</w:t>
      </w:r>
      <w:r w:rsidRPr="00585557">
        <w:rPr>
          <w:sz w:val="24"/>
          <w:szCs w:val="24"/>
          <w:lang w:val="en-US"/>
        </w:rPr>
        <w:t>.</w:t>
      </w:r>
      <w:r w:rsidR="00C86C38">
        <w:rPr>
          <w:sz w:val="24"/>
          <w:szCs w:val="24"/>
          <w:lang w:val="en-US"/>
        </w:rPr>
        <w:t xml:space="preserve"> </w:t>
      </w:r>
      <w:r w:rsidR="00C86C38" w:rsidRPr="00D20676">
        <w:rPr>
          <w:sz w:val="24"/>
          <w:szCs w:val="24"/>
          <w:lang w:val="en-GB"/>
        </w:rPr>
        <w:t>We thank Drs.</w:t>
      </w:r>
      <w:r w:rsidR="00C86C38" w:rsidRPr="00C86C38">
        <w:rPr>
          <w:sz w:val="24"/>
          <w:szCs w:val="24"/>
          <w:lang w:val="en-GB"/>
        </w:rPr>
        <w:t xml:space="preserve"> </w:t>
      </w:r>
      <w:r w:rsidR="00F33D74">
        <w:rPr>
          <w:sz w:val="24"/>
          <w:szCs w:val="24"/>
          <w:lang w:val="en-GB"/>
        </w:rPr>
        <w:t xml:space="preserve">P. </w:t>
      </w:r>
      <w:r w:rsidR="00C86C38" w:rsidRPr="00C86C38">
        <w:rPr>
          <w:sz w:val="24"/>
          <w:szCs w:val="24"/>
          <w:lang w:val="en-GB"/>
        </w:rPr>
        <w:t>Schneiderat</w:t>
      </w:r>
      <w:r w:rsidR="002A5322">
        <w:rPr>
          <w:sz w:val="24"/>
          <w:szCs w:val="24"/>
          <w:lang w:val="en-GB"/>
        </w:rPr>
        <w:t xml:space="preserve"> and</w:t>
      </w:r>
      <w:r w:rsidR="003C0A02">
        <w:rPr>
          <w:sz w:val="24"/>
          <w:szCs w:val="24"/>
          <w:lang w:val="en-GB"/>
        </w:rPr>
        <w:t xml:space="preserve"> J</w:t>
      </w:r>
      <w:r w:rsidR="00CE234E">
        <w:rPr>
          <w:sz w:val="24"/>
          <w:szCs w:val="24"/>
          <w:lang w:val="en-GB"/>
        </w:rPr>
        <w:t>.</w:t>
      </w:r>
      <w:r w:rsidR="003C0A02">
        <w:rPr>
          <w:sz w:val="24"/>
          <w:szCs w:val="24"/>
          <w:lang w:val="en-GB"/>
        </w:rPr>
        <w:t xml:space="preserve"> Schessl</w:t>
      </w:r>
      <w:r w:rsidR="00C86C38">
        <w:rPr>
          <w:sz w:val="24"/>
          <w:szCs w:val="24"/>
          <w:lang w:val="en-GB"/>
        </w:rPr>
        <w:t xml:space="preserve"> fo</w:t>
      </w:r>
      <w:r w:rsidR="003C0A02">
        <w:rPr>
          <w:sz w:val="24"/>
          <w:szCs w:val="24"/>
          <w:lang w:val="en-GB"/>
        </w:rPr>
        <w:t>r</w:t>
      </w:r>
      <w:r w:rsidR="00C86C38">
        <w:rPr>
          <w:sz w:val="24"/>
          <w:szCs w:val="24"/>
          <w:lang w:val="en-GB"/>
        </w:rPr>
        <w:t xml:space="preserve"> contributing patients</w:t>
      </w:r>
      <w:r w:rsidR="003C0A02">
        <w:rPr>
          <w:sz w:val="24"/>
          <w:szCs w:val="24"/>
          <w:lang w:val="en-GB"/>
        </w:rPr>
        <w:t xml:space="preserve"> to this study</w:t>
      </w:r>
      <w:r w:rsidR="00C86C38">
        <w:rPr>
          <w:sz w:val="24"/>
          <w:szCs w:val="24"/>
          <w:lang w:val="en-GB"/>
        </w:rPr>
        <w:t>.</w:t>
      </w:r>
    </w:p>
    <w:p w:rsidR="00E0686C" w:rsidRPr="00444681" w:rsidRDefault="00E0686C" w:rsidP="00E0686C">
      <w:pPr>
        <w:spacing w:line="480" w:lineRule="auto"/>
        <w:rPr>
          <w:sz w:val="24"/>
          <w:szCs w:val="24"/>
          <w:lang w:val="en-US"/>
        </w:rPr>
      </w:pPr>
      <w:r w:rsidRPr="00444681">
        <w:rPr>
          <w:sz w:val="24"/>
          <w:szCs w:val="24"/>
          <w:lang w:val="en-US"/>
        </w:rPr>
        <w:t>Statistics:</w:t>
      </w:r>
      <w:r>
        <w:rPr>
          <w:sz w:val="24"/>
          <w:szCs w:val="24"/>
          <w:lang w:val="en-US"/>
        </w:rPr>
        <w:t xml:space="preserve"> </w:t>
      </w:r>
      <w:r w:rsidRPr="00444681">
        <w:rPr>
          <w:sz w:val="24"/>
          <w:szCs w:val="24"/>
          <w:lang w:val="en-US"/>
        </w:rPr>
        <w:t xml:space="preserve">Statistical analysis was conducted by </w:t>
      </w:r>
      <w:r>
        <w:rPr>
          <w:sz w:val="24"/>
          <w:szCs w:val="24"/>
          <w:lang w:val="en-US"/>
        </w:rPr>
        <w:t>Drs. Lukacs and Schoser</w:t>
      </w:r>
      <w:r w:rsidRPr="00444681">
        <w:rPr>
          <w:sz w:val="24"/>
          <w:szCs w:val="24"/>
          <w:lang w:val="en-US"/>
        </w:rPr>
        <w:t>.</w:t>
      </w:r>
    </w:p>
    <w:p w:rsidR="00585557" w:rsidRPr="00585557" w:rsidRDefault="00585557" w:rsidP="00BD2738">
      <w:pPr>
        <w:spacing w:line="480" w:lineRule="auto"/>
        <w:outlineLvl w:val="0"/>
        <w:rPr>
          <w:b/>
          <w:sz w:val="24"/>
          <w:szCs w:val="24"/>
          <w:lang w:val="en-US"/>
        </w:rPr>
      </w:pPr>
      <w:r w:rsidRPr="00585557">
        <w:rPr>
          <w:b/>
          <w:sz w:val="24"/>
          <w:szCs w:val="24"/>
          <w:lang w:val="en-US"/>
        </w:rPr>
        <w:t>References</w:t>
      </w:r>
    </w:p>
    <w:p w:rsidR="00585557" w:rsidRPr="00585557" w:rsidRDefault="00585557" w:rsidP="00585557">
      <w:pPr>
        <w:spacing w:line="480" w:lineRule="auto"/>
        <w:rPr>
          <w:sz w:val="24"/>
          <w:szCs w:val="24"/>
          <w:lang w:val="en-US"/>
        </w:rPr>
      </w:pPr>
      <w:r w:rsidRPr="00585557">
        <w:rPr>
          <w:sz w:val="24"/>
          <w:szCs w:val="24"/>
          <w:lang w:val="en-US"/>
        </w:rPr>
        <w:t>1</w:t>
      </w:r>
      <w:r w:rsidR="00DF6D81">
        <w:rPr>
          <w:sz w:val="24"/>
          <w:szCs w:val="24"/>
          <w:lang w:val="en-US"/>
        </w:rPr>
        <w:t>.</w:t>
      </w:r>
      <w:r w:rsidRPr="00585557">
        <w:rPr>
          <w:sz w:val="24"/>
          <w:szCs w:val="24"/>
          <w:lang w:val="en-US"/>
        </w:rPr>
        <w:t xml:space="preserve"> </w:t>
      </w:r>
      <w:r w:rsidRPr="00585557">
        <w:rPr>
          <w:sz w:val="24"/>
          <w:szCs w:val="24"/>
          <w:lang w:val="en-US"/>
        </w:rPr>
        <w:tab/>
        <w:t>van der Ploeg AT, Reuser AJ. Pompe's disease. Lancet 2008;372:1342-1353.</w:t>
      </w:r>
    </w:p>
    <w:p w:rsidR="00585557" w:rsidRPr="00686CAA" w:rsidRDefault="00585557" w:rsidP="00686CAA">
      <w:pPr>
        <w:spacing w:line="480" w:lineRule="auto"/>
        <w:ind w:left="705" w:hanging="705"/>
        <w:rPr>
          <w:sz w:val="24"/>
          <w:szCs w:val="24"/>
          <w:lang w:val="en-GB"/>
        </w:rPr>
      </w:pPr>
      <w:r w:rsidRPr="00B4745B">
        <w:rPr>
          <w:sz w:val="24"/>
          <w:szCs w:val="24"/>
          <w:lang w:val="en-US"/>
        </w:rPr>
        <w:t>2</w:t>
      </w:r>
      <w:r w:rsidR="00DF6D81">
        <w:rPr>
          <w:sz w:val="24"/>
          <w:szCs w:val="24"/>
          <w:lang w:val="en-US"/>
        </w:rPr>
        <w:t>.</w:t>
      </w:r>
      <w:r w:rsidRPr="00B4745B">
        <w:rPr>
          <w:sz w:val="24"/>
          <w:szCs w:val="24"/>
          <w:lang w:val="en-US"/>
        </w:rPr>
        <w:t xml:space="preserve"> </w:t>
      </w:r>
      <w:r w:rsidR="00686CAA">
        <w:rPr>
          <w:sz w:val="24"/>
          <w:szCs w:val="24"/>
          <w:lang w:val="en-US"/>
        </w:rPr>
        <w:tab/>
      </w:r>
      <w:r w:rsidR="00686CAA" w:rsidRPr="00686CAA">
        <w:rPr>
          <w:sz w:val="24"/>
          <w:szCs w:val="24"/>
          <w:lang w:val="en-US"/>
        </w:rPr>
        <w:t xml:space="preserve">Güngör D, de Vries JM, Hop WC, </w:t>
      </w:r>
      <w:r w:rsidR="00686CAA">
        <w:rPr>
          <w:sz w:val="24"/>
          <w:szCs w:val="24"/>
          <w:lang w:val="en-US"/>
        </w:rPr>
        <w:t xml:space="preserve"> et al. </w:t>
      </w:r>
      <w:r w:rsidR="00686CAA" w:rsidRPr="00686CAA">
        <w:rPr>
          <w:sz w:val="24"/>
          <w:szCs w:val="24"/>
          <w:lang w:val="en-US"/>
        </w:rPr>
        <w:t>Survival and associated factors in 268 adults with Pompe disease prior to treatment with enzyme replacement therapy.</w:t>
      </w:r>
      <w:r w:rsidR="00686CAA">
        <w:rPr>
          <w:sz w:val="24"/>
          <w:szCs w:val="24"/>
          <w:lang w:val="en-US"/>
        </w:rPr>
        <w:t xml:space="preserve"> </w:t>
      </w:r>
      <w:r w:rsidR="00686CAA" w:rsidRPr="00686CAA">
        <w:rPr>
          <w:sz w:val="24"/>
          <w:szCs w:val="24"/>
          <w:lang w:val="en-GB"/>
        </w:rPr>
        <w:t>Orphanet J Rare Dis. 2011</w:t>
      </w:r>
      <w:r w:rsidR="00CE234E">
        <w:rPr>
          <w:sz w:val="24"/>
          <w:szCs w:val="24"/>
          <w:lang w:val="en-GB"/>
        </w:rPr>
        <w:t>;</w:t>
      </w:r>
      <w:r w:rsidR="00686CAA" w:rsidRPr="00686CAA">
        <w:rPr>
          <w:sz w:val="24"/>
          <w:szCs w:val="24"/>
          <w:lang w:val="en-GB"/>
        </w:rPr>
        <w:t xml:space="preserve">6:34. </w:t>
      </w:r>
    </w:p>
    <w:p w:rsidR="00E73425" w:rsidRDefault="00585557" w:rsidP="00686CAA">
      <w:pPr>
        <w:spacing w:line="480" w:lineRule="auto"/>
        <w:ind w:left="705" w:hanging="705"/>
        <w:rPr>
          <w:sz w:val="24"/>
          <w:szCs w:val="24"/>
          <w:lang w:val="en-GB"/>
        </w:rPr>
      </w:pPr>
      <w:r w:rsidRPr="00686CAA">
        <w:rPr>
          <w:sz w:val="24"/>
          <w:szCs w:val="24"/>
          <w:lang w:val="en-GB"/>
        </w:rPr>
        <w:t>3</w:t>
      </w:r>
      <w:r w:rsidR="00DF6D81">
        <w:rPr>
          <w:sz w:val="24"/>
          <w:szCs w:val="24"/>
          <w:lang w:val="en-GB"/>
        </w:rPr>
        <w:t>.</w:t>
      </w:r>
      <w:r w:rsidRPr="00686CAA">
        <w:rPr>
          <w:sz w:val="24"/>
          <w:szCs w:val="24"/>
          <w:lang w:val="en-GB"/>
        </w:rPr>
        <w:t xml:space="preserve"> </w:t>
      </w:r>
      <w:r w:rsidRPr="00686CAA">
        <w:rPr>
          <w:sz w:val="24"/>
          <w:szCs w:val="24"/>
          <w:lang w:val="en-GB"/>
        </w:rPr>
        <w:tab/>
      </w:r>
      <w:r w:rsidR="00686CAA" w:rsidRPr="00686CAA">
        <w:rPr>
          <w:sz w:val="24"/>
          <w:szCs w:val="24"/>
          <w:lang w:val="en-GB"/>
        </w:rPr>
        <w:t>Schüller A, Wenninger S, Strigl-Pill N, Schoser B.</w:t>
      </w:r>
      <w:r w:rsidR="00686CAA">
        <w:rPr>
          <w:sz w:val="24"/>
          <w:szCs w:val="24"/>
          <w:lang w:val="en-GB"/>
        </w:rPr>
        <w:t xml:space="preserve"> </w:t>
      </w:r>
      <w:r w:rsidR="00686CAA" w:rsidRPr="00686CAA">
        <w:rPr>
          <w:sz w:val="24"/>
          <w:szCs w:val="24"/>
          <w:lang w:val="en-GB"/>
        </w:rPr>
        <w:t>Toward deconstructing the phenoty</w:t>
      </w:r>
      <w:r w:rsidR="00DF6D81">
        <w:rPr>
          <w:sz w:val="24"/>
          <w:szCs w:val="24"/>
          <w:lang w:val="en-GB"/>
        </w:rPr>
        <w:t xml:space="preserve">pe of late-onset Pompe disease. </w:t>
      </w:r>
      <w:r w:rsidR="00686CAA" w:rsidRPr="00686CAA">
        <w:rPr>
          <w:sz w:val="24"/>
          <w:szCs w:val="24"/>
          <w:lang w:val="en-GB"/>
        </w:rPr>
        <w:t>Am J Med Genet C Semin Med Genet. 2012</w:t>
      </w:r>
      <w:r w:rsidR="00CE234E">
        <w:rPr>
          <w:sz w:val="24"/>
          <w:szCs w:val="24"/>
          <w:lang w:val="en-GB"/>
        </w:rPr>
        <w:t>;</w:t>
      </w:r>
      <w:r w:rsidR="00686CAA" w:rsidRPr="00686CAA">
        <w:rPr>
          <w:sz w:val="24"/>
          <w:szCs w:val="24"/>
          <w:lang w:val="en-GB"/>
        </w:rPr>
        <w:t xml:space="preserve"> 160C:80-</w:t>
      </w:r>
      <w:r w:rsidR="00B94C37">
        <w:rPr>
          <w:sz w:val="24"/>
          <w:szCs w:val="24"/>
          <w:lang w:val="en-GB"/>
        </w:rPr>
        <w:t>8</w:t>
      </w:r>
      <w:r w:rsidR="00686CAA" w:rsidRPr="00686CAA">
        <w:rPr>
          <w:sz w:val="24"/>
          <w:szCs w:val="24"/>
          <w:lang w:val="en-GB"/>
        </w:rPr>
        <w:t>8</w:t>
      </w:r>
      <w:r w:rsidR="00DF6D81">
        <w:rPr>
          <w:sz w:val="24"/>
          <w:szCs w:val="24"/>
          <w:lang w:val="en-GB"/>
        </w:rPr>
        <w:t>.</w:t>
      </w:r>
    </w:p>
    <w:p w:rsidR="00DF6D81" w:rsidRPr="00932539" w:rsidRDefault="00DF6D81" w:rsidP="00DF6D81">
      <w:pPr>
        <w:spacing w:line="480" w:lineRule="auto"/>
        <w:ind w:left="705" w:hanging="705"/>
        <w:rPr>
          <w:sz w:val="24"/>
          <w:szCs w:val="24"/>
          <w:lang w:val="en-US"/>
        </w:rPr>
      </w:pPr>
      <w:r>
        <w:rPr>
          <w:sz w:val="24"/>
          <w:szCs w:val="24"/>
          <w:lang w:val="en-GB"/>
        </w:rPr>
        <w:t>4.</w:t>
      </w:r>
      <w:r>
        <w:rPr>
          <w:sz w:val="24"/>
          <w:szCs w:val="24"/>
          <w:lang w:val="en-GB"/>
        </w:rPr>
        <w:tab/>
      </w:r>
      <w:r w:rsidRPr="00DF6D81">
        <w:rPr>
          <w:sz w:val="24"/>
          <w:szCs w:val="24"/>
          <w:lang w:val="en-GB"/>
        </w:rPr>
        <w:t xml:space="preserve">Kishnani PS, Amartino HM, Lindberg C, </w:t>
      </w:r>
      <w:r>
        <w:rPr>
          <w:sz w:val="24"/>
          <w:szCs w:val="24"/>
          <w:lang w:val="en-GB"/>
        </w:rPr>
        <w:t xml:space="preserve">et al. </w:t>
      </w:r>
      <w:r w:rsidRPr="00DF6D81">
        <w:rPr>
          <w:sz w:val="24"/>
          <w:szCs w:val="24"/>
          <w:lang w:val="en-GB"/>
        </w:rPr>
        <w:t>Timing of diagnosis of patients with Pompe disease: data from the Pompe registry.</w:t>
      </w:r>
      <w:r>
        <w:rPr>
          <w:sz w:val="24"/>
          <w:szCs w:val="24"/>
          <w:lang w:val="en-GB"/>
        </w:rPr>
        <w:t xml:space="preserve"> </w:t>
      </w:r>
      <w:r w:rsidRPr="00932539">
        <w:rPr>
          <w:sz w:val="24"/>
          <w:szCs w:val="24"/>
          <w:lang w:val="en-US"/>
        </w:rPr>
        <w:t>Am J Med Genet A. 2013</w:t>
      </w:r>
      <w:r w:rsidR="00CE234E" w:rsidRPr="00932539">
        <w:rPr>
          <w:sz w:val="24"/>
          <w:szCs w:val="24"/>
          <w:lang w:val="en-US"/>
        </w:rPr>
        <w:t>;</w:t>
      </w:r>
      <w:r w:rsidRPr="00932539">
        <w:rPr>
          <w:sz w:val="24"/>
          <w:szCs w:val="24"/>
          <w:lang w:val="en-US"/>
        </w:rPr>
        <w:t>161A:2431-</w:t>
      </w:r>
      <w:r w:rsidR="00B94C37" w:rsidRPr="00932539">
        <w:rPr>
          <w:sz w:val="24"/>
          <w:szCs w:val="24"/>
          <w:lang w:val="en-US"/>
        </w:rPr>
        <w:t>24</w:t>
      </w:r>
      <w:r w:rsidRPr="00932539">
        <w:rPr>
          <w:sz w:val="24"/>
          <w:szCs w:val="24"/>
          <w:lang w:val="en-US"/>
        </w:rPr>
        <w:t>43.</w:t>
      </w:r>
    </w:p>
    <w:p w:rsidR="00585557" w:rsidRPr="003C0A02" w:rsidRDefault="00956FF6" w:rsidP="00585557">
      <w:pPr>
        <w:spacing w:line="480" w:lineRule="auto"/>
        <w:ind w:left="705" w:hanging="705"/>
        <w:rPr>
          <w:sz w:val="24"/>
          <w:szCs w:val="24"/>
        </w:rPr>
      </w:pPr>
      <w:r w:rsidRPr="00D20676">
        <w:rPr>
          <w:sz w:val="24"/>
          <w:szCs w:val="24"/>
        </w:rPr>
        <w:t>5.</w:t>
      </w:r>
      <w:r w:rsidR="00585557" w:rsidRPr="00D20676">
        <w:rPr>
          <w:sz w:val="24"/>
          <w:szCs w:val="24"/>
        </w:rPr>
        <w:t xml:space="preserve"> </w:t>
      </w:r>
      <w:r w:rsidR="00585557" w:rsidRPr="00D20676">
        <w:rPr>
          <w:sz w:val="24"/>
          <w:szCs w:val="24"/>
        </w:rPr>
        <w:tab/>
      </w:r>
      <w:r w:rsidR="00585557" w:rsidRPr="00CD58A3">
        <w:rPr>
          <w:sz w:val="24"/>
          <w:szCs w:val="24"/>
        </w:rPr>
        <w:t xml:space="preserve">Lukacs Z, Nieves CP, Mengel E, et al. </w:t>
      </w:r>
      <w:r w:rsidR="00585557" w:rsidRPr="00956FF6">
        <w:rPr>
          <w:sz w:val="24"/>
          <w:szCs w:val="24"/>
          <w:lang w:val="en-US"/>
        </w:rPr>
        <w:t xml:space="preserve">Diagnostic efficacy of the fluorometric determination of enzyme activity for Pompe disease from dried blood specimens </w:t>
      </w:r>
      <w:bookmarkStart w:id="0" w:name="_GoBack"/>
      <w:bookmarkEnd w:id="0"/>
      <w:r w:rsidR="00585557" w:rsidRPr="00956FF6">
        <w:rPr>
          <w:sz w:val="24"/>
          <w:szCs w:val="24"/>
          <w:lang w:val="en-US"/>
        </w:rPr>
        <w:t xml:space="preserve">compared with lymphocytes-possibility for newborn screening. </w:t>
      </w:r>
      <w:r w:rsidR="00585557" w:rsidRPr="003C0A02">
        <w:rPr>
          <w:sz w:val="24"/>
          <w:szCs w:val="24"/>
        </w:rPr>
        <w:t>J Inherit Metab Dis 2010</w:t>
      </w:r>
      <w:r w:rsidR="00B94C37">
        <w:rPr>
          <w:sz w:val="24"/>
          <w:szCs w:val="24"/>
        </w:rPr>
        <w:t>;</w:t>
      </w:r>
      <w:r w:rsidR="00585557" w:rsidRPr="003C0A02">
        <w:rPr>
          <w:sz w:val="24"/>
          <w:szCs w:val="24"/>
        </w:rPr>
        <w:t>33:43-50.</w:t>
      </w:r>
    </w:p>
    <w:p w:rsidR="00CD58A3" w:rsidRDefault="00CB4B18" w:rsidP="00CD58A3">
      <w:pPr>
        <w:spacing w:line="480" w:lineRule="auto"/>
        <w:ind w:left="705" w:hanging="705"/>
        <w:rPr>
          <w:sz w:val="24"/>
          <w:szCs w:val="24"/>
          <w:lang w:val="en-GB"/>
        </w:rPr>
      </w:pPr>
      <w:r w:rsidRPr="00CD58A3">
        <w:rPr>
          <w:sz w:val="24"/>
          <w:szCs w:val="24"/>
        </w:rPr>
        <w:t>6.</w:t>
      </w:r>
      <w:r w:rsidRPr="00CD58A3">
        <w:rPr>
          <w:sz w:val="24"/>
          <w:szCs w:val="24"/>
        </w:rPr>
        <w:tab/>
      </w:r>
      <w:r w:rsidR="00CD58A3" w:rsidRPr="00CD58A3">
        <w:rPr>
          <w:sz w:val="24"/>
          <w:szCs w:val="24"/>
        </w:rPr>
        <w:t xml:space="preserve">Gutiérrez-Rivas E, Bautista J, Vílchez JJ, </w:t>
      </w:r>
      <w:r w:rsidR="00CD58A3">
        <w:rPr>
          <w:sz w:val="24"/>
          <w:szCs w:val="24"/>
        </w:rPr>
        <w:t xml:space="preserve">et al. </w:t>
      </w:r>
      <w:r w:rsidR="00CD58A3" w:rsidRPr="00CD58A3">
        <w:rPr>
          <w:sz w:val="24"/>
          <w:szCs w:val="24"/>
          <w:lang w:val="en-GB"/>
        </w:rPr>
        <w:t xml:space="preserve">Targeted screening for the detection of Pompe disease in patients with unclassified limb-girdle muscular dystrophy or </w:t>
      </w:r>
      <w:r w:rsidR="00CD58A3" w:rsidRPr="00CD58A3">
        <w:rPr>
          <w:sz w:val="24"/>
          <w:szCs w:val="24"/>
          <w:lang w:val="en-GB"/>
        </w:rPr>
        <w:lastRenderedPageBreak/>
        <w:t>asymptomatic hyperCKemia using dried blood: A Spanish cohort.</w:t>
      </w:r>
      <w:r w:rsidR="00CD58A3">
        <w:rPr>
          <w:sz w:val="24"/>
          <w:szCs w:val="24"/>
          <w:lang w:val="en-GB"/>
        </w:rPr>
        <w:t xml:space="preserve"> </w:t>
      </w:r>
      <w:r w:rsidR="00CD58A3" w:rsidRPr="00CD58A3">
        <w:rPr>
          <w:sz w:val="24"/>
          <w:szCs w:val="24"/>
          <w:lang w:val="en-GB"/>
        </w:rPr>
        <w:t>Neuromuscul Disord</w:t>
      </w:r>
      <w:r w:rsidR="00B94C37">
        <w:rPr>
          <w:sz w:val="24"/>
          <w:szCs w:val="24"/>
          <w:lang w:val="en-GB"/>
        </w:rPr>
        <w:t xml:space="preserve"> 2015</w:t>
      </w:r>
      <w:r w:rsidR="00CD58A3" w:rsidRPr="00CD58A3">
        <w:rPr>
          <w:sz w:val="24"/>
          <w:szCs w:val="24"/>
          <w:lang w:val="en-GB"/>
        </w:rPr>
        <w:t>;25:548-</w:t>
      </w:r>
      <w:r w:rsidR="00B94C37">
        <w:rPr>
          <w:sz w:val="24"/>
          <w:szCs w:val="24"/>
          <w:lang w:val="en-GB"/>
        </w:rPr>
        <w:t>5</w:t>
      </w:r>
      <w:r w:rsidR="00CD58A3" w:rsidRPr="00CD58A3">
        <w:rPr>
          <w:sz w:val="24"/>
          <w:szCs w:val="24"/>
          <w:lang w:val="en-GB"/>
        </w:rPr>
        <w:t>53.</w:t>
      </w:r>
    </w:p>
    <w:p w:rsidR="00CD58A3" w:rsidRPr="003C0A02" w:rsidRDefault="00CD58A3" w:rsidP="00CD58A3">
      <w:pPr>
        <w:spacing w:line="480" w:lineRule="auto"/>
        <w:ind w:left="705" w:hanging="705"/>
        <w:rPr>
          <w:sz w:val="24"/>
          <w:szCs w:val="24"/>
          <w:lang w:val="en-GB"/>
        </w:rPr>
      </w:pPr>
      <w:r>
        <w:rPr>
          <w:sz w:val="24"/>
          <w:szCs w:val="24"/>
          <w:lang w:val="en-GB"/>
        </w:rPr>
        <w:t>7.</w:t>
      </w:r>
      <w:r>
        <w:rPr>
          <w:sz w:val="24"/>
          <w:szCs w:val="24"/>
          <w:lang w:val="en-GB"/>
        </w:rPr>
        <w:tab/>
        <w:t>M</w:t>
      </w:r>
      <w:r w:rsidRPr="00CD58A3">
        <w:rPr>
          <w:sz w:val="24"/>
          <w:szCs w:val="24"/>
          <w:lang w:val="en-GB"/>
        </w:rPr>
        <w:t xml:space="preserve">usumeci O, la Marca G, Spada M, </w:t>
      </w:r>
      <w:r>
        <w:rPr>
          <w:sz w:val="24"/>
          <w:szCs w:val="24"/>
          <w:lang w:val="en-GB"/>
        </w:rPr>
        <w:t xml:space="preserve">et al. </w:t>
      </w:r>
      <w:r w:rsidRPr="00CD58A3">
        <w:rPr>
          <w:sz w:val="24"/>
          <w:szCs w:val="24"/>
          <w:lang w:val="en-GB"/>
        </w:rPr>
        <w:t>LOPED study: looking for an early diagnosis in a late-onset Pompe disease high-risk population.</w:t>
      </w:r>
      <w:r>
        <w:rPr>
          <w:sz w:val="24"/>
          <w:szCs w:val="24"/>
          <w:lang w:val="en-GB"/>
        </w:rPr>
        <w:t xml:space="preserve"> </w:t>
      </w:r>
      <w:r w:rsidRPr="003C0A02">
        <w:rPr>
          <w:sz w:val="24"/>
          <w:szCs w:val="24"/>
          <w:lang w:val="en-GB"/>
        </w:rPr>
        <w:t>J Neurol Neurosurg Psychiatry</w:t>
      </w:r>
      <w:r w:rsidR="00B94C37">
        <w:rPr>
          <w:sz w:val="24"/>
          <w:szCs w:val="24"/>
          <w:lang w:val="en-GB"/>
        </w:rPr>
        <w:t xml:space="preserve"> </w:t>
      </w:r>
      <w:r w:rsidRPr="003C0A02">
        <w:rPr>
          <w:sz w:val="24"/>
          <w:szCs w:val="24"/>
          <w:lang w:val="en-GB"/>
        </w:rPr>
        <w:t>2015</w:t>
      </w:r>
      <w:r w:rsidR="00B94C37">
        <w:rPr>
          <w:sz w:val="24"/>
          <w:szCs w:val="24"/>
          <w:lang w:val="en-GB"/>
        </w:rPr>
        <w:t>;</w:t>
      </w:r>
      <w:r w:rsidRPr="003C0A02">
        <w:rPr>
          <w:sz w:val="24"/>
          <w:szCs w:val="24"/>
          <w:lang w:val="en-GB"/>
        </w:rPr>
        <w:t>jnnp-2014-310164.</w:t>
      </w:r>
    </w:p>
    <w:p w:rsidR="00CD58A3" w:rsidRDefault="00CD58A3" w:rsidP="00CD58A3">
      <w:pPr>
        <w:spacing w:line="480" w:lineRule="auto"/>
        <w:ind w:left="705" w:hanging="705"/>
        <w:rPr>
          <w:sz w:val="24"/>
          <w:szCs w:val="24"/>
          <w:lang w:val="en-GB"/>
        </w:rPr>
      </w:pPr>
      <w:r w:rsidRPr="00CD58A3">
        <w:rPr>
          <w:sz w:val="24"/>
          <w:szCs w:val="24"/>
          <w:lang w:val="en-GB"/>
        </w:rPr>
        <w:t>8.</w:t>
      </w:r>
      <w:r w:rsidRPr="00CD58A3">
        <w:rPr>
          <w:sz w:val="24"/>
          <w:szCs w:val="24"/>
          <w:lang w:val="en-GB"/>
        </w:rPr>
        <w:tab/>
        <w:t>Palmio J, Auranen M, Kiuru-Enari S, et al.</w:t>
      </w:r>
      <w:r w:rsidRPr="00CD58A3">
        <w:rPr>
          <w:lang w:val="en-GB"/>
        </w:rPr>
        <w:t xml:space="preserve"> </w:t>
      </w:r>
      <w:r w:rsidRPr="00CD58A3">
        <w:rPr>
          <w:sz w:val="24"/>
          <w:szCs w:val="24"/>
          <w:lang w:val="en-GB"/>
        </w:rPr>
        <w:t>Screening for late-onset Pompe disease in Finland.</w:t>
      </w:r>
      <w:r>
        <w:rPr>
          <w:sz w:val="24"/>
          <w:szCs w:val="24"/>
          <w:lang w:val="en-GB"/>
        </w:rPr>
        <w:t xml:space="preserve"> </w:t>
      </w:r>
      <w:r w:rsidRPr="00CD58A3">
        <w:rPr>
          <w:sz w:val="24"/>
          <w:szCs w:val="24"/>
          <w:lang w:val="en-GB"/>
        </w:rPr>
        <w:t>Neuromuscul Disord 2014;24:982-</w:t>
      </w:r>
      <w:r w:rsidR="00B94C37">
        <w:rPr>
          <w:sz w:val="24"/>
          <w:szCs w:val="24"/>
          <w:lang w:val="en-GB"/>
        </w:rPr>
        <w:t>98</w:t>
      </w:r>
      <w:r w:rsidRPr="00CD58A3">
        <w:rPr>
          <w:sz w:val="24"/>
          <w:szCs w:val="24"/>
          <w:lang w:val="en-GB"/>
        </w:rPr>
        <w:t>5</w:t>
      </w:r>
      <w:r>
        <w:rPr>
          <w:sz w:val="24"/>
          <w:szCs w:val="24"/>
          <w:lang w:val="en-GB"/>
        </w:rPr>
        <w:t>.</w:t>
      </w:r>
    </w:p>
    <w:p w:rsidR="00CD58A3" w:rsidRPr="003C0A02" w:rsidRDefault="00CD58A3" w:rsidP="00CD58A3">
      <w:pPr>
        <w:spacing w:line="480" w:lineRule="auto"/>
        <w:ind w:left="705" w:hanging="705"/>
        <w:rPr>
          <w:sz w:val="24"/>
          <w:szCs w:val="24"/>
        </w:rPr>
      </w:pPr>
      <w:r>
        <w:rPr>
          <w:sz w:val="24"/>
          <w:szCs w:val="24"/>
          <w:lang w:val="en-GB"/>
        </w:rPr>
        <w:t xml:space="preserve">9. </w:t>
      </w:r>
      <w:r>
        <w:rPr>
          <w:sz w:val="24"/>
          <w:szCs w:val="24"/>
          <w:lang w:val="en-GB"/>
        </w:rPr>
        <w:tab/>
      </w:r>
      <w:r w:rsidRPr="00CD58A3">
        <w:rPr>
          <w:sz w:val="24"/>
          <w:szCs w:val="24"/>
          <w:lang w:val="en-GB"/>
        </w:rPr>
        <w:t xml:space="preserve">Spada M, Porta F, Vercelli L, </w:t>
      </w:r>
      <w:r>
        <w:rPr>
          <w:sz w:val="24"/>
          <w:szCs w:val="24"/>
          <w:lang w:val="en-GB"/>
        </w:rPr>
        <w:t xml:space="preserve">et al. </w:t>
      </w:r>
      <w:r w:rsidRPr="00CD58A3">
        <w:rPr>
          <w:sz w:val="24"/>
          <w:szCs w:val="24"/>
          <w:lang w:val="en-GB"/>
        </w:rPr>
        <w:t>Screening for later-onset Pompe's disease in patients with paucisymptomatic hyperCKemia.</w:t>
      </w:r>
      <w:r>
        <w:rPr>
          <w:sz w:val="24"/>
          <w:szCs w:val="24"/>
          <w:lang w:val="en-GB"/>
        </w:rPr>
        <w:t xml:space="preserve"> </w:t>
      </w:r>
      <w:r w:rsidRPr="003C0A02">
        <w:rPr>
          <w:sz w:val="24"/>
          <w:szCs w:val="24"/>
        </w:rPr>
        <w:t>Mol Genet Metab 2013;109:171-</w:t>
      </w:r>
      <w:r w:rsidR="00B94C37">
        <w:rPr>
          <w:sz w:val="24"/>
          <w:szCs w:val="24"/>
        </w:rPr>
        <w:t>17</w:t>
      </w:r>
      <w:r w:rsidRPr="003C0A02">
        <w:rPr>
          <w:sz w:val="24"/>
          <w:szCs w:val="24"/>
        </w:rPr>
        <w:t>3.</w:t>
      </w:r>
    </w:p>
    <w:p w:rsidR="00CD58A3" w:rsidRPr="00CD58A3" w:rsidRDefault="00CD58A3" w:rsidP="00CD58A3">
      <w:pPr>
        <w:spacing w:line="480" w:lineRule="auto"/>
        <w:ind w:left="705" w:hanging="705"/>
        <w:rPr>
          <w:sz w:val="24"/>
          <w:szCs w:val="24"/>
          <w:lang w:val="en-GB"/>
        </w:rPr>
      </w:pPr>
      <w:r>
        <w:rPr>
          <w:sz w:val="24"/>
          <w:szCs w:val="24"/>
        </w:rPr>
        <w:t>10.</w:t>
      </w:r>
      <w:r>
        <w:rPr>
          <w:sz w:val="24"/>
          <w:szCs w:val="24"/>
        </w:rPr>
        <w:tab/>
      </w:r>
      <w:r w:rsidRPr="00CD58A3">
        <w:rPr>
          <w:sz w:val="24"/>
          <w:szCs w:val="24"/>
        </w:rPr>
        <w:t xml:space="preserve">Preisler N, Lukacs  Z, Vinge L, et al. </w:t>
      </w:r>
      <w:r w:rsidRPr="00CD58A3">
        <w:rPr>
          <w:sz w:val="24"/>
          <w:szCs w:val="24"/>
          <w:lang w:val="en-US"/>
        </w:rPr>
        <w:t>Late-onset Pompe disease is prevalent in unclassified limb-girdle muscular dystrophies. Mol Genet Metabol 2013</w:t>
      </w:r>
      <w:r w:rsidR="00B94C37">
        <w:rPr>
          <w:sz w:val="24"/>
          <w:szCs w:val="24"/>
          <w:lang w:val="en-US"/>
        </w:rPr>
        <w:t>;</w:t>
      </w:r>
      <w:r w:rsidRPr="00CD58A3">
        <w:rPr>
          <w:sz w:val="24"/>
          <w:szCs w:val="24"/>
          <w:lang w:val="en-US"/>
        </w:rPr>
        <w:t>110;287–289.</w:t>
      </w:r>
    </w:p>
    <w:p w:rsidR="00585557" w:rsidRDefault="00CD58A3" w:rsidP="00585557">
      <w:pPr>
        <w:spacing w:line="480" w:lineRule="auto"/>
        <w:ind w:left="705" w:hanging="705"/>
        <w:rPr>
          <w:sz w:val="24"/>
          <w:szCs w:val="24"/>
          <w:lang w:val="en-US"/>
        </w:rPr>
      </w:pPr>
      <w:r w:rsidRPr="00CD58A3">
        <w:rPr>
          <w:sz w:val="24"/>
          <w:szCs w:val="24"/>
          <w:lang w:val="en-GB"/>
        </w:rPr>
        <w:t>11</w:t>
      </w:r>
      <w:r w:rsidR="00CB4B18" w:rsidRPr="00CD58A3">
        <w:rPr>
          <w:sz w:val="24"/>
          <w:szCs w:val="24"/>
          <w:lang w:val="en-GB"/>
        </w:rPr>
        <w:t>.</w:t>
      </w:r>
      <w:r w:rsidR="00585557" w:rsidRPr="00CD58A3">
        <w:rPr>
          <w:sz w:val="24"/>
          <w:szCs w:val="24"/>
          <w:lang w:val="en-GB"/>
        </w:rPr>
        <w:t xml:space="preserve"> </w:t>
      </w:r>
      <w:r w:rsidR="00585557" w:rsidRPr="00CD58A3">
        <w:rPr>
          <w:sz w:val="24"/>
          <w:szCs w:val="24"/>
          <w:lang w:val="en-GB"/>
        </w:rPr>
        <w:tab/>
      </w:r>
      <w:r w:rsidR="00585557" w:rsidRPr="00D20676">
        <w:rPr>
          <w:sz w:val="24"/>
          <w:szCs w:val="24"/>
        </w:rPr>
        <w:t xml:space="preserve">Goldstein JL, Young SP, Changela M, et al. </w:t>
      </w:r>
      <w:r w:rsidR="00585557" w:rsidRPr="00CD58A3">
        <w:rPr>
          <w:sz w:val="24"/>
          <w:szCs w:val="24"/>
          <w:lang w:val="en-US"/>
        </w:rPr>
        <w:t>Screening for Pompe disease using a rapid dried blood spot method: experience of a clinical diagnostic laboratory. Muscle Nerve 2009;40:32-36.</w:t>
      </w:r>
    </w:p>
    <w:p w:rsidR="001F565B" w:rsidRDefault="001F565B" w:rsidP="00585557">
      <w:pPr>
        <w:spacing w:line="480" w:lineRule="auto"/>
        <w:ind w:left="705" w:hanging="705"/>
        <w:rPr>
          <w:sz w:val="24"/>
          <w:szCs w:val="24"/>
          <w:lang w:val="en-US"/>
        </w:rPr>
      </w:pPr>
      <w:r>
        <w:rPr>
          <w:sz w:val="24"/>
          <w:szCs w:val="24"/>
          <w:lang w:val="en-US"/>
        </w:rPr>
        <w:t>12.</w:t>
      </w:r>
      <w:r>
        <w:rPr>
          <w:sz w:val="24"/>
          <w:szCs w:val="24"/>
          <w:lang w:val="en-US"/>
        </w:rPr>
        <w:tab/>
      </w:r>
      <w:r w:rsidRPr="001F565B">
        <w:rPr>
          <w:sz w:val="24"/>
          <w:szCs w:val="24"/>
          <w:lang w:val="en-US"/>
        </w:rPr>
        <w:t xml:space="preserve">Pérez-López </w:t>
      </w:r>
      <w:r>
        <w:rPr>
          <w:sz w:val="24"/>
          <w:szCs w:val="24"/>
          <w:lang w:val="en-US"/>
        </w:rPr>
        <w:t>J,</w:t>
      </w:r>
      <w:r w:rsidRPr="001F565B">
        <w:rPr>
          <w:sz w:val="24"/>
          <w:szCs w:val="24"/>
          <w:lang w:val="en-US"/>
        </w:rPr>
        <w:t xml:space="preserve"> Selva-O'Callaghan </w:t>
      </w:r>
      <w:r>
        <w:rPr>
          <w:sz w:val="24"/>
          <w:szCs w:val="24"/>
          <w:lang w:val="en-US"/>
        </w:rPr>
        <w:t>A,</w:t>
      </w:r>
      <w:r w:rsidRPr="001F565B">
        <w:rPr>
          <w:sz w:val="24"/>
          <w:szCs w:val="24"/>
          <w:lang w:val="en-US"/>
        </w:rPr>
        <w:t xml:space="preserve"> Grau-Junyent </w:t>
      </w:r>
      <w:r>
        <w:rPr>
          <w:sz w:val="24"/>
          <w:szCs w:val="24"/>
          <w:lang w:val="en-US"/>
        </w:rPr>
        <w:t xml:space="preserve">JM, et al. </w:t>
      </w:r>
      <w:r w:rsidR="00412D07" w:rsidRPr="00412D07">
        <w:rPr>
          <w:sz w:val="24"/>
          <w:szCs w:val="24"/>
          <w:lang w:val="en-US"/>
        </w:rPr>
        <w:t>Delayed diagnosis of late-onset Pompe disease in patients with myopathies of unknown origin and/or hyperCKemia</w:t>
      </w:r>
      <w:r w:rsidR="00412D07">
        <w:rPr>
          <w:sz w:val="24"/>
          <w:szCs w:val="24"/>
          <w:lang w:val="en-US"/>
        </w:rPr>
        <w:t xml:space="preserve">. </w:t>
      </w:r>
      <w:r w:rsidR="00412D07" w:rsidRPr="00412D07">
        <w:rPr>
          <w:sz w:val="24"/>
          <w:szCs w:val="24"/>
          <w:lang w:val="en-US"/>
        </w:rPr>
        <w:t xml:space="preserve">Mol Genet Metab </w:t>
      </w:r>
      <w:r w:rsidR="00412D07">
        <w:rPr>
          <w:sz w:val="24"/>
          <w:szCs w:val="24"/>
          <w:lang w:val="en-US"/>
        </w:rPr>
        <w:t>2015;</w:t>
      </w:r>
      <w:r w:rsidR="00412D07" w:rsidRPr="00412D07">
        <w:rPr>
          <w:sz w:val="24"/>
          <w:szCs w:val="24"/>
          <w:lang w:val="en-US"/>
        </w:rPr>
        <w:t>114</w:t>
      </w:r>
      <w:r w:rsidR="00412D07">
        <w:rPr>
          <w:sz w:val="24"/>
          <w:szCs w:val="24"/>
          <w:lang w:val="en-US"/>
        </w:rPr>
        <w:t>:</w:t>
      </w:r>
      <w:r w:rsidR="00412D07" w:rsidRPr="00412D07">
        <w:rPr>
          <w:sz w:val="24"/>
          <w:szCs w:val="24"/>
          <w:lang w:val="en-US"/>
        </w:rPr>
        <w:t>580–583</w:t>
      </w:r>
      <w:r w:rsidR="00412D07">
        <w:rPr>
          <w:sz w:val="24"/>
          <w:szCs w:val="24"/>
          <w:lang w:val="en-US"/>
        </w:rPr>
        <w:t>.</w:t>
      </w:r>
    </w:p>
    <w:p w:rsidR="00354FDF" w:rsidRPr="00CD58A3" w:rsidRDefault="00354FDF" w:rsidP="005D14D6">
      <w:pPr>
        <w:spacing w:line="480" w:lineRule="auto"/>
        <w:ind w:left="705" w:hanging="705"/>
        <w:rPr>
          <w:sz w:val="24"/>
          <w:szCs w:val="24"/>
          <w:lang w:val="en-US"/>
        </w:rPr>
      </w:pPr>
      <w:r>
        <w:rPr>
          <w:sz w:val="24"/>
          <w:szCs w:val="24"/>
          <w:lang w:val="en-US"/>
        </w:rPr>
        <w:t>1</w:t>
      </w:r>
      <w:r w:rsidR="001F565B">
        <w:rPr>
          <w:sz w:val="24"/>
          <w:szCs w:val="24"/>
          <w:lang w:val="en-US"/>
        </w:rPr>
        <w:t>3</w:t>
      </w:r>
      <w:r>
        <w:rPr>
          <w:sz w:val="24"/>
          <w:szCs w:val="24"/>
          <w:lang w:val="en-US"/>
        </w:rPr>
        <w:t>.</w:t>
      </w:r>
      <w:r>
        <w:rPr>
          <w:sz w:val="24"/>
          <w:szCs w:val="24"/>
          <w:lang w:val="en-US"/>
        </w:rPr>
        <w:tab/>
        <w:t>Schoser B, Toscano A.</w:t>
      </w:r>
      <w:r w:rsidR="005D14D6" w:rsidRPr="007166B9">
        <w:rPr>
          <w:lang w:val="en-GB"/>
        </w:rPr>
        <w:t xml:space="preserve"> </w:t>
      </w:r>
      <w:r w:rsidR="005D14D6" w:rsidRPr="005D14D6">
        <w:rPr>
          <w:sz w:val="24"/>
          <w:szCs w:val="24"/>
          <w:lang w:val="en-US"/>
        </w:rPr>
        <w:t>Enzyme replacement therapy in late-onset Pompe disease: a systematic literature review</w:t>
      </w:r>
      <w:r w:rsidR="005D14D6">
        <w:rPr>
          <w:sz w:val="24"/>
          <w:szCs w:val="24"/>
          <w:lang w:val="en-US"/>
        </w:rPr>
        <w:t xml:space="preserve">. </w:t>
      </w:r>
      <w:r w:rsidR="005D14D6" w:rsidRPr="005D14D6">
        <w:rPr>
          <w:sz w:val="24"/>
          <w:szCs w:val="24"/>
          <w:lang w:val="en-US"/>
        </w:rPr>
        <w:t>J Neurol</w:t>
      </w:r>
      <w:r w:rsidR="005D14D6">
        <w:rPr>
          <w:sz w:val="24"/>
          <w:szCs w:val="24"/>
          <w:lang w:val="en-US"/>
        </w:rPr>
        <w:t xml:space="preserve"> </w:t>
      </w:r>
      <w:r w:rsidR="005D14D6" w:rsidRPr="005D14D6">
        <w:rPr>
          <w:sz w:val="24"/>
          <w:szCs w:val="24"/>
          <w:lang w:val="en-US"/>
        </w:rPr>
        <w:t>2013</w:t>
      </w:r>
      <w:r w:rsidR="005D14D6">
        <w:rPr>
          <w:sz w:val="24"/>
          <w:szCs w:val="24"/>
          <w:lang w:val="en-US"/>
        </w:rPr>
        <w:t>;</w:t>
      </w:r>
      <w:r w:rsidR="005D14D6" w:rsidRPr="005D14D6">
        <w:rPr>
          <w:sz w:val="24"/>
          <w:szCs w:val="24"/>
          <w:lang w:val="en-US"/>
        </w:rPr>
        <w:t>260</w:t>
      </w:r>
      <w:r w:rsidR="00B94C37">
        <w:rPr>
          <w:sz w:val="24"/>
          <w:szCs w:val="24"/>
          <w:lang w:val="en-US"/>
        </w:rPr>
        <w:t>:</w:t>
      </w:r>
      <w:r w:rsidR="005D14D6">
        <w:rPr>
          <w:sz w:val="24"/>
          <w:szCs w:val="24"/>
          <w:lang w:val="en-US"/>
        </w:rPr>
        <w:t>9</w:t>
      </w:r>
      <w:r w:rsidR="005D14D6" w:rsidRPr="005D14D6">
        <w:rPr>
          <w:sz w:val="24"/>
          <w:szCs w:val="24"/>
          <w:lang w:val="en-US"/>
        </w:rPr>
        <w:t>51-</w:t>
      </w:r>
      <w:r w:rsidR="005D14D6">
        <w:rPr>
          <w:sz w:val="24"/>
          <w:szCs w:val="24"/>
          <w:lang w:val="en-US"/>
        </w:rPr>
        <w:t>95</w:t>
      </w:r>
      <w:r w:rsidR="005D14D6" w:rsidRPr="005D14D6">
        <w:rPr>
          <w:sz w:val="24"/>
          <w:szCs w:val="24"/>
          <w:lang w:val="en-US"/>
        </w:rPr>
        <w:t>9</w:t>
      </w:r>
      <w:r w:rsidR="005D14D6">
        <w:rPr>
          <w:sz w:val="24"/>
          <w:szCs w:val="24"/>
          <w:lang w:val="en-US"/>
        </w:rPr>
        <w:t>.</w:t>
      </w:r>
      <w:r>
        <w:rPr>
          <w:sz w:val="24"/>
          <w:szCs w:val="24"/>
          <w:lang w:val="en-US"/>
        </w:rPr>
        <w:t xml:space="preserve"> </w:t>
      </w:r>
    </w:p>
    <w:p w:rsidR="005D14D6" w:rsidRDefault="005D14D6">
      <w:pPr>
        <w:rPr>
          <w:b/>
          <w:sz w:val="24"/>
          <w:szCs w:val="24"/>
          <w:lang w:val="en-GB"/>
        </w:rPr>
      </w:pPr>
      <w:r>
        <w:rPr>
          <w:b/>
          <w:sz w:val="24"/>
          <w:szCs w:val="24"/>
          <w:lang w:val="en-GB"/>
        </w:rPr>
        <w:br w:type="page"/>
      </w:r>
    </w:p>
    <w:p w:rsidR="001A1EEE" w:rsidRPr="00D20676" w:rsidRDefault="001A1EEE" w:rsidP="001A1EEE">
      <w:pPr>
        <w:rPr>
          <w:rFonts w:cs="Arial"/>
          <w:b/>
          <w:sz w:val="24"/>
          <w:szCs w:val="24"/>
          <w:lang w:val="en-GB"/>
        </w:rPr>
      </w:pPr>
      <w:r w:rsidRPr="00D20676">
        <w:rPr>
          <w:rFonts w:cs="Arial"/>
          <w:b/>
          <w:sz w:val="24"/>
          <w:szCs w:val="24"/>
          <w:lang w:val="en-GB"/>
        </w:rPr>
        <w:lastRenderedPageBreak/>
        <w:t>Table 1</w:t>
      </w:r>
      <w:r w:rsidR="0024103C" w:rsidRPr="00D20676">
        <w:rPr>
          <w:rFonts w:cs="Arial"/>
          <w:b/>
          <w:sz w:val="24"/>
          <w:szCs w:val="24"/>
          <w:lang w:val="en-GB"/>
        </w:rPr>
        <w:t>.</w:t>
      </w:r>
      <w:r w:rsidRPr="00D20676">
        <w:rPr>
          <w:rFonts w:cs="Arial"/>
          <w:b/>
          <w:sz w:val="24"/>
          <w:szCs w:val="24"/>
          <w:lang w:val="en-GB"/>
        </w:rPr>
        <w:t xml:space="preserve"> </w:t>
      </w:r>
      <w:r w:rsidR="0024103C" w:rsidRPr="00D20676">
        <w:rPr>
          <w:rFonts w:cs="Arial"/>
          <w:b/>
          <w:sz w:val="24"/>
          <w:szCs w:val="24"/>
          <w:lang w:val="en-GB"/>
        </w:rPr>
        <w:t>D</w:t>
      </w:r>
      <w:r w:rsidRPr="00D20676">
        <w:rPr>
          <w:rFonts w:cs="Arial"/>
          <w:b/>
          <w:sz w:val="24"/>
          <w:szCs w:val="24"/>
          <w:lang w:val="en-GB"/>
        </w:rPr>
        <w:t>emographic and clinical presentation of</w:t>
      </w:r>
      <w:r w:rsidR="0024103C" w:rsidRPr="00D20676">
        <w:rPr>
          <w:rFonts w:cs="Arial"/>
          <w:b/>
          <w:sz w:val="24"/>
          <w:szCs w:val="24"/>
          <w:lang w:val="en-GB"/>
        </w:rPr>
        <w:t xml:space="preserve"> </w:t>
      </w:r>
      <w:r w:rsidRPr="00D20676">
        <w:rPr>
          <w:rFonts w:cs="Arial"/>
          <w:b/>
          <w:sz w:val="24"/>
          <w:szCs w:val="24"/>
          <w:lang w:val="en-GB"/>
        </w:rPr>
        <w:t xml:space="preserve">the study cohort </w:t>
      </w:r>
    </w:p>
    <w:p w:rsidR="001A1EEE" w:rsidRPr="00D20676" w:rsidRDefault="001A1EEE" w:rsidP="001A1EEE">
      <w:pPr>
        <w:pBdr>
          <w:top w:val="single" w:sz="4" w:space="1" w:color="auto"/>
        </w:pBdr>
        <w:rPr>
          <w:rFonts w:cs="Arial"/>
          <w:sz w:val="24"/>
          <w:szCs w:val="24"/>
          <w:lang w:val="en-GB"/>
        </w:rPr>
      </w:pPr>
      <w:r w:rsidRPr="00D20676">
        <w:rPr>
          <w:rFonts w:cs="Arial"/>
          <w:b/>
          <w:sz w:val="24"/>
          <w:szCs w:val="24"/>
          <w:lang w:val="en-GB"/>
        </w:rPr>
        <w:t>Total study cohort</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1B0B45">
        <w:rPr>
          <w:rFonts w:cs="Arial"/>
          <w:sz w:val="24"/>
          <w:szCs w:val="24"/>
          <w:lang w:val="en-US"/>
        </w:rPr>
        <w:t>3076</w:t>
      </w:r>
    </w:p>
    <w:p w:rsidR="001A1EEE" w:rsidRPr="00D20676" w:rsidRDefault="001A1EEE" w:rsidP="001A1EEE">
      <w:pPr>
        <w:rPr>
          <w:rFonts w:cs="Arial"/>
          <w:sz w:val="24"/>
          <w:szCs w:val="24"/>
          <w:lang w:val="en-GB"/>
        </w:rPr>
      </w:pPr>
      <w:r w:rsidRPr="00D20676">
        <w:rPr>
          <w:rFonts w:cs="Arial"/>
          <w:sz w:val="24"/>
          <w:szCs w:val="24"/>
          <w:lang w:val="en-GB"/>
        </w:rPr>
        <w:t>Age, years, median, range</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48 (18-89)</w:t>
      </w:r>
    </w:p>
    <w:p w:rsidR="001A1EEE" w:rsidRPr="00D20676" w:rsidRDefault="001A1EEE" w:rsidP="001A1EEE">
      <w:pPr>
        <w:rPr>
          <w:rFonts w:cs="Arial"/>
          <w:sz w:val="24"/>
          <w:szCs w:val="24"/>
          <w:lang w:val="en-GB"/>
        </w:rPr>
      </w:pPr>
      <w:r w:rsidRPr="00D20676">
        <w:rPr>
          <w:rFonts w:cs="Arial"/>
          <w:sz w:val="24"/>
          <w:szCs w:val="24"/>
          <w:lang w:val="en-GB"/>
        </w:rPr>
        <w:t>Gender, n (%)</w:t>
      </w:r>
    </w:p>
    <w:p w:rsidR="001A1EEE" w:rsidRPr="00D20676" w:rsidRDefault="001A1EEE" w:rsidP="001A1EEE">
      <w:pPr>
        <w:ind w:firstLine="708"/>
        <w:rPr>
          <w:rFonts w:cs="Arial"/>
          <w:sz w:val="24"/>
          <w:szCs w:val="24"/>
          <w:lang w:val="en-GB"/>
        </w:rPr>
      </w:pPr>
      <w:r w:rsidRPr="00D20676">
        <w:rPr>
          <w:rFonts w:cs="Arial"/>
          <w:sz w:val="24"/>
          <w:szCs w:val="24"/>
          <w:lang w:val="en-GB"/>
        </w:rPr>
        <w:t>Female</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1784</w:t>
      </w:r>
      <w:r w:rsidRPr="00D20676">
        <w:rPr>
          <w:rFonts w:cs="Arial"/>
          <w:sz w:val="24"/>
          <w:szCs w:val="24"/>
          <w:lang w:val="en-GB"/>
        </w:rPr>
        <w:tab/>
        <w:t>(58)</w:t>
      </w:r>
    </w:p>
    <w:p w:rsidR="001A1EEE" w:rsidRPr="00D20676" w:rsidRDefault="001A1EEE" w:rsidP="001A1EEE">
      <w:pPr>
        <w:ind w:firstLine="708"/>
        <w:rPr>
          <w:rFonts w:cs="Arial"/>
          <w:sz w:val="24"/>
          <w:szCs w:val="24"/>
          <w:lang w:val="en-GB"/>
        </w:rPr>
      </w:pPr>
      <w:r w:rsidRPr="00D20676">
        <w:rPr>
          <w:rFonts w:cs="Arial"/>
          <w:sz w:val="24"/>
          <w:szCs w:val="24"/>
          <w:lang w:val="en-GB"/>
        </w:rPr>
        <w:t>Male</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1292</w:t>
      </w:r>
      <w:r w:rsidRPr="00D20676">
        <w:rPr>
          <w:rFonts w:cs="Arial"/>
          <w:sz w:val="24"/>
          <w:szCs w:val="24"/>
          <w:lang w:val="en-GB"/>
        </w:rPr>
        <w:tab/>
        <w:t>(42)</w:t>
      </w:r>
    </w:p>
    <w:p w:rsidR="001A1EEE" w:rsidRPr="00D20676" w:rsidRDefault="001A1EEE" w:rsidP="001A1EEE">
      <w:pPr>
        <w:rPr>
          <w:rFonts w:cs="Arial"/>
          <w:sz w:val="24"/>
          <w:szCs w:val="24"/>
          <w:lang w:val="en-GB"/>
        </w:rPr>
      </w:pPr>
      <w:r w:rsidRPr="00D20676">
        <w:rPr>
          <w:rFonts w:cs="Arial"/>
          <w:sz w:val="24"/>
          <w:szCs w:val="24"/>
          <w:lang w:val="en-GB"/>
        </w:rPr>
        <w:t>Clinical presentation, n (%)</w:t>
      </w:r>
    </w:p>
    <w:p w:rsidR="001A1EEE" w:rsidRPr="00D20676" w:rsidRDefault="001A1EEE" w:rsidP="001A1EEE">
      <w:pPr>
        <w:ind w:firstLine="708"/>
        <w:rPr>
          <w:rFonts w:cs="Arial"/>
          <w:sz w:val="24"/>
          <w:szCs w:val="24"/>
          <w:lang w:val="en-GB"/>
        </w:rPr>
      </w:pPr>
      <w:r w:rsidRPr="00D20676">
        <w:rPr>
          <w:rFonts w:cs="Arial"/>
          <w:sz w:val="24"/>
          <w:szCs w:val="24"/>
          <w:lang w:val="en-GB"/>
        </w:rPr>
        <w:t>Isolated hyperCKemia</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738</w:t>
      </w:r>
      <w:r w:rsidRPr="00D20676">
        <w:rPr>
          <w:rFonts w:cs="Arial"/>
          <w:sz w:val="24"/>
          <w:szCs w:val="24"/>
          <w:lang w:val="en-GB"/>
        </w:rPr>
        <w:tab/>
        <w:t>(</w:t>
      </w:r>
      <w:r w:rsidRPr="001B0B45">
        <w:rPr>
          <w:rFonts w:cs="Arial"/>
          <w:sz w:val="24"/>
          <w:szCs w:val="24"/>
          <w:lang w:val="en-US"/>
        </w:rPr>
        <w:t>24)</w:t>
      </w:r>
    </w:p>
    <w:p w:rsidR="001A1EEE" w:rsidRPr="00D20676" w:rsidRDefault="001A1EEE" w:rsidP="001A1EEE">
      <w:pPr>
        <w:rPr>
          <w:rFonts w:cs="Arial"/>
          <w:sz w:val="24"/>
          <w:szCs w:val="24"/>
          <w:lang w:val="en-GB"/>
        </w:rPr>
      </w:pPr>
      <w:r w:rsidRPr="00D20676">
        <w:rPr>
          <w:rFonts w:cs="Arial"/>
          <w:sz w:val="24"/>
          <w:szCs w:val="24"/>
          <w:lang w:val="en-GB"/>
        </w:rPr>
        <w:tab/>
        <w:t>HyperCKemia+ generalized LGMW</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001B0B45" w:rsidRPr="00D20676">
        <w:rPr>
          <w:rFonts w:cs="Arial"/>
          <w:sz w:val="24"/>
          <w:szCs w:val="24"/>
          <w:lang w:val="en-GB"/>
        </w:rPr>
        <w:tab/>
      </w:r>
      <w:r w:rsidRPr="00D20676">
        <w:rPr>
          <w:rFonts w:cs="Arial"/>
          <w:sz w:val="24"/>
          <w:szCs w:val="24"/>
          <w:lang w:val="en-GB"/>
        </w:rPr>
        <w:t>2338</w:t>
      </w:r>
      <w:r w:rsidRPr="00D20676">
        <w:rPr>
          <w:rFonts w:cs="Arial"/>
          <w:sz w:val="24"/>
          <w:szCs w:val="24"/>
          <w:lang w:val="en-GB"/>
        </w:rPr>
        <w:tab/>
        <w:t>(</w:t>
      </w:r>
      <w:r w:rsidRPr="001B0B45">
        <w:rPr>
          <w:rFonts w:cs="Arial"/>
          <w:sz w:val="24"/>
          <w:szCs w:val="24"/>
          <w:lang w:val="en-US"/>
        </w:rPr>
        <w:t>76)</w:t>
      </w:r>
    </w:p>
    <w:p w:rsidR="001A1EEE" w:rsidRPr="00D20676" w:rsidRDefault="001A1EEE" w:rsidP="001A1EEE">
      <w:pPr>
        <w:rPr>
          <w:rFonts w:cs="Arial"/>
          <w:sz w:val="24"/>
          <w:szCs w:val="24"/>
          <w:lang w:val="en-GB"/>
        </w:rPr>
      </w:pPr>
    </w:p>
    <w:p w:rsidR="001A1EEE" w:rsidRPr="00D20676" w:rsidRDefault="001A1EEE" w:rsidP="001A1EEE">
      <w:pPr>
        <w:rPr>
          <w:rFonts w:cs="Arial"/>
          <w:b/>
          <w:sz w:val="24"/>
          <w:szCs w:val="24"/>
          <w:lang w:val="en-GB"/>
        </w:rPr>
      </w:pPr>
      <w:r w:rsidRPr="00D20676">
        <w:rPr>
          <w:rFonts w:cs="Arial"/>
          <w:b/>
          <w:sz w:val="24"/>
          <w:szCs w:val="24"/>
          <w:lang w:val="en-GB"/>
        </w:rPr>
        <w:t xml:space="preserve">Pompe patients </w:t>
      </w:r>
      <w:r w:rsidRPr="00D20676">
        <w:rPr>
          <w:rFonts w:cs="Arial"/>
          <w:sz w:val="24"/>
          <w:szCs w:val="24"/>
          <w:lang w:val="en-GB"/>
        </w:rPr>
        <w:t>(positive DBS and 2 GAA gene mutations)</w:t>
      </w:r>
      <w:r w:rsidRPr="00D20676">
        <w:rPr>
          <w:rFonts w:cs="Arial"/>
          <w:b/>
          <w:sz w:val="24"/>
          <w:szCs w:val="24"/>
          <w:lang w:val="en-GB"/>
        </w:rPr>
        <w:t xml:space="preserve"> </w:t>
      </w:r>
      <w:r w:rsidRPr="00D20676">
        <w:rPr>
          <w:rFonts w:cs="Arial"/>
          <w:b/>
          <w:sz w:val="24"/>
          <w:szCs w:val="24"/>
          <w:lang w:val="en-GB"/>
        </w:rPr>
        <w:tab/>
        <w:t xml:space="preserve">    </w:t>
      </w:r>
      <w:r w:rsidR="001B0B45" w:rsidRPr="00D20676">
        <w:rPr>
          <w:rFonts w:cs="Arial"/>
          <w:b/>
          <w:sz w:val="24"/>
          <w:szCs w:val="24"/>
          <w:lang w:val="en-GB"/>
        </w:rPr>
        <w:tab/>
        <w:t xml:space="preserve">     </w:t>
      </w:r>
      <w:r w:rsidRPr="00D20676">
        <w:rPr>
          <w:rFonts w:cs="Arial"/>
          <w:sz w:val="24"/>
          <w:szCs w:val="24"/>
          <w:lang w:val="en-GB"/>
        </w:rPr>
        <w:t>74</w:t>
      </w:r>
      <w:r w:rsidRPr="00D20676">
        <w:rPr>
          <w:rFonts w:cs="Arial"/>
          <w:sz w:val="24"/>
          <w:szCs w:val="24"/>
          <w:lang w:val="en-GB"/>
        </w:rPr>
        <w:tab/>
        <w:t>(2.4)</w:t>
      </w:r>
    </w:p>
    <w:p w:rsidR="001A1EEE" w:rsidRPr="00D20676" w:rsidRDefault="001A1EEE" w:rsidP="001A1EEE">
      <w:pPr>
        <w:rPr>
          <w:rFonts w:cs="Arial"/>
          <w:sz w:val="24"/>
          <w:szCs w:val="24"/>
          <w:lang w:val="en-GB"/>
        </w:rPr>
      </w:pPr>
      <w:r w:rsidRPr="00D20676">
        <w:rPr>
          <w:rFonts w:cs="Arial"/>
          <w:sz w:val="24"/>
          <w:szCs w:val="24"/>
          <w:lang w:val="en-GB"/>
        </w:rPr>
        <w:t>Age, years, median, range</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001B0B45" w:rsidRPr="00D20676">
        <w:rPr>
          <w:rFonts w:cs="Arial"/>
          <w:sz w:val="24"/>
          <w:szCs w:val="24"/>
          <w:lang w:val="en-GB"/>
        </w:rPr>
        <w:t xml:space="preserve">     </w:t>
      </w:r>
      <w:r w:rsidRPr="00D20676">
        <w:rPr>
          <w:rFonts w:cs="Arial"/>
          <w:sz w:val="24"/>
          <w:szCs w:val="24"/>
          <w:lang w:val="en-GB"/>
        </w:rPr>
        <w:t>48</w:t>
      </w:r>
      <w:r w:rsidRPr="00D20676">
        <w:rPr>
          <w:rFonts w:cs="Arial"/>
          <w:sz w:val="24"/>
          <w:szCs w:val="24"/>
          <w:lang w:val="en-GB"/>
        </w:rPr>
        <w:tab/>
        <w:t>(18-81)</w:t>
      </w:r>
    </w:p>
    <w:p w:rsidR="001A1EEE" w:rsidRPr="00D20676" w:rsidRDefault="001A1EEE" w:rsidP="001A1EEE">
      <w:pPr>
        <w:rPr>
          <w:rFonts w:cs="Arial"/>
          <w:sz w:val="24"/>
          <w:szCs w:val="24"/>
          <w:lang w:val="en-GB"/>
        </w:rPr>
      </w:pPr>
      <w:r w:rsidRPr="00D20676">
        <w:rPr>
          <w:rFonts w:cs="Arial"/>
          <w:sz w:val="24"/>
          <w:szCs w:val="24"/>
          <w:lang w:val="en-GB"/>
        </w:rPr>
        <w:t>Gender, n (%)</w:t>
      </w:r>
    </w:p>
    <w:p w:rsidR="001A1EEE" w:rsidRPr="00D20676" w:rsidRDefault="001A1EEE" w:rsidP="001A1EEE">
      <w:pPr>
        <w:ind w:firstLine="708"/>
        <w:rPr>
          <w:rFonts w:cs="Arial"/>
          <w:sz w:val="24"/>
          <w:szCs w:val="24"/>
          <w:lang w:val="en-GB"/>
        </w:rPr>
      </w:pPr>
      <w:r w:rsidRPr="00D20676">
        <w:rPr>
          <w:rFonts w:cs="Arial"/>
          <w:sz w:val="24"/>
          <w:szCs w:val="24"/>
          <w:lang w:val="en-GB"/>
        </w:rPr>
        <w:t>Female</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w:t>
      </w:r>
      <w:r w:rsidR="001B0B45" w:rsidRPr="00D20676">
        <w:rPr>
          <w:rFonts w:cs="Arial"/>
          <w:sz w:val="24"/>
          <w:szCs w:val="24"/>
          <w:lang w:val="en-GB"/>
        </w:rPr>
        <w:t xml:space="preserve">    </w:t>
      </w:r>
      <w:r w:rsidRPr="00D20676">
        <w:rPr>
          <w:rFonts w:cs="Arial"/>
          <w:sz w:val="24"/>
          <w:szCs w:val="24"/>
          <w:lang w:val="en-GB"/>
        </w:rPr>
        <w:t>42</w:t>
      </w:r>
      <w:r w:rsidRPr="00D20676">
        <w:rPr>
          <w:rFonts w:cs="Arial"/>
          <w:sz w:val="24"/>
          <w:szCs w:val="24"/>
          <w:lang w:val="en-GB"/>
        </w:rPr>
        <w:tab/>
        <w:t>(56)</w:t>
      </w:r>
    </w:p>
    <w:p w:rsidR="001A1EEE" w:rsidRPr="00D20676" w:rsidRDefault="001A1EEE" w:rsidP="001A1EEE">
      <w:pPr>
        <w:ind w:firstLine="708"/>
        <w:rPr>
          <w:rFonts w:cs="Arial"/>
          <w:sz w:val="24"/>
          <w:szCs w:val="24"/>
          <w:lang w:val="en-GB"/>
        </w:rPr>
      </w:pPr>
      <w:r w:rsidRPr="00D20676">
        <w:rPr>
          <w:rFonts w:cs="Arial"/>
          <w:sz w:val="24"/>
          <w:szCs w:val="24"/>
          <w:lang w:val="en-GB"/>
        </w:rPr>
        <w:t>Male</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w:t>
      </w:r>
      <w:r w:rsidR="001B0B45" w:rsidRPr="00D20676">
        <w:rPr>
          <w:rFonts w:cs="Arial"/>
          <w:sz w:val="24"/>
          <w:szCs w:val="24"/>
          <w:lang w:val="en-GB"/>
        </w:rPr>
        <w:t xml:space="preserve"> </w:t>
      </w:r>
      <w:r w:rsidRPr="00D20676">
        <w:rPr>
          <w:rFonts w:cs="Arial"/>
          <w:sz w:val="24"/>
          <w:szCs w:val="24"/>
          <w:lang w:val="en-GB"/>
        </w:rPr>
        <w:t>32</w:t>
      </w:r>
      <w:r w:rsidRPr="00D20676">
        <w:rPr>
          <w:rFonts w:cs="Arial"/>
          <w:sz w:val="24"/>
          <w:szCs w:val="24"/>
          <w:lang w:val="en-GB"/>
        </w:rPr>
        <w:tab/>
        <w:t>(44)</w:t>
      </w:r>
      <w:r w:rsidRPr="00D20676">
        <w:rPr>
          <w:rFonts w:cs="Arial"/>
          <w:sz w:val="24"/>
          <w:szCs w:val="24"/>
          <w:lang w:val="en-GB"/>
        </w:rPr>
        <w:tab/>
      </w:r>
    </w:p>
    <w:p w:rsidR="001A1EEE" w:rsidRPr="00D20676" w:rsidRDefault="001A1EEE" w:rsidP="001A1EEE">
      <w:pPr>
        <w:rPr>
          <w:rFonts w:cs="Arial"/>
          <w:sz w:val="24"/>
          <w:szCs w:val="24"/>
          <w:lang w:val="en-GB"/>
        </w:rPr>
      </w:pPr>
      <w:r w:rsidRPr="00D20676">
        <w:rPr>
          <w:rFonts w:cs="Arial"/>
          <w:sz w:val="24"/>
          <w:szCs w:val="24"/>
          <w:lang w:val="en-GB"/>
        </w:rPr>
        <w:t>Clinical presentation, n (%)</w:t>
      </w:r>
    </w:p>
    <w:p w:rsidR="001A1EEE" w:rsidRPr="00D20676" w:rsidRDefault="001A1EEE" w:rsidP="001A1EEE">
      <w:pPr>
        <w:ind w:firstLine="708"/>
        <w:rPr>
          <w:rFonts w:cs="Arial"/>
          <w:sz w:val="24"/>
          <w:szCs w:val="24"/>
          <w:lang w:val="en-GB"/>
        </w:rPr>
      </w:pPr>
      <w:r w:rsidRPr="00D20676">
        <w:rPr>
          <w:rFonts w:cs="Arial"/>
          <w:sz w:val="24"/>
          <w:szCs w:val="24"/>
          <w:lang w:val="en-GB"/>
        </w:rPr>
        <w:t>Isolated hyperCKemia</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w:t>
      </w:r>
      <w:r w:rsidRPr="00D20676">
        <w:rPr>
          <w:rFonts w:cs="Arial"/>
          <w:sz w:val="24"/>
          <w:szCs w:val="24"/>
          <w:lang w:val="en-GB"/>
        </w:rPr>
        <w:tab/>
        <w:t xml:space="preserve">      9</w:t>
      </w:r>
      <w:r w:rsidRPr="00D20676">
        <w:rPr>
          <w:rFonts w:cs="Arial"/>
          <w:sz w:val="24"/>
          <w:szCs w:val="24"/>
          <w:lang w:val="en-GB"/>
        </w:rPr>
        <w:tab/>
        <w:t>(12)</w:t>
      </w:r>
    </w:p>
    <w:p w:rsidR="001A1EEE" w:rsidRPr="00D20676" w:rsidRDefault="001A1EEE" w:rsidP="001A1EEE">
      <w:pPr>
        <w:ind w:firstLine="708"/>
        <w:rPr>
          <w:rFonts w:cs="Arial"/>
          <w:sz w:val="24"/>
          <w:szCs w:val="24"/>
          <w:lang w:val="en-GB"/>
        </w:rPr>
      </w:pPr>
      <w:r w:rsidRPr="00D20676">
        <w:rPr>
          <w:rFonts w:cs="Arial"/>
          <w:sz w:val="24"/>
          <w:szCs w:val="24"/>
          <w:lang w:val="en-GB"/>
        </w:rPr>
        <w:t>HyperCKemia + generalized LGMW + ventilation</w:t>
      </w:r>
      <w:r w:rsidRPr="00D20676">
        <w:rPr>
          <w:rFonts w:cs="Arial"/>
          <w:sz w:val="24"/>
          <w:szCs w:val="24"/>
          <w:lang w:val="en-GB"/>
        </w:rPr>
        <w:tab/>
        <w:t xml:space="preserve">   </w:t>
      </w:r>
      <w:r w:rsidRPr="00D20676">
        <w:rPr>
          <w:rFonts w:cs="Arial"/>
          <w:sz w:val="24"/>
          <w:szCs w:val="24"/>
          <w:lang w:val="en-GB"/>
        </w:rPr>
        <w:tab/>
        <w:t xml:space="preserve">    </w:t>
      </w:r>
      <w:r w:rsidR="001B0B45" w:rsidRPr="00D20676">
        <w:rPr>
          <w:rFonts w:cs="Arial"/>
          <w:sz w:val="24"/>
          <w:szCs w:val="24"/>
          <w:lang w:val="en-GB"/>
        </w:rPr>
        <w:tab/>
        <w:t xml:space="preserve">    </w:t>
      </w:r>
      <w:r w:rsidRPr="00D20676">
        <w:rPr>
          <w:rFonts w:cs="Arial"/>
          <w:sz w:val="24"/>
          <w:szCs w:val="24"/>
          <w:lang w:val="en-GB"/>
        </w:rPr>
        <w:t>45</w:t>
      </w:r>
      <w:r w:rsidRPr="00D20676">
        <w:rPr>
          <w:rFonts w:cs="Arial"/>
          <w:sz w:val="24"/>
          <w:szCs w:val="24"/>
          <w:lang w:val="en-GB"/>
        </w:rPr>
        <w:tab/>
        <w:t>(61)</w:t>
      </w:r>
    </w:p>
    <w:p w:rsidR="001A1EEE" w:rsidRPr="00D20676" w:rsidRDefault="001A1EEE" w:rsidP="001A1EEE">
      <w:pPr>
        <w:ind w:firstLine="708"/>
        <w:rPr>
          <w:rFonts w:cs="Arial"/>
          <w:sz w:val="24"/>
          <w:szCs w:val="24"/>
          <w:lang w:val="en-GB"/>
        </w:rPr>
      </w:pPr>
      <w:r w:rsidRPr="00D20676">
        <w:rPr>
          <w:rFonts w:cs="Arial"/>
          <w:sz w:val="24"/>
          <w:szCs w:val="24"/>
          <w:lang w:val="en-GB"/>
        </w:rPr>
        <w:t>HyperCKemia + shoulder LGMW</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w:t>
      </w:r>
      <w:r w:rsidRPr="00D20676">
        <w:rPr>
          <w:rFonts w:cs="Arial"/>
          <w:sz w:val="24"/>
          <w:szCs w:val="24"/>
          <w:lang w:val="en-GB"/>
        </w:rPr>
        <w:tab/>
        <w:t xml:space="preserve">      7</w:t>
      </w:r>
      <w:r w:rsidRPr="00D20676">
        <w:rPr>
          <w:rFonts w:cs="Arial"/>
          <w:sz w:val="24"/>
          <w:szCs w:val="24"/>
          <w:lang w:val="en-GB"/>
        </w:rPr>
        <w:tab/>
        <w:t>(9.5)</w:t>
      </w:r>
    </w:p>
    <w:p w:rsidR="001A1EEE" w:rsidRPr="00D20676" w:rsidRDefault="001A1EEE" w:rsidP="001A1EEE">
      <w:pPr>
        <w:ind w:firstLine="708"/>
        <w:rPr>
          <w:rFonts w:cs="Arial"/>
          <w:sz w:val="24"/>
          <w:szCs w:val="24"/>
          <w:lang w:val="en-GB"/>
        </w:rPr>
      </w:pPr>
      <w:r w:rsidRPr="00D20676">
        <w:rPr>
          <w:rFonts w:cs="Arial"/>
          <w:sz w:val="24"/>
          <w:szCs w:val="24"/>
          <w:lang w:val="en-GB"/>
        </w:rPr>
        <w:t>HyperCKemia + pelvic LGMW</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w:t>
      </w:r>
      <w:r w:rsidR="001B0B45" w:rsidRPr="00D20676">
        <w:rPr>
          <w:rFonts w:cs="Arial"/>
          <w:sz w:val="24"/>
          <w:szCs w:val="24"/>
          <w:lang w:val="en-GB"/>
        </w:rPr>
        <w:t xml:space="preserve">  </w:t>
      </w:r>
      <w:r w:rsidRPr="00D20676">
        <w:rPr>
          <w:rFonts w:cs="Arial"/>
          <w:sz w:val="24"/>
          <w:szCs w:val="24"/>
          <w:lang w:val="en-GB"/>
        </w:rPr>
        <w:t>11</w:t>
      </w:r>
      <w:r w:rsidRPr="00D20676">
        <w:rPr>
          <w:rFonts w:cs="Arial"/>
          <w:sz w:val="24"/>
          <w:szCs w:val="24"/>
          <w:lang w:val="en-GB"/>
        </w:rPr>
        <w:tab/>
        <w:t>(14.8)</w:t>
      </w:r>
    </w:p>
    <w:p w:rsidR="001A1EEE" w:rsidRPr="00D20676" w:rsidRDefault="001A1EEE" w:rsidP="001A1EEE">
      <w:pPr>
        <w:pBdr>
          <w:bottom w:val="single" w:sz="4" w:space="1" w:color="auto"/>
        </w:pBdr>
        <w:ind w:firstLine="708"/>
        <w:rPr>
          <w:rFonts w:cs="Arial"/>
          <w:sz w:val="24"/>
          <w:szCs w:val="24"/>
          <w:lang w:val="en-GB"/>
        </w:rPr>
      </w:pPr>
      <w:r w:rsidRPr="00D20676">
        <w:rPr>
          <w:rFonts w:cs="Arial"/>
          <w:sz w:val="24"/>
          <w:szCs w:val="24"/>
          <w:lang w:val="en-GB"/>
        </w:rPr>
        <w:t>HyperCKemia + ventilation</w:t>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r>
      <w:r w:rsidRPr="00D20676">
        <w:rPr>
          <w:rFonts w:cs="Arial"/>
          <w:sz w:val="24"/>
          <w:szCs w:val="24"/>
          <w:lang w:val="en-GB"/>
        </w:rPr>
        <w:tab/>
        <w:t xml:space="preserve">                 </w:t>
      </w:r>
      <w:r w:rsidR="001B0B45" w:rsidRPr="00D20676">
        <w:rPr>
          <w:rFonts w:cs="Arial"/>
          <w:sz w:val="24"/>
          <w:szCs w:val="24"/>
          <w:lang w:val="en-GB"/>
        </w:rPr>
        <w:tab/>
        <w:t xml:space="preserve">      </w:t>
      </w:r>
      <w:r w:rsidRPr="00D20676">
        <w:rPr>
          <w:rFonts w:cs="Arial"/>
          <w:sz w:val="24"/>
          <w:szCs w:val="24"/>
          <w:lang w:val="en-GB"/>
        </w:rPr>
        <w:t>2</w:t>
      </w:r>
      <w:r w:rsidRPr="00D20676">
        <w:rPr>
          <w:rFonts w:cs="Arial"/>
          <w:sz w:val="24"/>
          <w:szCs w:val="24"/>
          <w:lang w:val="en-GB"/>
        </w:rPr>
        <w:tab/>
        <w:t>(2.7)</w:t>
      </w:r>
    </w:p>
    <w:p w:rsidR="001A1EEE" w:rsidRPr="00D20676" w:rsidRDefault="001A1EEE" w:rsidP="001A1EEE">
      <w:pPr>
        <w:rPr>
          <w:rFonts w:cs="Arial"/>
          <w:sz w:val="24"/>
          <w:szCs w:val="24"/>
          <w:lang w:val="en-GB"/>
        </w:rPr>
      </w:pPr>
      <w:r w:rsidRPr="00D20676">
        <w:rPr>
          <w:rFonts w:cs="Arial"/>
          <w:sz w:val="24"/>
          <w:szCs w:val="24"/>
          <w:lang w:val="en-GB"/>
        </w:rPr>
        <w:t>LGMW: limb girdle weakness</w:t>
      </w:r>
      <w:r w:rsidRPr="00D20676">
        <w:rPr>
          <w:rFonts w:cs="Arial"/>
          <w:sz w:val="24"/>
          <w:szCs w:val="24"/>
          <w:lang w:val="en-GB"/>
        </w:rPr>
        <w:tab/>
        <w:t xml:space="preserve">   </w:t>
      </w:r>
    </w:p>
    <w:p w:rsidR="001A1EEE" w:rsidRPr="001B0B45" w:rsidRDefault="001A1EEE">
      <w:pPr>
        <w:rPr>
          <w:b/>
          <w:sz w:val="24"/>
          <w:szCs w:val="24"/>
          <w:lang w:val="en-GB"/>
        </w:rPr>
      </w:pPr>
      <w:r w:rsidRPr="001B0B45">
        <w:rPr>
          <w:b/>
          <w:sz w:val="24"/>
          <w:szCs w:val="24"/>
          <w:lang w:val="en-GB"/>
        </w:rPr>
        <w:br w:type="page"/>
      </w:r>
    </w:p>
    <w:p w:rsidR="005D14D6" w:rsidRDefault="00E0686C" w:rsidP="00524BB1">
      <w:pPr>
        <w:rPr>
          <w:b/>
          <w:sz w:val="24"/>
          <w:szCs w:val="24"/>
          <w:lang w:val="en-GB"/>
        </w:rPr>
      </w:pPr>
      <w:r w:rsidRPr="00CD58A3">
        <w:rPr>
          <w:b/>
          <w:sz w:val="24"/>
          <w:szCs w:val="24"/>
          <w:lang w:val="en-GB"/>
        </w:rPr>
        <w:lastRenderedPageBreak/>
        <w:t xml:space="preserve">Table </w:t>
      </w:r>
      <w:r w:rsidR="0024103C">
        <w:rPr>
          <w:b/>
          <w:sz w:val="24"/>
          <w:szCs w:val="24"/>
          <w:lang w:val="en-GB"/>
        </w:rPr>
        <w:t>2</w:t>
      </w:r>
      <w:r w:rsidR="008B44E9">
        <w:rPr>
          <w:b/>
          <w:sz w:val="24"/>
          <w:szCs w:val="24"/>
          <w:lang w:val="en-GB"/>
        </w:rPr>
        <w:t xml:space="preserve">. </w:t>
      </w:r>
      <w:r w:rsidR="005D14D6">
        <w:rPr>
          <w:b/>
          <w:sz w:val="24"/>
          <w:szCs w:val="24"/>
          <w:lang w:val="en-GB"/>
        </w:rPr>
        <w:t xml:space="preserve">Synopsis of studies using GAA-DBS as </w:t>
      </w:r>
      <w:r w:rsidR="00D13B67">
        <w:rPr>
          <w:b/>
          <w:sz w:val="24"/>
          <w:szCs w:val="24"/>
          <w:lang w:val="en-GB"/>
        </w:rPr>
        <w:t>screening</w:t>
      </w:r>
      <w:r w:rsidR="005D14D6">
        <w:rPr>
          <w:b/>
          <w:sz w:val="24"/>
          <w:szCs w:val="24"/>
          <w:lang w:val="en-GB"/>
        </w:rPr>
        <w:t xml:space="preserve"> method in late-onset Pompe disease.</w:t>
      </w:r>
    </w:p>
    <w:tbl>
      <w:tblPr>
        <w:tblStyle w:val="TableGrid"/>
        <w:tblpPr w:leftFromText="141" w:rightFromText="141" w:horzAnchor="margin" w:tblpY="816"/>
        <w:tblW w:w="9288" w:type="dxa"/>
        <w:tblLook w:val="00A0" w:firstRow="1" w:lastRow="0" w:firstColumn="1" w:lastColumn="0" w:noHBand="0" w:noVBand="0"/>
      </w:tblPr>
      <w:tblGrid>
        <w:gridCol w:w="1246"/>
        <w:gridCol w:w="1352"/>
        <w:gridCol w:w="1645"/>
        <w:gridCol w:w="1328"/>
        <w:gridCol w:w="1001"/>
        <w:gridCol w:w="1473"/>
        <w:gridCol w:w="1243"/>
      </w:tblGrid>
      <w:tr w:rsidR="008B44E9" w:rsidRPr="0024785C">
        <w:trPr>
          <w:trHeight w:val="622"/>
        </w:trPr>
        <w:tc>
          <w:tcPr>
            <w:tcW w:w="1246" w:type="dxa"/>
          </w:tcPr>
          <w:p w:rsidR="008B44E9" w:rsidRPr="0024785C" w:rsidRDefault="008B44E9" w:rsidP="008B1088">
            <w:pPr>
              <w:spacing w:after="200" w:line="276" w:lineRule="auto"/>
            </w:pPr>
            <w:r w:rsidRPr="0024785C">
              <w:rPr>
                <w:b/>
                <w:bCs/>
                <w:lang w:val="en-GB"/>
              </w:rPr>
              <w:t>Year of publication</w:t>
            </w:r>
          </w:p>
        </w:tc>
        <w:tc>
          <w:tcPr>
            <w:tcW w:w="1352" w:type="dxa"/>
          </w:tcPr>
          <w:p w:rsidR="008B44E9" w:rsidRDefault="004F31B0" w:rsidP="008B1088">
            <w:pPr>
              <w:spacing w:after="200" w:line="276" w:lineRule="auto"/>
              <w:rPr>
                <w:b/>
                <w:bCs/>
                <w:lang w:val="en-GB"/>
              </w:rPr>
            </w:pPr>
            <w:r>
              <w:rPr>
                <w:b/>
                <w:bCs/>
                <w:lang w:val="en-GB"/>
              </w:rPr>
              <w:t>Reference no.</w:t>
            </w:r>
          </w:p>
          <w:p w:rsidR="008B44E9" w:rsidRPr="0024785C" w:rsidRDefault="008B44E9" w:rsidP="008B1088">
            <w:pPr>
              <w:spacing w:after="200" w:line="276" w:lineRule="auto"/>
            </w:pPr>
            <w:r>
              <w:rPr>
                <w:b/>
                <w:bCs/>
                <w:lang w:val="en-GB"/>
              </w:rPr>
              <w:t>Country</w:t>
            </w:r>
          </w:p>
        </w:tc>
        <w:tc>
          <w:tcPr>
            <w:tcW w:w="1645" w:type="dxa"/>
          </w:tcPr>
          <w:p w:rsidR="008B44E9" w:rsidRPr="0024785C" w:rsidRDefault="008B44E9" w:rsidP="008B1088">
            <w:pPr>
              <w:spacing w:after="200" w:line="276" w:lineRule="auto"/>
              <w:rPr>
                <w:b/>
                <w:bCs/>
                <w:lang w:val="en-GB"/>
              </w:rPr>
            </w:pPr>
            <w:r w:rsidRPr="0024785C">
              <w:rPr>
                <w:b/>
                <w:bCs/>
                <w:lang w:val="en-GB"/>
              </w:rPr>
              <w:t>N</w:t>
            </w:r>
            <w:r>
              <w:rPr>
                <w:b/>
                <w:bCs/>
                <w:lang w:val="en-GB"/>
              </w:rPr>
              <w:t xml:space="preserve">umber </w:t>
            </w:r>
            <w:r w:rsidRPr="0024785C">
              <w:rPr>
                <w:b/>
                <w:bCs/>
                <w:lang w:val="en-GB"/>
              </w:rPr>
              <w:t xml:space="preserve">of </w:t>
            </w:r>
            <w:r>
              <w:rPr>
                <w:b/>
                <w:bCs/>
                <w:lang w:val="en-GB"/>
              </w:rPr>
              <w:t xml:space="preserve">investigated patients </w:t>
            </w:r>
          </w:p>
        </w:tc>
        <w:tc>
          <w:tcPr>
            <w:tcW w:w="1328" w:type="dxa"/>
          </w:tcPr>
          <w:p w:rsidR="008B44E9" w:rsidRPr="0024785C" w:rsidRDefault="008B44E9" w:rsidP="008B1088">
            <w:pPr>
              <w:spacing w:after="200" w:line="276" w:lineRule="auto"/>
            </w:pPr>
            <w:r>
              <w:rPr>
                <w:b/>
                <w:bCs/>
                <w:lang w:val="en-GB"/>
              </w:rPr>
              <w:t>DBS s</w:t>
            </w:r>
            <w:r w:rsidRPr="0024785C">
              <w:rPr>
                <w:b/>
                <w:bCs/>
                <w:lang w:val="en-GB"/>
              </w:rPr>
              <w:t>tudy method</w:t>
            </w:r>
          </w:p>
        </w:tc>
        <w:tc>
          <w:tcPr>
            <w:tcW w:w="1001" w:type="dxa"/>
          </w:tcPr>
          <w:p w:rsidR="008B44E9" w:rsidRPr="0024785C" w:rsidRDefault="008B44E9" w:rsidP="008B1088">
            <w:pPr>
              <w:spacing w:after="200" w:line="276" w:lineRule="auto"/>
            </w:pPr>
            <w:r w:rsidRPr="0024785C">
              <w:rPr>
                <w:b/>
                <w:bCs/>
                <w:lang w:val="en-GB"/>
              </w:rPr>
              <w:t xml:space="preserve">DBS </w:t>
            </w:r>
            <w:r>
              <w:rPr>
                <w:b/>
                <w:bCs/>
                <w:lang w:val="en-GB"/>
              </w:rPr>
              <w:t>positive patients</w:t>
            </w:r>
          </w:p>
        </w:tc>
        <w:tc>
          <w:tcPr>
            <w:tcW w:w="1473" w:type="dxa"/>
          </w:tcPr>
          <w:p w:rsidR="008B44E9" w:rsidRDefault="008B44E9" w:rsidP="008B1088">
            <w:pPr>
              <w:rPr>
                <w:b/>
                <w:bCs/>
                <w:lang w:val="en-GB"/>
              </w:rPr>
            </w:pPr>
            <w:r>
              <w:rPr>
                <w:b/>
                <w:bCs/>
                <w:lang w:val="en-GB"/>
              </w:rPr>
              <w:t>Confirmed</w:t>
            </w:r>
          </w:p>
          <w:p w:rsidR="008B44E9" w:rsidRDefault="008B44E9" w:rsidP="008B1088">
            <w:pPr>
              <w:rPr>
                <w:b/>
                <w:bCs/>
                <w:lang w:val="en-GB"/>
              </w:rPr>
            </w:pPr>
            <w:r>
              <w:rPr>
                <w:b/>
                <w:bCs/>
                <w:lang w:val="en-GB"/>
              </w:rPr>
              <w:t>Pompe patients by a second test</w:t>
            </w:r>
          </w:p>
        </w:tc>
        <w:tc>
          <w:tcPr>
            <w:tcW w:w="1243" w:type="dxa"/>
          </w:tcPr>
          <w:p w:rsidR="008B44E9" w:rsidRDefault="008B44E9" w:rsidP="008B1088">
            <w:pPr>
              <w:rPr>
                <w:b/>
                <w:bCs/>
                <w:lang w:val="en-GB"/>
              </w:rPr>
            </w:pPr>
            <w:r>
              <w:rPr>
                <w:b/>
                <w:bCs/>
                <w:lang w:val="en-GB"/>
              </w:rPr>
              <w:t>LOPD</w:t>
            </w:r>
          </w:p>
          <w:p w:rsidR="008B44E9" w:rsidRDefault="008B44E9" w:rsidP="008B1088">
            <w:pPr>
              <w:rPr>
                <w:b/>
                <w:bCs/>
                <w:lang w:val="en-GB"/>
              </w:rPr>
            </w:pPr>
            <w:r>
              <w:rPr>
                <w:b/>
                <w:bCs/>
                <w:lang w:val="en-GB"/>
              </w:rPr>
              <w:t>Prevalence</w:t>
            </w:r>
          </w:p>
        </w:tc>
      </w:tr>
      <w:tr w:rsidR="008B44E9" w:rsidRPr="0024785C">
        <w:trPr>
          <w:trHeight w:val="311"/>
        </w:trPr>
        <w:tc>
          <w:tcPr>
            <w:tcW w:w="1246" w:type="dxa"/>
          </w:tcPr>
          <w:p w:rsidR="008B44E9" w:rsidRDefault="008B44E9" w:rsidP="008B1088">
            <w:r>
              <w:t xml:space="preserve">Present study </w:t>
            </w:r>
          </w:p>
        </w:tc>
        <w:tc>
          <w:tcPr>
            <w:tcW w:w="1352" w:type="dxa"/>
          </w:tcPr>
          <w:p w:rsidR="008B44E9" w:rsidRPr="002178C0" w:rsidRDefault="008B44E9" w:rsidP="008B1088">
            <w:pPr>
              <w:rPr>
                <w:lang w:val="en-GB"/>
              </w:rPr>
            </w:pPr>
          </w:p>
          <w:p w:rsidR="008B44E9" w:rsidRPr="002178C0" w:rsidRDefault="008B44E9" w:rsidP="004F31B0">
            <w:pPr>
              <w:rPr>
                <w:lang w:val="en-GB"/>
              </w:rPr>
            </w:pPr>
            <w:r w:rsidRPr="002178C0">
              <w:rPr>
                <w:lang w:val="en-GB"/>
              </w:rPr>
              <w:t>Germany</w:t>
            </w:r>
            <w:r w:rsidR="004F31B0">
              <w:rPr>
                <w:lang w:val="en-GB"/>
              </w:rPr>
              <w:t>, UK</w:t>
            </w:r>
          </w:p>
        </w:tc>
        <w:tc>
          <w:tcPr>
            <w:tcW w:w="1645" w:type="dxa"/>
          </w:tcPr>
          <w:p w:rsidR="008B44E9" w:rsidRDefault="008B44E9" w:rsidP="008B1088">
            <w:r>
              <w:t>3076 adults</w:t>
            </w:r>
          </w:p>
        </w:tc>
        <w:tc>
          <w:tcPr>
            <w:tcW w:w="1328" w:type="dxa"/>
          </w:tcPr>
          <w:p w:rsidR="008B44E9" w:rsidRDefault="008B44E9" w:rsidP="008B1088">
            <w:r w:rsidRPr="00070E89">
              <w:t>Fluorometry</w:t>
            </w:r>
          </w:p>
        </w:tc>
        <w:tc>
          <w:tcPr>
            <w:tcW w:w="1001" w:type="dxa"/>
          </w:tcPr>
          <w:p w:rsidR="008B44E9" w:rsidRDefault="008B44E9" w:rsidP="008B1088">
            <w:r>
              <w:t>232</w:t>
            </w:r>
          </w:p>
        </w:tc>
        <w:tc>
          <w:tcPr>
            <w:tcW w:w="1473" w:type="dxa"/>
          </w:tcPr>
          <w:p w:rsidR="008B44E9" w:rsidRPr="00675E4F" w:rsidRDefault="008B44E9" w:rsidP="008B1088">
            <w:pPr>
              <w:rPr>
                <w:lang w:val="en-GB"/>
              </w:rPr>
            </w:pPr>
            <w:r>
              <w:rPr>
                <w:lang w:val="en-GB"/>
              </w:rPr>
              <w:t>74 by GAA mutation analysis</w:t>
            </w:r>
          </w:p>
        </w:tc>
        <w:tc>
          <w:tcPr>
            <w:tcW w:w="1243" w:type="dxa"/>
          </w:tcPr>
          <w:p w:rsidR="008B44E9" w:rsidRDefault="008B44E9" w:rsidP="008B1088">
            <w:r>
              <w:t>2.4%</w:t>
            </w:r>
          </w:p>
        </w:tc>
      </w:tr>
      <w:tr w:rsidR="00412D07" w:rsidRPr="0024785C">
        <w:trPr>
          <w:trHeight w:val="1910"/>
        </w:trPr>
        <w:tc>
          <w:tcPr>
            <w:tcW w:w="1246" w:type="dxa"/>
          </w:tcPr>
          <w:p w:rsidR="00412D07" w:rsidRDefault="00412D07" w:rsidP="008B1088">
            <w:pPr>
              <w:spacing w:after="200" w:line="276" w:lineRule="auto"/>
            </w:pPr>
            <w:r>
              <w:t>2015</w:t>
            </w:r>
          </w:p>
        </w:tc>
        <w:tc>
          <w:tcPr>
            <w:tcW w:w="1352" w:type="dxa"/>
          </w:tcPr>
          <w:p w:rsidR="00412D07" w:rsidRDefault="004F31B0" w:rsidP="008B1088">
            <w:pPr>
              <w:spacing w:after="200" w:line="276" w:lineRule="auto"/>
            </w:pPr>
            <w:r>
              <w:t>1</w:t>
            </w:r>
            <w:r w:rsidR="00412D07">
              <w:t>2</w:t>
            </w:r>
          </w:p>
          <w:p w:rsidR="004F31B0" w:rsidRDefault="004F31B0" w:rsidP="004F31B0">
            <w:pPr>
              <w:spacing w:after="200" w:line="276" w:lineRule="auto"/>
            </w:pPr>
            <w:r>
              <w:t>Spain</w:t>
            </w:r>
          </w:p>
        </w:tc>
        <w:tc>
          <w:tcPr>
            <w:tcW w:w="1645" w:type="dxa"/>
          </w:tcPr>
          <w:p w:rsidR="00412D07" w:rsidRDefault="00412D07" w:rsidP="008B1088">
            <w:pPr>
              <w:spacing w:after="200" w:line="276" w:lineRule="auto"/>
            </w:pPr>
            <w:r>
              <w:t>241 adults</w:t>
            </w:r>
          </w:p>
        </w:tc>
        <w:tc>
          <w:tcPr>
            <w:tcW w:w="1328" w:type="dxa"/>
          </w:tcPr>
          <w:p w:rsidR="00412D07" w:rsidRDefault="00412D07" w:rsidP="008B1088">
            <w:pPr>
              <w:spacing w:after="200" w:line="276" w:lineRule="auto"/>
            </w:pPr>
            <w:r>
              <w:t>Fluorometry</w:t>
            </w:r>
          </w:p>
        </w:tc>
        <w:tc>
          <w:tcPr>
            <w:tcW w:w="1001" w:type="dxa"/>
          </w:tcPr>
          <w:p w:rsidR="00412D07" w:rsidRDefault="00412D07" w:rsidP="008B1088">
            <w:pPr>
              <w:spacing w:after="200" w:line="276" w:lineRule="auto"/>
            </w:pPr>
            <w:r>
              <w:t>3</w:t>
            </w:r>
          </w:p>
        </w:tc>
        <w:tc>
          <w:tcPr>
            <w:tcW w:w="1473" w:type="dxa"/>
          </w:tcPr>
          <w:p w:rsidR="00412D07" w:rsidRDefault="00CD5896" w:rsidP="00412D07">
            <w:pPr>
              <w:rPr>
                <w:lang w:val="en-GB"/>
              </w:rPr>
            </w:pPr>
            <w:r>
              <w:rPr>
                <w:lang w:val="en-GB"/>
              </w:rPr>
              <w:t>1</w:t>
            </w:r>
            <w:r w:rsidR="00412D07">
              <w:rPr>
                <w:lang w:val="en-GB"/>
              </w:rPr>
              <w:t xml:space="preserve"> by GAA mutation analysis</w:t>
            </w:r>
          </w:p>
          <w:p w:rsidR="00CD5896" w:rsidRPr="00F33D74" w:rsidRDefault="00CD5896" w:rsidP="00CD5896">
            <w:pPr>
              <w:pStyle w:val="NormalWeb"/>
              <w:rPr>
                <w:sz w:val="20"/>
                <w:szCs w:val="20"/>
              </w:rPr>
            </w:pPr>
            <w:r w:rsidRPr="00F33D74">
              <w:rPr>
                <w:sz w:val="20"/>
                <w:szCs w:val="20"/>
                <w:lang w:val="en-GB"/>
              </w:rPr>
              <w:t xml:space="preserve">1 by </w:t>
            </w:r>
            <w:r w:rsidR="00151124">
              <w:rPr>
                <w:sz w:val="20"/>
                <w:szCs w:val="20"/>
                <w:lang w:val="en-GB"/>
              </w:rPr>
              <w:t xml:space="preserve"> </w:t>
            </w:r>
            <w:r w:rsidRPr="00F33D74">
              <w:rPr>
                <w:rFonts w:ascii="AdvTT5235d5a9" w:hAnsi="AdvTT5235d5a9"/>
                <w:sz w:val="20"/>
                <w:szCs w:val="20"/>
              </w:rPr>
              <w:t xml:space="preserve"> enzymatic testing</w:t>
            </w:r>
            <w:r w:rsidR="00151124">
              <w:rPr>
                <w:rFonts w:ascii="AdvTT5235d5a9" w:hAnsi="AdvTT5235d5a9"/>
                <w:sz w:val="20"/>
                <w:szCs w:val="20"/>
              </w:rPr>
              <w:t xml:space="preserve"> in leucocytes</w:t>
            </w:r>
          </w:p>
          <w:p w:rsidR="00CD5896" w:rsidRPr="00675E4F" w:rsidRDefault="00CD5896" w:rsidP="00412D07">
            <w:pPr>
              <w:rPr>
                <w:lang w:val="en-GB"/>
              </w:rPr>
            </w:pPr>
          </w:p>
        </w:tc>
        <w:tc>
          <w:tcPr>
            <w:tcW w:w="1243" w:type="dxa"/>
          </w:tcPr>
          <w:p w:rsidR="00412D07" w:rsidRDefault="00495116" w:rsidP="00495116">
            <w:r>
              <w:t>0.8%</w:t>
            </w:r>
          </w:p>
        </w:tc>
      </w:tr>
      <w:tr w:rsidR="008B44E9" w:rsidRPr="0024785C">
        <w:trPr>
          <w:trHeight w:val="871"/>
        </w:trPr>
        <w:tc>
          <w:tcPr>
            <w:tcW w:w="1246" w:type="dxa"/>
          </w:tcPr>
          <w:p w:rsidR="008B44E9" w:rsidRPr="0024785C" w:rsidRDefault="008B44E9" w:rsidP="008B1088">
            <w:pPr>
              <w:spacing w:after="200" w:line="276" w:lineRule="auto"/>
            </w:pPr>
            <w:r>
              <w:t>2015</w:t>
            </w:r>
          </w:p>
        </w:tc>
        <w:tc>
          <w:tcPr>
            <w:tcW w:w="1352" w:type="dxa"/>
          </w:tcPr>
          <w:p w:rsidR="004F31B0" w:rsidRDefault="004F31B0" w:rsidP="008B1088">
            <w:pPr>
              <w:spacing w:after="200" w:line="276" w:lineRule="auto"/>
            </w:pPr>
            <w:r>
              <w:t>6</w:t>
            </w:r>
          </w:p>
          <w:p w:rsidR="008B44E9" w:rsidRPr="0024785C" w:rsidRDefault="008B44E9" w:rsidP="004F31B0">
            <w:pPr>
              <w:spacing w:after="200" w:line="276" w:lineRule="auto"/>
            </w:pPr>
            <w:r>
              <w:t>Spain</w:t>
            </w:r>
          </w:p>
        </w:tc>
        <w:tc>
          <w:tcPr>
            <w:tcW w:w="1645" w:type="dxa"/>
          </w:tcPr>
          <w:p w:rsidR="008B44E9" w:rsidRPr="0024785C" w:rsidRDefault="008B44E9" w:rsidP="008B1088">
            <w:pPr>
              <w:spacing w:after="200" w:line="276" w:lineRule="auto"/>
            </w:pPr>
            <w:r>
              <w:t xml:space="preserve">348 adults </w:t>
            </w:r>
          </w:p>
        </w:tc>
        <w:tc>
          <w:tcPr>
            <w:tcW w:w="1328" w:type="dxa"/>
          </w:tcPr>
          <w:p w:rsidR="008B44E9" w:rsidRPr="0024785C" w:rsidRDefault="008B44E9" w:rsidP="008B1088">
            <w:pPr>
              <w:spacing w:after="200" w:line="276" w:lineRule="auto"/>
            </w:pPr>
            <w:r>
              <w:t>Fluorometry</w:t>
            </w:r>
          </w:p>
        </w:tc>
        <w:tc>
          <w:tcPr>
            <w:tcW w:w="1001" w:type="dxa"/>
          </w:tcPr>
          <w:p w:rsidR="008B44E9" w:rsidRPr="0024785C" w:rsidRDefault="008B44E9" w:rsidP="008B1088">
            <w:pPr>
              <w:spacing w:after="200" w:line="276" w:lineRule="auto"/>
            </w:pPr>
            <w:r>
              <w:t>20</w:t>
            </w:r>
          </w:p>
        </w:tc>
        <w:tc>
          <w:tcPr>
            <w:tcW w:w="1473" w:type="dxa"/>
          </w:tcPr>
          <w:p w:rsidR="008B44E9" w:rsidRPr="00675E4F" w:rsidRDefault="008B44E9" w:rsidP="008B1088">
            <w:pPr>
              <w:rPr>
                <w:lang w:val="en-GB"/>
              </w:rPr>
            </w:pPr>
            <w:r w:rsidRPr="00675E4F">
              <w:rPr>
                <w:lang w:val="en-GB"/>
              </w:rPr>
              <w:t xml:space="preserve">16 </w:t>
            </w:r>
            <w:r>
              <w:rPr>
                <w:lang w:val="en-GB"/>
              </w:rPr>
              <w:t xml:space="preserve">by </w:t>
            </w:r>
            <w:r w:rsidRPr="007D423B">
              <w:rPr>
                <w:i/>
                <w:lang w:val="en-GB"/>
              </w:rPr>
              <w:t xml:space="preserve">GAA </w:t>
            </w:r>
            <w:r w:rsidRPr="00675E4F">
              <w:rPr>
                <w:lang w:val="en-GB"/>
              </w:rPr>
              <w:t>mutation</w:t>
            </w:r>
            <w:r>
              <w:rPr>
                <w:lang w:val="en-GB"/>
              </w:rPr>
              <w:t xml:space="preserve"> analysis</w:t>
            </w:r>
          </w:p>
        </w:tc>
        <w:tc>
          <w:tcPr>
            <w:tcW w:w="1243" w:type="dxa"/>
          </w:tcPr>
          <w:p w:rsidR="008B44E9" w:rsidRDefault="008B44E9" w:rsidP="008B1088">
            <w:r>
              <w:t>4.6%</w:t>
            </w:r>
          </w:p>
        </w:tc>
      </w:tr>
      <w:tr w:rsidR="008B44E9" w:rsidRPr="0024785C">
        <w:trPr>
          <w:trHeight w:val="311"/>
        </w:trPr>
        <w:tc>
          <w:tcPr>
            <w:tcW w:w="1246" w:type="dxa"/>
          </w:tcPr>
          <w:p w:rsidR="008B44E9" w:rsidRPr="0024785C" w:rsidRDefault="008B44E9" w:rsidP="008B1088">
            <w:pPr>
              <w:spacing w:after="200"/>
            </w:pPr>
            <w:r>
              <w:t>2015</w:t>
            </w:r>
          </w:p>
        </w:tc>
        <w:tc>
          <w:tcPr>
            <w:tcW w:w="1352" w:type="dxa"/>
          </w:tcPr>
          <w:p w:rsidR="008B44E9" w:rsidRDefault="004F31B0" w:rsidP="008B1088">
            <w:r>
              <w:t>7</w:t>
            </w:r>
          </w:p>
          <w:p w:rsidR="008B44E9" w:rsidRPr="0024785C" w:rsidRDefault="008B44E9" w:rsidP="004F31B0">
            <w:r>
              <w:t>Italy</w:t>
            </w:r>
          </w:p>
        </w:tc>
        <w:tc>
          <w:tcPr>
            <w:tcW w:w="1645" w:type="dxa"/>
          </w:tcPr>
          <w:p w:rsidR="008B44E9" w:rsidRPr="002E2633" w:rsidRDefault="008B44E9" w:rsidP="008B1088">
            <w:pPr>
              <w:spacing w:after="200" w:line="276" w:lineRule="auto"/>
              <w:rPr>
                <w:lang w:val="en-GB"/>
              </w:rPr>
            </w:pPr>
            <w:r w:rsidRPr="002E2633">
              <w:rPr>
                <w:lang w:val="en-GB"/>
              </w:rPr>
              <w:t xml:space="preserve">1051 adults </w:t>
            </w:r>
          </w:p>
        </w:tc>
        <w:tc>
          <w:tcPr>
            <w:tcW w:w="1328" w:type="dxa"/>
          </w:tcPr>
          <w:p w:rsidR="008B44E9" w:rsidRPr="002E2633" w:rsidRDefault="008B44E9" w:rsidP="008B1088">
            <w:pPr>
              <w:spacing w:after="200" w:line="276" w:lineRule="auto"/>
              <w:rPr>
                <w:lang w:val="en-GB"/>
              </w:rPr>
            </w:pPr>
            <w:r>
              <w:rPr>
                <w:lang w:val="en-GB"/>
              </w:rPr>
              <w:t>Fluorometry</w:t>
            </w:r>
          </w:p>
        </w:tc>
        <w:tc>
          <w:tcPr>
            <w:tcW w:w="1001" w:type="dxa"/>
          </w:tcPr>
          <w:p w:rsidR="008B44E9" w:rsidRPr="0024785C" w:rsidRDefault="008B44E9" w:rsidP="008B1088">
            <w:pPr>
              <w:spacing w:after="200" w:line="276" w:lineRule="auto"/>
            </w:pPr>
            <w:r>
              <w:t>30</w:t>
            </w:r>
          </w:p>
        </w:tc>
        <w:tc>
          <w:tcPr>
            <w:tcW w:w="1473" w:type="dxa"/>
          </w:tcPr>
          <w:p w:rsidR="008B44E9" w:rsidRPr="0024785C" w:rsidRDefault="008B44E9" w:rsidP="008B1088">
            <w:r>
              <w:t xml:space="preserve">17 by </w:t>
            </w:r>
            <w:r w:rsidRPr="007D423B">
              <w:rPr>
                <w:i/>
              </w:rPr>
              <w:t>GAA</w:t>
            </w:r>
            <w:r>
              <w:t xml:space="preserve"> mutation analysis</w:t>
            </w:r>
          </w:p>
        </w:tc>
        <w:tc>
          <w:tcPr>
            <w:tcW w:w="1243" w:type="dxa"/>
          </w:tcPr>
          <w:p w:rsidR="008B44E9" w:rsidRPr="0024785C" w:rsidRDefault="008B44E9" w:rsidP="008B1088">
            <w:r>
              <w:t>1.6%</w:t>
            </w:r>
          </w:p>
        </w:tc>
      </w:tr>
      <w:tr w:rsidR="008B44E9" w:rsidRPr="00675E4F">
        <w:trPr>
          <w:trHeight w:val="311"/>
        </w:trPr>
        <w:tc>
          <w:tcPr>
            <w:tcW w:w="1246" w:type="dxa"/>
          </w:tcPr>
          <w:p w:rsidR="008B44E9" w:rsidRDefault="008B44E9" w:rsidP="008B1088">
            <w:r>
              <w:t>2014</w:t>
            </w:r>
          </w:p>
        </w:tc>
        <w:tc>
          <w:tcPr>
            <w:tcW w:w="1352" w:type="dxa"/>
          </w:tcPr>
          <w:p w:rsidR="008B44E9" w:rsidRDefault="004F31B0" w:rsidP="008B1088">
            <w:r>
              <w:t>8</w:t>
            </w:r>
          </w:p>
          <w:p w:rsidR="008B44E9" w:rsidRDefault="008B44E9" w:rsidP="004F31B0">
            <w:r>
              <w:t>Denmark</w:t>
            </w:r>
          </w:p>
        </w:tc>
        <w:tc>
          <w:tcPr>
            <w:tcW w:w="1645" w:type="dxa"/>
          </w:tcPr>
          <w:p w:rsidR="008B44E9" w:rsidRPr="007D423B" w:rsidRDefault="008B44E9" w:rsidP="008B1088">
            <w:pPr>
              <w:rPr>
                <w:lang w:val="en-GB"/>
              </w:rPr>
            </w:pPr>
            <w:r w:rsidRPr="007D423B">
              <w:rPr>
                <w:lang w:val="en-GB"/>
              </w:rPr>
              <w:t xml:space="preserve">103 </w:t>
            </w:r>
            <w:r>
              <w:rPr>
                <w:lang w:val="en-GB"/>
              </w:rPr>
              <w:t xml:space="preserve">adults </w:t>
            </w:r>
          </w:p>
        </w:tc>
        <w:tc>
          <w:tcPr>
            <w:tcW w:w="1328" w:type="dxa"/>
          </w:tcPr>
          <w:p w:rsidR="008B44E9" w:rsidRPr="007D423B" w:rsidRDefault="008B44E9" w:rsidP="008B1088">
            <w:pPr>
              <w:rPr>
                <w:lang w:val="en-GB"/>
              </w:rPr>
            </w:pPr>
            <w:r w:rsidRPr="007D423B">
              <w:rPr>
                <w:lang w:val="en-GB"/>
              </w:rPr>
              <w:t>Fluor</w:t>
            </w:r>
            <w:r>
              <w:rPr>
                <w:lang w:val="en-GB"/>
              </w:rPr>
              <w:t>o</w:t>
            </w:r>
            <w:r w:rsidRPr="007D423B">
              <w:rPr>
                <w:lang w:val="en-GB"/>
              </w:rPr>
              <w:t>metry</w:t>
            </w:r>
          </w:p>
        </w:tc>
        <w:tc>
          <w:tcPr>
            <w:tcW w:w="1001" w:type="dxa"/>
          </w:tcPr>
          <w:p w:rsidR="008B44E9" w:rsidRPr="007D423B" w:rsidRDefault="008B44E9" w:rsidP="008B1088">
            <w:pPr>
              <w:rPr>
                <w:lang w:val="en-GB"/>
              </w:rPr>
            </w:pPr>
            <w:r>
              <w:rPr>
                <w:lang w:val="en-GB"/>
              </w:rPr>
              <w:t>3</w:t>
            </w:r>
          </w:p>
        </w:tc>
        <w:tc>
          <w:tcPr>
            <w:tcW w:w="1473" w:type="dxa"/>
          </w:tcPr>
          <w:p w:rsidR="008B44E9" w:rsidRPr="00675E4F" w:rsidRDefault="008B44E9" w:rsidP="008B1088">
            <w:pPr>
              <w:rPr>
                <w:lang w:val="en-GB"/>
              </w:rPr>
            </w:pPr>
            <w:r>
              <w:rPr>
                <w:lang w:val="en-GB"/>
              </w:rPr>
              <w:t xml:space="preserve">3 </w:t>
            </w:r>
            <w:r w:rsidRPr="007D423B">
              <w:rPr>
                <w:i/>
                <w:lang w:val="en-GB"/>
              </w:rPr>
              <w:t xml:space="preserve">GAA </w:t>
            </w:r>
            <w:r>
              <w:rPr>
                <w:lang w:val="en-GB"/>
              </w:rPr>
              <w:t>mutation analysis</w:t>
            </w:r>
          </w:p>
        </w:tc>
        <w:tc>
          <w:tcPr>
            <w:tcW w:w="1243" w:type="dxa"/>
          </w:tcPr>
          <w:p w:rsidR="008B44E9" w:rsidRDefault="008B44E9" w:rsidP="008B1088">
            <w:pPr>
              <w:rPr>
                <w:lang w:val="en-GB"/>
              </w:rPr>
            </w:pPr>
            <w:r>
              <w:rPr>
                <w:lang w:val="en-GB"/>
              </w:rPr>
              <w:t>2.9%</w:t>
            </w:r>
          </w:p>
        </w:tc>
      </w:tr>
      <w:tr w:rsidR="008B44E9" w:rsidRPr="00675E4F">
        <w:trPr>
          <w:trHeight w:val="311"/>
        </w:trPr>
        <w:tc>
          <w:tcPr>
            <w:tcW w:w="1246" w:type="dxa"/>
          </w:tcPr>
          <w:p w:rsidR="008B44E9" w:rsidRPr="007D423B" w:rsidRDefault="008B44E9" w:rsidP="008B1088">
            <w:pPr>
              <w:rPr>
                <w:lang w:val="en-GB"/>
              </w:rPr>
            </w:pPr>
            <w:r>
              <w:rPr>
                <w:lang w:val="en-GB"/>
              </w:rPr>
              <w:t>2014</w:t>
            </w:r>
          </w:p>
        </w:tc>
        <w:tc>
          <w:tcPr>
            <w:tcW w:w="1352" w:type="dxa"/>
          </w:tcPr>
          <w:p w:rsidR="008B44E9" w:rsidRDefault="004F31B0" w:rsidP="008B1088">
            <w:pPr>
              <w:rPr>
                <w:lang w:val="en-GB"/>
              </w:rPr>
            </w:pPr>
            <w:r>
              <w:rPr>
                <w:lang w:val="en-GB"/>
              </w:rPr>
              <w:t>9</w:t>
            </w:r>
          </w:p>
          <w:p w:rsidR="008B44E9" w:rsidRPr="007D423B" w:rsidRDefault="008B44E9" w:rsidP="004F31B0">
            <w:pPr>
              <w:rPr>
                <w:lang w:val="en-GB"/>
              </w:rPr>
            </w:pPr>
            <w:r>
              <w:rPr>
                <w:lang w:val="en-GB"/>
              </w:rPr>
              <w:t>Finland</w:t>
            </w:r>
          </w:p>
        </w:tc>
        <w:tc>
          <w:tcPr>
            <w:tcW w:w="1645" w:type="dxa"/>
          </w:tcPr>
          <w:p w:rsidR="008B44E9" w:rsidRPr="007D423B" w:rsidRDefault="008B44E9" w:rsidP="008B1088">
            <w:pPr>
              <w:rPr>
                <w:lang w:val="en-GB"/>
              </w:rPr>
            </w:pPr>
            <w:r>
              <w:rPr>
                <w:lang w:val="en-GB"/>
              </w:rPr>
              <w:t xml:space="preserve">108 adults </w:t>
            </w:r>
          </w:p>
        </w:tc>
        <w:tc>
          <w:tcPr>
            <w:tcW w:w="1328" w:type="dxa"/>
          </w:tcPr>
          <w:p w:rsidR="008B44E9" w:rsidRPr="007D423B" w:rsidRDefault="008B44E9" w:rsidP="008B1088">
            <w:pPr>
              <w:rPr>
                <w:lang w:val="en-GB"/>
              </w:rPr>
            </w:pPr>
            <w:r w:rsidRPr="00057E6C">
              <w:rPr>
                <w:lang w:val="en-GB"/>
              </w:rPr>
              <w:t>Fluorometry</w:t>
            </w:r>
          </w:p>
        </w:tc>
        <w:tc>
          <w:tcPr>
            <w:tcW w:w="1001" w:type="dxa"/>
          </w:tcPr>
          <w:p w:rsidR="008B44E9" w:rsidRPr="007D423B" w:rsidRDefault="008B44E9" w:rsidP="008B1088">
            <w:pPr>
              <w:rPr>
                <w:lang w:val="en-GB"/>
              </w:rPr>
            </w:pPr>
            <w:r>
              <w:rPr>
                <w:lang w:val="en-GB"/>
              </w:rPr>
              <w:t>0</w:t>
            </w:r>
          </w:p>
        </w:tc>
        <w:tc>
          <w:tcPr>
            <w:tcW w:w="1473" w:type="dxa"/>
          </w:tcPr>
          <w:p w:rsidR="008B44E9" w:rsidRPr="00675E4F" w:rsidRDefault="008B44E9" w:rsidP="008B1088">
            <w:pPr>
              <w:rPr>
                <w:lang w:val="en-GB"/>
              </w:rPr>
            </w:pPr>
            <w:r>
              <w:rPr>
                <w:lang w:val="en-GB"/>
              </w:rPr>
              <w:t>0</w:t>
            </w:r>
          </w:p>
        </w:tc>
        <w:tc>
          <w:tcPr>
            <w:tcW w:w="1243" w:type="dxa"/>
          </w:tcPr>
          <w:p w:rsidR="008B44E9" w:rsidRDefault="008B44E9" w:rsidP="008B1088">
            <w:pPr>
              <w:rPr>
                <w:lang w:val="en-GB"/>
              </w:rPr>
            </w:pPr>
            <w:r>
              <w:rPr>
                <w:lang w:val="en-GB"/>
              </w:rPr>
              <w:t>0.0%</w:t>
            </w:r>
          </w:p>
        </w:tc>
      </w:tr>
      <w:tr w:rsidR="008B44E9" w:rsidRPr="00675E4F">
        <w:trPr>
          <w:trHeight w:val="311"/>
        </w:trPr>
        <w:tc>
          <w:tcPr>
            <w:tcW w:w="1246" w:type="dxa"/>
          </w:tcPr>
          <w:p w:rsidR="008B44E9" w:rsidRPr="007D423B" w:rsidRDefault="008B44E9" w:rsidP="008B1088">
            <w:pPr>
              <w:rPr>
                <w:lang w:val="en-GB"/>
              </w:rPr>
            </w:pPr>
            <w:r>
              <w:rPr>
                <w:lang w:val="en-GB"/>
              </w:rPr>
              <w:t>2013</w:t>
            </w:r>
          </w:p>
        </w:tc>
        <w:tc>
          <w:tcPr>
            <w:tcW w:w="1352" w:type="dxa"/>
          </w:tcPr>
          <w:p w:rsidR="008B44E9" w:rsidRDefault="004F31B0" w:rsidP="008B1088">
            <w:r>
              <w:t>10</w:t>
            </w:r>
          </w:p>
          <w:p w:rsidR="008B44E9" w:rsidRPr="007D423B" w:rsidRDefault="008B44E9" w:rsidP="004F31B0">
            <w:pPr>
              <w:rPr>
                <w:lang w:val="en-GB"/>
              </w:rPr>
            </w:pPr>
            <w:r>
              <w:t>Italy</w:t>
            </w:r>
          </w:p>
        </w:tc>
        <w:tc>
          <w:tcPr>
            <w:tcW w:w="1645" w:type="dxa"/>
          </w:tcPr>
          <w:p w:rsidR="008B44E9" w:rsidRPr="007D423B" w:rsidRDefault="008B44E9" w:rsidP="008B1088">
            <w:pPr>
              <w:rPr>
                <w:lang w:val="en-GB"/>
              </w:rPr>
            </w:pPr>
            <w:r>
              <w:rPr>
                <w:lang w:val="en-GB"/>
              </w:rPr>
              <w:t xml:space="preserve">137 adults </w:t>
            </w:r>
          </w:p>
        </w:tc>
        <w:tc>
          <w:tcPr>
            <w:tcW w:w="1328" w:type="dxa"/>
          </w:tcPr>
          <w:p w:rsidR="008B44E9" w:rsidRPr="007D423B" w:rsidRDefault="008B44E9" w:rsidP="008B1088">
            <w:pPr>
              <w:rPr>
                <w:lang w:val="en-GB"/>
              </w:rPr>
            </w:pPr>
            <w:r w:rsidRPr="00057E6C">
              <w:rPr>
                <w:lang w:val="en-GB"/>
              </w:rPr>
              <w:t>Fluorometry</w:t>
            </w:r>
          </w:p>
        </w:tc>
        <w:tc>
          <w:tcPr>
            <w:tcW w:w="1001" w:type="dxa"/>
          </w:tcPr>
          <w:p w:rsidR="008B44E9" w:rsidRPr="007D423B" w:rsidRDefault="008B44E9" w:rsidP="008B1088">
            <w:pPr>
              <w:rPr>
                <w:lang w:val="en-GB"/>
              </w:rPr>
            </w:pPr>
            <w:r>
              <w:rPr>
                <w:lang w:val="en-GB"/>
              </w:rPr>
              <w:t>8</w:t>
            </w:r>
          </w:p>
        </w:tc>
        <w:tc>
          <w:tcPr>
            <w:tcW w:w="1473" w:type="dxa"/>
          </w:tcPr>
          <w:p w:rsidR="008B44E9" w:rsidRPr="00675E4F" w:rsidRDefault="008B44E9" w:rsidP="008B1088">
            <w:pPr>
              <w:rPr>
                <w:lang w:val="en-GB"/>
              </w:rPr>
            </w:pPr>
            <w:r>
              <w:rPr>
                <w:lang w:val="en-GB"/>
              </w:rPr>
              <w:t xml:space="preserve">3 </w:t>
            </w:r>
            <w:r w:rsidRPr="00057E6C">
              <w:rPr>
                <w:i/>
              </w:rPr>
              <w:t xml:space="preserve"> </w:t>
            </w:r>
            <w:r>
              <w:rPr>
                <w:i/>
              </w:rPr>
              <w:t xml:space="preserve">by </w:t>
            </w:r>
            <w:r w:rsidRPr="00057E6C">
              <w:rPr>
                <w:i/>
              </w:rPr>
              <w:t>GAA</w:t>
            </w:r>
            <w:r w:rsidRPr="00057E6C">
              <w:t xml:space="preserve"> mutation analysis</w:t>
            </w:r>
          </w:p>
        </w:tc>
        <w:tc>
          <w:tcPr>
            <w:tcW w:w="1243" w:type="dxa"/>
          </w:tcPr>
          <w:p w:rsidR="008B44E9" w:rsidRDefault="008B44E9" w:rsidP="008B1088">
            <w:pPr>
              <w:rPr>
                <w:lang w:val="en-GB"/>
              </w:rPr>
            </w:pPr>
            <w:r>
              <w:rPr>
                <w:lang w:val="en-GB"/>
              </w:rPr>
              <w:t>2.2%</w:t>
            </w:r>
          </w:p>
        </w:tc>
      </w:tr>
      <w:tr w:rsidR="008B44E9" w:rsidRPr="00675E4F">
        <w:trPr>
          <w:trHeight w:val="311"/>
        </w:trPr>
        <w:tc>
          <w:tcPr>
            <w:tcW w:w="1246" w:type="dxa"/>
          </w:tcPr>
          <w:p w:rsidR="008B44E9" w:rsidRPr="007D423B" w:rsidRDefault="008B44E9" w:rsidP="008B1088">
            <w:pPr>
              <w:spacing w:after="200" w:line="276" w:lineRule="auto"/>
              <w:rPr>
                <w:lang w:val="en-GB"/>
              </w:rPr>
            </w:pPr>
            <w:r w:rsidRPr="007D423B">
              <w:rPr>
                <w:lang w:val="en-GB"/>
              </w:rPr>
              <w:t>2009</w:t>
            </w:r>
          </w:p>
        </w:tc>
        <w:tc>
          <w:tcPr>
            <w:tcW w:w="1352" w:type="dxa"/>
          </w:tcPr>
          <w:p w:rsidR="008B44E9" w:rsidRDefault="004F31B0" w:rsidP="008B1088">
            <w:pPr>
              <w:spacing w:after="200" w:line="276" w:lineRule="auto"/>
              <w:rPr>
                <w:lang w:val="en-GB"/>
              </w:rPr>
            </w:pPr>
            <w:r>
              <w:rPr>
                <w:lang w:val="en-GB"/>
              </w:rPr>
              <w:t>11</w:t>
            </w:r>
          </w:p>
          <w:p w:rsidR="008B44E9" w:rsidRPr="007D423B" w:rsidRDefault="008B44E9" w:rsidP="00CD5896">
            <w:pPr>
              <w:spacing w:after="200" w:line="276" w:lineRule="auto"/>
              <w:rPr>
                <w:lang w:val="en-GB"/>
              </w:rPr>
            </w:pPr>
            <w:r>
              <w:rPr>
                <w:lang w:val="en-GB"/>
              </w:rPr>
              <w:t>USA</w:t>
            </w:r>
          </w:p>
        </w:tc>
        <w:tc>
          <w:tcPr>
            <w:tcW w:w="1645" w:type="dxa"/>
          </w:tcPr>
          <w:p w:rsidR="008B44E9" w:rsidRPr="007D423B" w:rsidRDefault="008B44E9" w:rsidP="008B1088">
            <w:pPr>
              <w:spacing w:after="200" w:line="276" w:lineRule="auto"/>
              <w:rPr>
                <w:lang w:val="en-GB"/>
              </w:rPr>
            </w:pPr>
            <w:r w:rsidRPr="007D423B">
              <w:rPr>
                <w:lang w:val="en-GB"/>
              </w:rPr>
              <w:t>671 adults</w:t>
            </w:r>
          </w:p>
        </w:tc>
        <w:tc>
          <w:tcPr>
            <w:tcW w:w="1328" w:type="dxa"/>
          </w:tcPr>
          <w:p w:rsidR="008B44E9" w:rsidRPr="007D423B" w:rsidRDefault="008B44E9" w:rsidP="008B1088">
            <w:pPr>
              <w:spacing w:after="200" w:line="276" w:lineRule="auto"/>
              <w:rPr>
                <w:lang w:val="en-GB"/>
              </w:rPr>
            </w:pPr>
            <w:r w:rsidRPr="007D423B">
              <w:rPr>
                <w:lang w:val="en-GB"/>
              </w:rPr>
              <w:t>Fluor</w:t>
            </w:r>
            <w:r>
              <w:rPr>
                <w:lang w:val="en-GB"/>
              </w:rPr>
              <w:t>o</w:t>
            </w:r>
            <w:r w:rsidRPr="007D423B">
              <w:rPr>
                <w:lang w:val="en-GB"/>
              </w:rPr>
              <w:t>metry</w:t>
            </w:r>
          </w:p>
        </w:tc>
        <w:tc>
          <w:tcPr>
            <w:tcW w:w="1001" w:type="dxa"/>
          </w:tcPr>
          <w:p w:rsidR="008B44E9" w:rsidRPr="007D423B" w:rsidRDefault="008B44E9" w:rsidP="008B1088">
            <w:pPr>
              <w:spacing w:after="200" w:line="276" w:lineRule="auto"/>
              <w:rPr>
                <w:lang w:val="en-GB"/>
              </w:rPr>
            </w:pPr>
            <w:r w:rsidRPr="007D423B">
              <w:rPr>
                <w:lang w:val="en-GB"/>
              </w:rPr>
              <w:t>111</w:t>
            </w:r>
          </w:p>
        </w:tc>
        <w:tc>
          <w:tcPr>
            <w:tcW w:w="1473" w:type="dxa"/>
          </w:tcPr>
          <w:p w:rsidR="008B44E9" w:rsidRPr="00675E4F" w:rsidRDefault="008B44E9" w:rsidP="008B1088">
            <w:pPr>
              <w:rPr>
                <w:lang w:val="en-GB"/>
              </w:rPr>
            </w:pPr>
            <w:r w:rsidRPr="00675E4F">
              <w:rPr>
                <w:lang w:val="en-GB"/>
              </w:rPr>
              <w:t xml:space="preserve">28 (skin fibroblast assay), 7 </w:t>
            </w:r>
            <w:r w:rsidRPr="007D423B">
              <w:rPr>
                <w:i/>
                <w:lang w:val="en-GB"/>
              </w:rPr>
              <w:t>GAA</w:t>
            </w:r>
            <w:r w:rsidRPr="00675E4F">
              <w:rPr>
                <w:lang w:val="en-GB"/>
              </w:rPr>
              <w:t xml:space="preserve"> muta</w:t>
            </w:r>
            <w:r>
              <w:rPr>
                <w:lang w:val="en-GB"/>
              </w:rPr>
              <w:t>t</w:t>
            </w:r>
            <w:r w:rsidRPr="00675E4F">
              <w:rPr>
                <w:lang w:val="en-GB"/>
              </w:rPr>
              <w:t>ion</w:t>
            </w:r>
            <w:r>
              <w:rPr>
                <w:lang w:val="en-GB"/>
              </w:rPr>
              <w:t xml:space="preserve"> analysis</w:t>
            </w:r>
          </w:p>
        </w:tc>
        <w:tc>
          <w:tcPr>
            <w:tcW w:w="1243" w:type="dxa"/>
          </w:tcPr>
          <w:p w:rsidR="008B44E9" w:rsidRPr="00675E4F" w:rsidRDefault="008B44E9" w:rsidP="008B1088">
            <w:pPr>
              <w:rPr>
                <w:lang w:val="en-GB"/>
              </w:rPr>
            </w:pPr>
            <w:r>
              <w:rPr>
                <w:lang w:val="en-GB"/>
              </w:rPr>
              <w:t>4.1%</w:t>
            </w:r>
          </w:p>
        </w:tc>
      </w:tr>
      <w:tr w:rsidR="008B44E9" w:rsidRPr="00675E4F">
        <w:trPr>
          <w:trHeight w:val="311"/>
        </w:trPr>
        <w:tc>
          <w:tcPr>
            <w:tcW w:w="1246" w:type="dxa"/>
          </w:tcPr>
          <w:p w:rsidR="008B44E9" w:rsidRPr="00057E6C" w:rsidRDefault="008B44E9" w:rsidP="008B1088">
            <w:pPr>
              <w:spacing w:after="200" w:line="276" w:lineRule="auto"/>
              <w:rPr>
                <w:b/>
                <w:lang w:val="en-GB"/>
              </w:rPr>
            </w:pPr>
            <w:r>
              <w:rPr>
                <w:b/>
                <w:lang w:val="en-GB"/>
              </w:rPr>
              <w:t>Total</w:t>
            </w:r>
          </w:p>
        </w:tc>
        <w:tc>
          <w:tcPr>
            <w:tcW w:w="1352" w:type="dxa"/>
          </w:tcPr>
          <w:p w:rsidR="008B44E9" w:rsidRPr="00057E6C" w:rsidRDefault="008B44E9" w:rsidP="008B1088">
            <w:pPr>
              <w:spacing w:after="200" w:line="276" w:lineRule="auto"/>
              <w:rPr>
                <w:b/>
                <w:lang w:val="en-GB"/>
              </w:rPr>
            </w:pPr>
          </w:p>
        </w:tc>
        <w:tc>
          <w:tcPr>
            <w:tcW w:w="1645" w:type="dxa"/>
          </w:tcPr>
          <w:p w:rsidR="008B44E9" w:rsidRPr="00057E6C" w:rsidRDefault="008B44E9" w:rsidP="00CD5896">
            <w:pPr>
              <w:spacing w:after="200" w:line="276" w:lineRule="auto"/>
              <w:rPr>
                <w:b/>
                <w:lang w:val="en-GB"/>
              </w:rPr>
            </w:pPr>
            <w:r>
              <w:rPr>
                <w:b/>
                <w:lang w:val="en-GB"/>
              </w:rPr>
              <w:t>5</w:t>
            </w:r>
            <w:r w:rsidR="00CD5896">
              <w:rPr>
                <w:b/>
                <w:lang w:val="en-GB"/>
              </w:rPr>
              <w:t>735</w:t>
            </w:r>
            <w:r>
              <w:rPr>
                <w:b/>
                <w:lang w:val="en-GB"/>
              </w:rPr>
              <w:t xml:space="preserve"> </w:t>
            </w:r>
            <w:r w:rsidRPr="00057E6C">
              <w:rPr>
                <w:b/>
                <w:lang w:val="en-GB"/>
              </w:rPr>
              <w:t>adults</w:t>
            </w:r>
          </w:p>
        </w:tc>
        <w:tc>
          <w:tcPr>
            <w:tcW w:w="1328" w:type="dxa"/>
          </w:tcPr>
          <w:p w:rsidR="008B44E9" w:rsidRPr="00057E6C" w:rsidRDefault="008B44E9" w:rsidP="008B1088">
            <w:pPr>
              <w:spacing w:after="200" w:line="276" w:lineRule="auto"/>
              <w:rPr>
                <w:b/>
                <w:lang w:val="en-GB"/>
              </w:rPr>
            </w:pPr>
          </w:p>
        </w:tc>
        <w:tc>
          <w:tcPr>
            <w:tcW w:w="1001" w:type="dxa"/>
          </w:tcPr>
          <w:p w:rsidR="008B44E9" w:rsidRPr="00057E6C" w:rsidRDefault="008B44E9" w:rsidP="00CD5896">
            <w:pPr>
              <w:spacing w:after="200" w:line="276" w:lineRule="auto"/>
              <w:rPr>
                <w:b/>
                <w:lang w:val="en-GB"/>
              </w:rPr>
            </w:pPr>
            <w:r>
              <w:rPr>
                <w:b/>
                <w:lang w:val="en-GB"/>
              </w:rPr>
              <w:t>3</w:t>
            </w:r>
            <w:r w:rsidRPr="00057E6C">
              <w:rPr>
                <w:b/>
                <w:lang w:val="en-GB"/>
              </w:rPr>
              <w:t>7</w:t>
            </w:r>
            <w:r w:rsidR="00CD5896">
              <w:rPr>
                <w:b/>
                <w:lang w:val="en-GB"/>
              </w:rPr>
              <w:t>4</w:t>
            </w:r>
          </w:p>
        </w:tc>
        <w:tc>
          <w:tcPr>
            <w:tcW w:w="1473" w:type="dxa"/>
          </w:tcPr>
          <w:p w:rsidR="008B44E9" w:rsidRPr="00057E6C" w:rsidRDefault="008B44E9" w:rsidP="00CD5896">
            <w:pPr>
              <w:rPr>
                <w:b/>
                <w:lang w:val="en-GB"/>
              </w:rPr>
            </w:pPr>
            <w:r>
              <w:rPr>
                <w:b/>
                <w:lang w:val="en-GB"/>
              </w:rPr>
              <w:t>14</w:t>
            </w:r>
            <w:r w:rsidR="00CD5896">
              <w:rPr>
                <w:b/>
                <w:lang w:val="en-GB"/>
              </w:rPr>
              <w:t>3</w:t>
            </w:r>
          </w:p>
        </w:tc>
        <w:tc>
          <w:tcPr>
            <w:tcW w:w="1243" w:type="dxa"/>
          </w:tcPr>
          <w:p w:rsidR="008B44E9" w:rsidRPr="00057E6C" w:rsidRDefault="008B44E9" w:rsidP="008B1088">
            <w:pPr>
              <w:rPr>
                <w:b/>
                <w:lang w:val="en-GB"/>
              </w:rPr>
            </w:pPr>
            <w:r w:rsidRPr="00057E6C">
              <w:rPr>
                <w:b/>
                <w:lang w:val="en-GB"/>
              </w:rPr>
              <w:t>2.</w:t>
            </w:r>
            <w:r w:rsidR="00CD5896">
              <w:rPr>
                <w:b/>
                <w:lang w:val="en-GB"/>
              </w:rPr>
              <w:t>5</w:t>
            </w:r>
            <w:r w:rsidRPr="00057E6C">
              <w:rPr>
                <w:b/>
                <w:lang w:val="en-GB"/>
              </w:rPr>
              <w:t>%</w:t>
            </w:r>
          </w:p>
        </w:tc>
      </w:tr>
    </w:tbl>
    <w:p w:rsidR="005D14D6" w:rsidRPr="00CD58A3" w:rsidRDefault="005D14D6" w:rsidP="00524BB1">
      <w:pPr>
        <w:rPr>
          <w:b/>
          <w:sz w:val="24"/>
          <w:szCs w:val="24"/>
          <w:lang w:val="en-GB"/>
        </w:rPr>
      </w:pPr>
    </w:p>
    <w:sectPr w:rsidR="005D14D6" w:rsidRPr="00CD58A3" w:rsidSect="00444681">
      <w:headerReference w:type="default" r:id="rId8"/>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43E" w:rsidRDefault="0016043E" w:rsidP="00444681">
      <w:pPr>
        <w:spacing w:after="0" w:line="240" w:lineRule="auto"/>
      </w:pPr>
      <w:r>
        <w:separator/>
      </w:r>
    </w:p>
  </w:endnote>
  <w:endnote w:type="continuationSeparator" w:id="0">
    <w:p w:rsidR="0016043E" w:rsidRDefault="0016043E" w:rsidP="0044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TT5235d5a9">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43E" w:rsidRDefault="0016043E" w:rsidP="00444681">
      <w:pPr>
        <w:spacing w:after="0" w:line="240" w:lineRule="auto"/>
      </w:pPr>
      <w:r>
        <w:separator/>
      </w:r>
    </w:p>
  </w:footnote>
  <w:footnote w:type="continuationSeparator" w:id="0">
    <w:p w:rsidR="0016043E" w:rsidRDefault="0016043E" w:rsidP="00444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80" w:rsidRDefault="00454780">
    <w:pPr>
      <w:pStyle w:val="Header"/>
      <w:jc w:val="right"/>
    </w:pPr>
    <w:r>
      <w:t xml:space="preserve">Lukacs et al. </w:t>
    </w:r>
    <w:sdt>
      <w:sdtPr>
        <w:id w:val="-508834709"/>
        <w:docPartObj>
          <w:docPartGallery w:val="Page Numbers (Top of Page)"/>
          <w:docPartUnique/>
        </w:docPartObj>
      </w:sdtPr>
      <w:sdtEndPr/>
      <w:sdtContent>
        <w:r w:rsidR="002A77B5">
          <w:fldChar w:fldCharType="begin"/>
        </w:r>
        <w:r w:rsidR="002A77B5">
          <w:instrText>PAGE   \* MERGEFORMAT</w:instrText>
        </w:r>
        <w:r w:rsidR="002A77B5">
          <w:fldChar w:fldCharType="separate"/>
        </w:r>
        <w:r w:rsidR="00D20676">
          <w:rPr>
            <w:noProof/>
          </w:rPr>
          <w:t>1</w:t>
        </w:r>
        <w:r w:rsidR="002A77B5">
          <w:rPr>
            <w:noProof/>
          </w:rPr>
          <w:fldChar w:fldCharType="end"/>
        </w:r>
      </w:sdtContent>
    </w:sdt>
  </w:p>
  <w:p w:rsidR="00454780" w:rsidRDefault="00454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66117"/>
    <w:multiLevelType w:val="hybridMultilevel"/>
    <w:tmpl w:val="42169DE4"/>
    <w:lvl w:ilvl="0" w:tplc="F194792E">
      <w:start w:val="7"/>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44"/>
    <w:rsid w:val="00000177"/>
    <w:rsid w:val="00051CB3"/>
    <w:rsid w:val="000A6229"/>
    <w:rsid w:val="000D2408"/>
    <w:rsid w:val="000E71E8"/>
    <w:rsid w:val="000F1826"/>
    <w:rsid w:val="00123627"/>
    <w:rsid w:val="00151124"/>
    <w:rsid w:val="0016043E"/>
    <w:rsid w:val="00174268"/>
    <w:rsid w:val="001A1EEE"/>
    <w:rsid w:val="001B0B45"/>
    <w:rsid w:val="001B52B8"/>
    <w:rsid w:val="001D78DF"/>
    <w:rsid w:val="001F565B"/>
    <w:rsid w:val="002141A0"/>
    <w:rsid w:val="00232B11"/>
    <w:rsid w:val="0024103C"/>
    <w:rsid w:val="00245A26"/>
    <w:rsid w:val="00271A23"/>
    <w:rsid w:val="002A5322"/>
    <w:rsid w:val="002A77B5"/>
    <w:rsid w:val="002C1569"/>
    <w:rsid w:val="002D1552"/>
    <w:rsid w:val="002E665F"/>
    <w:rsid w:val="002F4310"/>
    <w:rsid w:val="00300ED5"/>
    <w:rsid w:val="0030348B"/>
    <w:rsid w:val="00354351"/>
    <w:rsid w:val="00354FDF"/>
    <w:rsid w:val="00365EAE"/>
    <w:rsid w:val="00370E0F"/>
    <w:rsid w:val="003A18D5"/>
    <w:rsid w:val="003A7328"/>
    <w:rsid w:val="003C0A02"/>
    <w:rsid w:val="003D53C3"/>
    <w:rsid w:val="00401AC4"/>
    <w:rsid w:val="00410614"/>
    <w:rsid w:val="00412D07"/>
    <w:rsid w:val="00417049"/>
    <w:rsid w:val="004210F7"/>
    <w:rsid w:val="00437EBB"/>
    <w:rsid w:val="00444681"/>
    <w:rsid w:val="00447130"/>
    <w:rsid w:val="00447A69"/>
    <w:rsid w:val="0045046F"/>
    <w:rsid w:val="00454780"/>
    <w:rsid w:val="0049427A"/>
    <w:rsid w:val="00495116"/>
    <w:rsid w:val="004A092A"/>
    <w:rsid w:val="004A3CFE"/>
    <w:rsid w:val="004F31B0"/>
    <w:rsid w:val="004F6A04"/>
    <w:rsid w:val="00524BB1"/>
    <w:rsid w:val="005507CE"/>
    <w:rsid w:val="00566F71"/>
    <w:rsid w:val="0058392C"/>
    <w:rsid w:val="00585557"/>
    <w:rsid w:val="005C41E1"/>
    <w:rsid w:val="005D14D6"/>
    <w:rsid w:val="00611944"/>
    <w:rsid w:val="00650B6F"/>
    <w:rsid w:val="00686CAA"/>
    <w:rsid w:val="00692C3C"/>
    <w:rsid w:val="006B0EA1"/>
    <w:rsid w:val="007166B9"/>
    <w:rsid w:val="00717327"/>
    <w:rsid w:val="00721B8B"/>
    <w:rsid w:val="007318B3"/>
    <w:rsid w:val="007741EE"/>
    <w:rsid w:val="00781FF8"/>
    <w:rsid w:val="00790FFE"/>
    <w:rsid w:val="007A0CB8"/>
    <w:rsid w:val="007A18D9"/>
    <w:rsid w:val="007D31A7"/>
    <w:rsid w:val="00823DD5"/>
    <w:rsid w:val="00823E03"/>
    <w:rsid w:val="008320A3"/>
    <w:rsid w:val="008424BA"/>
    <w:rsid w:val="008666DC"/>
    <w:rsid w:val="008B1088"/>
    <w:rsid w:val="008B44E9"/>
    <w:rsid w:val="008D781D"/>
    <w:rsid w:val="0090128C"/>
    <w:rsid w:val="00932539"/>
    <w:rsid w:val="00932AF1"/>
    <w:rsid w:val="00956FF6"/>
    <w:rsid w:val="009A5A3D"/>
    <w:rsid w:val="009C0764"/>
    <w:rsid w:val="009D19B9"/>
    <w:rsid w:val="009E6DF6"/>
    <w:rsid w:val="00A178DD"/>
    <w:rsid w:val="00A354CA"/>
    <w:rsid w:val="00A53147"/>
    <w:rsid w:val="00A61D75"/>
    <w:rsid w:val="00A663D3"/>
    <w:rsid w:val="00A7123F"/>
    <w:rsid w:val="00AA5CAD"/>
    <w:rsid w:val="00AB142A"/>
    <w:rsid w:val="00AB2A8A"/>
    <w:rsid w:val="00AC3E13"/>
    <w:rsid w:val="00B141A1"/>
    <w:rsid w:val="00B4064F"/>
    <w:rsid w:val="00B4745B"/>
    <w:rsid w:val="00B5272C"/>
    <w:rsid w:val="00B94C37"/>
    <w:rsid w:val="00B97A50"/>
    <w:rsid w:val="00BB5643"/>
    <w:rsid w:val="00BC29F7"/>
    <w:rsid w:val="00BD2738"/>
    <w:rsid w:val="00BE6143"/>
    <w:rsid w:val="00C04A80"/>
    <w:rsid w:val="00C37F77"/>
    <w:rsid w:val="00C86C38"/>
    <w:rsid w:val="00C93189"/>
    <w:rsid w:val="00CA6E96"/>
    <w:rsid w:val="00CB4B18"/>
    <w:rsid w:val="00CD5896"/>
    <w:rsid w:val="00CD58A3"/>
    <w:rsid w:val="00CE234E"/>
    <w:rsid w:val="00CF231C"/>
    <w:rsid w:val="00CF5400"/>
    <w:rsid w:val="00D13B67"/>
    <w:rsid w:val="00D20676"/>
    <w:rsid w:val="00D43F66"/>
    <w:rsid w:val="00D901BE"/>
    <w:rsid w:val="00D9334A"/>
    <w:rsid w:val="00DA4ED4"/>
    <w:rsid w:val="00DB2B6C"/>
    <w:rsid w:val="00DB3C96"/>
    <w:rsid w:val="00DB6352"/>
    <w:rsid w:val="00DC370D"/>
    <w:rsid w:val="00DC6C60"/>
    <w:rsid w:val="00DE21E7"/>
    <w:rsid w:val="00DF6D81"/>
    <w:rsid w:val="00E0069E"/>
    <w:rsid w:val="00E0686C"/>
    <w:rsid w:val="00E64D9B"/>
    <w:rsid w:val="00E73425"/>
    <w:rsid w:val="00E814A8"/>
    <w:rsid w:val="00E828E6"/>
    <w:rsid w:val="00E844DD"/>
    <w:rsid w:val="00E85BF2"/>
    <w:rsid w:val="00EA1420"/>
    <w:rsid w:val="00ED230F"/>
    <w:rsid w:val="00ED2EAE"/>
    <w:rsid w:val="00EF15B7"/>
    <w:rsid w:val="00EF553D"/>
    <w:rsid w:val="00F14FC4"/>
    <w:rsid w:val="00F16408"/>
    <w:rsid w:val="00F17B21"/>
    <w:rsid w:val="00F33D74"/>
    <w:rsid w:val="00F51786"/>
    <w:rsid w:val="00F65A9E"/>
    <w:rsid w:val="00F761FB"/>
    <w:rsid w:val="00F80D33"/>
    <w:rsid w:val="00F86924"/>
    <w:rsid w:val="00FE527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CD6CB-DA45-41D2-AD46-18C34857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6D8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4681"/>
    <w:pPr>
      <w:tabs>
        <w:tab w:val="center" w:pos="4536"/>
        <w:tab w:val="right" w:pos="9072"/>
      </w:tabs>
      <w:spacing w:after="0" w:line="240" w:lineRule="auto"/>
    </w:pPr>
  </w:style>
  <w:style w:type="character" w:customStyle="1" w:styleId="HeaderChar">
    <w:name w:val="Header Char"/>
    <w:basedOn w:val="DefaultParagraphFont"/>
    <w:link w:val="Header"/>
    <w:rsid w:val="00444681"/>
  </w:style>
  <w:style w:type="paragraph" w:styleId="Footer">
    <w:name w:val="footer"/>
    <w:basedOn w:val="Normal"/>
    <w:link w:val="FooterChar"/>
    <w:uiPriority w:val="99"/>
    <w:unhideWhenUsed/>
    <w:rsid w:val="00444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4681"/>
  </w:style>
  <w:style w:type="character" w:styleId="LineNumber">
    <w:name w:val="line number"/>
    <w:basedOn w:val="DefaultParagraphFont"/>
    <w:uiPriority w:val="99"/>
    <w:semiHidden/>
    <w:unhideWhenUsed/>
    <w:rsid w:val="00444681"/>
  </w:style>
  <w:style w:type="table" w:styleId="TableGrid">
    <w:name w:val="Table Grid"/>
    <w:basedOn w:val="TableNormal"/>
    <w:uiPriority w:val="59"/>
    <w:rsid w:val="00AC3E13"/>
    <w:pPr>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C3E13"/>
    <w:rPr>
      <w:sz w:val="16"/>
      <w:szCs w:val="16"/>
    </w:rPr>
  </w:style>
  <w:style w:type="paragraph" w:styleId="CommentText">
    <w:name w:val="annotation text"/>
    <w:basedOn w:val="Normal"/>
    <w:link w:val="CommentTextChar"/>
    <w:uiPriority w:val="99"/>
    <w:semiHidden/>
    <w:unhideWhenUsed/>
    <w:rsid w:val="00AC3E13"/>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AC3E13"/>
    <w:rPr>
      <w:rFonts w:ascii="Times New Roman" w:eastAsia="Times New Roman" w:hAnsi="Times New Roman" w:cs="Times New Roman"/>
      <w:noProof/>
      <w:sz w:val="20"/>
      <w:szCs w:val="20"/>
      <w:lang w:val="en-US"/>
    </w:rPr>
  </w:style>
  <w:style w:type="paragraph" w:styleId="BalloonText">
    <w:name w:val="Balloon Text"/>
    <w:basedOn w:val="Normal"/>
    <w:link w:val="BalloonTextChar"/>
    <w:uiPriority w:val="99"/>
    <w:semiHidden/>
    <w:unhideWhenUsed/>
    <w:rsid w:val="00AC3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E13"/>
    <w:rPr>
      <w:rFonts w:ascii="Segoe UI" w:hAnsi="Segoe UI" w:cs="Segoe UI"/>
      <w:sz w:val="18"/>
      <w:szCs w:val="18"/>
    </w:rPr>
  </w:style>
  <w:style w:type="character" w:customStyle="1" w:styleId="Heading1Char">
    <w:name w:val="Heading 1 Char"/>
    <w:basedOn w:val="DefaultParagraphFont"/>
    <w:link w:val="Heading1"/>
    <w:uiPriority w:val="9"/>
    <w:rsid w:val="00DF6D81"/>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CD58A3"/>
    <w:rPr>
      <w:color w:val="0563C1" w:themeColor="hyperlink"/>
      <w:u w:val="single"/>
    </w:rPr>
  </w:style>
  <w:style w:type="paragraph" w:styleId="ListParagraph">
    <w:name w:val="List Paragraph"/>
    <w:basedOn w:val="Normal"/>
    <w:uiPriority w:val="34"/>
    <w:qFormat/>
    <w:rsid w:val="00F761FB"/>
    <w:pPr>
      <w:ind w:left="720"/>
      <w:contextualSpacing/>
    </w:pPr>
  </w:style>
  <w:style w:type="paragraph" w:styleId="CommentSubject">
    <w:name w:val="annotation subject"/>
    <w:basedOn w:val="CommentText"/>
    <w:next w:val="CommentText"/>
    <w:link w:val="CommentSubjectChar"/>
    <w:uiPriority w:val="99"/>
    <w:semiHidden/>
    <w:unhideWhenUsed/>
    <w:rsid w:val="004A3CFE"/>
    <w:pPr>
      <w:spacing w:after="160"/>
    </w:pPr>
    <w:rPr>
      <w:rFonts w:asciiTheme="minorHAnsi" w:eastAsiaTheme="minorHAnsi" w:hAnsiTheme="minorHAnsi" w:cstheme="minorBidi"/>
      <w:b/>
      <w:bCs/>
      <w:noProof w:val="0"/>
      <w:lang w:val="de-DE"/>
    </w:rPr>
  </w:style>
  <w:style w:type="character" w:customStyle="1" w:styleId="CommentSubjectChar">
    <w:name w:val="Comment Subject Char"/>
    <w:basedOn w:val="CommentTextChar"/>
    <w:link w:val="CommentSubject"/>
    <w:uiPriority w:val="99"/>
    <w:semiHidden/>
    <w:rsid w:val="004A3CFE"/>
    <w:rPr>
      <w:rFonts w:ascii="Times New Roman" w:eastAsia="Times New Roman" w:hAnsi="Times New Roman" w:cs="Times New Roman"/>
      <w:b/>
      <w:bCs/>
      <w:noProof/>
      <w:sz w:val="20"/>
      <w:szCs w:val="20"/>
      <w:lang w:val="en-US"/>
    </w:rPr>
  </w:style>
  <w:style w:type="paragraph" w:styleId="NormalWeb">
    <w:name w:val="Normal (Web)"/>
    <w:basedOn w:val="Normal"/>
    <w:uiPriority w:val="99"/>
    <w:semiHidden/>
    <w:unhideWhenUsed/>
    <w:rsid w:val="00CD5896"/>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88786">
      <w:bodyDiv w:val="1"/>
      <w:marLeft w:val="0"/>
      <w:marRight w:val="0"/>
      <w:marTop w:val="0"/>
      <w:marBottom w:val="0"/>
      <w:divBdr>
        <w:top w:val="none" w:sz="0" w:space="0" w:color="auto"/>
        <w:left w:val="none" w:sz="0" w:space="0" w:color="auto"/>
        <w:bottom w:val="none" w:sz="0" w:space="0" w:color="auto"/>
        <w:right w:val="none" w:sz="0" w:space="0" w:color="auto"/>
      </w:divBdr>
      <w:divsChild>
        <w:div w:id="421688409">
          <w:marLeft w:val="0"/>
          <w:marRight w:val="0"/>
          <w:marTop w:val="0"/>
          <w:marBottom w:val="0"/>
          <w:divBdr>
            <w:top w:val="none" w:sz="0" w:space="0" w:color="auto"/>
            <w:left w:val="none" w:sz="0" w:space="0" w:color="auto"/>
            <w:bottom w:val="none" w:sz="0" w:space="0" w:color="auto"/>
            <w:right w:val="none" w:sz="0" w:space="0" w:color="auto"/>
          </w:divBdr>
          <w:divsChild>
            <w:div w:id="1460957593">
              <w:marLeft w:val="0"/>
              <w:marRight w:val="0"/>
              <w:marTop w:val="0"/>
              <w:marBottom w:val="0"/>
              <w:divBdr>
                <w:top w:val="none" w:sz="0" w:space="0" w:color="auto"/>
                <w:left w:val="none" w:sz="0" w:space="0" w:color="auto"/>
                <w:bottom w:val="none" w:sz="0" w:space="0" w:color="auto"/>
                <w:right w:val="none" w:sz="0" w:space="0" w:color="auto"/>
              </w:divBdr>
              <w:divsChild>
                <w:div w:id="20191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5755">
      <w:bodyDiv w:val="1"/>
      <w:marLeft w:val="0"/>
      <w:marRight w:val="0"/>
      <w:marTop w:val="0"/>
      <w:marBottom w:val="0"/>
      <w:divBdr>
        <w:top w:val="none" w:sz="0" w:space="0" w:color="auto"/>
        <w:left w:val="none" w:sz="0" w:space="0" w:color="auto"/>
        <w:bottom w:val="none" w:sz="0" w:space="0" w:color="auto"/>
        <w:right w:val="none" w:sz="0" w:space="0" w:color="auto"/>
      </w:divBdr>
      <w:divsChild>
        <w:div w:id="562562990">
          <w:marLeft w:val="0"/>
          <w:marRight w:val="1"/>
          <w:marTop w:val="0"/>
          <w:marBottom w:val="0"/>
          <w:divBdr>
            <w:top w:val="none" w:sz="0" w:space="0" w:color="auto"/>
            <w:left w:val="none" w:sz="0" w:space="0" w:color="auto"/>
            <w:bottom w:val="none" w:sz="0" w:space="0" w:color="auto"/>
            <w:right w:val="none" w:sz="0" w:space="0" w:color="auto"/>
          </w:divBdr>
          <w:divsChild>
            <w:div w:id="498547330">
              <w:marLeft w:val="0"/>
              <w:marRight w:val="0"/>
              <w:marTop w:val="0"/>
              <w:marBottom w:val="0"/>
              <w:divBdr>
                <w:top w:val="none" w:sz="0" w:space="0" w:color="auto"/>
                <w:left w:val="none" w:sz="0" w:space="0" w:color="auto"/>
                <w:bottom w:val="none" w:sz="0" w:space="0" w:color="auto"/>
                <w:right w:val="none" w:sz="0" w:space="0" w:color="auto"/>
              </w:divBdr>
              <w:divsChild>
                <w:div w:id="1493986793">
                  <w:marLeft w:val="0"/>
                  <w:marRight w:val="1"/>
                  <w:marTop w:val="0"/>
                  <w:marBottom w:val="0"/>
                  <w:divBdr>
                    <w:top w:val="none" w:sz="0" w:space="0" w:color="auto"/>
                    <w:left w:val="none" w:sz="0" w:space="0" w:color="auto"/>
                    <w:bottom w:val="none" w:sz="0" w:space="0" w:color="auto"/>
                    <w:right w:val="none" w:sz="0" w:space="0" w:color="auto"/>
                  </w:divBdr>
                  <w:divsChild>
                    <w:div w:id="89206002">
                      <w:marLeft w:val="0"/>
                      <w:marRight w:val="0"/>
                      <w:marTop w:val="0"/>
                      <w:marBottom w:val="0"/>
                      <w:divBdr>
                        <w:top w:val="none" w:sz="0" w:space="0" w:color="auto"/>
                        <w:left w:val="none" w:sz="0" w:space="0" w:color="auto"/>
                        <w:bottom w:val="none" w:sz="0" w:space="0" w:color="auto"/>
                        <w:right w:val="none" w:sz="0" w:space="0" w:color="auto"/>
                      </w:divBdr>
                      <w:divsChild>
                        <w:div w:id="879591320">
                          <w:marLeft w:val="0"/>
                          <w:marRight w:val="0"/>
                          <w:marTop w:val="0"/>
                          <w:marBottom w:val="0"/>
                          <w:divBdr>
                            <w:top w:val="none" w:sz="0" w:space="0" w:color="auto"/>
                            <w:left w:val="none" w:sz="0" w:space="0" w:color="auto"/>
                            <w:bottom w:val="none" w:sz="0" w:space="0" w:color="auto"/>
                            <w:right w:val="none" w:sz="0" w:space="0" w:color="auto"/>
                          </w:divBdr>
                          <w:divsChild>
                            <w:div w:id="380519260">
                              <w:marLeft w:val="0"/>
                              <w:marRight w:val="0"/>
                              <w:marTop w:val="120"/>
                              <w:marBottom w:val="360"/>
                              <w:divBdr>
                                <w:top w:val="none" w:sz="0" w:space="0" w:color="auto"/>
                                <w:left w:val="none" w:sz="0" w:space="0" w:color="auto"/>
                                <w:bottom w:val="none" w:sz="0" w:space="0" w:color="auto"/>
                                <w:right w:val="none" w:sz="0" w:space="0" w:color="auto"/>
                              </w:divBdr>
                              <w:divsChild>
                                <w:div w:id="1999074169">
                                  <w:marLeft w:val="420"/>
                                  <w:marRight w:val="0"/>
                                  <w:marTop w:val="0"/>
                                  <w:marBottom w:val="0"/>
                                  <w:divBdr>
                                    <w:top w:val="none" w:sz="0" w:space="0" w:color="auto"/>
                                    <w:left w:val="none" w:sz="0" w:space="0" w:color="auto"/>
                                    <w:bottom w:val="none" w:sz="0" w:space="0" w:color="auto"/>
                                    <w:right w:val="none" w:sz="0" w:space="0" w:color="auto"/>
                                  </w:divBdr>
                                  <w:divsChild>
                                    <w:div w:id="1405119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340781">
      <w:bodyDiv w:val="1"/>
      <w:marLeft w:val="0"/>
      <w:marRight w:val="0"/>
      <w:marTop w:val="0"/>
      <w:marBottom w:val="0"/>
      <w:divBdr>
        <w:top w:val="none" w:sz="0" w:space="0" w:color="auto"/>
        <w:left w:val="none" w:sz="0" w:space="0" w:color="auto"/>
        <w:bottom w:val="none" w:sz="0" w:space="0" w:color="auto"/>
        <w:right w:val="none" w:sz="0" w:space="0" w:color="auto"/>
      </w:divBdr>
      <w:divsChild>
        <w:div w:id="970088353">
          <w:marLeft w:val="0"/>
          <w:marRight w:val="0"/>
          <w:marTop w:val="0"/>
          <w:marBottom w:val="0"/>
          <w:divBdr>
            <w:top w:val="none" w:sz="0" w:space="0" w:color="auto"/>
            <w:left w:val="none" w:sz="0" w:space="0" w:color="auto"/>
            <w:bottom w:val="none" w:sz="0" w:space="0" w:color="auto"/>
            <w:right w:val="none" w:sz="0" w:space="0" w:color="auto"/>
          </w:divBdr>
          <w:divsChild>
            <w:div w:id="1063412074">
              <w:marLeft w:val="0"/>
              <w:marRight w:val="0"/>
              <w:marTop w:val="0"/>
              <w:marBottom w:val="0"/>
              <w:divBdr>
                <w:top w:val="none" w:sz="0" w:space="0" w:color="auto"/>
                <w:left w:val="none" w:sz="0" w:space="0" w:color="auto"/>
                <w:bottom w:val="none" w:sz="0" w:space="0" w:color="auto"/>
                <w:right w:val="none" w:sz="0" w:space="0" w:color="auto"/>
              </w:divBdr>
              <w:divsChild>
                <w:div w:id="2323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57639">
      <w:bodyDiv w:val="1"/>
      <w:marLeft w:val="0"/>
      <w:marRight w:val="0"/>
      <w:marTop w:val="0"/>
      <w:marBottom w:val="0"/>
      <w:divBdr>
        <w:top w:val="none" w:sz="0" w:space="0" w:color="auto"/>
        <w:left w:val="none" w:sz="0" w:space="0" w:color="auto"/>
        <w:bottom w:val="none" w:sz="0" w:space="0" w:color="auto"/>
        <w:right w:val="none" w:sz="0" w:space="0" w:color="auto"/>
      </w:divBdr>
    </w:div>
    <w:div w:id="1415544663">
      <w:bodyDiv w:val="1"/>
      <w:marLeft w:val="0"/>
      <w:marRight w:val="0"/>
      <w:marTop w:val="0"/>
      <w:marBottom w:val="0"/>
      <w:divBdr>
        <w:top w:val="none" w:sz="0" w:space="0" w:color="auto"/>
        <w:left w:val="none" w:sz="0" w:space="0" w:color="auto"/>
        <w:bottom w:val="none" w:sz="0" w:space="0" w:color="auto"/>
        <w:right w:val="none" w:sz="0" w:space="0" w:color="auto"/>
      </w:divBdr>
      <w:divsChild>
        <w:div w:id="1271157815">
          <w:marLeft w:val="0"/>
          <w:marRight w:val="1"/>
          <w:marTop w:val="0"/>
          <w:marBottom w:val="0"/>
          <w:divBdr>
            <w:top w:val="none" w:sz="0" w:space="0" w:color="auto"/>
            <w:left w:val="none" w:sz="0" w:space="0" w:color="auto"/>
            <w:bottom w:val="none" w:sz="0" w:space="0" w:color="auto"/>
            <w:right w:val="none" w:sz="0" w:space="0" w:color="auto"/>
          </w:divBdr>
          <w:divsChild>
            <w:div w:id="829829739">
              <w:marLeft w:val="0"/>
              <w:marRight w:val="0"/>
              <w:marTop w:val="0"/>
              <w:marBottom w:val="0"/>
              <w:divBdr>
                <w:top w:val="none" w:sz="0" w:space="0" w:color="auto"/>
                <w:left w:val="none" w:sz="0" w:space="0" w:color="auto"/>
                <w:bottom w:val="none" w:sz="0" w:space="0" w:color="auto"/>
                <w:right w:val="none" w:sz="0" w:space="0" w:color="auto"/>
              </w:divBdr>
              <w:divsChild>
                <w:div w:id="65347130">
                  <w:marLeft w:val="0"/>
                  <w:marRight w:val="1"/>
                  <w:marTop w:val="0"/>
                  <w:marBottom w:val="0"/>
                  <w:divBdr>
                    <w:top w:val="none" w:sz="0" w:space="0" w:color="auto"/>
                    <w:left w:val="none" w:sz="0" w:space="0" w:color="auto"/>
                    <w:bottom w:val="none" w:sz="0" w:space="0" w:color="auto"/>
                    <w:right w:val="none" w:sz="0" w:space="0" w:color="auto"/>
                  </w:divBdr>
                  <w:divsChild>
                    <w:div w:id="1703439117">
                      <w:marLeft w:val="0"/>
                      <w:marRight w:val="0"/>
                      <w:marTop w:val="0"/>
                      <w:marBottom w:val="0"/>
                      <w:divBdr>
                        <w:top w:val="none" w:sz="0" w:space="0" w:color="auto"/>
                        <w:left w:val="none" w:sz="0" w:space="0" w:color="auto"/>
                        <w:bottom w:val="none" w:sz="0" w:space="0" w:color="auto"/>
                        <w:right w:val="none" w:sz="0" w:space="0" w:color="auto"/>
                      </w:divBdr>
                      <w:divsChild>
                        <w:div w:id="783111653">
                          <w:marLeft w:val="0"/>
                          <w:marRight w:val="0"/>
                          <w:marTop w:val="0"/>
                          <w:marBottom w:val="0"/>
                          <w:divBdr>
                            <w:top w:val="none" w:sz="0" w:space="0" w:color="auto"/>
                            <w:left w:val="none" w:sz="0" w:space="0" w:color="auto"/>
                            <w:bottom w:val="none" w:sz="0" w:space="0" w:color="auto"/>
                            <w:right w:val="none" w:sz="0" w:space="0" w:color="auto"/>
                          </w:divBdr>
                          <w:divsChild>
                            <w:div w:id="643629965">
                              <w:marLeft w:val="0"/>
                              <w:marRight w:val="0"/>
                              <w:marTop w:val="120"/>
                              <w:marBottom w:val="360"/>
                              <w:divBdr>
                                <w:top w:val="none" w:sz="0" w:space="0" w:color="auto"/>
                                <w:left w:val="none" w:sz="0" w:space="0" w:color="auto"/>
                                <w:bottom w:val="none" w:sz="0" w:space="0" w:color="auto"/>
                                <w:right w:val="none" w:sz="0" w:space="0" w:color="auto"/>
                              </w:divBdr>
                              <w:divsChild>
                                <w:div w:id="2119370006">
                                  <w:marLeft w:val="420"/>
                                  <w:marRight w:val="0"/>
                                  <w:marTop w:val="0"/>
                                  <w:marBottom w:val="0"/>
                                  <w:divBdr>
                                    <w:top w:val="none" w:sz="0" w:space="0" w:color="auto"/>
                                    <w:left w:val="none" w:sz="0" w:space="0" w:color="auto"/>
                                    <w:bottom w:val="none" w:sz="0" w:space="0" w:color="auto"/>
                                    <w:right w:val="none" w:sz="0" w:space="0" w:color="auto"/>
                                  </w:divBdr>
                                  <w:divsChild>
                                    <w:div w:id="214265192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7846E-6317-4866-879E-A4F049F0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2381</Words>
  <Characters>13575</Characters>
  <Application>Microsoft Office Word</Application>
  <DocSecurity>0</DocSecurity>
  <Lines>113</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Klinikum der Universitaet Muenchen</Company>
  <LinksUpToDate>false</LinksUpToDate>
  <CharactersWithSpaces>15925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Benedikt Schoser</dc:creator>
  <cp:lastModifiedBy>Volker Straub</cp:lastModifiedBy>
  <cp:revision>2</cp:revision>
  <cp:lastPrinted>2016-01-29T18:01:00Z</cp:lastPrinted>
  <dcterms:created xsi:type="dcterms:W3CDTF">2016-03-04T09:39:00Z</dcterms:created>
  <dcterms:modified xsi:type="dcterms:W3CDTF">2016-03-04T09:39:00Z</dcterms:modified>
</cp:coreProperties>
</file>