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4DE" w:rsidRPr="00A55BA3" w:rsidRDefault="006B64DE" w:rsidP="006B64DE">
      <w:pPr>
        <w:tabs>
          <w:tab w:val="left" w:pos="1980"/>
        </w:tabs>
        <w:spacing w:before="100" w:beforeAutospacing="1" w:line="240" w:lineRule="auto"/>
        <w:rPr>
          <w:rFonts w:asciiTheme="minorHAnsi" w:hAnsiTheme="minorHAnsi" w:cstheme="minorHAnsi"/>
          <w:b/>
          <w:sz w:val="28"/>
          <w:szCs w:val="28"/>
        </w:rPr>
      </w:pPr>
      <w:r w:rsidRPr="00A55BA3">
        <w:rPr>
          <w:rFonts w:asciiTheme="minorHAnsi" w:hAnsiTheme="minorHAnsi" w:cstheme="minorHAnsi"/>
          <w:b/>
          <w:sz w:val="28"/>
          <w:szCs w:val="28"/>
        </w:rPr>
        <w:t>Partnership or insanity: why do health partnerships do the same thing over and over again and expect a different result?</w:t>
      </w:r>
    </w:p>
    <w:p w:rsidR="00E21DC3" w:rsidRDefault="00E21DC3" w:rsidP="006B64DE">
      <w:pPr>
        <w:spacing w:before="100" w:beforeAutospacing="1" w:line="240" w:lineRule="auto"/>
        <w:rPr>
          <w:rFonts w:asciiTheme="minorHAnsi" w:hAnsiTheme="minorHAnsi" w:cstheme="minorHAnsi"/>
          <w:b/>
          <w:i/>
          <w:sz w:val="24"/>
          <w:szCs w:val="24"/>
        </w:rPr>
      </w:pPr>
      <w:r>
        <w:rPr>
          <w:rFonts w:asciiTheme="minorHAnsi" w:hAnsiTheme="minorHAnsi" w:cstheme="minorHAnsi"/>
          <w:b/>
          <w:i/>
          <w:sz w:val="24"/>
          <w:szCs w:val="24"/>
        </w:rPr>
        <w:t>Abstract</w:t>
      </w:r>
    </w:p>
    <w:p w:rsidR="006B64DE" w:rsidRDefault="006B64DE" w:rsidP="006B64DE">
      <w:pPr>
        <w:spacing w:before="100" w:beforeAutospacing="1" w:line="240" w:lineRule="auto"/>
        <w:rPr>
          <w:rFonts w:asciiTheme="minorHAnsi" w:hAnsiTheme="minorHAnsi" w:cstheme="minorHAnsi"/>
          <w:sz w:val="24"/>
          <w:szCs w:val="24"/>
        </w:rPr>
      </w:pPr>
      <w:r w:rsidRPr="00C057A6">
        <w:rPr>
          <w:rFonts w:asciiTheme="minorHAnsi" w:hAnsiTheme="minorHAnsi" w:cstheme="minorHAnsi"/>
          <w:b/>
          <w:sz w:val="24"/>
          <w:szCs w:val="24"/>
        </w:rPr>
        <w:t>Objectives:</w:t>
      </w:r>
      <w:r>
        <w:rPr>
          <w:rFonts w:asciiTheme="minorHAnsi" w:hAnsiTheme="minorHAnsi" w:cstheme="minorHAnsi"/>
          <w:sz w:val="24"/>
          <w:szCs w:val="24"/>
        </w:rPr>
        <w:t xml:space="preserve"> The paper reports on an empirical study of Health and Wellbeing Boards (HWBs) in England.  Established by the Health and Social Care Act 2012, HWBs act as place-based hubs for leaders in health, social care, local government and other sectors to come together to address health improvement and the wider determinants of health. </w:t>
      </w:r>
    </w:p>
    <w:p w:rsidR="003C2AA3" w:rsidRDefault="00863295" w:rsidP="003C2AA3">
      <w:pPr>
        <w:spacing w:before="100" w:beforeAutospacing="1" w:line="240" w:lineRule="auto"/>
        <w:rPr>
          <w:rFonts w:asciiTheme="minorHAnsi" w:hAnsiTheme="minorHAnsi" w:cstheme="minorHAnsi"/>
          <w:sz w:val="24"/>
          <w:szCs w:val="24"/>
        </w:rPr>
      </w:pPr>
      <w:r w:rsidRPr="00C057A6">
        <w:rPr>
          <w:rFonts w:asciiTheme="minorHAnsi" w:hAnsiTheme="minorHAnsi" w:cstheme="minorHAnsi"/>
          <w:b/>
          <w:sz w:val="24"/>
          <w:szCs w:val="24"/>
        </w:rPr>
        <w:t>Methods:</w:t>
      </w:r>
      <w:r w:rsidR="003C2AA3" w:rsidRPr="00C057A6">
        <w:rPr>
          <w:rFonts w:asciiTheme="minorHAnsi" w:hAnsiTheme="minorHAnsi" w:cstheme="minorHAnsi"/>
          <w:sz w:val="24"/>
          <w:szCs w:val="24"/>
        </w:rPr>
        <w:t xml:space="preserve"> </w:t>
      </w:r>
      <w:r w:rsidR="009602AB" w:rsidRPr="00C057A6">
        <w:rPr>
          <w:rFonts w:asciiTheme="minorHAnsi" w:hAnsiTheme="minorHAnsi" w:cstheme="minorHAnsi"/>
          <w:sz w:val="24"/>
          <w:szCs w:val="24"/>
        </w:rPr>
        <w:t>We conducted a</w:t>
      </w:r>
      <w:r w:rsidR="003C2AA3" w:rsidRPr="00C057A6">
        <w:rPr>
          <w:rFonts w:asciiTheme="minorHAnsi" w:hAnsiTheme="minorHAnsi" w:cstheme="minorHAnsi"/>
          <w:sz w:val="24"/>
          <w:szCs w:val="24"/>
        </w:rPr>
        <w:t xml:space="preserve"> three-year study of HWBs (2015</w:t>
      </w:r>
      <w:r w:rsidR="00A84BFB" w:rsidRPr="00C057A6">
        <w:rPr>
          <w:rFonts w:asciiTheme="minorHAnsi" w:hAnsiTheme="minorHAnsi" w:cstheme="minorHAnsi"/>
          <w:sz w:val="24"/>
          <w:szCs w:val="24"/>
        </w:rPr>
        <w:t>-</w:t>
      </w:r>
      <w:r w:rsidR="003C2AA3" w:rsidRPr="00C057A6">
        <w:rPr>
          <w:rFonts w:asciiTheme="minorHAnsi" w:hAnsiTheme="minorHAnsi" w:cstheme="minorHAnsi"/>
          <w:sz w:val="24"/>
          <w:szCs w:val="24"/>
        </w:rPr>
        <w:t>1</w:t>
      </w:r>
      <w:r w:rsidR="002E08C4" w:rsidRPr="00C057A6">
        <w:rPr>
          <w:rFonts w:asciiTheme="minorHAnsi" w:hAnsiTheme="minorHAnsi" w:cstheme="minorHAnsi"/>
          <w:sz w:val="24"/>
          <w:szCs w:val="24"/>
        </w:rPr>
        <w:t>7</w:t>
      </w:r>
      <w:r w:rsidR="003C2AA3" w:rsidRPr="00C057A6">
        <w:rPr>
          <w:rFonts w:asciiTheme="minorHAnsi" w:hAnsiTheme="minorHAnsi" w:cstheme="minorHAnsi"/>
          <w:sz w:val="24"/>
          <w:szCs w:val="24"/>
        </w:rPr>
        <w:t>) in five localities across England</w:t>
      </w:r>
      <w:r w:rsidR="006808F0" w:rsidRPr="00C057A6">
        <w:rPr>
          <w:rFonts w:asciiTheme="minorHAnsi" w:hAnsiTheme="minorHAnsi" w:cstheme="minorHAnsi"/>
          <w:sz w:val="24"/>
          <w:szCs w:val="24"/>
        </w:rPr>
        <w:t xml:space="preserve">. This involved collecting qualitative data from </w:t>
      </w:r>
      <w:r w:rsidR="003C2AA3" w:rsidRPr="00C057A6">
        <w:rPr>
          <w:rFonts w:asciiTheme="minorHAnsi" w:hAnsiTheme="minorHAnsi" w:cstheme="minorHAnsi"/>
          <w:sz w:val="24"/>
          <w:szCs w:val="24"/>
        </w:rPr>
        <w:t xml:space="preserve">semi-structured interviews </w:t>
      </w:r>
      <w:r w:rsidR="00843632" w:rsidRPr="00C057A6">
        <w:rPr>
          <w:rFonts w:asciiTheme="minorHAnsi" w:hAnsiTheme="minorHAnsi" w:cstheme="minorHAnsi"/>
          <w:sz w:val="24"/>
          <w:szCs w:val="24"/>
        </w:rPr>
        <w:t xml:space="preserve">with key actors </w:t>
      </w:r>
      <w:r w:rsidR="006808F0" w:rsidRPr="00C057A6">
        <w:rPr>
          <w:rFonts w:asciiTheme="minorHAnsi" w:hAnsiTheme="minorHAnsi" w:cstheme="minorHAnsi"/>
          <w:sz w:val="24"/>
          <w:szCs w:val="24"/>
        </w:rPr>
        <w:t xml:space="preserve">in the </w:t>
      </w:r>
      <w:r w:rsidR="00843632" w:rsidRPr="00C057A6">
        <w:rPr>
          <w:rFonts w:asciiTheme="minorHAnsi" w:hAnsiTheme="minorHAnsi" w:cstheme="minorHAnsi"/>
          <w:sz w:val="24"/>
          <w:szCs w:val="24"/>
        </w:rPr>
        <w:t xml:space="preserve">HWBs at </w:t>
      </w:r>
      <w:r w:rsidR="003C2AA3" w:rsidRPr="00C057A6">
        <w:rPr>
          <w:rFonts w:asciiTheme="minorHAnsi" w:hAnsiTheme="minorHAnsi" w:cstheme="minorHAnsi"/>
          <w:sz w:val="24"/>
          <w:szCs w:val="24"/>
        </w:rPr>
        <w:t>strategic and operational levels</w:t>
      </w:r>
      <w:r w:rsidR="002E08C4" w:rsidRPr="00C057A6">
        <w:rPr>
          <w:rFonts w:asciiTheme="minorHAnsi" w:hAnsiTheme="minorHAnsi" w:cstheme="minorHAnsi"/>
          <w:sz w:val="24"/>
          <w:szCs w:val="24"/>
        </w:rPr>
        <w:t>,</w:t>
      </w:r>
      <w:r w:rsidR="003C2AA3" w:rsidRPr="00C057A6">
        <w:rPr>
          <w:rFonts w:asciiTheme="minorHAnsi" w:hAnsiTheme="minorHAnsi" w:cstheme="minorHAnsi"/>
          <w:sz w:val="24"/>
          <w:szCs w:val="24"/>
        </w:rPr>
        <w:t xml:space="preserve"> and </w:t>
      </w:r>
      <w:r w:rsidR="00843632" w:rsidRPr="00C057A6">
        <w:rPr>
          <w:rFonts w:asciiTheme="minorHAnsi" w:hAnsiTheme="minorHAnsi" w:cstheme="minorHAnsi"/>
          <w:sz w:val="24"/>
          <w:szCs w:val="24"/>
        </w:rPr>
        <w:t xml:space="preserve">focus </w:t>
      </w:r>
      <w:r w:rsidR="00AC6F25" w:rsidRPr="00C057A6">
        <w:rPr>
          <w:rFonts w:asciiTheme="minorHAnsi" w:hAnsiTheme="minorHAnsi" w:cstheme="minorHAnsi"/>
          <w:sz w:val="24"/>
          <w:szCs w:val="24"/>
        </w:rPr>
        <w:t>group</w:t>
      </w:r>
      <w:r w:rsidR="006808F0" w:rsidRPr="00C057A6">
        <w:rPr>
          <w:rFonts w:asciiTheme="minorHAnsi" w:hAnsiTheme="minorHAnsi" w:cstheme="minorHAnsi"/>
          <w:sz w:val="24"/>
          <w:szCs w:val="24"/>
        </w:rPr>
        <w:t xml:space="preserve"> sessions</w:t>
      </w:r>
      <w:r w:rsidR="00AC6F25" w:rsidRPr="00C057A6">
        <w:rPr>
          <w:rFonts w:asciiTheme="minorHAnsi" w:hAnsiTheme="minorHAnsi" w:cstheme="minorHAnsi"/>
          <w:sz w:val="24"/>
          <w:szCs w:val="24"/>
        </w:rPr>
        <w:t xml:space="preserve"> with voluntary</w:t>
      </w:r>
      <w:r w:rsidR="00D9019B" w:rsidRPr="00C057A6">
        <w:rPr>
          <w:rFonts w:asciiTheme="minorHAnsi" w:hAnsiTheme="minorHAnsi" w:cstheme="minorHAnsi"/>
          <w:sz w:val="24"/>
          <w:szCs w:val="24"/>
        </w:rPr>
        <w:t>-</w:t>
      </w:r>
      <w:r w:rsidR="00AC6F25" w:rsidRPr="00C057A6">
        <w:rPr>
          <w:rFonts w:asciiTheme="minorHAnsi" w:hAnsiTheme="minorHAnsi" w:cstheme="minorHAnsi"/>
          <w:sz w:val="24"/>
          <w:szCs w:val="24"/>
        </w:rPr>
        <w:t>secto</w:t>
      </w:r>
      <w:r w:rsidR="00843632" w:rsidRPr="00C057A6">
        <w:rPr>
          <w:rFonts w:asciiTheme="minorHAnsi" w:hAnsiTheme="minorHAnsi" w:cstheme="minorHAnsi"/>
          <w:sz w:val="24"/>
          <w:szCs w:val="24"/>
        </w:rPr>
        <w:t>r</w:t>
      </w:r>
      <w:r w:rsidR="006808F0" w:rsidRPr="00C057A6">
        <w:rPr>
          <w:rFonts w:asciiTheme="minorHAnsi" w:hAnsiTheme="minorHAnsi" w:cstheme="minorHAnsi"/>
          <w:sz w:val="24"/>
          <w:szCs w:val="24"/>
        </w:rPr>
        <w:t xml:space="preserve"> participants at each HWB</w:t>
      </w:r>
      <w:r w:rsidR="003C2AA3" w:rsidRPr="00C057A6">
        <w:rPr>
          <w:rFonts w:asciiTheme="minorHAnsi" w:hAnsiTheme="minorHAnsi" w:cstheme="minorHAnsi"/>
          <w:sz w:val="24"/>
          <w:szCs w:val="24"/>
        </w:rPr>
        <w:t>.</w:t>
      </w:r>
    </w:p>
    <w:p w:rsidR="006B64DE" w:rsidRDefault="006B64DE" w:rsidP="006B64DE">
      <w:pPr>
        <w:spacing w:before="100" w:beforeAutospacing="1" w:line="240" w:lineRule="auto"/>
        <w:rPr>
          <w:rFonts w:asciiTheme="minorHAnsi" w:hAnsiTheme="minorHAnsi" w:cstheme="minorHAnsi"/>
          <w:sz w:val="24"/>
          <w:szCs w:val="24"/>
        </w:rPr>
      </w:pPr>
      <w:bookmarkStart w:id="0" w:name="_Hlk4774299"/>
      <w:r w:rsidRPr="00C057A6">
        <w:rPr>
          <w:rFonts w:asciiTheme="minorHAnsi" w:hAnsiTheme="minorHAnsi" w:cstheme="minorHAnsi"/>
          <w:b/>
          <w:sz w:val="24"/>
          <w:szCs w:val="24"/>
        </w:rPr>
        <w:t>Results:</w:t>
      </w:r>
      <w:r>
        <w:rPr>
          <w:rFonts w:asciiTheme="minorHAnsi" w:hAnsiTheme="minorHAnsi" w:cstheme="minorHAnsi"/>
          <w:sz w:val="24"/>
          <w:szCs w:val="24"/>
        </w:rPr>
        <w:t xml:space="preserve"> HWBs have largely followed the path of previous partnerships in terms of </w:t>
      </w:r>
      <w:r w:rsidR="002E08C4">
        <w:rPr>
          <w:rFonts w:asciiTheme="minorHAnsi" w:hAnsiTheme="minorHAnsi" w:cstheme="minorHAnsi"/>
          <w:sz w:val="24"/>
          <w:szCs w:val="24"/>
        </w:rPr>
        <w:t xml:space="preserve">a </w:t>
      </w:r>
      <w:r>
        <w:rPr>
          <w:rFonts w:asciiTheme="minorHAnsi" w:hAnsiTheme="minorHAnsi" w:cstheme="minorHAnsi"/>
          <w:sz w:val="24"/>
          <w:szCs w:val="24"/>
        </w:rPr>
        <w:t>lack of clear aims and objectives, lack of ownership and accountability by partners</w:t>
      </w:r>
      <w:r w:rsidR="002E08C4">
        <w:rPr>
          <w:rFonts w:asciiTheme="minorHAnsi" w:hAnsiTheme="minorHAnsi" w:cstheme="minorHAnsi"/>
          <w:sz w:val="24"/>
          <w:szCs w:val="24"/>
        </w:rPr>
        <w:t>,</w:t>
      </w:r>
      <w:r>
        <w:rPr>
          <w:rFonts w:asciiTheme="minorHAnsi" w:hAnsiTheme="minorHAnsi" w:cstheme="minorHAnsi"/>
          <w:sz w:val="24"/>
          <w:szCs w:val="24"/>
        </w:rPr>
        <w:t xml:space="preserve"> and </w:t>
      </w:r>
      <w:r w:rsidR="002E08C4">
        <w:rPr>
          <w:rFonts w:asciiTheme="minorHAnsi" w:hAnsiTheme="minorHAnsi" w:cstheme="minorHAnsi"/>
          <w:sz w:val="24"/>
          <w:szCs w:val="24"/>
        </w:rPr>
        <w:t>an absence of any</w:t>
      </w:r>
      <w:r>
        <w:rPr>
          <w:rFonts w:asciiTheme="minorHAnsi" w:hAnsiTheme="minorHAnsi" w:cstheme="minorHAnsi"/>
          <w:sz w:val="24"/>
          <w:szCs w:val="24"/>
        </w:rPr>
        <w:t xml:space="preserve"> significant impact on health outcomes.  </w:t>
      </w:r>
    </w:p>
    <w:p w:rsidR="006B64DE" w:rsidRPr="00932E2B" w:rsidRDefault="006B64DE" w:rsidP="006B64DE">
      <w:pPr>
        <w:spacing w:before="100" w:beforeAutospacing="1" w:line="240" w:lineRule="auto"/>
        <w:rPr>
          <w:rFonts w:asciiTheme="minorHAnsi" w:hAnsiTheme="minorHAnsi" w:cstheme="minorHAnsi"/>
          <w:sz w:val="24"/>
          <w:szCs w:val="24"/>
        </w:rPr>
      </w:pPr>
      <w:bookmarkStart w:id="1" w:name="_Hlk4774307"/>
      <w:bookmarkEnd w:id="0"/>
      <w:r w:rsidRPr="00C057A6">
        <w:rPr>
          <w:rFonts w:asciiTheme="minorHAnsi" w:hAnsiTheme="minorHAnsi" w:cstheme="minorHAnsi"/>
          <w:b/>
          <w:sz w:val="24"/>
          <w:szCs w:val="24"/>
        </w:rPr>
        <w:t>Conclusions:</w:t>
      </w:r>
      <w:r>
        <w:rPr>
          <w:rFonts w:asciiTheme="minorHAnsi" w:hAnsiTheme="minorHAnsi" w:cstheme="minorHAnsi"/>
          <w:sz w:val="24"/>
          <w:szCs w:val="24"/>
        </w:rPr>
        <w:t xml:space="preserve"> </w:t>
      </w:r>
      <w:r w:rsidR="00E21DC3">
        <w:rPr>
          <w:rFonts w:asciiTheme="minorHAnsi" w:hAnsiTheme="minorHAnsi" w:cstheme="minorHAnsi"/>
          <w:sz w:val="24"/>
          <w:szCs w:val="24"/>
        </w:rPr>
        <w:t>M</w:t>
      </w:r>
      <w:r>
        <w:rPr>
          <w:rFonts w:asciiTheme="minorHAnsi" w:hAnsiTheme="minorHAnsi" w:cstheme="minorHAnsi"/>
          <w:sz w:val="24"/>
          <w:szCs w:val="24"/>
        </w:rPr>
        <w:t>any of the features of unsuccessful partnership working were largely displayed by HWBs</w:t>
      </w:r>
      <w:r w:rsidR="00E21DC3">
        <w:rPr>
          <w:rFonts w:asciiTheme="minorHAnsi" w:hAnsiTheme="minorHAnsi" w:cstheme="minorHAnsi"/>
          <w:sz w:val="24"/>
          <w:szCs w:val="24"/>
        </w:rPr>
        <w:t>. B</w:t>
      </w:r>
      <w:r>
        <w:rPr>
          <w:rFonts w:asciiTheme="minorHAnsi" w:hAnsiTheme="minorHAnsi" w:cstheme="minorHAnsi"/>
          <w:sz w:val="24"/>
          <w:szCs w:val="24"/>
        </w:rPr>
        <w:t>oards require more executive power and ownership from the bottom up if they are have to have any real impact.</w:t>
      </w:r>
    </w:p>
    <w:bookmarkEnd w:id="1"/>
    <w:p w:rsidR="00E21DC3" w:rsidRDefault="00E21DC3" w:rsidP="006B64DE">
      <w:pPr>
        <w:spacing w:before="100" w:beforeAutospacing="1" w:line="240" w:lineRule="auto"/>
        <w:rPr>
          <w:rFonts w:asciiTheme="minorHAnsi" w:hAnsiTheme="minorHAnsi" w:cstheme="minorHAnsi"/>
          <w:b/>
          <w:sz w:val="24"/>
          <w:szCs w:val="24"/>
        </w:rPr>
      </w:pPr>
      <w:r>
        <w:rPr>
          <w:rFonts w:asciiTheme="minorHAnsi" w:hAnsiTheme="minorHAnsi" w:cstheme="minorHAnsi"/>
          <w:b/>
          <w:sz w:val="24"/>
          <w:szCs w:val="24"/>
        </w:rPr>
        <w:t>Keywords</w:t>
      </w:r>
    </w:p>
    <w:p w:rsidR="00D9019B" w:rsidRPr="00C057A6" w:rsidRDefault="00D9019B" w:rsidP="006B64DE">
      <w:pPr>
        <w:spacing w:before="100" w:beforeAutospacing="1" w:line="240" w:lineRule="auto"/>
        <w:rPr>
          <w:rFonts w:asciiTheme="minorHAnsi" w:hAnsiTheme="minorHAnsi" w:cstheme="minorHAnsi"/>
          <w:sz w:val="24"/>
          <w:szCs w:val="24"/>
        </w:rPr>
      </w:pPr>
      <w:r w:rsidRPr="00C057A6">
        <w:rPr>
          <w:rFonts w:asciiTheme="minorHAnsi" w:hAnsiTheme="minorHAnsi" w:cstheme="minorHAnsi"/>
          <w:sz w:val="24"/>
          <w:szCs w:val="24"/>
        </w:rPr>
        <w:t xml:space="preserve">Health and Wellbeing Boards, </w:t>
      </w:r>
      <w:r>
        <w:rPr>
          <w:rFonts w:asciiTheme="minorHAnsi" w:hAnsiTheme="minorHAnsi" w:cstheme="minorHAnsi"/>
          <w:sz w:val="24"/>
          <w:szCs w:val="24"/>
        </w:rPr>
        <w:t xml:space="preserve">health partnerships, </w:t>
      </w:r>
      <w:r w:rsidRPr="00C057A6">
        <w:rPr>
          <w:rFonts w:asciiTheme="minorHAnsi" w:hAnsiTheme="minorHAnsi" w:cstheme="minorHAnsi"/>
          <w:sz w:val="24"/>
          <w:szCs w:val="24"/>
        </w:rPr>
        <w:t>England</w:t>
      </w:r>
    </w:p>
    <w:p w:rsidR="00E21DC3" w:rsidRDefault="00E21DC3" w:rsidP="006B64DE">
      <w:pPr>
        <w:spacing w:before="100" w:beforeAutospacing="1" w:line="240" w:lineRule="auto"/>
        <w:rPr>
          <w:rFonts w:asciiTheme="minorHAnsi" w:hAnsiTheme="minorHAnsi" w:cstheme="minorHAnsi"/>
          <w:b/>
          <w:sz w:val="24"/>
          <w:szCs w:val="24"/>
        </w:rPr>
      </w:pPr>
    </w:p>
    <w:p w:rsidR="006B64DE" w:rsidRPr="00531C6B" w:rsidRDefault="006B64DE" w:rsidP="006B64DE">
      <w:pPr>
        <w:spacing w:before="100" w:beforeAutospacing="1" w:line="240" w:lineRule="auto"/>
        <w:rPr>
          <w:rFonts w:asciiTheme="minorHAnsi" w:hAnsiTheme="minorHAnsi" w:cstheme="minorHAnsi"/>
          <w:b/>
          <w:sz w:val="24"/>
          <w:szCs w:val="24"/>
        </w:rPr>
      </w:pPr>
      <w:r w:rsidRPr="00531C6B">
        <w:rPr>
          <w:rFonts w:asciiTheme="minorHAnsi" w:hAnsiTheme="minorHAnsi" w:cstheme="minorHAnsi"/>
          <w:b/>
          <w:sz w:val="24"/>
          <w:szCs w:val="24"/>
        </w:rPr>
        <w:t>Introduction</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 xml:space="preserve">This paper reports on a study conducted between January 2015 and October 2017, funded by the </w:t>
      </w:r>
      <w:r w:rsidR="002E08C4">
        <w:rPr>
          <w:rFonts w:asciiTheme="minorHAnsi" w:hAnsiTheme="minorHAnsi" w:cstheme="minorHAnsi"/>
          <w:sz w:val="24"/>
          <w:szCs w:val="24"/>
        </w:rPr>
        <w:t xml:space="preserve">NIHR </w:t>
      </w:r>
      <w:r>
        <w:rPr>
          <w:rFonts w:asciiTheme="minorHAnsi" w:hAnsiTheme="minorHAnsi" w:cstheme="minorHAnsi"/>
          <w:sz w:val="24"/>
          <w:szCs w:val="24"/>
        </w:rPr>
        <w:t>Department of Health (now Department of Health and Social Care) Policy Research Programme. The overall aim of the research was</w:t>
      </w:r>
      <w:r w:rsidRPr="00FC3DAB">
        <w:rPr>
          <w:rFonts w:asciiTheme="minorHAnsi" w:hAnsiTheme="minorHAnsi" w:cstheme="minorHAnsi"/>
          <w:sz w:val="24"/>
          <w:szCs w:val="24"/>
        </w:rPr>
        <w:t xml:space="preserve"> to evaluate </w:t>
      </w:r>
      <w:r>
        <w:rPr>
          <w:rFonts w:asciiTheme="minorHAnsi" w:hAnsiTheme="minorHAnsi" w:cstheme="minorHAnsi"/>
          <w:sz w:val="24"/>
          <w:szCs w:val="24"/>
        </w:rPr>
        <w:t xml:space="preserve">the leadership role of HWBs and </w:t>
      </w:r>
      <w:r w:rsidRPr="00FC3DAB">
        <w:rPr>
          <w:rFonts w:asciiTheme="minorHAnsi" w:hAnsiTheme="minorHAnsi" w:cstheme="minorHAnsi"/>
          <w:sz w:val="24"/>
          <w:szCs w:val="24"/>
        </w:rPr>
        <w:t xml:space="preserve">how well </w:t>
      </w:r>
      <w:r>
        <w:rPr>
          <w:rFonts w:asciiTheme="minorHAnsi" w:hAnsiTheme="minorHAnsi" w:cstheme="minorHAnsi"/>
          <w:sz w:val="24"/>
          <w:szCs w:val="24"/>
        </w:rPr>
        <w:t>they were</w:t>
      </w:r>
      <w:r w:rsidRPr="00FC3DAB">
        <w:rPr>
          <w:rFonts w:asciiTheme="minorHAnsi" w:hAnsiTheme="minorHAnsi" w:cstheme="minorHAnsi"/>
          <w:sz w:val="24"/>
          <w:szCs w:val="24"/>
        </w:rPr>
        <w:t xml:space="preserve"> function</w:t>
      </w:r>
      <w:r>
        <w:rPr>
          <w:rFonts w:asciiTheme="minorHAnsi" w:hAnsiTheme="minorHAnsi" w:cstheme="minorHAnsi"/>
          <w:sz w:val="24"/>
          <w:szCs w:val="24"/>
        </w:rPr>
        <w:t>ing</w:t>
      </w:r>
      <w:r w:rsidRPr="00FC3DAB">
        <w:rPr>
          <w:rFonts w:asciiTheme="minorHAnsi" w:hAnsiTheme="minorHAnsi" w:cstheme="minorHAnsi"/>
          <w:sz w:val="24"/>
          <w:szCs w:val="24"/>
        </w:rPr>
        <w:t xml:space="preserve"> to improve health and wellbeing and reduce inequalities, promote integrated service provision between health and social care</w:t>
      </w:r>
      <w:r>
        <w:rPr>
          <w:rFonts w:asciiTheme="minorHAnsi" w:hAnsiTheme="minorHAnsi" w:cstheme="minorHAnsi"/>
          <w:sz w:val="24"/>
          <w:szCs w:val="24"/>
        </w:rPr>
        <w:t>,</w:t>
      </w:r>
      <w:r w:rsidRPr="00FC3DAB">
        <w:rPr>
          <w:rFonts w:asciiTheme="minorHAnsi" w:hAnsiTheme="minorHAnsi" w:cstheme="minorHAnsi"/>
          <w:sz w:val="24"/>
          <w:szCs w:val="24"/>
        </w:rPr>
        <w:t xml:space="preserve"> and facilitate collective decision-making, in addition to extending democracy locally</w:t>
      </w:r>
      <w:r>
        <w:rPr>
          <w:rFonts w:asciiTheme="minorHAnsi" w:hAnsiTheme="minorHAnsi" w:cstheme="minorHAnsi"/>
          <w:sz w:val="24"/>
          <w:szCs w:val="24"/>
        </w:rPr>
        <w:t>.</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 xml:space="preserve">The focus of this paper is to determine how, if at all, HWBs differ from previous partnerships or if it is case of, as Einstein is attributed to have said: </w:t>
      </w:r>
      <w:r w:rsidR="008D2B2D">
        <w:rPr>
          <w:rFonts w:asciiTheme="minorHAnsi" w:hAnsiTheme="minorHAnsi" w:cstheme="minorHAnsi"/>
          <w:sz w:val="24"/>
          <w:szCs w:val="24"/>
          <w:lang w:val="en-NZ"/>
        </w:rPr>
        <w:t>‘</w:t>
      </w:r>
      <w:r w:rsidRPr="00C057A6">
        <w:rPr>
          <w:rFonts w:asciiTheme="minorHAnsi" w:hAnsiTheme="minorHAnsi" w:cstheme="minorHAnsi"/>
          <w:sz w:val="24"/>
          <w:szCs w:val="24"/>
        </w:rPr>
        <w:t>The definition of insanity is doing the same thing over and over again and expecting a different result</w:t>
      </w:r>
      <w:r w:rsidR="008D2B2D">
        <w:rPr>
          <w:rFonts w:asciiTheme="minorHAnsi" w:hAnsiTheme="minorHAnsi" w:cstheme="minorHAnsi"/>
          <w:sz w:val="24"/>
          <w:szCs w:val="24"/>
        </w:rPr>
        <w:t>.’</w:t>
      </w:r>
      <w:r w:rsidRPr="0047728C">
        <w:rPr>
          <w:rStyle w:val="EndnoteReference"/>
          <w:rFonts w:asciiTheme="minorHAnsi" w:hAnsiTheme="minorHAnsi" w:cstheme="minorHAnsi"/>
          <w:sz w:val="24"/>
          <w:szCs w:val="24"/>
        </w:rPr>
        <w:endnoteReference w:id="1"/>
      </w:r>
      <w:r>
        <w:rPr>
          <w:rFonts w:asciiTheme="minorHAnsi" w:hAnsiTheme="minorHAnsi" w:cstheme="minorHAnsi"/>
          <w:sz w:val="24"/>
          <w:szCs w:val="24"/>
        </w:rPr>
        <w:t xml:space="preserve"> Partnership working is regarded as being </w:t>
      </w:r>
      <w:r w:rsidRPr="00F1167F">
        <w:rPr>
          <w:rFonts w:asciiTheme="minorHAnsi" w:hAnsiTheme="minorHAnsi" w:cstheme="minorHAnsi"/>
          <w:sz w:val="24"/>
          <w:szCs w:val="24"/>
        </w:rPr>
        <w:t>central</w:t>
      </w:r>
      <w:r>
        <w:rPr>
          <w:rFonts w:asciiTheme="minorHAnsi" w:hAnsiTheme="minorHAnsi" w:cstheme="minorHAnsi"/>
          <w:sz w:val="24"/>
          <w:szCs w:val="24"/>
        </w:rPr>
        <w:t xml:space="preserve"> to </w:t>
      </w:r>
      <w:r w:rsidR="002E08C4">
        <w:rPr>
          <w:rFonts w:asciiTheme="minorHAnsi" w:hAnsiTheme="minorHAnsi" w:cstheme="minorHAnsi"/>
          <w:sz w:val="24"/>
          <w:szCs w:val="24"/>
        </w:rPr>
        <w:t xml:space="preserve">contemporary </w:t>
      </w:r>
      <w:r>
        <w:rPr>
          <w:rFonts w:asciiTheme="minorHAnsi" w:hAnsiTheme="minorHAnsi" w:cstheme="minorHAnsi"/>
          <w:sz w:val="24"/>
          <w:szCs w:val="24"/>
        </w:rPr>
        <w:t>public policy, most notably</w:t>
      </w:r>
      <w:r w:rsidRPr="00F1167F">
        <w:rPr>
          <w:rFonts w:asciiTheme="minorHAnsi" w:hAnsiTheme="minorHAnsi" w:cstheme="minorHAnsi"/>
          <w:sz w:val="24"/>
          <w:szCs w:val="24"/>
        </w:rPr>
        <w:t xml:space="preserve"> since the late 1990s</w:t>
      </w:r>
      <w:r>
        <w:rPr>
          <w:rFonts w:asciiTheme="minorHAnsi" w:hAnsiTheme="minorHAnsi" w:cstheme="minorHAnsi"/>
          <w:sz w:val="24"/>
          <w:szCs w:val="24"/>
        </w:rPr>
        <w:t xml:space="preserve"> with the advent of New Labour</w:t>
      </w:r>
      <w:r w:rsidRPr="00F1167F">
        <w:rPr>
          <w:rFonts w:asciiTheme="minorHAnsi" w:hAnsiTheme="minorHAnsi" w:cstheme="minorHAnsi"/>
          <w:sz w:val="24"/>
          <w:szCs w:val="24"/>
        </w:rPr>
        <w:t xml:space="preserve">. </w:t>
      </w:r>
      <w:r>
        <w:rPr>
          <w:rFonts w:asciiTheme="minorHAnsi" w:hAnsiTheme="minorHAnsi" w:cstheme="minorHAnsi"/>
          <w:sz w:val="24"/>
          <w:szCs w:val="24"/>
        </w:rPr>
        <w:t>The allure of partnership continued under the Coalition government</w:t>
      </w:r>
      <w:r w:rsidR="00E21DC3">
        <w:rPr>
          <w:rFonts w:asciiTheme="minorHAnsi" w:hAnsiTheme="minorHAnsi" w:cstheme="minorHAnsi"/>
          <w:sz w:val="24"/>
          <w:szCs w:val="24"/>
        </w:rPr>
        <w:t>,</w:t>
      </w:r>
      <w:r>
        <w:rPr>
          <w:rFonts w:asciiTheme="minorHAnsi" w:hAnsiTheme="minorHAnsi" w:cstheme="minorHAnsi"/>
          <w:sz w:val="24"/>
          <w:szCs w:val="24"/>
        </w:rPr>
        <w:t xml:space="preserve"> with Cameron noting: </w:t>
      </w:r>
      <w:r w:rsidR="008D2B2D">
        <w:rPr>
          <w:rFonts w:asciiTheme="minorHAnsi" w:hAnsiTheme="minorHAnsi" w:cstheme="minorHAnsi"/>
          <w:sz w:val="24"/>
          <w:szCs w:val="24"/>
        </w:rPr>
        <w:t>‘</w:t>
      </w:r>
      <w:r w:rsidR="00E21DC3" w:rsidRPr="00C057A6">
        <w:rPr>
          <w:rFonts w:asciiTheme="minorHAnsi" w:hAnsiTheme="minorHAnsi" w:cstheme="minorHAnsi"/>
          <w:sz w:val="24"/>
          <w:szCs w:val="24"/>
        </w:rPr>
        <w:t>T</w:t>
      </w:r>
      <w:r w:rsidRPr="00C057A6">
        <w:rPr>
          <w:rFonts w:asciiTheme="minorHAnsi" w:hAnsiTheme="minorHAnsi" w:cstheme="minorHAnsi"/>
          <w:sz w:val="24"/>
          <w:szCs w:val="24"/>
        </w:rPr>
        <w:t>he Coalition government, elected in 2010, continued...with a greater emphasis on joint working as a strategy to reduce public spending</w:t>
      </w:r>
      <w:r w:rsidR="008D2B2D">
        <w:rPr>
          <w:rFonts w:asciiTheme="minorHAnsi" w:hAnsiTheme="minorHAnsi" w:cstheme="minorHAnsi"/>
          <w:sz w:val="24"/>
          <w:szCs w:val="24"/>
        </w:rPr>
        <w:t>.’</w:t>
      </w:r>
      <w:r>
        <w:rPr>
          <w:rStyle w:val="EndnoteReference"/>
          <w:rFonts w:asciiTheme="minorHAnsi" w:hAnsiTheme="minorHAnsi" w:cstheme="minorHAnsi"/>
          <w:sz w:val="24"/>
          <w:szCs w:val="24"/>
        </w:rPr>
        <w:endnoteReference w:id="2"/>
      </w:r>
      <w:r>
        <w:rPr>
          <w:rFonts w:asciiTheme="minorHAnsi" w:hAnsiTheme="minorHAnsi" w:cstheme="minorHAnsi"/>
          <w:sz w:val="24"/>
          <w:szCs w:val="24"/>
        </w:rPr>
        <w:t xml:space="preserve"> The continuing appeal of partnerships</w:t>
      </w:r>
      <w:r w:rsidRPr="00F1167F">
        <w:rPr>
          <w:rFonts w:asciiTheme="minorHAnsi" w:hAnsiTheme="minorHAnsi" w:cstheme="minorHAnsi"/>
          <w:sz w:val="24"/>
          <w:szCs w:val="24"/>
        </w:rPr>
        <w:t xml:space="preserve"> lies in the fact that few chal</w:t>
      </w:r>
      <w:r>
        <w:rPr>
          <w:rFonts w:asciiTheme="minorHAnsi" w:hAnsiTheme="minorHAnsi" w:cstheme="minorHAnsi"/>
          <w:sz w:val="24"/>
          <w:szCs w:val="24"/>
        </w:rPr>
        <w:t xml:space="preserve">lenges facing </w:t>
      </w:r>
      <w:r>
        <w:rPr>
          <w:rFonts w:asciiTheme="minorHAnsi" w:hAnsiTheme="minorHAnsi" w:cstheme="minorHAnsi"/>
          <w:sz w:val="24"/>
          <w:szCs w:val="24"/>
        </w:rPr>
        <w:lastRenderedPageBreak/>
        <w:t>government,</w:t>
      </w:r>
      <w:r w:rsidRPr="00F1167F">
        <w:rPr>
          <w:rFonts w:asciiTheme="minorHAnsi" w:hAnsiTheme="minorHAnsi" w:cstheme="minorHAnsi"/>
          <w:sz w:val="24"/>
          <w:szCs w:val="24"/>
        </w:rPr>
        <w:t xml:space="preserve"> national</w:t>
      </w:r>
      <w:r>
        <w:rPr>
          <w:rFonts w:asciiTheme="minorHAnsi" w:hAnsiTheme="minorHAnsi" w:cstheme="minorHAnsi"/>
          <w:sz w:val="24"/>
          <w:szCs w:val="24"/>
        </w:rPr>
        <w:t>ly</w:t>
      </w:r>
      <w:r w:rsidRPr="00F1167F">
        <w:rPr>
          <w:rFonts w:asciiTheme="minorHAnsi" w:hAnsiTheme="minorHAnsi" w:cstheme="minorHAnsi"/>
          <w:sz w:val="24"/>
          <w:szCs w:val="24"/>
        </w:rPr>
        <w:t xml:space="preserve"> and local</w:t>
      </w:r>
      <w:r>
        <w:rPr>
          <w:rFonts w:asciiTheme="minorHAnsi" w:hAnsiTheme="minorHAnsi" w:cstheme="minorHAnsi"/>
          <w:sz w:val="24"/>
          <w:szCs w:val="24"/>
        </w:rPr>
        <w:t>ly,</w:t>
      </w:r>
      <w:r w:rsidRPr="00F1167F">
        <w:rPr>
          <w:rFonts w:asciiTheme="minorHAnsi" w:hAnsiTheme="minorHAnsi" w:cstheme="minorHAnsi"/>
          <w:sz w:val="24"/>
          <w:szCs w:val="24"/>
        </w:rPr>
        <w:t xml:space="preserve"> </w:t>
      </w:r>
      <w:r>
        <w:rPr>
          <w:rFonts w:asciiTheme="minorHAnsi" w:hAnsiTheme="minorHAnsi" w:cstheme="minorHAnsi"/>
          <w:sz w:val="24"/>
          <w:szCs w:val="24"/>
        </w:rPr>
        <w:t xml:space="preserve">fall neatly </w:t>
      </w:r>
      <w:r w:rsidRPr="00F1167F">
        <w:rPr>
          <w:rFonts w:asciiTheme="minorHAnsi" w:hAnsiTheme="minorHAnsi" w:cstheme="minorHAnsi"/>
          <w:sz w:val="24"/>
          <w:szCs w:val="24"/>
        </w:rPr>
        <w:t>within the confines of a single organi</w:t>
      </w:r>
      <w:r w:rsidR="00E21DC3">
        <w:rPr>
          <w:rFonts w:asciiTheme="minorHAnsi" w:hAnsiTheme="minorHAnsi" w:cstheme="minorHAnsi"/>
          <w:sz w:val="24"/>
          <w:szCs w:val="24"/>
        </w:rPr>
        <w:t>z</w:t>
      </w:r>
      <w:r w:rsidRPr="00F1167F">
        <w:rPr>
          <w:rFonts w:asciiTheme="minorHAnsi" w:hAnsiTheme="minorHAnsi" w:cstheme="minorHAnsi"/>
          <w:sz w:val="24"/>
          <w:szCs w:val="24"/>
        </w:rPr>
        <w:t>ation</w:t>
      </w:r>
      <w:r>
        <w:rPr>
          <w:rFonts w:asciiTheme="minorHAnsi" w:hAnsiTheme="minorHAnsi" w:cstheme="minorHAnsi"/>
          <w:sz w:val="24"/>
          <w:szCs w:val="24"/>
        </w:rPr>
        <w:t>, department or sector</w:t>
      </w:r>
      <w:r w:rsidRPr="00F1167F">
        <w:rPr>
          <w:rFonts w:asciiTheme="minorHAnsi" w:hAnsiTheme="minorHAnsi" w:cstheme="minorHAnsi"/>
          <w:sz w:val="24"/>
          <w:szCs w:val="24"/>
        </w:rPr>
        <w:t xml:space="preserve">. This is especially true of the majority of challenges facing </w:t>
      </w:r>
      <w:r>
        <w:rPr>
          <w:rFonts w:asciiTheme="minorHAnsi" w:hAnsiTheme="minorHAnsi" w:cstheme="minorHAnsi"/>
          <w:sz w:val="24"/>
          <w:szCs w:val="24"/>
        </w:rPr>
        <w:t xml:space="preserve">health, in particular public </w:t>
      </w:r>
      <w:r w:rsidRPr="00F1167F">
        <w:rPr>
          <w:rFonts w:asciiTheme="minorHAnsi" w:hAnsiTheme="minorHAnsi" w:cstheme="minorHAnsi"/>
          <w:sz w:val="24"/>
          <w:szCs w:val="24"/>
        </w:rPr>
        <w:t>health</w:t>
      </w:r>
      <w:r>
        <w:rPr>
          <w:rFonts w:asciiTheme="minorHAnsi" w:hAnsiTheme="minorHAnsi" w:cstheme="minorHAnsi"/>
          <w:sz w:val="24"/>
          <w:szCs w:val="24"/>
        </w:rPr>
        <w:t>,</w:t>
      </w:r>
      <w:r w:rsidRPr="00F1167F">
        <w:rPr>
          <w:rFonts w:asciiTheme="minorHAnsi" w:hAnsiTheme="minorHAnsi" w:cstheme="minorHAnsi"/>
          <w:sz w:val="24"/>
          <w:szCs w:val="24"/>
        </w:rPr>
        <w:t xml:space="preserve"> which are cros</w:t>
      </w:r>
      <w:r>
        <w:rPr>
          <w:rFonts w:asciiTheme="minorHAnsi" w:hAnsiTheme="minorHAnsi" w:cstheme="minorHAnsi"/>
          <w:sz w:val="24"/>
          <w:szCs w:val="24"/>
        </w:rPr>
        <w:t>s-</w:t>
      </w:r>
      <w:r w:rsidR="00E21DC3">
        <w:rPr>
          <w:rFonts w:asciiTheme="minorHAnsi" w:hAnsiTheme="minorHAnsi" w:cstheme="minorHAnsi"/>
          <w:sz w:val="24"/>
          <w:szCs w:val="24"/>
        </w:rPr>
        <w:t>sectoral</w:t>
      </w:r>
      <w:r>
        <w:rPr>
          <w:rFonts w:asciiTheme="minorHAnsi" w:hAnsiTheme="minorHAnsi" w:cstheme="minorHAnsi"/>
          <w:sz w:val="24"/>
          <w:szCs w:val="24"/>
        </w:rPr>
        <w:t xml:space="preserve"> in nature and embrace multiple</w:t>
      </w:r>
      <w:r w:rsidRPr="00F1167F">
        <w:rPr>
          <w:rFonts w:asciiTheme="minorHAnsi" w:hAnsiTheme="minorHAnsi" w:cstheme="minorHAnsi"/>
          <w:sz w:val="24"/>
          <w:szCs w:val="24"/>
        </w:rPr>
        <w:t xml:space="preserve"> policy arenas, organi</w:t>
      </w:r>
      <w:r w:rsidR="00E21DC3">
        <w:rPr>
          <w:rFonts w:asciiTheme="minorHAnsi" w:hAnsiTheme="minorHAnsi" w:cstheme="minorHAnsi"/>
          <w:sz w:val="24"/>
          <w:szCs w:val="24"/>
        </w:rPr>
        <w:t>z</w:t>
      </w:r>
      <w:r w:rsidRPr="00F1167F">
        <w:rPr>
          <w:rFonts w:asciiTheme="minorHAnsi" w:hAnsiTheme="minorHAnsi" w:cstheme="minorHAnsi"/>
          <w:sz w:val="24"/>
          <w:szCs w:val="24"/>
        </w:rPr>
        <w:t>ations and profess</w:t>
      </w:r>
      <w:r>
        <w:rPr>
          <w:rFonts w:asciiTheme="minorHAnsi" w:hAnsiTheme="minorHAnsi" w:cstheme="minorHAnsi"/>
          <w:sz w:val="24"/>
          <w:szCs w:val="24"/>
        </w:rPr>
        <w:t>ional groups.</w:t>
      </w:r>
      <w:r>
        <w:rPr>
          <w:rStyle w:val="EndnoteReference"/>
          <w:rFonts w:asciiTheme="minorHAnsi" w:hAnsiTheme="minorHAnsi" w:cstheme="minorHAnsi"/>
          <w:sz w:val="24"/>
          <w:szCs w:val="24"/>
        </w:rPr>
        <w:endnoteReference w:id="3"/>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The Coalition government’s health care reforms, enshrined in the Health and Social Care Act 2012 (HSCA 2012), entailed major structural changes to the health system in England. With the lead role for public health passing to local government in England, HWBs were designed to act as place-based hubs to ensure effective partnership working and, through the reforms, join up what was becoming an increasingly fragmented system.</w:t>
      </w:r>
      <w:r>
        <w:rPr>
          <w:rStyle w:val="EndnoteReference"/>
          <w:rFonts w:asciiTheme="minorHAnsi" w:hAnsiTheme="minorHAnsi" w:cstheme="minorHAnsi"/>
          <w:sz w:val="24"/>
          <w:szCs w:val="24"/>
        </w:rPr>
        <w:endnoteReference w:id="4"/>
      </w:r>
      <w:r>
        <w:rPr>
          <w:rFonts w:asciiTheme="minorHAnsi" w:hAnsiTheme="minorHAnsi" w:cstheme="minorHAnsi"/>
          <w:sz w:val="24"/>
          <w:szCs w:val="24"/>
        </w:rPr>
        <w:t xml:space="preserve"> Th</w:t>
      </w:r>
      <w:r w:rsidR="00554275">
        <w:rPr>
          <w:rFonts w:asciiTheme="minorHAnsi" w:hAnsiTheme="minorHAnsi" w:cstheme="minorHAnsi"/>
          <w:sz w:val="24"/>
          <w:szCs w:val="24"/>
        </w:rPr>
        <w:t>is</w:t>
      </w:r>
      <w:r>
        <w:rPr>
          <w:rFonts w:asciiTheme="minorHAnsi" w:hAnsiTheme="minorHAnsi" w:cstheme="minorHAnsi"/>
          <w:sz w:val="24"/>
          <w:szCs w:val="24"/>
        </w:rPr>
        <w:t xml:space="preserve"> paper focuses on the role of HWBs, reviews the evidence on health partnerships and how it was hoped HWBs would learn from this. The paper explore</w:t>
      </w:r>
      <w:r w:rsidR="00133D1C">
        <w:rPr>
          <w:rFonts w:asciiTheme="minorHAnsi" w:hAnsiTheme="minorHAnsi" w:cstheme="minorHAnsi"/>
          <w:sz w:val="24"/>
          <w:szCs w:val="24"/>
        </w:rPr>
        <w:t>s</w:t>
      </w:r>
      <w:r>
        <w:rPr>
          <w:rFonts w:asciiTheme="minorHAnsi" w:hAnsiTheme="minorHAnsi" w:cstheme="minorHAnsi"/>
          <w:sz w:val="24"/>
          <w:szCs w:val="24"/>
        </w:rPr>
        <w:t xml:space="preserve"> </w:t>
      </w:r>
      <w:r w:rsidR="00133D1C">
        <w:rPr>
          <w:rFonts w:asciiTheme="minorHAnsi" w:hAnsiTheme="minorHAnsi" w:cstheme="minorHAnsi"/>
          <w:sz w:val="24"/>
          <w:szCs w:val="24"/>
        </w:rPr>
        <w:t xml:space="preserve">two key </w:t>
      </w:r>
      <w:r>
        <w:rPr>
          <w:rFonts w:asciiTheme="minorHAnsi" w:hAnsiTheme="minorHAnsi" w:cstheme="minorHAnsi"/>
          <w:sz w:val="24"/>
          <w:szCs w:val="24"/>
        </w:rPr>
        <w:t>questions on the progress and impact of HWBs and how they differ from previous partnership arrangements.</w:t>
      </w:r>
    </w:p>
    <w:p w:rsidR="006B64DE" w:rsidRPr="00C057A6" w:rsidRDefault="006B64DE" w:rsidP="006B64DE">
      <w:pPr>
        <w:spacing w:before="100" w:beforeAutospacing="1" w:line="240" w:lineRule="auto"/>
        <w:rPr>
          <w:rFonts w:asciiTheme="minorHAnsi" w:hAnsiTheme="minorHAnsi" w:cstheme="minorHAnsi"/>
          <w:i/>
          <w:sz w:val="24"/>
          <w:szCs w:val="24"/>
        </w:rPr>
      </w:pPr>
      <w:r w:rsidRPr="00C057A6">
        <w:rPr>
          <w:rFonts w:asciiTheme="minorHAnsi" w:hAnsiTheme="minorHAnsi" w:cstheme="minorHAnsi"/>
          <w:i/>
          <w:sz w:val="24"/>
          <w:szCs w:val="24"/>
        </w:rPr>
        <w:t>The role of HWBs</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During</w:t>
      </w:r>
      <w:r w:rsidRPr="003A4D5F">
        <w:rPr>
          <w:rFonts w:asciiTheme="minorHAnsi" w:hAnsiTheme="minorHAnsi" w:cstheme="minorHAnsi"/>
          <w:sz w:val="24"/>
          <w:szCs w:val="24"/>
        </w:rPr>
        <w:t xml:space="preserve"> 2010, the </w:t>
      </w:r>
      <w:r>
        <w:rPr>
          <w:rFonts w:asciiTheme="minorHAnsi" w:hAnsiTheme="minorHAnsi" w:cstheme="minorHAnsi"/>
          <w:sz w:val="24"/>
          <w:szCs w:val="24"/>
        </w:rPr>
        <w:t>C</w:t>
      </w:r>
      <w:r w:rsidRPr="003A4D5F">
        <w:rPr>
          <w:rFonts w:asciiTheme="minorHAnsi" w:hAnsiTheme="minorHAnsi" w:cstheme="minorHAnsi"/>
          <w:sz w:val="24"/>
          <w:szCs w:val="24"/>
        </w:rPr>
        <w:t xml:space="preserve">oalition </w:t>
      </w:r>
      <w:r>
        <w:rPr>
          <w:rFonts w:asciiTheme="minorHAnsi" w:hAnsiTheme="minorHAnsi" w:cstheme="minorHAnsi"/>
          <w:sz w:val="24"/>
          <w:szCs w:val="24"/>
        </w:rPr>
        <w:t>g</w:t>
      </w:r>
      <w:r w:rsidRPr="003A4D5F">
        <w:rPr>
          <w:rFonts w:asciiTheme="minorHAnsi" w:hAnsiTheme="minorHAnsi" w:cstheme="minorHAnsi"/>
          <w:sz w:val="24"/>
          <w:szCs w:val="24"/>
        </w:rPr>
        <w:t xml:space="preserve">overnment published </w:t>
      </w:r>
      <w:r>
        <w:rPr>
          <w:rFonts w:asciiTheme="minorHAnsi" w:hAnsiTheme="minorHAnsi" w:cstheme="minorHAnsi"/>
          <w:sz w:val="24"/>
          <w:szCs w:val="24"/>
        </w:rPr>
        <w:t xml:space="preserve">two </w:t>
      </w:r>
      <w:r w:rsidRPr="003A4D5F">
        <w:rPr>
          <w:rFonts w:asciiTheme="minorHAnsi" w:hAnsiTheme="minorHAnsi" w:cstheme="minorHAnsi"/>
          <w:sz w:val="24"/>
          <w:szCs w:val="24"/>
        </w:rPr>
        <w:t>White Paper</w:t>
      </w:r>
      <w:r>
        <w:rPr>
          <w:rFonts w:asciiTheme="minorHAnsi" w:hAnsiTheme="minorHAnsi" w:cstheme="minorHAnsi"/>
          <w:sz w:val="24"/>
          <w:szCs w:val="24"/>
        </w:rPr>
        <w:t xml:space="preserve">s on the NHS and public health respectively: </w:t>
      </w:r>
      <w:r w:rsidRPr="00586FB6">
        <w:rPr>
          <w:rFonts w:asciiTheme="minorHAnsi" w:hAnsiTheme="minorHAnsi" w:cstheme="minorHAnsi"/>
          <w:i/>
          <w:sz w:val="24"/>
          <w:szCs w:val="24"/>
        </w:rPr>
        <w:t>Equity and Excellence: Liberating the NHS</w:t>
      </w:r>
      <w:r w:rsidRPr="003A4D5F">
        <w:rPr>
          <w:rFonts w:asciiTheme="minorHAnsi" w:hAnsiTheme="minorHAnsi" w:cstheme="minorHAnsi"/>
          <w:sz w:val="24"/>
          <w:szCs w:val="24"/>
        </w:rPr>
        <w:t xml:space="preserve"> </w:t>
      </w:r>
      <w:r>
        <w:rPr>
          <w:rFonts w:asciiTheme="minorHAnsi" w:hAnsiTheme="minorHAnsi" w:cstheme="minorHAnsi"/>
          <w:sz w:val="24"/>
          <w:szCs w:val="24"/>
        </w:rPr>
        <w:t>appeared in May,</w:t>
      </w:r>
      <w:r>
        <w:rPr>
          <w:rStyle w:val="EndnoteReference"/>
          <w:rFonts w:asciiTheme="minorHAnsi" w:hAnsiTheme="minorHAnsi" w:cstheme="minorHAnsi"/>
          <w:sz w:val="24"/>
          <w:szCs w:val="24"/>
        </w:rPr>
        <w:endnoteReference w:id="5"/>
      </w:r>
      <w:r>
        <w:rPr>
          <w:rFonts w:asciiTheme="minorHAnsi" w:hAnsiTheme="minorHAnsi" w:cstheme="minorHAnsi"/>
          <w:sz w:val="24"/>
          <w:szCs w:val="24"/>
        </w:rPr>
        <w:t xml:space="preserve"> and in December </w:t>
      </w:r>
      <w:r w:rsidRPr="00416D78">
        <w:rPr>
          <w:rFonts w:asciiTheme="minorHAnsi" w:hAnsiTheme="minorHAnsi" w:cstheme="minorHAnsi"/>
          <w:i/>
          <w:sz w:val="24"/>
          <w:szCs w:val="24"/>
        </w:rPr>
        <w:t>Healthy Lives, Healthy People: Our strategy for public health in England</w:t>
      </w:r>
      <w:r>
        <w:rPr>
          <w:rFonts w:asciiTheme="minorHAnsi" w:hAnsiTheme="minorHAnsi" w:cstheme="minorHAnsi"/>
          <w:sz w:val="24"/>
          <w:szCs w:val="24"/>
        </w:rPr>
        <w:t>.</w:t>
      </w:r>
      <w:r>
        <w:rPr>
          <w:rStyle w:val="EndnoteReference"/>
          <w:rFonts w:asciiTheme="minorHAnsi" w:hAnsiTheme="minorHAnsi" w:cstheme="minorHAnsi"/>
          <w:sz w:val="24"/>
          <w:szCs w:val="24"/>
        </w:rPr>
        <w:endnoteReference w:id="6"/>
      </w:r>
      <w:r>
        <w:rPr>
          <w:rFonts w:asciiTheme="minorHAnsi" w:hAnsiTheme="minorHAnsi" w:cstheme="minorHAnsi"/>
          <w:sz w:val="24"/>
          <w:szCs w:val="24"/>
        </w:rPr>
        <w:t xml:space="preserve"> Part of the first White Paper’s rationale was </w:t>
      </w:r>
      <w:r w:rsidRPr="003A4D5F">
        <w:rPr>
          <w:rFonts w:asciiTheme="minorHAnsi" w:hAnsiTheme="minorHAnsi" w:cstheme="minorHAnsi"/>
          <w:sz w:val="24"/>
          <w:szCs w:val="24"/>
        </w:rPr>
        <w:t>to strengthen the role of local government in local health services in England</w:t>
      </w:r>
      <w:r>
        <w:rPr>
          <w:rFonts w:asciiTheme="minorHAnsi" w:hAnsiTheme="minorHAnsi" w:cstheme="minorHAnsi"/>
          <w:sz w:val="24"/>
          <w:szCs w:val="24"/>
        </w:rPr>
        <w:t xml:space="preserve"> and </w:t>
      </w:r>
      <w:r w:rsidRPr="00DC17EF">
        <w:rPr>
          <w:rFonts w:asciiTheme="minorHAnsi" w:hAnsiTheme="minorHAnsi" w:cstheme="minorHAnsi"/>
          <w:i/>
          <w:sz w:val="24"/>
          <w:szCs w:val="24"/>
        </w:rPr>
        <w:t>Healthy Lives, Healthy People</w:t>
      </w:r>
      <w:r>
        <w:rPr>
          <w:rFonts w:asciiTheme="minorHAnsi" w:hAnsiTheme="minorHAnsi" w:cstheme="minorHAnsi"/>
          <w:sz w:val="24"/>
          <w:szCs w:val="24"/>
        </w:rPr>
        <w:t xml:space="preserve"> elaborated on the role of HWBs</w:t>
      </w:r>
      <w:r w:rsidRPr="003A4D5F">
        <w:rPr>
          <w:rFonts w:asciiTheme="minorHAnsi" w:hAnsiTheme="minorHAnsi" w:cstheme="minorHAnsi"/>
          <w:sz w:val="24"/>
          <w:szCs w:val="24"/>
        </w:rPr>
        <w:t>.</w:t>
      </w:r>
      <w:r>
        <w:rPr>
          <w:rFonts w:asciiTheme="minorHAnsi" w:hAnsiTheme="minorHAnsi" w:cstheme="minorHAnsi"/>
          <w:sz w:val="24"/>
          <w:szCs w:val="24"/>
        </w:rPr>
        <w:t xml:space="preserve"> </w:t>
      </w:r>
      <w:r w:rsidRPr="003A4D5F">
        <w:rPr>
          <w:rFonts w:asciiTheme="minorHAnsi" w:hAnsiTheme="minorHAnsi" w:cstheme="minorHAnsi"/>
          <w:sz w:val="24"/>
          <w:szCs w:val="24"/>
        </w:rPr>
        <w:t xml:space="preserve">The </w:t>
      </w:r>
      <w:r>
        <w:rPr>
          <w:rFonts w:asciiTheme="minorHAnsi" w:hAnsiTheme="minorHAnsi" w:cstheme="minorHAnsi"/>
          <w:sz w:val="24"/>
          <w:szCs w:val="24"/>
        </w:rPr>
        <w:t xml:space="preserve">subsequent HSCA 2012 </w:t>
      </w:r>
      <w:r w:rsidR="00A81509">
        <w:rPr>
          <w:rFonts w:asciiTheme="minorHAnsi" w:hAnsiTheme="minorHAnsi" w:cstheme="minorHAnsi"/>
          <w:sz w:val="24"/>
          <w:szCs w:val="24"/>
        </w:rPr>
        <w:t>with t</w:t>
      </w:r>
      <w:r w:rsidRPr="003A4D5F">
        <w:rPr>
          <w:rFonts w:asciiTheme="minorHAnsi" w:hAnsiTheme="minorHAnsi" w:cstheme="minorHAnsi"/>
          <w:sz w:val="24"/>
          <w:szCs w:val="24"/>
        </w:rPr>
        <w:t xml:space="preserve">he decision </w:t>
      </w:r>
      <w:r>
        <w:rPr>
          <w:rFonts w:asciiTheme="minorHAnsi" w:hAnsiTheme="minorHAnsi" w:cstheme="minorHAnsi"/>
          <w:sz w:val="24"/>
          <w:szCs w:val="24"/>
        </w:rPr>
        <w:t>to return public health to local government, after being placed part of the NHS since 1974,</w:t>
      </w:r>
      <w:r w:rsidRPr="003A4D5F">
        <w:rPr>
          <w:rFonts w:asciiTheme="minorHAnsi" w:hAnsiTheme="minorHAnsi" w:cstheme="minorHAnsi"/>
          <w:sz w:val="24"/>
          <w:szCs w:val="24"/>
        </w:rPr>
        <w:t xml:space="preserve"> was broadly welcomed </w:t>
      </w:r>
      <w:r>
        <w:rPr>
          <w:rStyle w:val="EndnoteReference"/>
          <w:rFonts w:asciiTheme="minorHAnsi" w:hAnsiTheme="minorHAnsi" w:cstheme="minorHAnsi"/>
          <w:sz w:val="24"/>
          <w:szCs w:val="24"/>
        </w:rPr>
        <w:endnoteReference w:id="7"/>
      </w:r>
      <w:r>
        <w:rPr>
          <w:rFonts w:asciiTheme="minorHAnsi" w:hAnsiTheme="minorHAnsi" w:cstheme="minorHAnsi"/>
          <w:sz w:val="24"/>
          <w:szCs w:val="24"/>
        </w:rPr>
        <w:t xml:space="preserve"> </w:t>
      </w:r>
      <w:r>
        <w:rPr>
          <w:rStyle w:val="EndnoteReference"/>
          <w:rFonts w:asciiTheme="minorHAnsi" w:hAnsiTheme="minorHAnsi" w:cstheme="minorHAnsi"/>
          <w:sz w:val="24"/>
          <w:szCs w:val="24"/>
        </w:rPr>
        <w:endnoteReference w:id="8"/>
      </w:r>
      <w:r>
        <w:rPr>
          <w:rFonts w:asciiTheme="minorHAnsi" w:hAnsiTheme="minorHAnsi" w:cstheme="minorHAnsi"/>
          <w:sz w:val="24"/>
          <w:szCs w:val="24"/>
        </w:rPr>
        <w:t xml:space="preserve"> </w:t>
      </w:r>
      <w:r>
        <w:rPr>
          <w:rStyle w:val="EndnoteReference"/>
          <w:rFonts w:asciiTheme="minorHAnsi" w:hAnsiTheme="minorHAnsi" w:cstheme="minorHAnsi"/>
          <w:sz w:val="24"/>
          <w:szCs w:val="24"/>
        </w:rPr>
        <w:endnoteReference w:id="9"/>
      </w:r>
      <w:r>
        <w:rPr>
          <w:rFonts w:asciiTheme="minorHAnsi" w:hAnsiTheme="minorHAnsi" w:cstheme="minorHAnsi"/>
          <w:sz w:val="24"/>
          <w:szCs w:val="24"/>
        </w:rPr>
        <w:t>on the grounds that</w:t>
      </w:r>
      <w:r w:rsidRPr="003A4D5F">
        <w:rPr>
          <w:rFonts w:asciiTheme="minorHAnsi" w:hAnsiTheme="minorHAnsi" w:cstheme="minorHAnsi"/>
          <w:sz w:val="24"/>
          <w:szCs w:val="24"/>
        </w:rPr>
        <w:t xml:space="preserve"> public health would be better placed to tackle inequalities in health </w:t>
      </w:r>
      <w:r>
        <w:rPr>
          <w:rFonts w:asciiTheme="minorHAnsi" w:hAnsiTheme="minorHAnsi" w:cstheme="minorHAnsi"/>
          <w:sz w:val="24"/>
          <w:szCs w:val="24"/>
        </w:rPr>
        <w:t>and the wider social determinants of health by adopting</w:t>
      </w:r>
      <w:r w:rsidRPr="003A4D5F">
        <w:rPr>
          <w:rFonts w:asciiTheme="minorHAnsi" w:hAnsiTheme="minorHAnsi" w:cstheme="minorHAnsi"/>
          <w:sz w:val="24"/>
          <w:szCs w:val="24"/>
        </w:rPr>
        <w:t xml:space="preserve"> a strong population focus</w:t>
      </w:r>
      <w:r>
        <w:rPr>
          <w:rFonts w:asciiTheme="minorHAnsi" w:hAnsiTheme="minorHAnsi" w:cstheme="minorHAnsi"/>
          <w:sz w:val="24"/>
          <w:szCs w:val="24"/>
        </w:rPr>
        <w:t xml:space="preserve"> in place of</w:t>
      </w:r>
      <w:r w:rsidRPr="003A4D5F">
        <w:rPr>
          <w:rFonts w:asciiTheme="minorHAnsi" w:hAnsiTheme="minorHAnsi" w:cstheme="minorHAnsi"/>
          <w:sz w:val="24"/>
          <w:szCs w:val="24"/>
        </w:rPr>
        <w:t xml:space="preserve"> a narrow </w:t>
      </w:r>
      <w:r>
        <w:rPr>
          <w:rFonts w:asciiTheme="minorHAnsi" w:hAnsiTheme="minorHAnsi" w:cstheme="minorHAnsi"/>
          <w:sz w:val="24"/>
          <w:szCs w:val="24"/>
        </w:rPr>
        <w:t>one on health service provision.</w:t>
      </w:r>
      <w:r>
        <w:rPr>
          <w:rStyle w:val="EndnoteReference"/>
          <w:rFonts w:asciiTheme="minorHAnsi" w:hAnsiTheme="minorHAnsi" w:cstheme="minorHAnsi"/>
          <w:sz w:val="24"/>
          <w:szCs w:val="24"/>
        </w:rPr>
        <w:endnoteReference w:id="10"/>
      </w:r>
      <w:r>
        <w:rPr>
          <w:rFonts w:asciiTheme="minorHAnsi" w:hAnsiTheme="minorHAnsi" w:cstheme="minorHAnsi"/>
          <w:sz w:val="24"/>
          <w:szCs w:val="24"/>
        </w:rPr>
        <w:t xml:space="preserve"> </w:t>
      </w:r>
      <w:r>
        <w:rPr>
          <w:rStyle w:val="EndnoteReference"/>
          <w:rFonts w:asciiTheme="minorHAnsi" w:hAnsiTheme="minorHAnsi" w:cstheme="minorHAnsi"/>
          <w:sz w:val="24"/>
          <w:szCs w:val="24"/>
        </w:rPr>
        <w:endnoteReference w:id="11"/>
      </w:r>
    </w:p>
    <w:p w:rsidR="00C73502" w:rsidRDefault="00C73502" w:rsidP="00C73502">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When they appeared in 2012, HWBs were meant to be a different kind of partnership</w:t>
      </w:r>
      <w:r w:rsidR="00E53F99" w:rsidRPr="002C716D">
        <w:rPr>
          <w:rFonts w:asciiTheme="minorHAnsi" w:hAnsiTheme="minorHAnsi" w:cstheme="minorHAnsi"/>
          <w:sz w:val="24"/>
          <w:szCs w:val="24"/>
          <w:vertAlign w:val="superscript"/>
        </w:rPr>
        <w:t>4</w:t>
      </w:r>
      <w:r>
        <w:rPr>
          <w:rFonts w:asciiTheme="minorHAnsi" w:hAnsiTheme="minorHAnsi" w:cstheme="minorHAnsi"/>
          <w:sz w:val="24"/>
          <w:szCs w:val="24"/>
        </w:rPr>
        <w:t xml:space="preserve">. And it is certainly the case that they have defining features that make them different from other health-based partnerships. For instance, they are place-based through being located in local authorities and are statutory, which means they </w:t>
      </w:r>
      <w:r w:rsidR="007F5091">
        <w:rPr>
          <w:rFonts w:asciiTheme="minorHAnsi" w:hAnsiTheme="minorHAnsi" w:cstheme="minorHAnsi"/>
          <w:sz w:val="24"/>
          <w:szCs w:val="24"/>
        </w:rPr>
        <w:t xml:space="preserve">are </w:t>
      </w:r>
      <w:r>
        <w:rPr>
          <w:rFonts w:asciiTheme="minorHAnsi" w:hAnsiTheme="minorHAnsi" w:cstheme="minorHAnsi"/>
          <w:sz w:val="24"/>
          <w:szCs w:val="24"/>
        </w:rPr>
        <w:t xml:space="preserve">enshrined in legislation and cannot be completely ignored or disbanded (as many other partnerships have been). With the move of public health into local government, this offered a real opportunity for boards to act as a hub, bringing together interests such as public health, housing, planning, social care and education. These were to work together as part of the same organization, operating under the same broad frameworks with scope for strategic and operational linkages for the greater integration of policies and targets to improve local population health.  </w:t>
      </w:r>
    </w:p>
    <w:p w:rsidR="006B64DE" w:rsidRDefault="006B64DE" w:rsidP="006B64DE">
      <w:pPr>
        <w:spacing w:before="100" w:beforeAutospacing="1" w:line="240" w:lineRule="auto"/>
        <w:rPr>
          <w:rFonts w:asciiTheme="minorHAnsi" w:hAnsiTheme="minorHAnsi" w:cstheme="minorHAnsi"/>
          <w:sz w:val="24"/>
          <w:szCs w:val="24"/>
        </w:rPr>
      </w:pPr>
      <w:r w:rsidRPr="003A4D5F">
        <w:rPr>
          <w:rFonts w:asciiTheme="minorHAnsi" w:hAnsiTheme="minorHAnsi" w:cstheme="minorHAnsi"/>
          <w:sz w:val="24"/>
          <w:szCs w:val="24"/>
        </w:rPr>
        <w:t xml:space="preserve">However, </w:t>
      </w:r>
      <w:r>
        <w:rPr>
          <w:rFonts w:asciiTheme="minorHAnsi" w:hAnsiTheme="minorHAnsi" w:cstheme="minorHAnsi"/>
          <w:sz w:val="24"/>
          <w:szCs w:val="24"/>
        </w:rPr>
        <w:t xml:space="preserve">the wider structural changes to the health system arising from the HSCA </w:t>
      </w:r>
      <w:r w:rsidR="00B33FCF">
        <w:rPr>
          <w:rFonts w:asciiTheme="minorHAnsi" w:hAnsiTheme="minorHAnsi" w:cstheme="minorHAnsi"/>
          <w:sz w:val="24"/>
          <w:szCs w:val="24"/>
        </w:rPr>
        <w:t>2012</w:t>
      </w:r>
      <w:r>
        <w:rPr>
          <w:rFonts w:asciiTheme="minorHAnsi" w:hAnsiTheme="minorHAnsi" w:cstheme="minorHAnsi"/>
          <w:sz w:val="24"/>
          <w:szCs w:val="24"/>
        </w:rPr>
        <w:t xml:space="preserve"> caused significant disruption and fragmentation at the time of HWBs’ inception</w:t>
      </w:r>
      <w:r w:rsidR="00E53F99" w:rsidRPr="002C716D">
        <w:rPr>
          <w:rFonts w:asciiTheme="minorHAnsi" w:hAnsiTheme="minorHAnsi" w:cstheme="minorHAnsi"/>
          <w:sz w:val="24"/>
          <w:szCs w:val="24"/>
          <w:vertAlign w:val="superscript"/>
        </w:rPr>
        <w:t>4</w:t>
      </w:r>
      <w:r>
        <w:rPr>
          <w:rFonts w:asciiTheme="minorHAnsi" w:hAnsiTheme="minorHAnsi" w:cstheme="minorHAnsi"/>
          <w:sz w:val="24"/>
          <w:szCs w:val="24"/>
        </w:rPr>
        <w:t xml:space="preserve">. </w:t>
      </w:r>
      <w:r w:rsidRPr="003A4D5F">
        <w:rPr>
          <w:rFonts w:asciiTheme="minorHAnsi" w:hAnsiTheme="minorHAnsi" w:cstheme="minorHAnsi"/>
          <w:sz w:val="24"/>
          <w:szCs w:val="24"/>
        </w:rPr>
        <w:t xml:space="preserve">In an effort to overcome some of these challenges, the </w:t>
      </w:r>
      <w:r>
        <w:rPr>
          <w:rFonts w:asciiTheme="minorHAnsi" w:hAnsiTheme="minorHAnsi" w:cstheme="minorHAnsi"/>
          <w:sz w:val="24"/>
          <w:szCs w:val="24"/>
        </w:rPr>
        <w:t xml:space="preserve">HSCA 2012 </w:t>
      </w:r>
      <w:r w:rsidRPr="003A4D5F">
        <w:rPr>
          <w:rFonts w:asciiTheme="minorHAnsi" w:hAnsiTheme="minorHAnsi" w:cstheme="minorHAnsi"/>
          <w:sz w:val="24"/>
          <w:szCs w:val="24"/>
        </w:rPr>
        <w:t xml:space="preserve">placed a statutory duty on local authorities to </w:t>
      </w:r>
      <w:r w:rsidR="007F5091">
        <w:rPr>
          <w:rFonts w:asciiTheme="minorHAnsi" w:hAnsiTheme="minorHAnsi" w:cstheme="minorHAnsi"/>
          <w:sz w:val="24"/>
          <w:szCs w:val="24"/>
        </w:rPr>
        <w:t xml:space="preserve">each </w:t>
      </w:r>
      <w:r w:rsidRPr="003A4D5F">
        <w:rPr>
          <w:rFonts w:asciiTheme="minorHAnsi" w:hAnsiTheme="minorHAnsi" w:cstheme="minorHAnsi"/>
          <w:sz w:val="24"/>
          <w:szCs w:val="24"/>
        </w:rPr>
        <w:t xml:space="preserve">create a </w:t>
      </w:r>
      <w:r>
        <w:rPr>
          <w:rFonts w:asciiTheme="minorHAnsi" w:hAnsiTheme="minorHAnsi" w:cstheme="minorHAnsi"/>
          <w:sz w:val="24"/>
          <w:szCs w:val="24"/>
        </w:rPr>
        <w:t>HWB</w:t>
      </w:r>
      <w:r w:rsidRPr="003A4D5F">
        <w:rPr>
          <w:rFonts w:asciiTheme="minorHAnsi" w:hAnsiTheme="minorHAnsi" w:cstheme="minorHAnsi"/>
          <w:sz w:val="24"/>
          <w:szCs w:val="24"/>
        </w:rPr>
        <w:t xml:space="preserve"> as a committee of the </w:t>
      </w:r>
      <w:r>
        <w:rPr>
          <w:rFonts w:asciiTheme="minorHAnsi" w:hAnsiTheme="minorHAnsi" w:cstheme="minorHAnsi"/>
          <w:sz w:val="24"/>
          <w:szCs w:val="24"/>
        </w:rPr>
        <w:t xml:space="preserve">local </w:t>
      </w:r>
      <w:r w:rsidRPr="003A4D5F">
        <w:rPr>
          <w:rFonts w:asciiTheme="minorHAnsi" w:hAnsiTheme="minorHAnsi" w:cstheme="minorHAnsi"/>
          <w:sz w:val="24"/>
          <w:szCs w:val="24"/>
        </w:rPr>
        <w:t>authority</w:t>
      </w:r>
      <w:r>
        <w:rPr>
          <w:rFonts w:asciiTheme="minorHAnsi" w:hAnsiTheme="minorHAnsi" w:cstheme="minorHAnsi"/>
          <w:sz w:val="24"/>
          <w:szCs w:val="24"/>
        </w:rPr>
        <w:t xml:space="preserve"> to act as a place-based strategic hub to bring various partners together</w:t>
      </w:r>
      <w:r w:rsidRPr="003A4D5F">
        <w:rPr>
          <w:rFonts w:asciiTheme="minorHAnsi" w:hAnsiTheme="minorHAnsi" w:cstheme="minorHAnsi"/>
          <w:sz w:val="24"/>
          <w:szCs w:val="24"/>
        </w:rPr>
        <w:t xml:space="preserve">. </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lastRenderedPageBreak/>
        <w:t>HWBs have a statutory</w:t>
      </w:r>
      <w:r w:rsidRPr="00D31BF6">
        <w:rPr>
          <w:rFonts w:asciiTheme="minorHAnsi" w:hAnsiTheme="minorHAnsi" w:cstheme="minorHAnsi"/>
          <w:sz w:val="24"/>
          <w:szCs w:val="24"/>
        </w:rPr>
        <w:t xml:space="preserve"> responsibi</w:t>
      </w:r>
      <w:r>
        <w:rPr>
          <w:rFonts w:asciiTheme="minorHAnsi" w:hAnsiTheme="minorHAnsi" w:cstheme="minorHAnsi"/>
          <w:sz w:val="24"/>
          <w:szCs w:val="24"/>
        </w:rPr>
        <w:t>lity for the Joint Strategic Needs Assessment (</w:t>
      </w:r>
      <w:r w:rsidRPr="00D31BF6">
        <w:rPr>
          <w:rFonts w:asciiTheme="minorHAnsi" w:hAnsiTheme="minorHAnsi" w:cstheme="minorHAnsi"/>
          <w:sz w:val="24"/>
          <w:szCs w:val="24"/>
        </w:rPr>
        <w:t>JSNA)</w:t>
      </w:r>
      <w:r w:rsidR="007F5091">
        <w:rPr>
          <w:rFonts w:asciiTheme="minorHAnsi" w:hAnsiTheme="minorHAnsi" w:cstheme="minorHAnsi"/>
          <w:sz w:val="24"/>
          <w:szCs w:val="24"/>
        </w:rPr>
        <w:t>,</w:t>
      </w:r>
      <w:r w:rsidRPr="00D31BF6">
        <w:rPr>
          <w:rFonts w:asciiTheme="minorHAnsi" w:hAnsiTheme="minorHAnsi" w:cstheme="minorHAnsi"/>
          <w:sz w:val="24"/>
          <w:szCs w:val="24"/>
        </w:rPr>
        <w:t xml:space="preserve"> </w:t>
      </w:r>
      <w:r>
        <w:rPr>
          <w:rFonts w:asciiTheme="minorHAnsi" w:hAnsiTheme="minorHAnsi" w:cstheme="minorHAnsi"/>
          <w:sz w:val="24"/>
          <w:szCs w:val="24"/>
        </w:rPr>
        <w:t xml:space="preserve">which is </w:t>
      </w:r>
      <w:r w:rsidRPr="00D31BF6">
        <w:rPr>
          <w:rFonts w:asciiTheme="minorHAnsi" w:hAnsiTheme="minorHAnsi" w:cstheme="minorHAnsi"/>
          <w:sz w:val="24"/>
          <w:szCs w:val="24"/>
        </w:rPr>
        <w:t>used to agree combined</w:t>
      </w:r>
      <w:r>
        <w:rPr>
          <w:rFonts w:asciiTheme="minorHAnsi" w:hAnsiTheme="minorHAnsi" w:cstheme="minorHAnsi"/>
          <w:sz w:val="24"/>
          <w:szCs w:val="24"/>
        </w:rPr>
        <w:t xml:space="preserve"> action at a local authority level with </w:t>
      </w:r>
      <w:r w:rsidRPr="00D31BF6">
        <w:rPr>
          <w:rFonts w:asciiTheme="minorHAnsi" w:hAnsiTheme="minorHAnsi" w:cstheme="minorHAnsi"/>
          <w:sz w:val="24"/>
          <w:szCs w:val="24"/>
        </w:rPr>
        <w:t xml:space="preserve">a </w:t>
      </w:r>
      <w:r>
        <w:rPr>
          <w:rFonts w:asciiTheme="minorHAnsi" w:hAnsiTheme="minorHAnsi" w:cstheme="minorHAnsi"/>
          <w:sz w:val="24"/>
          <w:szCs w:val="24"/>
        </w:rPr>
        <w:t xml:space="preserve">statutory responsibility to produce a </w:t>
      </w:r>
      <w:r w:rsidRPr="00D31BF6">
        <w:rPr>
          <w:rFonts w:asciiTheme="minorHAnsi" w:hAnsiTheme="minorHAnsi" w:cstheme="minorHAnsi"/>
          <w:sz w:val="24"/>
          <w:szCs w:val="24"/>
        </w:rPr>
        <w:t>Joint Health and Wellbeing Strategy</w:t>
      </w:r>
      <w:r>
        <w:rPr>
          <w:rFonts w:asciiTheme="minorHAnsi" w:hAnsiTheme="minorHAnsi" w:cstheme="minorHAnsi"/>
          <w:sz w:val="24"/>
          <w:szCs w:val="24"/>
        </w:rPr>
        <w:t xml:space="preserve"> (JHWS)</w:t>
      </w:r>
      <w:r w:rsidRPr="00D31BF6">
        <w:rPr>
          <w:rFonts w:asciiTheme="minorHAnsi" w:hAnsiTheme="minorHAnsi" w:cstheme="minorHAnsi"/>
          <w:sz w:val="24"/>
          <w:szCs w:val="24"/>
        </w:rPr>
        <w:t>.</w:t>
      </w:r>
      <w:r>
        <w:rPr>
          <w:rStyle w:val="EndnoteReference"/>
          <w:rFonts w:asciiTheme="minorHAnsi" w:hAnsiTheme="minorHAnsi" w:cstheme="minorHAnsi"/>
          <w:sz w:val="24"/>
          <w:szCs w:val="24"/>
        </w:rPr>
        <w:endnoteReference w:id="12"/>
      </w:r>
    </w:p>
    <w:p w:rsidR="006B64DE" w:rsidRDefault="006B64DE" w:rsidP="006B64DE">
      <w:pPr>
        <w:spacing w:before="100" w:beforeAutospacing="1" w:line="240" w:lineRule="auto"/>
        <w:rPr>
          <w:rFonts w:asciiTheme="minorHAnsi" w:hAnsiTheme="minorHAnsi" w:cstheme="minorHAnsi"/>
          <w:sz w:val="24"/>
          <w:szCs w:val="24"/>
        </w:rPr>
      </w:pPr>
      <w:r w:rsidRPr="003A4D5F">
        <w:rPr>
          <w:rFonts w:asciiTheme="minorHAnsi" w:hAnsiTheme="minorHAnsi" w:cstheme="minorHAnsi"/>
          <w:sz w:val="24"/>
          <w:szCs w:val="24"/>
        </w:rPr>
        <w:t>After ex</w:t>
      </w:r>
      <w:r>
        <w:rPr>
          <w:rFonts w:asciiTheme="minorHAnsi" w:hAnsiTheme="minorHAnsi" w:cstheme="minorHAnsi"/>
          <w:sz w:val="24"/>
          <w:szCs w:val="24"/>
        </w:rPr>
        <w:t>isting in shadow form for almost two years</w:t>
      </w:r>
      <w:r w:rsidR="00E53F99">
        <w:rPr>
          <w:rFonts w:asciiTheme="minorHAnsi" w:hAnsiTheme="minorHAnsi" w:cstheme="minorHAnsi"/>
          <w:sz w:val="24"/>
          <w:szCs w:val="24"/>
        </w:rPr>
        <w:t xml:space="preserve"> (operating before becoming a statutory legal entity)</w:t>
      </w:r>
      <w:r>
        <w:rPr>
          <w:rFonts w:asciiTheme="minorHAnsi" w:hAnsiTheme="minorHAnsi" w:cstheme="minorHAnsi"/>
          <w:sz w:val="24"/>
          <w:szCs w:val="24"/>
        </w:rPr>
        <w:t xml:space="preserve">, </w:t>
      </w:r>
      <w:r w:rsidRPr="003A4D5F">
        <w:rPr>
          <w:rFonts w:asciiTheme="minorHAnsi" w:hAnsiTheme="minorHAnsi" w:cstheme="minorHAnsi"/>
          <w:sz w:val="24"/>
          <w:szCs w:val="24"/>
        </w:rPr>
        <w:t xml:space="preserve">HWBs became fully operational </w:t>
      </w:r>
      <w:r>
        <w:rPr>
          <w:rFonts w:asciiTheme="minorHAnsi" w:hAnsiTheme="minorHAnsi" w:cstheme="minorHAnsi"/>
          <w:sz w:val="24"/>
          <w:szCs w:val="24"/>
        </w:rPr>
        <w:t>in April 2013</w:t>
      </w:r>
      <w:r w:rsidRPr="008F4351">
        <w:rPr>
          <w:rFonts w:asciiTheme="minorHAnsi" w:hAnsiTheme="minorHAnsi" w:cstheme="minorHAnsi"/>
          <w:sz w:val="24"/>
          <w:szCs w:val="24"/>
        </w:rPr>
        <w:t>. In an effort to ensure that HWBs</w:t>
      </w:r>
      <w:r>
        <w:rPr>
          <w:rFonts w:asciiTheme="minorHAnsi" w:hAnsiTheme="minorHAnsi" w:cstheme="minorHAnsi"/>
          <w:sz w:val="24"/>
          <w:szCs w:val="24"/>
        </w:rPr>
        <w:t xml:space="preserve"> would succeed through suitable adaptation to their local context</w:t>
      </w:r>
      <w:r w:rsidR="007967A8">
        <w:rPr>
          <w:rFonts w:asciiTheme="minorHAnsi" w:hAnsiTheme="minorHAnsi" w:cstheme="minorHAnsi"/>
          <w:sz w:val="24"/>
          <w:szCs w:val="24"/>
        </w:rPr>
        <w:t>s</w:t>
      </w:r>
      <w:r>
        <w:rPr>
          <w:rFonts w:asciiTheme="minorHAnsi" w:hAnsiTheme="minorHAnsi" w:cstheme="minorHAnsi"/>
          <w:sz w:val="24"/>
          <w:szCs w:val="24"/>
        </w:rPr>
        <w:t>, guidance from the centre on what HWBs should look like and how they should operate was kept to a minimum</w:t>
      </w:r>
      <w:r w:rsidR="00E53F99" w:rsidRPr="002C716D">
        <w:rPr>
          <w:rFonts w:asciiTheme="minorHAnsi" w:hAnsiTheme="minorHAnsi" w:cstheme="minorHAnsi"/>
          <w:sz w:val="24"/>
          <w:szCs w:val="24"/>
          <w:vertAlign w:val="superscript"/>
        </w:rPr>
        <w:t>4</w:t>
      </w:r>
      <w:r w:rsidR="00A649AC">
        <w:rPr>
          <w:rFonts w:asciiTheme="minorHAnsi" w:hAnsiTheme="minorHAnsi" w:cstheme="minorHAnsi"/>
          <w:sz w:val="24"/>
          <w:szCs w:val="24"/>
        </w:rPr>
        <w:t>.</w:t>
      </w:r>
    </w:p>
    <w:p w:rsidR="006B64DE" w:rsidRPr="00C057A6" w:rsidRDefault="006B64DE" w:rsidP="006B64DE">
      <w:pPr>
        <w:spacing w:before="100" w:beforeAutospacing="1" w:line="240" w:lineRule="auto"/>
        <w:rPr>
          <w:rFonts w:asciiTheme="minorHAnsi" w:hAnsiTheme="minorHAnsi" w:cstheme="minorHAnsi"/>
          <w:i/>
          <w:sz w:val="24"/>
          <w:szCs w:val="24"/>
        </w:rPr>
      </w:pPr>
      <w:r w:rsidRPr="00C057A6">
        <w:rPr>
          <w:rFonts w:asciiTheme="minorHAnsi" w:hAnsiTheme="minorHAnsi" w:cstheme="minorHAnsi"/>
          <w:i/>
          <w:sz w:val="24"/>
          <w:szCs w:val="24"/>
        </w:rPr>
        <w:t>The evidence on health partnerships</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It was hoped that HWBs</w:t>
      </w:r>
      <w:r w:rsidRPr="003A4D5F">
        <w:rPr>
          <w:rFonts w:asciiTheme="minorHAnsi" w:hAnsiTheme="minorHAnsi" w:cstheme="minorHAnsi"/>
          <w:sz w:val="24"/>
          <w:szCs w:val="24"/>
        </w:rPr>
        <w:t xml:space="preserve"> would </w:t>
      </w:r>
      <w:r>
        <w:rPr>
          <w:rFonts w:asciiTheme="minorHAnsi" w:hAnsiTheme="minorHAnsi" w:cstheme="minorHAnsi"/>
          <w:sz w:val="24"/>
          <w:szCs w:val="24"/>
        </w:rPr>
        <w:t xml:space="preserve">learn </w:t>
      </w:r>
      <w:r w:rsidRPr="003A4D5F">
        <w:rPr>
          <w:rFonts w:asciiTheme="minorHAnsi" w:hAnsiTheme="minorHAnsi" w:cstheme="minorHAnsi"/>
          <w:sz w:val="24"/>
          <w:szCs w:val="24"/>
        </w:rPr>
        <w:t xml:space="preserve">the lessons from previous </w:t>
      </w:r>
      <w:r>
        <w:rPr>
          <w:rFonts w:asciiTheme="minorHAnsi" w:hAnsiTheme="minorHAnsi" w:cstheme="minorHAnsi"/>
          <w:sz w:val="24"/>
          <w:szCs w:val="24"/>
        </w:rPr>
        <w:t xml:space="preserve">and, judging by the evidence, largely ineffectual </w:t>
      </w:r>
      <w:r w:rsidRPr="003A4D5F">
        <w:rPr>
          <w:rFonts w:asciiTheme="minorHAnsi" w:hAnsiTheme="minorHAnsi" w:cstheme="minorHAnsi"/>
          <w:sz w:val="24"/>
          <w:szCs w:val="24"/>
        </w:rPr>
        <w:t>partne</w:t>
      </w:r>
      <w:r>
        <w:rPr>
          <w:rFonts w:asciiTheme="minorHAnsi" w:hAnsiTheme="minorHAnsi" w:cstheme="minorHAnsi"/>
          <w:sz w:val="24"/>
          <w:szCs w:val="24"/>
        </w:rPr>
        <w:t>rships and initiatives focused on tackling the wider determinants of health and health inequalities, such as Health Action Zones.</w:t>
      </w:r>
      <w:r>
        <w:rPr>
          <w:rStyle w:val="EndnoteReference"/>
          <w:rFonts w:asciiTheme="minorHAnsi" w:hAnsiTheme="minorHAnsi" w:cstheme="minorHAnsi"/>
          <w:sz w:val="24"/>
          <w:szCs w:val="24"/>
        </w:rPr>
        <w:endnoteReference w:id="13"/>
      </w:r>
      <w:r>
        <w:rPr>
          <w:rFonts w:asciiTheme="minorHAnsi" w:hAnsiTheme="minorHAnsi" w:cstheme="minorHAnsi"/>
          <w:sz w:val="24"/>
          <w:szCs w:val="24"/>
        </w:rPr>
        <w:t xml:space="preserve"> </w:t>
      </w:r>
      <w:r>
        <w:rPr>
          <w:rStyle w:val="EndnoteReference"/>
          <w:rFonts w:asciiTheme="minorHAnsi" w:hAnsiTheme="minorHAnsi" w:cstheme="minorHAnsi"/>
          <w:sz w:val="24"/>
          <w:szCs w:val="24"/>
        </w:rPr>
        <w:endnoteReference w:id="14"/>
      </w:r>
      <w:r w:rsidR="007967A8">
        <w:rPr>
          <w:rFonts w:asciiTheme="minorHAnsi" w:hAnsiTheme="minorHAnsi" w:cstheme="minorHAnsi"/>
          <w:sz w:val="24"/>
          <w:szCs w:val="24"/>
        </w:rPr>
        <w:t xml:space="preserve">  </w:t>
      </w:r>
      <w:r w:rsidR="0020625B">
        <w:rPr>
          <w:rFonts w:asciiTheme="minorHAnsi" w:hAnsiTheme="minorHAnsi" w:cstheme="minorHAnsi"/>
          <w:sz w:val="24"/>
          <w:szCs w:val="24"/>
        </w:rPr>
        <w:t>L</w:t>
      </w:r>
      <w:r>
        <w:rPr>
          <w:rFonts w:asciiTheme="minorHAnsi" w:hAnsiTheme="minorHAnsi" w:cstheme="minorHAnsi"/>
          <w:sz w:val="24"/>
          <w:szCs w:val="24"/>
        </w:rPr>
        <w:t>iterature review</w:t>
      </w:r>
      <w:r w:rsidR="0020625B">
        <w:rPr>
          <w:rFonts w:asciiTheme="minorHAnsi" w:hAnsiTheme="minorHAnsi" w:cstheme="minorHAnsi"/>
          <w:sz w:val="24"/>
          <w:szCs w:val="24"/>
        </w:rPr>
        <w:t>s</w:t>
      </w:r>
      <w:r>
        <w:rPr>
          <w:rFonts w:asciiTheme="minorHAnsi" w:hAnsiTheme="minorHAnsi" w:cstheme="minorHAnsi"/>
          <w:sz w:val="24"/>
          <w:szCs w:val="24"/>
        </w:rPr>
        <w:t xml:space="preserve"> of the evidence on public health partnerships </w:t>
      </w:r>
      <w:r w:rsidR="00C65841">
        <w:rPr>
          <w:rFonts w:asciiTheme="minorHAnsi" w:hAnsiTheme="minorHAnsi" w:cstheme="minorHAnsi"/>
          <w:sz w:val="24"/>
          <w:szCs w:val="24"/>
          <w:vertAlign w:val="superscript"/>
        </w:rPr>
        <w:t>13 14</w:t>
      </w:r>
      <w:r>
        <w:rPr>
          <w:rFonts w:asciiTheme="minorHAnsi" w:hAnsiTheme="minorHAnsi" w:cstheme="minorHAnsi"/>
          <w:sz w:val="24"/>
          <w:szCs w:val="24"/>
        </w:rPr>
        <w:t xml:space="preserve"> found there was</w:t>
      </w:r>
      <w:r w:rsidRPr="00DF28B5">
        <w:rPr>
          <w:rFonts w:asciiTheme="minorHAnsi" w:hAnsiTheme="minorHAnsi" w:cstheme="minorHAnsi"/>
          <w:sz w:val="24"/>
          <w:szCs w:val="24"/>
        </w:rPr>
        <w:t xml:space="preserve"> little</w:t>
      </w:r>
      <w:r>
        <w:rPr>
          <w:rFonts w:asciiTheme="minorHAnsi" w:hAnsiTheme="minorHAnsi" w:cstheme="minorHAnsi"/>
          <w:sz w:val="24"/>
          <w:szCs w:val="24"/>
        </w:rPr>
        <w:t xml:space="preserve"> evidence to suggest that they led to </w:t>
      </w:r>
      <w:r w:rsidRPr="00DF28B5">
        <w:rPr>
          <w:rFonts w:asciiTheme="minorHAnsi" w:hAnsiTheme="minorHAnsi" w:cstheme="minorHAnsi"/>
          <w:sz w:val="24"/>
          <w:szCs w:val="24"/>
        </w:rPr>
        <w:t>better health outcomes for local/target populations or reduced health inequalities.</w:t>
      </w:r>
      <w:r>
        <w:rPr>
          <w:rFonts w:asciiTheme="minorHAnsi" w:hAnsiTheme="minorHAnsi" w:cstheme="minorHAnsi"/>
          <w:sz w:val="24"/>
          <w:szCs w:val="24"/>
        </w:rPr>
        <w:t xml:space="preserve"> Factors in building and maintaining good partnerships in most of the literature include good relationships, gaining trust and having clear aims and objectives to foster desired outcomes.</w:t>
      </w:r>
      <w:r w:rsidR="00B86FBD" w:rsidRPr="00B86FBD">
        <w:rPr>
          <w:rFonts w:asciiTheme="minorHAnsi" w:hAnsiTheme="minorHAnsi" w:cstheme="minorHAnsi"/>
          <w:sz w:val="24"/>
          <w:szCs w:val="24"/>
          <w:vertAlign w:val="superscript"/>
        </w:rPr>
        <w:t>13 14</w:t>
      </w:r>
      <w:r w:rsidR="00B86FBD">
        <w:rPr>
          <w:rFonts w:asciiTheme="minorHAnsi" w:hAnsiTheme="minorHAnsi" w:cstheme="minorHAnsi"/>
          <w:sz w:val="24"/>
          <w:szCs w:val="24"/>
        </w:rPr>
        <w:t xml:space="preserve"> </w:t>
      </w:r>
      <w:r w:rsidR="00434107" w:rsidRPr="00434107">
        <w:rPr>
          <w:rFonts w:asciiTheme="minorHAnsi" w:hAnsiTheme="minorHAnsi" w:cstheme="minorHAnsi"/>
          <w:sz w:val="24"/>
          <w:szCs w:val="24"/>
          <w:vertAlign w:val="superscript"/>
        </w:rPr>
        <w:t>15 16</w:t>
      </w:r>
      <w:r w:rsidR="00434107">
        <w:rPr>
          <w:rFonts w:asciiTheme="minorHAnsi" w:hAnsiTheme="minorHAnsi" w:cstheme="minorHAnsi"/>
          <w:sz w:val="24"/>
          <w:szCs w:val="24"/>
          <w:vertAlign w:val="superscript"/>
        </w:rPr>
        <w:t xml:space="preserve"> </w:t>
      </w:r>
      <w:r w:rsidR="007F5091">
        <w:rPr>
          <w:rFonts w:asciiTheme="minorHAnsi" w:hAnsiTheme="minorHAnsi" w:cstheme="minorHAnsi"/>
          <w:sz w:val="24"/>
          <w:szCs w:val="24"/>
        </w:rPr>
        <w:t xml:space="preserve">A </w:t>
      </w:r>
      <w:r>
        <w:rPr>
          <w:rFonts w:asciiTheme="minorHAnsi" w:hAnsiTheme="minorHAnsi" w:cstheme="minorHAnsi"/>
          <w:sz w:val="24"/>
          <w:szCs w:val="24"/>
        </w:rPr>
        <w:t>rapid literature review highlighted the main determinants of successful public health partnerships and the main barriers to success</w:t>
      </w:r>
      <w:r w:rsidR="007F5091">
        <w:rPr>
          <w:rFonts w:asciiTheme="minorHAnsi" w:hAnsiTheme="minorHAnsi" w:cstheme="minorHAnsi"/>
          <w:sz w:val="24"/>
          <w:szCs w:val="24"/>
        </w:rPr>
        <w:t>:</w:t>
      </w:r>
      <w:r w:rsidR="00B86FBD" w:rsidRPr="00B86FBD">
        <w:rPr>
          <w:rFonts w:asciiTheme="minorHAnsi" w:hAnsiTheme="minorHAnsi" w:cstheme="minorHAnsi"/>
          <w:sz w:val="20"/>
          <w:szCs w:val="20"/>
          <w:vertAlign w:val="superscript"/>
        </w:rPr>
        <w:t>17</w:t>
      </w:r>
      <w:r w:rsidR="00586540">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6B64DE" w:rsidRPr="00C057A6" w:rsidRDefault="006B64DE" w:rsidP="006B64DE">
      <w:pPr>
        <w:spacing w:before="100" w:beforeAutospacing="1" w:line="240" w:lineRule="auto"/>
        <w:rPr>
          <w:rFonts w:asciiTheme="minorHAnsi" w:hAnsiTheme="minorHAnsi" w:cstheme="minorHAnsi"/>
          <w:i/>
          <w:sz w:val="24"/>
          <w:szCs w:val="24"/>
          <w:u w:val="single"/>
        </w:rPr>
      </w:pPr>
      <w:r w:rsidRPr="00C057A6">
        <w:rPr>
          <w:rFonts w:asciiTheme="minorHAnsi" w:hAnsiTheme="minorHAnsi" w:cstheme="minorHAnsi"/>
          <w:i/>
          <w:sz w:val="24"/>
          <w:szCs w:val="24"/>
          <w:u w:val="single"/>
        </w:rPr>
        <w:t>Determinants of successful partnerships</w:t>
      </w:r>
    </w:p>
    <w:p w:rsidR="006B64DE" w:rsidRDefault="006B64DE" w:rsidP="006B64DE">
      <w:pPr>
        <w:pStyle w:val="ListParagraph"/>
        <w:numPr>
          <w:ilvl w:val="0"/>
          <w:numId w:val="1"/>
        </w:numPr>
        <w:spacing w:before="100" w:beforeAutospacing="1" w:line="240" w:lineRule="auto"/>
        <w:rPr>
          <w:rFonts w:asciiTheme="minorHAnsi" w:hAnsiTheme="minorHAnsi" w:cstheme="minorHAnsi"/>
          <w:i/>
          <w:sz w:val="24"/>
          <w:szCs w:val="24"/>
        </w:rPr>
      </w:pPr>
      <w:r w:rsidRPr="00F5317A">
        <w:rPr>
          <w:rFonts w:asciiTheme="minorHAnsi" w:hAnsiTheme="minorHAnsi" w:cstheme="minorHAnsi"/>
          <w:sz w:val="24"/>
          <w:szCs w:val="24"/>
        </w:rPr>
        <w:t>Clarity regarding the goals and objectives of the partnership</w:t>
      </w:r>
    </w:p>
    <w:p w:rsidR="006B64DE" w:rsidRDefault="006B64DE" w:rsidP="006B64DE">
      <w:pPr>
        <w:pStyle w:val="ListParagraph"/>
        <w:numPr>
          <w:ilvl w:val="0"/>
          <w:numId w:val="1"/>
        </w:numPr>
        <w:spacing w:before="100" w:beforeAutospacing="1" w:line="240" w:lineRule="auto"/>
        <w:rPr>
          <w:rFonts w:asciiTheme="minorHAnsi" w:hAnsiTheme="minorHAnsi" w:cstheme="minorHAnsi"/>
          <w:i/>
          <w:sz w:val="24"/>
          <w:szCs w:val="24"/>
        </w:rPr>
      </w:pPr>
      <w:r w:rsidRPr="00F5317A">
        <w:rPr>
          <w:rFonts w:asciiTheme="minorHAnsi" w:hAnsiTheme="minorHAnsi" w:cstheme="minorHAnsi"/>
          <w:sz w:val="24"/>
          <w:szCs w:val="24"/>
        </w:rPr>
        <w:t>Evidence of goodwill and trust between partners, particularly at the frontline level</w:t>
      </w:r>
    </w:p>
    <w:p w:rsidR="006B64DE" w:rsidRDefault="006B64DE" w:rsidP="006B64DE">
      <w:pPr>
        <w:pStyle w:val="ListParagraph"/>
        <w:numPr>
          <w:ilvl w:val="0"/>
          <w:numId w:val="1"/>
        </w:numPr>
        <w:spacing w:before="100" w:beforeAutospacing="1" w:line="240" w:lineRule="auto"/>
        <w:rPr>
          <w:rFonts w:asciiTheme="minorHAnsi" w:hAnsiTheme="minorHAnsi" w:cstheme="minorHAnsi"/>
          <w:i/>
          <w:sz w:val="24"/>
          <w:szCs w:val="24"/>
        </w:rPr>
      </w:pPr>
      <w:r w:rsidRPr="00F5317A">
        <w:rPr>
          <w:rFonts w:asciiTheme="minorHAnsi" w:hAnsiTheme="minorHAnsi" w:cstheme="minorHAnsi"/>
          <w:sz w:val="24"/>
          <w:szCs w:val="24"/>
        </w:rPr>
        <w:t>A clear strategic commitment to performance through robust monitoring and evaluation.</w:t>
      </w:r>
    </w:p>
    <w:p w:rsidR="006B64DE" w:rsidRPr="00C057A6" w:rsidRDefault="006B64DE" w:rsidP="006B64DE">
      <w:pPr>
        <w:spacing w:before="100" w:beforeAutospacing="1" w:line="240" w:lineRule="auto"/>
        <w:rPr>
          <w:rFonts w:asciiTheme="minorHAnsi" w:hAnsiTheme="minorHAnsi" w:cstheme="minorHAnsi"/>
          <w:i/>
          <w:sz w:val="24"/>
          <w:szCs w:val="24"/>
          <w:u w:val="single"/>
        </w:rPr>
      </w:pPr>
      <w:r w:rsidRPr="00C057A6">
        <w:rPr>
          <w:rFonts w:asciiTheme="minorHAnsi" w:hAnsiTheme="minorHAnsi" w:cstheme="minorHAnsi"/>
          <w:i/>
          <w:sz w:val="24"/>
          <w:szCs w:val="24"/>
          <w:u w:val="single"/>
        </w:rPr>
        <w:t xml:space="preserve">Barriers to effective partnership working </w:t>
      </w:r>
    </w:p>
    <w:p w:rsidR="006B64DE" w:rsidRDefault="006B64DE" w:rsidP="006B64DE">
      <w:pPr>
        <w:pStyle w:val="ListParagraph"/>
        <w:numPr>
          <w:ilvl w:val="0"/>
          <w:numId w:val="2"/>
        </w:numPr>
        <w:spacing w:before="100" w:beforeAutospacing="1" w:line="240" w:lineRule="auto"/>
        <w:rPr>
          <w:rFonts w:asciiTheme="minorHAnsi" w:hAnsiTheme="minorHAnsi" w:cstheme="minorHAnsi"/>
          <w:sz w:val="24"/>
          <w:szCs w:val="24"/>
        </w:rPr>
      </w:pPr>
      <w:r w:rsidRPr="00F5317A">
        <w:rPr>
          <w:rFonts w:asciiTheme="minorHAnsi" w:hAnsiTheme="minorHAnsi" w:cstheme="minorHAnsi"/>
          <w:sz w:val="24"/>
          <w:szCs w:val="24"/>
        </w:rPr>
        <w:t>Conflicting agency priorities</w:t>
      </w:r>
      <w:r w:rsidR="00C211FA">
        <w:rPr>
          <w:rFonts w:asciiTheme="minorHAnsi" w:hAnsiTheme="minorHAnsi" w:cstheme="minorHAnsi"/>
          <w:sz w:val="24"/>
          <w:szCs w:val="24"/>
        </w:rPr>
        <w:t>,</w:t>
      </w:r>
      <w:r w:rsidRPr="00F5317A">
        <w:rPr>
          <w:rFonts w:asciiTheme="minorHAnsi" w:hAnsiTheme="minorHAnsi" w:cstheme="minorHAnsi"/>
          <w:sz w:val="24"/>
          <w:szCs w:val="24"/>
        </w:rPr>
        <w:t xml:space="preserve"> which served to negate or limit the potential of the partnership</w:t>
      </w:r>
    </w:p>
    <w:p w:rsidR="006B64DE" w:rsidRDefault="006B64DE" w:rsidP="006B64DE">
      <w:pPr>
        <w:pStyle w:val="ListParagraph"/>
        <w:numPr>
          <w:ilvl w:val="0"/>
          <w:numId w:val="2"/>
        </w:numPr>
        <w:spacing w:before="100" w:beforeAutospacing="1" w:line="240" w:lineRule="auto"/>
        <w:rPr>
          <w:rFonts w:asciiTheme="minorHAnsi" w:hAnsiTheme="minorHAnsi" w:cstheme="minorHAnsi"/>
          <w:sz w:val="24"/>
          <w:szCs w:val="24"/>
        </w:rPr>
      </w:pPr>
      <w:r w:rsidRPr="00F5317A">
        <w:rPr>
          <w:rFonts w:asciiTheme="minorHAnsi" w:hAnsiTheme="minorHAnsi" w:cstheme="minorHAnsi"/>
          <w:sz w:val="24"/>
          <w:szCs w:val="24"/>
        </w:rPr>
        <w:t>Lack of vertical as well as horizontal linkages between partners, i.e. absence of ownership</w:t>
      </w:r>
    </w:p>
    <w:p w:rsidR="006B64DE" w:rsidRDefault="006B64DE" w:rsidP="006B64DE">
      <w:pPr>
        <w:pStyle w:val="ListParagraph"/>
        <w:numPr>
          <w:ilvl w:val="0"/>
          <w:numId w:val="2"/>
        </w:numPr>
        <w:spacing w:before="100" w:beforeAutospacing="1" w:line="240" w:lineRule="auto"/>
        <w:rPr>
          <w:rFonts w:asciiTheme="minorHAnsi" w:hAnsiTheme="minorHAnsi" w:cstheme="minorHAnsi"/>
          <w:sz w:val="24"/>
          <w:szCs w:val="24"/>
        </w:rPr>
      </w:pPr>
      <w:r w:rsidRPr="00F5317A">
        <w:rPr>
          <w:rFonts w:asciiTheme="minorHAnsi" w:hAnsiTheme="minorHAnsi" w:cstheme="minorHAnsi"/>
          <w:sz w:val="24"/>
          <w:szCs w:val="24"/>
        </w:rPr>
        <w:t xml:space="preserve">Excessive bureaucracy, making </w:t>
      </w:r>
      <w:r w:rsidR="00C211FA">
        <w:rPr>
          <w:rFonts w:asciiTheme="minorHAnsi" w:hAnsiTheme="minorHAnsi" w:cstheme="minorHAnsi"/>
          <w:sz w:val="24"/>
          <w:szCs w:val="24"/>
        </w:rPr>
        <w:t xml:space="preserve">participants susceptible </w:t>
      </w:r>
      <w:r w:rsidRPr="00F5317A">
        <w:rPr>
          <w:rFonts w:asciiTheme="minorHAnsi" w:hAnsiTheme="minorHAnsi" w:cstheme="minorHAnsi"/>
          <w:sz w:val="24"/>
          <w:szCs w:val="24"/>
        </w:rPr>
        <w:t xml:space="preserve">to </w:t>
      </w:r>
      <w:r w:rsidR="00554275">
        <w:rPr>
          <w:rFonts w:asciiTheme="minorHAnsi" w:hAnsiTheme="minorHAnsi" w:cstheme="minorHAnsi"/>
          <w:sz w:val="24"/>
          <w:szCs w:val="24"/>
        </w:rPr>
        <w:t>becom</w:t>
      </w:r>
      <w:r w:rsidR="00C211FA">
        <w:rPr>
          <w:rFonts w:asciiTheme="minorHAnsi" w:hAnsiTheme="minorHAnsi" w:cstheme="minorHAnsi"/>
          <w:sz w:val="24"/>
          <w:szCs w:val="24"/>
        </w:rPr>
        <w:t>ing</w:t>
      </w:r>
      <w:r w:rsidR="00554275">
        <w:rPr>
          <w:rFonts w:asciiTheme="minorHAnsi" w:hAnsiTheme="minorHAnsi" w:cstheme="minorHAnsi"/>
          <w:sz w:val="24"/>
          <w:szCs w:val="24"/>
        </w:rPr>
        <w:t xml:space="preserve"> focused on </w:t>
      </w:r>
      <w:r w:rsidRPr="00F5317A">
        <w:rPr>
          <w:rFonts w:asciiTheme="minorHAnsi" w:hAnsiTheme="minorHAnsi" w:cstheme="minorHAnsi"/>
          <w:sz w:val="24"/>
          <w:szCs w:val="24"/>
        </w:rPr>
        <w:t>process</w:t>
      </w:r>
      <w:r w:rsidR="00C211FA">
        <w:rPr>
          <w:rFonts w:asciiTheme="minorHAnsi" w:hAnsiTheme="minorHAnsi" w:cstheme="minorHAnsi"/>
          <w:sz w:val="24"/>
          <w:szCs w:val="24"/>
        </w:rPr>
        <w:t>es</w:t>
      </w:r>
      <w:r w:rsidRPr="00F5317A">
        <w:rPr>
          <w:rFonts w:asciiTheme="minorHAnsi" w:hAnsiTheme="minorHAnsi" w:cstheme="minorHAnsi"/>
          <w:sz w:val="24"/>
          <w:szCs w:val="24"/>
        </w:rPr>
        <w:t xml:space="preserve"> </w:t>
      </w:r>
      <w:r w:rsidR="00C211FA">
        <w:rPr>
          <w:rFonts w:asciiTheme="minorHAnsi" w:hAnsiTheme="minorHAnsi" w:cstheme="minorHAnsi"/>
          <w:sz w:val="24"/>
          <w:szCs w:val="24"/>
        </w:rPr>
        <w:t>rather than outcomes.</w:t>
      </w:r>
    </w:p>
    <w:p w:rsidR="006B64DE" w:rsidRPr="00C057A6" w:rsidRDefault="006B64DE" w:rsidP="006B64DE">
      <w:pPr>
        <w:spacing w:before="100" w:beforeAutospacing="1" w:line="240" w:lineRule="auto"/>
        <w:rPr>
          <w:rFonts w:asciiTheme="minorHAnsi" w:hAnsiTheme="minorHAnsi" w:cstheme="minorHAnsi"/>
          <w:i/>
          <w:sz w:val="24"/>
          <w:szCs w:val="24"/>
        </w:rPr>
      </w:pPr>
      <w:r w:rsidRPr="00C057A6">
        <w:rPr>
          <w:rFonts w:asciiTheme="minorHAnsi" w:hAnsiTheme="minorHAnsi" w:cstheme="minorHAnsi"/>
          <w:i/>
          <w:sz w:val="24"/>
          <w:szCs w:val="24"/>
        </w:rPr>
        <w:t>HWBs: a different kind of partnership?</w:t>
      </w:r>
    </w:p>
    <w:p w:rsidR="006B64DE" w:rsidRDefault="007967A8"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E</w:t>
      </w:r>
      <w:r w:rsidR="006B64DE">
        <w:rPr>
          <w:rFonts w:asciiTheme="minorHAnsi" w:hAnsiTheme="minorHAnsi" w:cstheme="minorHAnsi"/>
          <w:sz w:val="24"/>
          <w:szCs w:val="24"/>
        </w:rPr>
        <w:t>arly studies of HWBs suggested that HWBs displayed a number of features that could differentiate them from previous partnerships, namely: involvement and engagement of GPs; wider relations between NHS and local government (not just social care); ensuring local populations can contribute to decisions about their services, partly through the contribution of HealthWatch and the voluntary sector</w:t>
      </w:r>
      <w:r>
        <w:rPr>
          <w:rFonts w:asciiTheme="minorHAnsi" w:hAnsiTheme="minorHAnsi" w:cstheme="minorHAnsi"/>
          <w:sz w:val="24"/>
          <w:szCs w:val="24"/>
        </w:rPr>
        <w:t>; and</w:t>
      </w:r>
      <w:r w:rsidR="006B64DE">
        <w:rPr>
          <w:rFonts w:asciiTheme="minorHAnsi" w:hAnsiTheme="minorHAnsi" w:cstheme="minorHAnsi"/>
          <w:sz w:val="24"/>
          <w:szCs w:val="24"/>
        </w:rPr>
        <w:t xml:space="preserve"> opportunities due to the move of public health into local government and better accountability and governance due to being a sub-committee of the local authority.</w:t>
      </w:r>
      <w:r w:rsidR="006B64DE">
        <w:rPr>
          <w:rStyle w:val="EndnoteReference"/>
          <w:rFonts w:asciiTheme="minorHAnsi" w:hAnsiTheme="minorHAnsi" w:cstheme="minorHAnsi"/>
          <w:sz w:val="24"/>
          <w:szCs w:val="24"/>
        </w:rPr>
        <w:endnoteReference w:id="15"/>
      </w:r>
      <w:r w:rsidR="006B64DE">
        <w:rPr>
          <w:rFonts w:asciiTheme="minorHAnsi" w:hAnsiTheme="minorHAnsi" w:cstheme="minorHAnsi"/>
          <w:sz w:val="24"/>
          <w:szCs w:val="24"/>
        </w:rPr>
        <w:t xml:space="preserve"> </w:t>
      </w:r>
      <w:r w:rsidR="006B64DE">
        <w:rPr>
          <w:rStyle w:val="EndnoteReference"/>
          <w:rFonts w:asciiTheme="minorHAnsi" w:hAnsiTheme="minorHAnsi" w:cstheme="minorHAnsi"/>
          <w:sz w:val="24"/>
          <w:szCs w:val="24"/>
        </w:rPr>
        <w:endnoteReference w:id="16"/>
      </w:r>
      <w:r w:rsidR="006B64DE">
        <w:rPr>
          <w:rFonts w:asciiTheme="minorHAnsi" w:hAnsiTheme="minorHAnsi" w:cstheme="minorHAnsi"/>
          <w:sz w:val="24"/>
          <w:szCs w:val="24"/>
        </w:rPr>
        <w:t xml:space="preserve"> </w:t>
      </w:r>
      <w:r w:rsidR="00B86FBD" w:rsidRPr="00B86FBD">
        <w:rPr>
          <w:rFonts w:asciiTheme="minorHAnsi" w:hAnsiTheme="minorHAnsi" w:cstheme="minorHAnsi"/>
          <w:sz w:val="24"/>
          <w:szCs w:val="24"/>
          <w:vertAlign w:val="superscript"/>
        </w:rPr>
        <w:t>18</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lastRenderedPageBreak/>
        <w:t>In the light of findings from previous studies, we seek to determine:</w:t>
      </w:r>
    </w:p>
    <w:p w:rsidR="006B64DE" w:rsidRPr="00A81509" w:rsidRDefault="006B64DE" w:rsidP="00A81509">
      <w:pPr>
        <w:pStyle w:val="ListParagraph"/>
        <w:numPr>
          <w:ilvl w:val="0"/>
          <w:numId w:val="4"/>
        </w:numPr>
        <w:rPr>
          <w:sz w:val="24"/>
          <w:szCs w:val="24"/>
        </w:rPr>
      </w:pPr>
      <w:bookmarkStart w:id="2" w:name="_Hlk4775210"/>
      <w:r w:rsidRPr="00A81509">
        <w:rPr>
          <w:sz w:val="24"/>
          <w:szCs w:val="24"/>
        </w:rPr>
        <w:t>To what extent have HWBs operated differently to previous partnerships in tackling the wider determinants of health and how much ownership is there of the JHWS among partners?</w:t>
      </w:r>
    </w:p>
    <w:p w:rsidR="00CA4902" w:rsidRDefault="00863295" w:rsidP="0004125C">
      <w:pPr>
        <w:rPr>
          <w:sz w:val="24"/>
          <w:szCs w:val="24"/>
        </w:rPr>
      </w:pPr>
      <w:r w:rsidRPr="00863295">
        <w:rPr>
          <w:sz w:val="24"/>
          <w:szCs w:val="24"/>
        </w:rPr>
        <w:t xml:space="preserve">In terms of </w:t>
      </w:r>
      <w:r w:rsidR="005105C3">
        <w:rPr>
          <w:sz w:val="24"/>
          <w:szCs w:val="24"/>
        </w:rPr>
        <w:t xml:space="preserve">HWBs being </w:t>
      </w:r>
      <w:r w:rsidRPr="00863295">
        <w:rPr>
          <w:sz w:val="24"/>
          <w:szCs w:val="24"/>
        </w:rPr>
        <w:t>different from previous partnerships</w:t>
      </w:r>
      <w:r w:rsidR="00A81509">
        <w:rPr>
          <w:sz w:val="24"/>
          <w:szCs w:val="24"/>
        </w:rPr>
        <w:t>,</w:t>
      </w:r>
      <w:r w:rsidR="00A81509" w:rsidRPr="00863295">
        <w:rPr>
          <w:sz w:val="24"/>
          <w:szCs w:val="24"/>
        </w:rPr>
        <w:t xml:space="preserve"> given</w:t>
      </w:r>
      <w:r w:rsidR="005105C3">
        <w:rPr>
          <w:sz w:val="24"/>
          <w:szCs w:val="24"/>
        </w:rPr>
        <w:t xml:space="preserve"> their </w:t>
      </w:r>
      <w:r w:rsidRPr="00863295">
        <w:rPr>
          <w:sz w:val="24"/>
          <w:szCs w:val="24"/>
        </w:rPr>
        <w:t>local government base</w:t>
      </w:r>
      <w:r w:rsidR="005105C3">
        <w:rPr>
          <w:sz w:val="24"/>
          <w:szCs w:val="24"/>
        </w:rPr>
        <w:t xml:space="preserve"> and links with </w:t>
      </w:r>
      <w:r w:rsidR="00AD7F74">
        <w:rPr>
          <w:sz w:val="24"/>
          <w:szCs w:val="24"/>
        </w:rPr>
        <w:t>clin</w:t>
      </w:r>
      <w:r w:rsidR="00C211FA">
        <w:rPr>
          <w:sz w:val="24"/>
          <w:szCs w:val="24"/>
        </w:rPr>
        <w:t>i</w:t>
      </w:r>
      <w:r w:rsidR="00AD7F74">
        <w:rPr>
          <w:sz w:val="24"/>
          <w:szCs w:val="24"/>
        </w:rPr>
        <w:t>cal commissioning groups (</w:t>
      </w:r>
      <w:r w:rsidR="005105C3">
        <w:rPr>
          <w:sz w:val="24"/>
          <w:szCs w:val="24"/>
        </w:rPr>
        <w:t>CCGs</w:t>
      </w:r>
      <w:r w:rsidR="00C16677">
        <w:rPr>
          <w:sz w:val="24"/>
          <w:szCs w:val="24"/>
        </w:rPr>
        <w:t>)</w:t>
      </w:r>
      <w:r w:rsidR="005105C3">
        <w:rPr>
          <w:sz w:val="24"/>
          <w:szCs w:val="24"/>
        </w:rPr>
        <w:t xml:space="preserve"> and local groups</w:t>
      </w:r>
      <w:r w:rsidR="00A92F8A">
        <w:rPr>
          <w:sz w:val="24"/>
          <w:szCs w:val="24"/>
        </w:rPr>
        <w:t xml:space="preserve">: </w:t>
      </w:r>
    </w:p>
    <w:p w:rsidR="00CA4902" w:rsidRPr="00A81509" w:rsidRDefault="00863295" w:rsidP="00A81509">
      <w:pPr>
        <w:pStyle w:val="ListParagraph"/>
        <w:numPr>
          <w:ilvl w:val="0"/>
          <w:numId w:val="4"/>
        </w:numPr>
        <w:rPr>
          <w:sz w:val="24"/>
          <w:szCs w:val="24"/>
        </w:rPr>
      </w:pPr>
      <w:r w:rsidRPr="00A81509">
        <w:rPr>
          <w:sz w:val="24"/>
          <w:szCs w:val="24"/>
        </w:rPr>
        <w:t>How far have HWBs strengthened collaboration, trust, goodwill and linkages between partners horizontally (across organi</w:t>
      </w:r>
      <w:r w:rsidR="00E21DC3">
        <w:rPr>
          <w:sz w:val="24"/>
          <w:szCs w:val="24"/>
        </w:rPr>
        <w:t>z</w:t>
      </w:r>
      <w:r w:rsidRPr="00A81509">
        <w:rPr>
          <w:sz w:val="24"/>
          <w:szCs w:val="24"/>
        </w:rPr>
        <w:t xml:space="preserve">ations </w:t>
      </w:r>
      <w:r w:rsidR="005105C3" w:rsidRPr="00A81509">
        <w:rPr>
          <w:sz w:val="24"/>
          <w:szCs w:val="24"/>
        </w:rPr>
        <w:t>including</w:t>
      </w:r>
      <w:r w:rsidRPr="00A81509">
        <w:rPr>
          <w:sz w:val="24"/>
          <w:szCs w:val="24"/>
        </w:rPr>
        <w:t xml:space="preserve"> CCGs) and vertically (with agencies ‘on the ground’ </w:t>
      </w:r>
      <w:r w:rsidR="005105C3" w:rsidRPr="00A81509">
        <w:rPr>
          <w:sz w:val="24"/>
          <w:szCs w:val="24"/>
        </w:rPr>
        <w:t xml:space="preserve">such </w:t>
      </w:r>
      <w:r w:rsidR="00C21E48" w:rsidRPr="00A81509">
        <w:rPr>
          <w:sz w:val="24"/>
          <w:szCs w:val="24"/>
        </w:rPr>
        <w:t>as HealthWatch</w:t>
      </w:r>
      <w:r w:rsidRPr="00A81509">
        <w:rPr>
          <w:sz w:val="24"/>
          <w:szCs w:val="24"/>
        </w:rPr>
        <w:t xml:space="preserve"> and the voluntary sector)?</w:t>
      </w:r>
    </w:p>
    <w:bookmarkEnd w:id="2"/>
    <w:p w:rsidR="006B64DE" w:rsidRPr="00D04BDF" w:rsidRDefault="006B64DE" w:rsidP="006B64DE">
      <w:pPr>
        <w:spacing w:before="100" w:beforeAutospacing="1" w:line="240" w:lineRule="auto"/>
        <w:rPr>
          <w:rFonts w:asciiTheme="minorHAnsi" w:hAnsiTheme="minorHAnsi" w:cstheme="minorHAnsi"/>
          <w:b/>
          <w:sz w:val="24"/>
          <w:szCs w:val="24"/>
        </w:rPr>
      </w:pPr>
      <w:r w:rsidRPr="00D04BDF">
        <w:rPr>
          <w:rFonts w:asciiTheme="minorHAnsi" w:hAnsiTheme="minorHAnsi" w:cstheme="minorHAnsi"/>
          <w:b/>
          <w:sz w:val="24"/>
          <w:szCs w:val="24"/>
        </w:rPr>
        <w:t xml:space="preserve">Methods </w:t>
      </w:r>
    </w:p>
    <w:p w:rsidR="005105C3" w:rsidRDefault="00554275"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D</w:t>
      </w:r>
      <w:r w:rsidR="006B64DE" w:rsidRPr="003C216F">
        <w:rPr>
          <w:rFonts w:asciiTheme="minorHAnsi" w:hAnsiTheme="minorHAnsi" w:cstheme="minorHAnsi"/>
          <w:sz w:val="24"/>
          <w:szCs w:val="24"/>
        </w:rPr>
        <w:t xml:space="preserve">ata were collected from in-depth </w:t>
      </w:r>
      <w:r>
        <w:rPr>
          <w:rFonts w:asciiTheme="minorHAnsi" w:hAnsiTheme="minorHAnsi" w:cstheme="minorHAnsi"/>
          <w:sz w:val="24"/>
          <w:szCs w:val="24"/>
        </w:rPr>
        <w:t xml:space="preserve">case-study </w:t>
      </w:r>
      <w:r w:rsidR="006B64DE" w:rsidRPr="003C216F">
        <w:rPr>
          <w:rFonts w:asciiTheme="minorHAnsi" w:hAnsiTheme="minorHAnsi" w:cstheme="minorHAnsi"/>
          <w:sz w:val="24"/>
          <w:szCs w:val="24"/>
        </w:rPr>
        <w:t xml:space="preserve">fieldwork conducted </w:t>
      </w:r>
      <w:r>
        <w:rPr>
          <w:rFonts w:asciiTheme="minorHAnsi" w:hAnsiTheme="minorHAnsi" w:cstheme="minorHAnsi"/>
          <w:sz w:val="24"/>
          <w:szCs w:val="24"/>
        </w:rPr>
        <w:t>at</w:t>
      </w:r>
      <w:r w:rsidRPr="003C216F">
        <w:rPr>
          <w:rFonts w:asciiTheme="minorHAnsi" w:hAnsiTheme="minorHAnsi" w:cstheme="minorHAnsi"/>
          <w:sz w:val="24"/>
          <w:szCs w:val="24"/>
        </w:rPr>
        <w:t xml:space="preserve"> </w:t>
      </w:r>
      <w:r w:rsidR="006B64DE" w:rsidRPr="003C216F">
        <w:rPr>
          <w:rFonts w:asciiTheme="minorHAnsi" w:hAnsiTheme="minorHAnsi" w:cstheme="minorHAnsi"/>
          <w:sz w:val="24"/>
          <w:szCs w:val="24"/>
        </w:rPr>
        <w:t>five local authorities</w:t>
      </w:r>
      <w:r w:rsidR="00C211FA">
        <w:rPr>
          <w:rFonts w:asciiTheme="minorHAnsi" w:hAnsiTheme="minorHAnsi" w:cstheme="minorHAnsi"/>
          <w:sz w:val="24"/>
          <w:szCs w:val="24"/>
        </w:rPr>
        <w:t xml:space="preserve"> (termed ‘sites’)</w:t>
      </w:r>
      <w:r w:rsidR="006B64DE">
        <w:rPr>
          <w:rFonts w:asciiTheme="minorHAnsi" w:hAnsiTheme="minorHAnsi" w:cstheme="minorHAnsi"/>
          <w:sz w:val="24"/>
          <w:szCs w:val="24"/>
        </w:rPr>
        <w:t xml:space="preserve">. </w:t>
      </w:r>
      <w:r w:rsidR="006B64DE" w:rsidRPr="00826F7C">
        <w:rPr>
          <w:rFonts w:asciiTheme="minorHAnsi" w:hAnsiTheme="minorHAnsi" w:cstheme="minorHAnsi"/>
          <w:sz w:val="24"/>
          <w:szCs w:val="24"/>
        </w:rPr>
        <w:t xml:space="preserve">Sampling criteria </w:t>
      </w:r>
      <w:r>
        <w:rPr>
          <w:rFonts w:asciiTheme="minorHAnsi" w:hAnsiTheme="minorHAnsi" w:cstheme="minorHAnsi"/>
          <w:sz w:val="24"/>
          <w:szCs w:val="24"/>
        </w:rPr>
        <w:t xml:space="preserve">for the five case studies </w:t>
      </w:r>
      <w:r w:rsidR="006B64DE" w:rsidRPr="00826F7C">
        <w:rPr>
          <w:rFonts w:asciiTheme="minorHAnsi" w:hAnsiTheme="minorHAnsi" w:cstheme="minorHAnsi"/>
          <w:sz w:val="24"/>
          <w:szCs w:val="24"/>
        </w:rPr>
        <w:t>included geographic location, type of authority, political affiliation, urban</w:t>
      </w:r>
      <w:r w:rsidR="006B64DE">
        <w:rPr>
          <w:rFonts w:asciiTheme="minorHAnsi" w:hAnsiTheme="minorHAnsi" w:cstheme="minorHAnsi"/>
          <w:sz w:val="24"/>
          <w:szCs w:val="24"/>
        </w:rPr>
        <w:t xml:space="preserve">/rural setting, and population size (see table 1). </w:t>
      </w:r>
    </w:p>
    <w:p w:rsidR="005105C3" w:rsidRDefault="005105C3" w:rsidP="006B64DE">
      <w:pPr>
        <w:spacing w:before="100" w:beforeAutospacing="1" w:line="240" w:lineRule="auto"/>
        <w:rPr>
          <w:rFonts w:asciiTheme="minorHAnsi" w:hAnsiTheme="minorHAnsi" w:cstheme="minorHAnsi"/>
          <w:sz w:val="24"/>
          <w:szCs w:val="24"/>
        </w:rPr>
      </w:pPr>
      <w:r>
        <w:rPr>
          <w:rFonts w:asciiTheme="minorHAnsi" w:hAnsiTheme="minorHAnsi" w:cstheme="minorHAnsi"/>
          <w:b/>
          <w:sz w:val="24"/>
          <w:szCs w:val="24"/>
        </w:rPr>
        <w:t>[</w:t>
      </w:r>
      <w:r w:rsidR="006B64DE" w:rsidRPr="006024DE">
        <w:rPr>
          <w:rFonts w:asciiTheme="minorHAnsi" w:hAnsiTheme="minorHAnsi" w:cstheme="minorHAnsi"/>
          <w:b/>
          <w:sz w:val="24"/>
          <w:szCs w:val="24"/>
        </w:rPr>
        <w:t>Table 1 here</w:t>
      </w:r>
      <w:r>
        <w:rPr>
          <w:rFonts w:asciiTheme="minorHAnsi" w:hAnsiTheme="minorHAnsi" w:cstheme="minorHAnsi"/>
          <w:b/>
          <w:sz w:val="24"/>
          <w:szCs w:val="24"/>
        </w:rPr>
        <w:t>]</w:t>
      </w:r>
      <w:r w:rsidR="006B64DE">
        <w:rPr>
          <w:rFonts w:asciiTheme="minorHAnsi" w:hAnsiTheme="minorHAnsi" w:cstheme="minorHAnsi"/>
          <w:sz w:val="24"/>
          <w:szCs w:val="24"/>
        </w:rPr>
        <w:t xml:space="preserve"> </w:t>
      </w:r>
    </w:p>
    <w:p w:rsidR="005105C3" w:rsidRDefault="00554275"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 xml:space="preserve">There were </w:t>
      </w:r>
      <w:r w:rsidR="006B64DE" w:rsidRPr="004643E2">
        <w:rPr>
          <w:rFonts w:asciiTheme="minorHAnsi" w:hAnsiTheme="minorHAnsi" w:cstheme="minorHAnsi"/>
          <w:sz w:val="24"/>
          <w:szCs w:val="24"/>
        </w:rPr>
        <w:t xml:space="preserve">initial interviews (n=57) primarily with HWB members </w:t>
      </w:r>
      <w:r w:rsidR="006B64DE">
        <w:rPr>
          <w:rFonts w:asciiTheme="minorHAnsi" w:hAnsiTheme="minorHAnsi" w:cstheme="minorHAnsi"/>
          <w:sz w:val="24"/>
          <w:szCs w:val="24"/>
        </w:rPr>
        <w:t xml:space="preserve">conducted </w:t>
      </w:r>
      <w:r w:rsidR="006B64DE" w:rsidRPr="004643E2">
        <w:rPr>
          <w:rFonts w:asciiTheme="minorHAnsi" w:hAnsiTheme="minorHAnsi" w:cstheme="minorHAnsi"/>
          <w:sz w:val="24"/>
          <w:szCs w:val="24"/>
        </w:rPr>
        <w:t xml:space="preserve">between October 2015 and August 2016, and follow-up interviews </w:t>
      </w:r>
      <w:r w:rsidR="006B64DE">
        <w:rPr>
          <w:rFonts w:asciiTheme="minorHAnsi" w:hAnsiTheme="minorHAnsi" w:cstheme="minorHAnsi"/>
          <w:sz w:val="24"/>
          <w:szCs w:val="24"/>
        </w:rPr>
        <w:t>conducted between</w:t>
      </w:r>
      <w:r w:rsidR="006B64DE" w:rsidRPr="004643E2">
        <w:rPr>
          <w:rFonts w:asciiTheme="minorHAnsi" w:hAnsiTheme="minorHAnsi" w:cstheme="minorHAnsi"/>
          <w:sz w:val="24"/>
          <w:szCs w:val="24"/>
        </w:rPr>
        <w:t xml:space="preserve"> November 2016 </w:t>
      </w:r>
      <w:r w:rsidR="006B64DE">
        <w:rPr>
          <w:rFonts w:asciiTheme="minorHAnsi" w:hAnsiTheme="minorHAnsi" w:cstheme="minorHAnsi"/>
          <w:sz w:val="24"/>
          <w:szCs w:val="24"/>
        </w:rPr>
        <w:t>and</w:t>
      </w:r>
      <w:r w:rsidR="006B64DE" w:rsidRPr="004643E2">
        <w:rPr>
          <w:rFonts w:asciiTheme="minorHAnsi" w:hAnsiTheme="minorHAnsi" w:cstheme="minorHAnsi"/>
          <w:sz w:val="24"/>
          <w:szCs w:val="24"/>
        </w:rPr>
        <w:t xml:space="preserve"> February 2017 (n=22). Focus groups (n=5) </w:t>
      </w:r>
      <w:r w:rsidR="006B64DE">
        <w:rPr>
          <w:rFonts w:asciiTheme="minorHAnsi" w:hAnsiTheme="minorHAnsi" w:cstheme="minorHAnsi"/>
          <w:sz w:val="24"/>
          <w:szCs w:val="24"/>
        </w:rPr>
        <w:t xml:space="preserve">were conducted </w:t>
      </w:r>
      <w:r w:rsidR="006B64DE" w:rsidRPr="004643E2">
        <w:rPr>
          <w:rFonts w:asciiTheme="minorHAnsi" w:hAnsiTheme="minorHAnsi" w:cstheme="minorHAnsi"/>
          <w:sz w:val="24"/>
          <w:szCs w:val="24"/>
        </w:rPr>
        <w:t xml:space="preserve">with </w:t>
      </w:r>
      <w:r w:rsidR="006B64DE">
        <w:rPr>
          <w:rFonts w:asciiTheme="minorHAnsi" w:hAnsiTheme="minorHAnsi" w:cstheme="minorHAnsi"/>
          <w:sz w:val="24"/>
          <w:szCs w:val="24"/>
        </w:rPr>
        <w:t>voluntary</w:t>
      </w:r>
      <w:r w:rsidR="00C211FA">
        <w:rPr>
          <w:rFonts w:asciiTheme="minorHAnsi" w:hAnsiTheme="minorHAnsi" w:cstheme="minorHAnsi"/>
          <w:sz w:val="24"/>
          <w:szCs w:val="24"/>
        </w:rPr>
        <w:t>-</w:t>
      </w:r>
      <w:r w:rsidR="006B64DE" w:rsidRPr="004643E2">
        <w:rPr>
          <w:rFonts w:asciiTheme="minorHAnsi" w:hAnsiTheme="minorHAnsi" w:cstheme="minorHAnsi"/>
          <w:sz w:val="24"/>
          <w:szCs w:val="24"/>
        </w:rPr>
        <w:t>sector organi</w:t>
      </w:r>
      <w:r w:rsidR="00E21DC3">
        <w:rPr>
          <w:rFonts w:asciiTheme="minorHAnsi" w:hAnsiTheme="minorHAnsi" w:cstheme="minorHAnsi"/>
          <w:sz w:val="24"/>
          <w:szCs w:val="24"/>
        </w:rPr>
        <w:t>z</w:t>
      </w:r>
      <w:r w:rsidR="006B64DE" w:rsidRPr="004643E2">
        <w:rPr>
          <w:rFonts w:asciiTheme="minorHAnsi" w:hAnsiTheme="minorHAnsi" w:cstheme="minorHAnsi"/>
          <w:sz w:val="24"/>
          <w:szCs w:val="24"/>
        </w:rPr>
        <w:t xml:space="preserve">ations </w:t>
      </w:r>
      <w:r>
        <w:rPr>
          <w:rFonts w:asciiTheme="minorHAnsi" w:hAnsiTheme="minorHAnsi" w:cstheme="minorHAnsi"/>
          <w:sz w:val="24"/>
          <w:szCs w:val="24"/>
        </w:rPr>
        <w:t>at</w:t>
      </w:r>
      <w:r w:rsidR="006B64DE" w:rsidRPr="004643E2">
        <w:rPr>
          <w:rFonts w:asciiTheme="minorHAnsi" w:hAnsiTheme="minorHAnsi" w:cstheme="minorHAnsi"/>
          <w:sz w:val="24"/>
          <w:szCs w:val="24"/>
        </w:rPr>
        <w:t xml:space="preserve"> each site.</w:t>
      </w:r>
      <w:r w:rsidR="006B64DE">
        <w:rPr>
          <w:rFonts w:asciiTheme="minorHAnsi" w:hAnsiTheme="minorHAnsi" w:cstheme="minorHAnsi"/>
          <w:sz w:val="24"/>
          <w:szCs w:val="24"/>
        </w:rPr>
        <w:t xml:space="preserve"> </w:t>
      </w:r>
    </w:p>
    <w:p w:rsidR="00554275" w:rsidRPr="00C057A6" w:rsidRDefault="00554275" w:rsidP="006B64DE">
      <w:pPr>
        <w:spacing w:before="100" w:beforeAutospacing="1" w:line="240" w:lineRule="auto"/>
        <w:rPr>
          <w:sz w:val="24"/>
          <w:szCs w:val="24"/>
        </w:rPr>
      </w:pPr>
      <w:r w:rsidRPr="00C057A6">
        <w:rPr>
          <w:sz w:val="24"/>
          <w:szCs w:val="24"/>
          <w:lang w:val="en-NZ"/>
        </w:rPr>
        <w:t xml:space="preserve">In terms of analysing the data, </w:t>
      </w:r>
      <w:r w:rsidR="00863295" w:rsidRPr="00C057A6">
        <w:rPr>
          <w:sz w:val="24"/>
          <w:szCs w:val="24"/>
        </w:rPr>
        <w:t>initially this was undertaken by visual and diagrammatic methods, which were used alongside text-based methods, to assist in mapping local configurations and roles in HWBs. This process took place during five one</w:t>
      </w:r>
      <w:r w:rsidRPr="00C057A6">
        <w:rPr>
          <w:sz w:val="24"/>
          <w:szCs w:val="24"/>
        </w:rPr>
        <w:t>-</w:t>
      </w:r>
      <w:r w:rsidR="00863295" w:rsidRPr="00C057A6">
        <w:rPr>
          <w:sz w:val="24"/>
          <w:szCs w:val="24"/>
        </w:rPr>
        <w:t xml:space="preserve">day workshops involving all members of the research team to undertake analysis of one case study site per workshop. </w:t>
      </w:r>
      <w:r w:rsidR="002A224F" w:rsidRPr="00C057A6">
        <w:rPr>
          <w:sz w:val="24"/>
          <w:szCs w:val="24"/>
        </w:rPr>
        <w:t>A</w:t>
      </w:r>
      <w:r w:rsidR="00863295" w:rsidRPr="00C057A6">
        <w:rPr>
          <w:sz w:val="24"/>
          <w:szCs w:val="24"/>
        </w:rPr>
        <w:t xml:space="preserve">nalysis of the data </w:t>
      </w:r>
      <w:r w:rsidR="002A224F" w:rsidRPr="00C057A6">
        <w:rPr>
          <w:sz w:val="24"/>
          <w:szCs w:val="24"/>
        </w:rPr>
        <w:t>w</w:t>
      </w:r>
      <w:r w:rsidR="004C78AF" w:rsidRPr="00C057A6">
        <w:rPr>
          <w:sz w:val="24"/>
          <w:szCs w:val="24"/>
        </w:rPr>
        <w:t>as</w:t>
      </w:r>
      <w:r w:rsidR="002A224F" w:rsidRPr="00C057A6">
        <w:rPr>
          <w:sz w:val="24"/>
          <w:szCs w:val="24"/>
        </w:rPr>
        <w:t xml:space="preserve"> also conducted </w:t>
      </w:r>
      <w:r w:rsidR="00863295" w:rsidRPr="00C057A6">
        <w:rPr>
          <w:sz w:val="24"/>
          <w:szCs w:val="24"/>
        </w:rPr>
        <w:t>using NVivo. A framework analysis approach was adopted</w:t>
      </w:r>
      <w:r w:rsidR="00C211FA" w:rsidRPr="00C057A6">
        <w:rPr>
          <w:sz w:val="24"/>
          <w:szCs w:val="24"/>
        </w:rPr>
        <w:t>,</w:t>
      </w:r>
      <w:r w:rsidR="00863295" w:rsidRPr="00C057A6">
        <w:rPr>
          <w:sz w:val="24"/>
          <w:szCs w:val="24"/>
        </w:rPr>
        <w:t xml:space="preserve"> which identifies key issues and concepts through a thematic approach to the data analysis, informed by the interview schedule and subsequent analysis of the interview transcripts.</w:t>
      </w:r>
      <w:r w:rsidR="004C78AF" w:rsidRPr="00C057A6">
        <w:rPr>
          <w:sz w:val="24"/>
          <w:szCs w:val="24"/>
          <w:vertAlign w:val="superscript"/>
        </w:rPr>
        <w:t>19</w:t>
      </w:r>
      <w:r w:rsidR="00863295" w:rsidRPr="00C057A6">
        <w:rPr>
          <w:sz w:val="24"/>
          <w:szCs w:val="24"/>
        </w:rPr>
        <w:t xml:space="preserve"> </w:t>
      </w:r>
    </w:p>
    <w:p w:rsidR="0004125C" w:rsidRDefault="00863295" w:rsidP="006B64DE">
      <w:pPr>
        <w:spacing w:before="100" w:beforeAutospacing="1" w:line="240" w:lineRule="auto"/>
        <w:rPr>
          <w:rFonts w:asciiTheme="minorHAnsi" w:hAnsiTheme="minorHAnsi" w:cstheme="minorHAnsi"/>
          <w:sz w:val="24"/>
          <w:szCs w:val="24"/>
        </w:rPr>
      </w:pPr>
      <w:r w:rsidRPr="00C057A6">
        <w:rPr>
          <w:sz w:val="24"/>
          <w:szCs w:val="24"/>
        </w:rPr>
        <w:t>The analysis was first conducted at a within-case</w:t>
      </w:r>
      <w:r w:rsidR="00554275" w:rsidRPr="00C057A6">
        <w:rPr>
          <w:sz w:val="24"/>
          <w:szCs w:val="24"/>
        </w:rPr>
        <w:t xml:space="preserve"> </w:t>
      </w:r>
      <w:r w:rsidRPr="00C057A6">
        <w:rPr>
          <w:sz w:val="24"/>
          <w:szCs w:val="24"/>
        </w:rPr>
        <w:t>level to integrate and triangulate data in order to holistically describe the composition and function of the HWB within each site. Cross-case and longitudinal comparisons (constant comparisons) were then conducted across the sites to illuminate key contextual factors that shape the likely impact of HWBs as system leaders in facilitating health improvement, as well as whether and how these factors have changed over time.</w:t>
      </w:r>
      <w:r w:rsidR="002A224F" w:rsidRPr="004529FA">
        <w:t xml:space="preserve"> </w:t>
      </w:r>
    </w:p>
    <w:p w:rsidR="006B64DE" w:rsidRPr="00D04BDF" w:rsidRDefault="006B64DE" w:rsidP="006B64DE">
      <w:pPr>
        <w:spacing w:before="100" w:beforeAutospacing="1" w:line="240" w:lineRule="auto"/>
        <w:rPr>
          <w:rFonts w:asciiTheme="minorHAnsi" w:hAnsiTheme="minorHAnsi" w:cstheme="minorHAnsi"/>
          <w:b/>
          <w:sz w:val="24"/>
          <w:szCs w:val="24"/>
        </w:rPr>
      </w:pPr>
      <w:r w:rsidRPr="00D04BDF">
        <w:rPr>
          <w:rFonts w:asciiTheme="minorHAnsi" w:hAnsiTheme="minorHAnsi" w:cstheme="minorHAnsi"/>
          <w:b/>
          <w:sz w:val="24"/>
          <w:szCs w:val="24"/>
        </w:rPr>
        <w:t>Results</w:t>
      </w:r>
    </w:p>
    <w:p w:rsidR="006B64DE" w:rsidRDefault="00B33FCF"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lastRenderedPageBreak/>
        <w:t>This section</w:t>
      </w:r>
      <w:r w:rsidR="005105C3">
        <w:rPr>
          <w:rFonts w:asciiTheme="minorHAnsi" w:hAnsiTheme="minorHAnsi" w:cstheme="minorHAnsi"/>
          <w:sz w:val="24"/>
          <w:szCs w:val="24"/>
        </w:rPr>
        <w:t xml:space="preserve"> </w:t>
      </w:r>
      <w:r w:rsidR="00554275">
        <w:rPr>
          <w:rFonts w:asciiTheme="minorHAnsi" w:hAnsiTheme="minorHAnsi" w:cstheme="minorHAnsi"/>
          <w:sz w:val="24"/>
          <w:szCs w:val="24"/>
        </w:rPr>
        <w:t xml:space="preserve">reports </w:t>
      </w:r>
      <w:r w:rsidR="005105C3">
        <w:rPr>
          <w:rFonts w:asciiTheme="minorHAnsi" w:hAnsiTheme="minorHAnsi" w:cstheme="minorHAnsi"/>
          <w:sz w:val="24"/>
          <w:szCs w:val="24"/>
        </w:rPr>
        <w:t>on the findings from the five case studies</w:t>
      </w:r>
      <w:r w:rsidR="006B64DE">
        <w:rPr>
          <w:rFonts w:asciiTheme="minorHAnsi" w:hAnsiTheme="minorHAnsi" w:cstheme="minorHAnsi"/>
          <w:sz w:val="24"/>
          <w:szCs w:val="24"/>
        </w:rPr>
        <w:t xml:space="preserve"> </w:t>
      </w:r>
      <w:r>
        <w:rPr>
          <w:rFonts w:asciiTheme="minorHAnsi" w:hAnsiTheme="minorHAnsi" w:cstheme="minorHAnsi"/>
          <w:sz w:val="24"/>
          <w:szCs w:val="24"/>
        </w:rPr>
        <w:t>and</w:t>
      </w:r>
      <w:r w:rsidR="006B64DE">
        <w:rPr>
          <w:rFonts w:asciiTheme="minorHAnsi" w:hAnsiTheme="minorHAnsi" w:cstheme="minorHAnsi"/>
          <w:sz w:val="24"/>
          <w:szCs w:val="24"/>
        </w:rPr>
        <w:t xml:space="preserve"> is structured </w:t>
      </w:r>
      <w:r w:rsidR="00133D1C">
        <w:rPr>
          <w:rFonts w:asciiTheme="minorHAnsi" w:hAnsiTheme="minorHAnsi" w:cstheme="minorHAnsi"/>
          <w:sz w:val="24"/>
          <w:szCs w:val="24"/>
        </w:rPr>
        <w:t>around the</w:t>
      </w:r>
      <w:r w:rsidR="006B64DE">
        <w:rPr>
          <w:rFonts w:asciiTheme="minorHAnsi" w:hAnsiTheme="minorHAnsi" w:cstheme="minorHAnsi"/>
          <w:sz w:val="24"/>
          <w:szCs w:val="24"/>
        </w:rPr>
        <w:t xml:space="preserve"> </w:t>
      </w:r>
      <w:r w:rsidR="00133D1C">
        <w:rPr>
          <w:rFonts w:asciiTheme="minorHAnsi" w:hAnsiTheme="minorHAnsi" w:cstheme="minorHAnsi"/>
          <w:sz w:val="24"/>
          <w:szCs w:val="24"/>
        </w:rPr>
        <w:t>two</w:t>
      </w:r>
      <w:r w:rsidR="004676A0">
        <w:rPr>
          <w:rFonts w:asciiTheme="minorHAnsi" w:hAnsiTheme="minorHAnsi" w:cstheme="minorHAnsi"/>
          <w:sz w:val="24"/>
          <w:szCs w:val="24"/>
        </w:rPr>
        <w:t xml:space="preserve"> </w:t>
      </w:r>
      <w:r w:rsidR="006B64DE">
        <w:rPr>
          <w:rFonts w:asciiTheme="minorHAnsi" w:hAnsiTheme="minorHAnsi" w:cstheme="minorHAnsi"/>
          <w:sz w:val="24"/>
          <w:szCs w:val="24"/>
        </w:rPr>
        <w:t>questions listed above.</w:t>
      </w:r>
    </w:p>
    <w:p w:rsidR="0004125C" w:rsidRPr="0004125C" w:rsidRDefault="0004125C">
      <w:pPr>
        <w:rPr>
          <w:rFonts w:asciiTheme="minorHAnsi" w:hAnsiTheme="minorHAnsi" w:cstheme="minorHAnsi"/>
          <w:b/>
          <w:sz w:val="24"/>
          <w:szCs w:val="24"/>
        </w:rPr>
      </w:pPr>
      <w:r w:rsidRPr="00C057A6">
        <w:rPr>
          <w:b/>
          <w:i/>
          <w:sz w:val="24"/>
          <w:szCs w:val="24"/>
        </w:rPr>
        <w:t>1</w:t>
      </w:r>
      <w:r w:rsidRPr="00554275">
        <w:rPr>
          <w:i/>
          <w:sz w:val="24"/>
          <w:szCs w:val="24"/>
        </w:rPr>
        <w:t>.</w:t>
      </w:r>
      <w:r w:rsidRPr="0004125C">
        <w:rPr>
          <w:i/>
          <w:sz w:val="24"/>
          <w:szCs w:val="24"/>
        </w:rPr>
        <w:t xml:space="preserve"> </w:t>
      </w:r>
      <w:r w:rsidR="006B64DE" w:rsidRPr="0004125C">
        <w:rPr>
          <w:b/>
          <w:i/>
          <w:sz w:val="24"/>
          <w:szCs w:val="24"/>
        </w:rPr>
        <w:t>To what extent have HWBs operated differently to previous partnerships in tackling the wider determinants of health and how much ownership is there of the JHWS among partners?</w:t>
      </w:r>
    </w:p>
    <w:p w:rsidR="00B07ADE" w:rsidRDefault="00C211FA" w:rsidP="00B07ADE">
      <w:pPr>
        <w:spacing w:before="100" w:beforeAutospacing="1" w:line="240" w:lineRule="auto"/>
        <w:rPr>
          <w:sz w:val="24"/>
          <w:szCs w:val="24"/>
        </w:rPr>
      </w:pPr>
      <w:r>
        <w:rPr>
          <w:rFonts w:asciiTheme="minorHAnsi" w:hAnsiTheme="minorHAnsi" w:cstheme="minorHAnsi"/>
          <w:sz w:val="24"/>
          <w:szCs w:val="24"/>
        </w:rPr>
        <w:t>Looking first at whether HWBs have operated differently from previous partnerships, respondents at a</w:t>
      </w:r>
      <w:r w:rsidR="006B64DE" w:rsidRPr="005F3EA4">
        <w:rPr>
          <w:rFonts w:asciiTheme="minorHAnsi" w:hAnsiTheme="minorHAnsi" w:cstheme="minorHAnsi"/>
          <w:sz w:val="24"/>
          <w:szCs w:val="24"/>
        </w:rPr>
        <w:t>ll five sites</w:t>
      </w:r>
      <w:r w:rsidR="006B64DE">
        <w:rPr>
          <w:rFonts w:asciiTheme="minorHAnsi" w:hAnsiTheme="minorHAnsi" w:cstheme="minorHAnsi"/>
          <w:sz w:val="24"/>
          <w:szCs w:val="24"/>
        </w:rPr>
        <w:t xml:space="preserve"> argued that partnerships needed </w:t>
      </w:r>
      <w:r w:rsidR="006B64DE" w:rsidRPr="005F3EA4">
        <w:rPr>
          <w:rFonts w:asciiTheme="minorHAnsi" w:hAnsiTheme="minorHAnsi" w:cstheme="minorHAnsi"/>
          <w:sz w:val="24"/>
          <w:szCs w:val="24"/>
        </w:rPr>
        <w:t xml:space="preserve">clear goals </w:t>
      </w:r>
      <w:r>
        <w:rPr>
          <w:rFonts w:asciiTheme="minorHAnsi" w:hAnsiTheme="minorHAnsi" w:cstheme="minorHAnsi"/>
          <w:sz w:val="24"/>
          <w:szCs w:val="24"/>
        </w:rPr>
        <w:t xml:space="preserve">on </w:t>
      </w:r>
      <w:r w:rsidR="006B64DE" w:rsidRPr="005F3EA4">
        <w:rPr>
          <w:rFonts w:asciiTheme="minorHAnsi" w:hAnsiTheme="minorHAnsi" w:cstheme="minorHAnsi"/>
          <w:sz w:val="24"/>
          <w:szCs w:val="24"/>
        </w:rPr>
        <w:t>what was to be achieved</w:t>
      </w:r>
      <w:r>
        <w:rPr>
          <w:rFonts w:asciiTheme="minorHAnsi" w:hAnsiTheme="minorHAnsi" w:cstheme="minorHAnsi"/>
          <w:sz w:val="24"/>
          <w:szCs w:val="24"/>
        </w:rPr>
        <w:t>,</w:t>
      </w:r>
      <w:r w:rsidR="006B64DE" w:rsidRPr="005F3EA4">
        <w:rPr>
          <w:rFonts w:asciiTheme="minorHAnsi" w:hAnsiTheme="minorHAnsi" w:cstheme="minorHAnsi"/>
          <w:sz w:val="24"/>
          <w:szCs w:val="24"/>
        </w:rPr>
        <w:t xml:space="preserve"> with buy-in at all levels, from the strategic level downwards. </w:t>
      </w:r>
      <w:r>
        <w:rPr>
          <w:rFonts w:asciiTheme="minorHAnsi" w:hAnsiTheme="minorHAnsi" w:cstheme="minorHAnsi"/>
          <w:sz w:val="24"/>
          <w:szCs w:val="24"/>
        </w:rPr>
        <w:t>However, respondents said that i</w:t>
      </w:r>
      <w:r w:rsidR="00637CA4">
        <w:rPr>
          <w:rFonts w:asciiTheme="minorHAnsi" w:hAnsiTheme="minorHAnsi" w:cstheme="minorHAnsi"/>
          <w:sz w:val="24"/>
          <w:szCs w:val="24"/>
        </w:rPr>
        <w:t xml:space="preserve">n practice this </w:t>
      </w:r>
      <w:r w:rsidR="007E5903">
        <w:rPr>
          <w:rFonts w:asciiTheme="minorHAnsi" w:hAnsiTheme="minorHAnsi" w:cstheme="minorHAnsi"/>
          <w:sz w:val="24"/>
          <w:szCs w:val="24"/>
        </w:rPr>
        <w:t>was</w:t>
      </w:r>
      <w:r w:rsidR="006E2BAE">
        <w:rPr>
          <w:rFonts w:asciiTheme="minorHAnsi" w:hAnsiTheme="minorHAnsi" w:cstheme="minorHAnsi"/>
          <w:sz w:val="24"/>
          <w:szCs w:val="24"/>
        </w:rPr>
        <w:t xml:space="preserve"> </w:t>
      </w:r>
      <w:r w:rsidR="00637CA4">
        <w:rPr>
          <w:rFonts w:asciiTheme="minorHAnsi" w:hAnsiTheme="minorHAnsi" w:cstheme="minorHAnsi"/>
          <w:sz w:val="24"/>
          <w:szCs w:val="24"/>
        </w:rPr>
        <w:t xml:space="preserve">predominantly </w:t>
      </w:r>
      <w:r w:rsidR="006E2BAE">
        <w:rPr>
          <w:rFonts w:asciiTheme="minorHAnsi" w:hAnsiTheme="minorHAnsi" w:cstheme="minorHAnsi"/>
          <w:sz w:val="24"/>
          <w:szCs w:val="24"/>
        </w:rPr>
        <w:t xml:space="preserve">not the case, with </w:t>
      </w:r>
      <w:r w:rsidR="00123253">
        <w:rPr>
          <w:rFonts w:asciiTheme="minorHAnsi" w:hAnsiTheme="minorHAnsi" w:cstheme="minorHAnsi"/>
          <w:sz w:val="24"/>
          <w:szCs w:val="24"/>
        </w:rPr>
        <w:t>very little buy</w:t>
      </w:r>
      <w:r w:rsidR="00712092">
        <w:rPr>
          <w:rFonts w:asciiTheme="minorHAnsi" w:hAnsiTheme="minorHAnsi" w:cstheme="minorHAnsi"/>
          <w:sz w:val="24"/>
          <w:szCs w:val="24"/>
        </w:rPr>
        <w:t>-</w:t>
      </w:r>
      <w:r w:rsidR="00123253">
        <w:rPr>
          <w:rFonts w:asciiTheme="minorHAnsi" w:hAnsiTheme="minorHAnsi" w:cstheme="minorHAnsi"/>
          <w:sz w:val="24"/>
          <w:szCs w:val="24"/>
        </w:rPr>
        <w:t xml:space="preserve">in </w:t>
      </w:r>
      <w:r w:rsidR="00637CA4">
        <w:rPr>
          <w:rFonts w:asciiTheme="minorHAnsi" w:hAnsiTheme="minorHAnsi" w:cstheme="minorHAnsi"/>
          <w:sz w:val="24"/>
          <w:szCs w:val="24"/>
        </w:rPr>
        <w:t xml:space="preserve">or commitment </w:t>
      </w:r>
      <w:r w:rsidR="00123253">
        <w:rPr>
          <w:rFonts w:asciiTheme="minorHAnsi" w:hAnsiTheme="minorHAnsi" w:cstheme="minorHAnsi"/>
          <w:sz w:val="24"/>
          <w:szCs w:val="24"/>
        </w:rPr>
        <w:t>to strategies and goals</w:t>
      </w:r>
      <w:r w:rsidR="00637CA4">
        <w:rPr>
          <w:rFonts w:asciiTheme="minorHAnsi" w:hAnsiTheme="minorHAnsi" w:cstheme="minorHAnsi"/>
          <w:sz w:val="24"/>
          <w:szCs w:val="24"/>
        </w:rPr>
        <w:t>. Rather</w:t>
      </w:r>
      <w:r w:rsidR="00133D1C">
        <w:rPr>
          <w:rFonts w:asciiTheme="minorHAnsi" w:hAnsiTheme="minorHAnsi" w:cstheme="minorHAnsi"/>
          <w:sz w:val="24"/>
          <w:szCs w:val="24"/>
        </w:rPr>
        <w:t>, agencies</w:t>
      </w:r>
      <w:r w:rsidR="00123253">
        <w:rPr>
          <w:rFonts w:asciiTheme="minorHAnsi" w:hAnsiTheme="minorHAnsi" w:cstheme="minorHAnsi"/>
          <w:sz w:val="24"/>
          <w:szCs w:val="24"/>
        </w:rPr>
        <w:t xml:space="preserve"> ha</w:t>
      </w:r>
      <w:r w:rsidR="00637CA4">
        <w:rPr>
          <w:rFonts w:asciiTheme="minorHAnsi" w:hAnsiTheme="minorHAnsi" w:cstheme="minorHAnsi"/>
          <w:sz w:val="24"/>
          <w:szCs w:val="24"/>
        </w:rPr>
        <w:t>d</w:t>
      </w:r>
      <w:r w:rsidR="00123253">
        <w:rPr>
          <w:rFonts w:asciiTheme="minorHAnsi" w:hAnsiTheme="minorHAnsi" w:cstheme="minorHAnsi"/>
          <w:sz w:val="24"/>
          <w:szCs w:val="24"/>
        </w:rPr>
        <w:t xml:space="preserve"> their own priorities</w:t>
      </w:r>
      <w:r w:rsidR="00712092">
        <w:rPr>
          <w:rFonts w:asciiTheme="minorHAnsi" w:hAnsiTheme="minorHAnsi" w:cstheme="minorHAnsi"/>
          <w:sz w:val="24"/>
          <w:szCs w:val="24"/>
        </w:rPr>
        <w:t>,</w:t>
      </w:r>
      <w:r w:rsidR="007E5903">
        <w:rPr>
          <w:rFonts w:asciiTheme="minorHAnsi" w:hAnsiTheme="minorHAnsi" w:cstheme="minorHAnsi"/>
          <w:sz w:val="24"/>
          <w:szCs w:val="24"/>
        </w:rPr>
        <w:t xml:space="preserve"> characteri</w:t>
      </w:r>
      <w:r w:rsidR="00E14C05">
        <w:rPr>
          <w:rFonts w:asciiTheme="minorHAnsi" w:hAnsiTheme="minorHAnsi" w:cstheme="minorHAnsi"/>
          <w:sz w:val="24"/>
          <w:szCs w:val="24"/>
        </w:rPr>
        <w:t>z</w:t>
      </w:r>
      <w:r w:rsidR="007E5903">
        <w:rPr>
          <w:rFonts w:asciiTheme="minorHAnsi" w:hAnsiTheme="minorHAnsi" w:cstheme="minorHAnsi"/>
          <w:sz w:val="24"/>
          <w:szCs w:val="24"/>
        </w:rPr>
        <w:t xml:space="preserve">ed by HWBs </w:t>
      </w:r>
      <w:r w:rsidR="007E5903" w:rsidRPr="007E5903">
        <w:rPr>
          <w:rFonts w:asciiTheme="minorHAnsi" w:hAnsiTheme="minorHAnsi" w:cstheme="minorHAnsi"/>
          <w:sz w:val="24"/>
          <w:szCs w:val="24"/>
        </w:rPr>
        <w:t>lack</w:t>
      </w:r>
      <w:r w:rsidR="00637CA4">
        <w:rPr>
          <w:rFonts w:asciiTheme="minorHAnsi" w:hAnsiTheme="minorHAnsi" w:cstheme="minorHAnsi"/>
          <w:sz w:val="24"/>
          <w:szCs w:val="24"/>
        </w:rPr>
        <w:t>ing</w:t>
      </w:r>
      <w:r w:rsidR="007E5903" w:rsidRPr="007E5903">
        <w:rPr>
          <w:rFonts w:asciiTheme="minorHAnsi" w:hAnsiTheme="minorHAnsi" w:cstheme="minorHAnsi"/>
          <w:sz w:val="24"/>
          <w:szCs w:val="24"/>
        </w:rPr>
        <w:t xml:space="preserve"> strategic </w:t>
      </w:r>
      <w:r w:rsidR="00C65841" w:rsidRPr="007E5903">
        <w:rPr>
          <w:rFonts w:asciiTheme="minorHAnsi" w:hAnsiTheme="minorHAnsi" w:cstheme="minorHAnsi"/>
          <w:sz w:val="24"/>
          <w:szCs w:val="24"/>
        </w:rPr>
        <w:t>direction.</w:t>
      </w:r>
      <w:r w:rsidR="007E5903">
        <w:rPr>
          <w:rFonts w:asciiTheme="minorHAnsi" w:hAnsiTheme="minorHAnsi" w:cstheme="minorHAnsi"/>
          <w:sz w:val="24"/>
          <w:szCs w:val="24"/>
        </w:rPr>
        <w:t xml:space="preserve"> </w:t>
      </w:r>
      <w:r w:rsidR="00B07ADE">
        <w:rPr>
          <w:sz w:val="24"/>
          <w:szCs w:val="24"/>
        </w:rPr>
        <w:t>The Healthwatch Chair in site 2 and a Director of Public Health in site 5 considered the lack of focus and poor system leadership in these terms:</w:t>
      </w:r>
      <w:r w:rsidR="00B07ADE" w:rsidRPr="002C2587">
        <w:rPr>
          <w:sz w:val="24"/>
          <w:szCs w:val="24"/>
        </w:rPr>
        <w:t xml:space="preserve"> </w:t>
      </w:r>
    </w:p>
    <w:p w:rsidR="00B07ADE" w:rsidRPr="00C057A6" w:rsidRDefault="00B07ADE" w:rsidP="00C057A6">
      <w:pPr>
        <w:spacing w:before="100" w:beforeAutospacing="1" w:line="240" w:lineRule="auto"/>
        <w:ind w:left="720"/>
        <w:rPr>
          <w:sz w:val="24"/>
          <w:szCs w:val="24"/>
        </w:rPr>
      </w:pPr>
      <w:r w:rsidRPr="002C2587" w:rsidDel="00025B2F">
        <w:rPr>
          <w:i/>
          <w:sz w:val="24"/>
          <w:szCs w:val="24"/>
        </w:rPr>
        <w:t xml:space="preserve"> </w:t>
      </w:r>
      <w:r w:rsidRPr="00C057A6">
        <w:rPr>
          <w:sz w:val="24"/>
          <w:szCs w:val="24"/>
        </w:rPr>
        <w:t>I think this thing of lack of direction runs throughout. Different people have different ideas and we don't have a single idea of what the board is</w:t>
      </w:r>
      <w:r w:rsidR="008D2B2D">
        <w:rPr>
          <w:sz w:val="24"/>
          <w:szCs w:val="24"/>
        </w:rPr>
        <w:t>.</w:t>
      </w:r>
      <w:r w:rsidRPr="00C057A6">
        <w:rPr>
          <w:sz w:val="24"/>
          <w:szCs w:val="24"/>
        </w:rPr>
        <w:t>’</w:t>
      </w:r>
    </w:p>
    <w:p w:rsidR="00B07ADE" w:rsidRPr="00554275" w:rsidRDefault="00B07ADE" w:rsidP="00C057A6">
      <w:pPr>
        <w:spacing w:before="100" w:beforeAutospacing="1" w:line="240" w:lineRule="auto"/>
        <w:ind w:left="720"/>
        <w:rPr>
          <w:sz w:val="24"/>
          <w:szCs w:val="24"/>
        </w:rPr>
      </w:pPr>
      <w:r w:rsidRPr="00C057A6">
        <w:rPr>
          <w:sz w:val="24"/>
          <w:szCs w:val="24"/>
        </w:rPr>
        <w:t xml:space="preserve">‘The board is… not itself a system leader...I wouldn’t describe </w:t>
      </w:r>
      <w:r w:rsidRPr="00554275">
        <w:rPr>
          <w:sz w:val="24"/>
          <w:szCs w:val="24"/>
        </w:rPr>
        <w:t>[it]</w:t>
      </w:r>
      <w:r w:rsidRPr="00C057A6">
        <w:rPr>
          <w:sz w:val="24"/>
          <w:szCs w:val="24"/>
        </w:rPr>
        <w:t xml:space="preserve"> as being itself focused, the place where system leadership happens</w:t>
      </w:r>
      <w:r w:rsidR="008D2B2D">
        <w:rPr>
          <w:sz w:val="24"/>
          <w:szCs w:val="24"/>
        </w:rPr>
        <w:t>.</w:t>
      </w:r>
      <w:r w:rsidRPr="00C057A6">
        <w:rPr>
          <w:sz w:val="24"/>
          <w:szCs w:val="24"/>
        </w:rPr>
        <w:t>’</w:t>
      </w:r>
    </w:p>
    <w:p w:rsidR="00F410DC" w:rsidRPr="00F410DC" w:rsidRDefault="007E5903" w:rsidP="00F410DC">
      <w:pPr>
        <w:spacing w:before="100" w:beforeAutospacing="1" w:line="240" w:lineRule="auto"/>
        <w:rPr>
          <w:rFonts w:asciiTheme="minorHAnsi" w:hAnsiTheme="minorHAnsi" w:cstheme="minorHAnsi"/>
          <w:sz w:val="24"/>
          <w:szCs w:val="24"/>
        </w:rPr>
      </w:pPr>
      <w:r w:rsidRPr="00C73502">
        <w:rPr>
          <w:rFonts w:asciiTheme="minorHAnsi" w:hAnsiTheme="minorHAnsi" w:cstheme="minorHAnsi"/>
          <w:sz w:val="24"/>
          <w:szCs w:val="24"/>
        </w:rPr>
        <w:t>T</w:t>
      </w:r>
      <w:r>
        <w:rPr>
          <w:rFonts w:asciiTheme="minorHAnsi" w:hAnsiTheme="minorHAnsi" w:cstheme="minorHAnsi"/>
          <w:sz w:val="24"/>
          <w:szCs w:val="24"/>
        </w:rPr>
        <w:t>h</w:t>
      </w:r>
      <w:r w:rsidR="00637CA4">
        <w:rPr>
          <w:rFonts w:asciiTheme="minorHAnsi" w:hAnsiTheme="minorHAnsi" w:cstheme="minorHAnsi"/>
          <w:sz w:val="24"/>
          <w:szCs w:val="24"/>
        </w:rPr>
        <w:t>e</w:t>
      </w:r>
      <w:r>
        <w:rPr>
          <w:rFonts w:asciiTheme="minorHAnsi" w:hAnsiTheme="minorHAnsi" w:cstheme="minorHAnsi"/>
          <w:sz w:val="24"/>
          <w:szCs w:val="24"/>
        </w:rPr>
        <w:t xml:space="preserve"> HealthWatch Chair in site 4 encapsulated the views of many when discussing the </w:t>
      </w:r>
      <w:r w:rsidR="00637CA4">
        <w:rPr>
          <w:rFonts w:asciiTheme="minorHAnsi" w:hAnsiTheme="minorHAnsi" w:cstheme="minorHAnsi"/>
          <w:sz w:val="24"/>
          <w:szCs w:val="24"/>
        </w:rPr>
        <w:t xml:space="preserve">board’s </w:t>
      </w:r>
      <w:r>
        <w:rPr>
          <w:rFonts w:asciiTheme="minorHAnsi" w:hAnsiTheme="minorHAnsi" w:cstheme="minorHAnsi"/>
          <w:sz w:val="24"/>
          <w:szCs w:val="24"/>
        </w:rPr>
        <w:t>lack of focus</w:t>
      </w:r>
      <w:r w:rsidR="00F410DC">
        <w:rPr>
          <w:rFonts w:asciiTheme="minorHAnsi" w:hAnsiTheme="minorHAnsi" w:cstheme="minorHAnsi"/>
          <w:sz w:val="24"/>
          <w:szCs w:val="24"/>
        </w:rPr>
        <w:t xml:space="preserve">: </w:t>
      </w:r>
    </w:p>
    <w:p w:rsidR="00637CA4" w:rsidRPr="008D2B2D" w:rsidRDefault="00863295" w:rsidP="00C057A6">
      <w:pPr>
        <w:spacing w:before="100" w:beforeAutospacing="1" w:line="240" w:lineRule="auto"/>
        <w:ind w:left="720"/>
        <w:rPr>
          <w:rFonts w:asciiTheme="minorHAnsi" w:hAnsiTheme="minorHAnsi" w:cstheme="minorHAnsi"/>
          <w:sz w:val="24"/>
          <w:szCs w:val="24"/>
        </w:rPr>
      </w:pPr>
      <w:r w:rsidRPr="00C057A6">
        <w:rPr>
          <w:rFonts w:asciiTheme="minorHAnsi" w:hAnsiTheme="minorHAnsi" w:cstheme="minorHAnsi"/>
          <w:sz w:val="24"/>
          <w:szCs w:val="24"/>
        </w:rPr>
        <w:t>‘I really do think that there hasn’t been a clear strategy for a while for the board, and what we had wasn’t enough to give the board purpose. There’s work being done in a new strategy; however</w:t>
      </w:r>
      <w:r w:rsidR="008D2B2D">
        <w:rPr>
          <w:rFonts w:asciiTheme="minorHAnsi" w:hAnsiTheme="minorHAnsi" w:cstheme="minorHAnsi"/>
          <w:sz w:val="24"/>
          <w:szCs w:val="24"/>
        </w:rPr>
        <w:t>,</w:t>
      </w:r>
      <w:r w:rsidRPr="00C057A6">
        <w:rPr>
          <w:rFonts w:asciiTheme="minorHAnsi" w:hAnsiTheme="minorHAnsi" w:cstheme="minorHAnsi"/>
          <w:sz w:val="24"/>
          <w:szCs w:val="24"/>
        </w:rPr>
        <w:t xml:space="preserve"> that was always intended to happen at the health and wellbeing operations group but appears to have now been pulled together by public health, and then passed through again. So</w:t>
      </w:r>
      <w:r w:rsidR="008D2B2D">
        <w:rPr>
          <w:rFonts w:asciiTheme="minorHAnsi" w:hAnsiTheme="minorHAnsi" w:cstheme="minorHAnsi"/>
          <w:sz w:val="24"/>
          <w:szCs w:val="24"/>
        </w:rPr>
        <w:t>,</w:t>
      </w:r>
      <w:r w:rsidRPr="00C057A6">
        <w:rPr>
          <w:rFonts w:asciiTheme="minorHAnsi" w:hAnsiTheme="minorHAnsi" w:cstheme="minorHAnsi"/>
          <w:sz w:val="24"/>
          <w:szCs w:val="24"/>
        </w:rPr>
        <w:t xml:space="preserve"> actually</w:t>
      </w:r>
      <w:r w:rsidR="008D2B2D">
        <w:rPr>
          <w:rFonts w:asciiTheme="minorHAnsi" w:hAnsiTheme="minorHAnsi" w:cstheme="minorHAnsi"/>
          <w:sz w:val="24"/>
          <w:szCs w:val="24"/>
        </w:rPr>
        <w:t>,</w:t>
      </w:r>
      <w:r w:rsidRPr="00C057A6">
        <w:rPr>
          <w:rFonts w:asciiTheme="minorHAnsi" w:hAnsiTheme="minorHAnsi" w:cstheme="minorHAnsi"/>
          <w:sz w:val="24"/>
          <w:szCs w:val="24"/>
        </w:rPr>
        <w:t xml:space="preserve"> even the strategy now is being done elsewhere with a few individuals and coming back to the health and wellbeing board to get signed off.</w:t>
      </w:r>
      <w:r w:rsidR="00C211FA">
        <w:rPr>
          <w:rFonts w:asciiTheme="minorHAnsi" w:hAnsiTheme="minorHAnsi" w:cstheme="minorHAnsi"/>
          <w:sz w:val="24"/>
          <w:szCs w:val="24"/>
        </w:rPr>
        <w:t>’</w:t>
      </w:r>
      <w:r w:rsidR="006B64DE" w:rsidRPr="008D2B2D">
        <w:rPr>
          <w:rFonts w:asciiTheme="minorHAnsi" w:hAnsiTheme="minorHAnsi" w:cstheme="minorHAnsi"/>
          <w:sz w:val="24"/>
          <w:szCs w:val="24"/>
        </w:rPr>
        <w:t xml:space="preserve"> </w:t>
      </w:r>
    </w:p>
    <w:p w:rsidR="00F410DC" w:rsidRPr="008D2B2D" w:rsidRDefault="006B64DE" w:rsidP="008D2B2D">
      <w:pPr>
        <w:spacing w:before="100" w:beforeAutospacing="1" w:line="240" w:lineRule="auto"/>
        <w:rPr>
          <w:sz w:val="24"/>
          <w:szCs w:val="24"/>
        </w:rPr>
      </w:pPr>
      <w:r>
        <w:rPr>
          <w:rFonts w:asciiTheme="minorHAnsi" w:hAnsiTheme="minorHAnsi" w:cstheme="minorHAnsi"/>
          <w:sz w:val="24"/>
          <w:szCs w:val="24"/>
        </w:rPr>
        <w:t>In terms of ownership of the JHWS, a</w:t>
      </w:r>
      <w:r w:rsidRPr="00B565C7">
        <w:rPr>
          <w:sz w:val="24"/>
          <w:szCs w:val="24"/>
        </w:rPr>
        <w:t xml:space="preserve">cross all five sites, three themes </w:t>
      </w:r>
      <w:r w:rsidR="00637CA4">
        <w:rPr>
          <w:sz w:val="24"/>
          <w:szCs w:val="24"/>
        </w:rPr>
        <w:t>dominated</w:t>
      </w:r>
      <w:r w:rsidR="000C1415">
        <w:rPr>
          <w:sz w:val="24"/>
          <w:szCs w:val="24"/>
        </w:rPr>
        <w:t xml:space="preserve"> in the respondents’ comments</w:t>
      </w:r>
      <w:r w:rsidRPr="00B565C7">
        <w:rPr>
          <w:sz w:val="24"/>
          <w:szCs w:val="24"/>
        </w:rPr>
        <w:t>:</w:t>
      </w:r>
      <w:r>
        <w:rPr>
          <w:sz w:val="24"/>
          <w:szCs w:val="24"/>
        </w:rPr>
        <w:t xml:space="preserve"> first</w:t>
      </w:r>
      <w:r w:rsidR="00637CA4">
        <w:rPr>
          <w:sz w:val="24"/>
          <w:szCs w:val="24"/>
        </w:rPr>
        <w:t>,</w:t>
      </w:r>
      <w:r>
        <w:rPr>
          <w:sz w:val="24"/>
          <w:szCs w:val="24"/>
        </w:rPr>
        <w:t xml:space="preserve"> t</w:t>
      </w:r>
      <w:r w:rsidRPr="00B565C7">
        <w:rPr>
          <w:sz w:val="24"/>
          <w:szCs w:val="24"/>
        </w:rPr>
        <w:t>here was (at either strategic or operational level) little ownership of the strategies and a lack of accountability for elements of them</w:t>
      </w:r>
      <w:r w:rsidR="00B07ADE">
        <w:rPr>
          <w:sz w:val="24"/>
          <w:szCs w:val="24"/>
        </w:rPr>
        <w:t xml:space="preserve"> (as illustrated in the quote </w:t>
      </w:r>
      <w:r w:rsidR="000C1415">
        <w:rPr>
          <w:sz w:val="24"/>
          <w:szCs w:val="24"/>
        </w:rPr>
        <w:t xml:space="preserve">immediately </w:t>
      </w:r>
      <w:r w:rsidR="00B07ADE">
        <w:rPr>
          <w:sz w:val="24"/>
          <w:szCs w:val="24"/>
        </w:rPr>
        <w:t>above)</w:t>
      </w:r>
      <w:r w:rsidRPr="00B565C7">
        <w:rPr>
          <w:sz w:val="24"/>
          <w:szCs w:val="24"/>
        </w:rPr>
        <w:t>; they were not seen as an integral part of the health and social care landscape.</w:t>
      </w:r>
      <w:r>
        <w:rPr>
          <w:sz w:val="24"/>
          <w:szCs w:val="24"/>
        </w:rPr>
        <w:t xml:space="preserve"> </w:t>
      </w:r>
      <w:r w:rsidR="00637CA4">
        <w:rPr>
          <w:sz w:val="24"/>
          <w:szCs w:val="24"/>
        </w:rPr>
        <w:t xml:space="preserve"> Second,</w:t>
      </w:r>
      <w:r>
        <w:rPr>
          <w:sz w:val="24"/>
          <w:szCs w:val="24"/>
        </w:rPr>
        <w:t xml:space="preserve"> s</w:t>
      </w:r>
      <w:r w:rsidRPr="00B565C7">
        <w:rPr>
          <w:sz w:val="24"/>
          <w:szCs w:val="24"/>
        </w:rPr>
        <w:t>trategies partly reflected work that was ongoing by other agencies and did not bring any added value; organi</w:t>
      </w:r>
      <w:r w:rsidR="00E21DC3">
        <w:rPr>
          <w:sz w:val="24"/>
          <w:szCs w:val="24"/>
        </w:rPr>
        <w:t>z</w:t>
      </w:r>
      <w:r w:rsidRPr="00B565C7">
        <w:rPr>
          <w:sz w:val="24"/>
          <w:szCs w:val="24"/>
        </w:rPr>
        <w:t xml:space="preserve">ations could retro-fit their plans and strategies to reflect elements of the JHWS. </w:t>
      </w:r>
      <w:r w:rsidR="00637CA4">
        <w:rPr>
          <w:sz w:val="24"/>
          <w:szCs w:val="24"/>
        </w:rPr>
        <w:t>And, finally</w:t>
      </w:r>
      <w:r>
        <w:rPr>
          <w:sz w:val="24"/>
          <w:szCs w:val="24"/>
        </w:rPr>
        <w:t>, s</w:t>
      </w:r>
      <w:r w:rsidRPr="00B565C7">
        <w:rPr>
          <w:sz w:val="24"/>
          <w:szCs w:val="24"/>
        </w:rPr>
        <w:t>trategies were somewhat ‘motherhood and apple pie’ statements, with too many priorities and themes</w:t>
      </w:r>
      <w:r>
        <w:rPr>
          <w:sz w:val="24"/>
          <w:szCs w:val="24"/>
        </w:rPr>
        <w:t>,</w:t>
      </w:r>
      <w:r w:rsidRPr="00B565C7">
        <w:rPr>
          <w:sz w:val="24"/>
          <w:szCs w:val="24"/>
        </w:rPr>
        <w:t xml:space="preserve"> no clear measures of success</w:t>
      </w:r>
      <w:r w:rsidR="00637CA4">
        <w:rPr>
          <w:sz w:val="24"/>
          <w:szCs w:val="24"/>
        </w:rPr>
        <w:t>,</w:t>
      </w:r>
      <w:r>
        <w:rPr>
          <w:sz w:val="24"/>
          <w:szCs w:val="24"/>
        </w:rPr>
        <w:t xml:space="preserve"> and no details of how implementation would occur and be monitored</w:t>
      </w:r>
      <w:r w:rsidRPr="00B565C7">
        <w:rPr>
          <w:sz w:val="24"/>
          <w:szCs w:val="24"/>
        </w:rPr>
        <w:t>.</w:t>
      </w:r>
      <w:r w:rsidR="00F410DC">
        <w:rPr>
          <w:sz w:val="24"/>
          <w:szCs w:val="24"/>
        </w:rPr>
        <w:t xml:space="preserve"> </w:t>
      </w:r>
      <w:r w:rsidR="00F410DC" w:rsidRPr="00F410DC">
        <w:rPr>
          <w:sz w:val="24"/>
          <w:szCs w:val="24"/>
        </w:rPr>
        <w:t xml:space="preserve">A HWB </w:t>
      </w:r>
      <w:r w:rsidR="000C1415">
        <w:rPr>
          <w:sz w:val="24"/>
          <w:szCs w:val="24"/>
        </w:rPr>
        <w:t>S</w:t>
      </w:r>
      <w:r w:rsidR="00F410DC" w:rsidRPr="00F410DC">
        <w:rPr>
          <w:sz w:val="24"/>
          <w:szCs w:val="24"/>
        </w:rPr>
        <w:t xml:space="preserve">upporting </w:t>
      </w:r>
      <w:r w:rsidR="000C1415">
        <w:rPr>
          <w:sz w:val="24"/>
          <w:szCs w:val="24"/>
        </w:rPr>
        <w:t>O</w:t>
      </w:r>
      <w:r w:rsidR="00F410DC" w:rsidRPr="00F410DC">
        <w:rPr>
          <w:sz w:val="24"/>
          <w:szCs w:val="24"/>
        </w:rPr>
        <w:t>fficer and Healthwat</w:t>
      </w:r>
      <w:r w:rsidR="000963C4">
        <w:rPr>
          <w:sz w:val="24"/>
          <w:szCs w:val="24"/>
        </w:rPr>
        <w:t xml:space="preserve">ch Chair </w:t>
      </w:r>
      <w:r w:rsidR="000C1415" w:rsidRPr="00F410DC">
        <w:rPr>
          <w:sz w:val="24"/>
          <w:szCs w:val="24"/>
        </w:rPr>
        <w:t>in site 2</w:t>
      </w:r>
      <w:r w:rsidR="000C1415">
        <w:rPr>
          <w:sz w:val="24"/>
          <w:szCs w:val="24"/>
        </w:rPr>
        <w:t xml:space="preserve"> both </w:t>
      </w:r>
      <w:r w:rsidR="000963C4">
        <w:rPr>
          <w:sz w:val="24"/>
          <w:szCs w:val="24"/>
        </w:rPr>
        <w:t xml:space="preserve">highlighted </w:t>
      </w:r>
      <w:r w:rsidR="00712092">
        <w:rPr>
          <w:sz w:val="24"/>
          <w:szCs w:val="24"/>
        </w:rPr>
        <w:t xml:space="preserve">the lack of </w:t>
      </w:r>
      <w:r w:rsidR="000963C4">
        <w:rPr>
          <w:sz w:val="24"/>
          <w:szCs w:val="24"/>
        </w:rPr>
        <w:t>added value</w:t>
      </w:r>
      <w:r w:rsidR="000C1415">
        <w:rPr>
          <w:sz w:val="24"/>
          <w:szCs w:val="24"/>
        </w:rPr>
        <w:t>,</w:t>
      </w:r>
      <w:r w:rsidR="00712092">
        <w:rPr>
          <w:sz w:val="24"/>
          <w:szCs w:val="24"/>
        </w:rPr>
        <w:t xml:space="preserve"> </w:t>
      </w:r>
      <w:r w:rsidR="00637CA4">
        <w:rPr>
          <w:sz w:val="24"/>
          <w:szCs w:val="24"/>
        </w:rPr>
        <w:t xml:space="preserve">with the </w:t>
      </w:r>
      <w:r w:rsidR="00133D1C">
        <w:rPr>
          <w:sz w:val="24"/>
          <w:szCs w:val="24"/>
        </w:rPr>
        <w:t>board not</w:t>
      </w:r>
      <w:r w:rsidR="000963C4">
        <w:rPr>
          <w:sz w:val="24"/>
          <w:szCs w:val="24"/>
        </w:rPr>
        <w:t xml:space="preserve"> being </w:t>
      </w:r>
      <w:r w:rsidR="000963C4" w:rsidRPr="00B565C7">
        <w:rPr>
          <w:sz w:val="24"/>
          <w:szCs w:val="24"/>
        </w:rPr>
        <w:t>an integral part of the health and social care landscape</w:t>
      </w:r>
      <w:r w:rsidR="00F410DC" w:rsidRPr="00F410DC">
        <w:rPr>
          <w:sz w:val="24"/>
          <w:szCs w:val="24"/>
        </w:rPr>
        <w:t>:</w:t>
      </w:r>
    </w:p>
    <w:p w:rsidR="00F410DC" w:rsidRPr="00C057A6" w:rsidRDefault="00863295" w:rsidP="00C057A6">
      <w:pPr>
        <w:spacing w:before="100" w:beforeAutospacing="1" w:line="240" w:lineRule="auto"/>
        <w:ind w:left="720"/>
        <w:rPr>
          <w:sz w:val="24"/>
          <w:szCs w:val="24"/>
        </w:rPr>
      </w:pPr>
      <w:r w:rsidRPr="00C057A6">
        <w:rPr>
          <w:sz w:val="24"/>
          <w:szCs w:val="24"/>
        </w:rPr>
        <w:lastRenderedPageBreak/>
        <w:t>‘</w:t>
      </w:r>
      <w:r w:rsidR="008D2B2D" w:rsidRPr="00C057A6">
        <w:rPr>
          <w:sz w:val="24"/>
          <w:szCs w:val="24"/>
        </w:rPr>
        <w:t>W</w:t>
      </w:r>
      <w:r w:rsidRPr="00C057A6">
        <w:rPr>
          <w:sz w:val="24"/>
          <w:szCs w:val="24"/>
        </w:rPr>
        <w:t>hat’s its added value, what’s its governance? People report in and say</w:t>
      </w:r>
      <w:r w:rsidR="000C1415">
        <w:rPr>
          <w:sz w:val="24"/>
          <w:szCs w:val="24"/>
        </w:rPr>
        <w:t>,</w:t>
      </w:r>
      <w:r w:rsidRPr="00C057A6">
        <w:rPr>
          <w:sz w:val="24"/>
          <w:szCs w:val="24"/>
        </w:rPr>
        <w:t xml:space="preserve"> </w:t>
      </w:r>
      <w:r w:rsidR="000C1415">
        <w:rPr>
          <w:sz w:val="24"/>
          <w:szCs w:val="24"/>
        </w:rPr>
        <w:t>“O</w:t>
      </w:r>
      <w:r w:rsidRPr="00C057A6">
        <w:rPr>
          <w:sz w:val="24"/>
          <w:szCs w:val="24"/>
        </w:rPr>
        <w:t>h</w:t>
      </w:r>
      <w:r w:rsidR="000C1415">
        <w:rPr>
          <w:sz w:val="24"/>
          <w:szCs w:val="24"/>
        </w:rPr>
        <w:t>,</w:t>
      </w:r>
      <w:r w:rsidRPr="00C057A6">
        <w:rPr>
          <w:sz w:val="24"/>
          <w:szCs w:val="24"/>
        </w:rPr>
        <w:t xml:space="preserve"> we’re doing this, that and the other, so what difference does it make, because most of that was going to happen anyway.</w:t>
      </w:r>
      <w:r w:rsidR="000C1415">
        <w:rPr>
          <w:sz w:val="24"/>
          <w:szCs w:val="24"/>
        </w:rPr>
        <w:t>”</w:t>
      </w:r>
      <w:r w:rsidRPr="00C057A6">
        <w:rPr>
          <w:sz w:val="24"/>
          <w:szCs w:val="24"/>
        </w:rPr>
        <w:t xml:space="preserve"> It’s not that the board has added something to it or has more accountability. Because of the way it’s set up, it’s not going to do that</w:t>
      </w:r>
      <w:r w:rsidR="008D2B2D" w:rsidRPr="00C057A6">
        <w:rPr>
          <w:sz w:val="24"/>
          <w:szCs w:val="24"/>
        </w:rPr>
        <w:t>.</w:t>
      </w:r>
      <w:r w:rsidRPr="00C057A6">
        <w:rPr>
          <w:sz w:val="24"/>
          <w:szCs w:val="24"/>
        </w:rPr>
        <w:t>’</w:t>
      </w:r>
    </w:p>
    <w:p w:rsidR="006B64DE" w:rsidRPr="008D2B2D" w:rsidRDefault="00863295" w:rsidP="00C057A6">
      <w:pPr>
        <w:spacing w:before="100" w:beforeAutospacing="1" w:line="240" w:lineRule="auto"/>
        <w:ind w:left="720"/>
        <w:rPr>
          <w:sz w:val="24"/>
          <w:szCs w:val="24"/>
        </w:rPr>
      </w:pPr>
      <w:r w:rsidRPr="00C057A6">
        <w:rPr>
          <w:sz w:val="24"/>
          <w:szCs w:val="24"/>
        </w:rPr>
        <w:t>‘</w:t>
      </w:r>
      <w:r w:rsidR="008D2B2D" w:rsidRPr="00C057A6">
        <w:rPr>
          <w:sz w:val="24"/>
          <w:szCs w:val="24"/>
        </w:rPr>
        <w:t>W</w:t>
      </w:r>
      <w:r w:rsidRPr="00C057A6">
        <w:rPr>
          <w:sz w:val="24"/>
          <w:szCs w:val="24"/>
        </w:rPr>
        <w:t>e've got the wellbeing…strategy. In the year that I've been attending the board, we have not once referred to it. Nothing that's come has been linked to it.</w:t>
      </w:r>
      <w:r w:rsidR="008D2B2D" w:rsidRPr="00C057A6">
        <w:rPr>
          <w:sz w:val="24"/>
          <w:szCs w:val="24"/>
        </w:rPr>
        <w:t>’</w:t>
      </w:r>
    </w:p>
    <w:p w:rsidR="000963C4" w:rsidRPr="000963C4" w:rsidRDefault="000963C4" w:rsidP="000963C4">
      <w:pPr>
        <w:spacing w:before="100" w:beforeAutospacing="1" w:line="240" w:lineRule="auto"/>
        <w:rPr>
          <w:sz w:val="24"/>
          <w:szCs w:val="24"/>
        </w:rPr>
      </w:pPr>
      <w:r w:rsidRPr="000963C4">
        <w:rPr>
          <w:sz w:val="24"/>
          <w:szCs w:val="24"/>
        </w:rPr>
        <w:t xml:space="preserve">A Service Director </w:t>
      </w:r>
      <w:r>
        <w:rPr>
          <w:sz w:val="24"/>
          <w:szCs w:val="24"/>
        </w:rPr>
        <w:t xml:space="preserve">in site 4 </w:t>
      </w:r>
      <w:r w:rsidRPr="000963C4">
        <w:rPr>
          <w:sz w:val="24"/>
          <w:szCs w:val="24"/>
        </w:rPr>
        <w:t xml:space="preserve">discussed a strategy refresh </w:t>
      </w:r>
      <w:r w:rsidR="000705C1">
        <w:rPr>
          <w:sz w:val="24"/>
          <w:szCs w:val="24"/>
        </w:rPr>
        <w:t xml:space="preserve">in which they asked </w:t>
      </w:r>
      <w:r w:rsidRPr="000963C4">
        <w:rPr>
          <w:sz w:val="24"/>
          <w:szCs w:val="24"/>
        </w:rPr>
        <w:t>partners to alert the board to any activities that could be included in the strategy</w:t>
      </w:r>
      <w:r>
        <w:rPr>
          <w:sz w:val="24"/>
          <w:szCs w:val="24"/>
        </w:rPr>
        <w:t xml:space="preserve">, </w:t>
      </w:r>
      <w:r w:rsidRPr="000963C4">
        <w:rPr>
          <w:sz w:val="24"/>
          <w:szCs w:val="24"/>
        </w:rPr>
        <w:t xml:space="preserve">especially </w:t>
      </w:r>
      <w:r w:rsidR="000705C1">
        <w:rPr>
          <w:sz w:val="24"/>
          <w:szCs w:val="24"/>
        </w:rPr>
        <w:t>regarding</w:t>
      </w:r>
      <w:r w:rsidRPr="000963C4">
        <w:rPr>
          <w:sz w:val="24"/>
          <w:szCs w:val="24"/>
        </w:rPr>
        <w:t xml:space="preserve"> gaps in provision</w:t>
      </w:r>
      <w:r w:rsidR="00E53F99">
        <w:rPr>
          <w:sz w:val="24"/>
          <w:szCs w:val="24"/>
        </w:rPr>
        <w:t xml:space="preserve">. This </w:t>
      </w:r>
      <w:r w:rsidR="00A76D1A">
        <w:rPr>
          <w:sz w:val="24"/>
          <w:szCs w:val="24"/>
        </w:rPr>
        <w:t xml:space="preserve">was in an effort to engage partners in strategy development and contribute from their experience </w:t>
      </w:r>
      <w:r w:rsidR="00BF4F48">
        <w:rPr>
          <w:sz w:val="24"/>
          <w:szCs w:val="24"/>
        </w:rPr>
        <w:t xml:space="preserve">so as to </w:t>
      </w:r>
      <w:r w:rsidR="00A76D1A">
        <w:rPr>
          <w:sz w:val="24"/>
          <w:szCs w:val="24"/>
        </w:rPr>
        <w:t>identify where there were examples of good things happening or, conversely, where there were gaps and</w:t>
      </w:r>
      <w:r w:rsidR="00BF4F48">
        <w:rPr>
          <w:sz w:val="24"/>
          <w:szCs w:val="24"/>
        </w:rPr>
        <w:t xml:space="preserve"> a lack of</w:t>
      </w:r>
      <w:r w:rsidR="00A76D1A">
        <w:rPr>
          <w:sz w:val="24"/>
          <w:szCs w:val="24"/>
        </w:rPr>
        <w:t xml:space="preserve"> </w:t>
      </w:r>
      <w:r w:rsidR="00E53F99">
        <w:rPr>
          <w:sz w:val="24"/>
          <w:szCs w:val="24"/>
        </w:rPr>
        <w:t>added value</w:t>
      </w:r>
      <w:r w:rsidRPr="000963C4">
        <w:rPr>
          <w:sz w:val="24"/>
          <w:szCs w:val="24"/>
        </w:rPr>
        <w:t>:</w:t>
      </w:r>
    </w:p>
    <w:p w:rsidR="008D2B2D" w:rsidRPr="008D2B2D" w:rsidRDefault="00863295" w:rsidP="00C057A6">
      <w:pPr>
        <w:spacing w:before="100" w:beforeAutospacing="1" w:line="240" w:lineRule="auto"/>
        <w:ind w:left="720"/>
        <w:rPr>
          <w:sz w:val="24"/>
          <w:szCs w:val="24"/>
        </w:rPr>
      </w:pPr>
      <w:r w:rsidRPr="00C057A6">
        <w:rPr>
          <w:sz w:val="24"/>
          <w:szCs w:val="24"/>
        </w:rPr>
        <w:t>‘</w:t>
      </w:r>
      <w:r w:rsidR="008D2B2D" w:rsidRPr="00C057A6">
        <w:rPr>
          <w:sz w:val="24"/>
          <w:szCs w:val="24"/>
        </w:rPr>
        <w:t>G</w:t>
      </w:r>
      <w:r w:rsidRPr="00C057A6">
        <w:rPr>
          <w:sz w:val="24"/>
          <w:szCs w:val="24"/>
        </w:rPr>
        <w:t>ive us some good existing stuff that you’re doing that we perhaps as a wider partnership need to be aware of</w:t>
      </w:r>
      <w:r w:rsidR="008D2B2D" w:rsidRPr="00C057A6">
        <w:rPr>
          <w:sz w:val="24"/>
          <w:szCs w:val="24"/>
        </w:rPr>
        <w:t>,</w:t>
      </w:r>
      <w:r w:rsidRPr="00C057A6">
        <w:rPr>
          <w:sz w:val="24"/>
          <w:szCs w:val="24"/>
        </w:rPr>
        <w:t xml:space="preserve"> that we’re not aware of</w:t>
      </w:r>
      <w:r w:rsidR="008D2B2D" w:rsidRPr="00C057A6">
        <w:rPr>
          <w:sz w:val="24"/>
          <w:szCs w:val="24"/>
        </w:rPr>
        <w:t>,</w:t>
      </w:r>
      <w:r w:rsidRPr="00C057A6">
        <w:rPr>
          <w:sz w:val="24"/>
          <w:szCs w:val="24"/>
        </w:rPr>
        <w:t xml:space="preserve"> that we need to categori</w:t>
      </w:r>
      <w:r w:rsidR="00E14C05" w:rsidRPr="00C057A6">
        <w:rPr>
          <w:sz w:val="24"/>
          <w:szCs w:val="24"/>
        </w:rPr>
        <w:t>z</w:t>
      </w:r>
      <w:r w:rsidRPr="00C057A6">
        <w:rPr>
          <w:sz w:val="24"/>
          <w:szCs w:val="24"/>
        </w:rPr>
        <w:t>e more on</w:t>
      </w:r>
      <w:r w:rsidR="008D2B2D" w:rsidRPr="00C057A6">
        <w:rPr>
          <w:sz w:val="24"/>
          <w:szCs w:val="24"/>
        </w:rPr>
        <w:t>,</w:t>
      </w:r>
      <w:r w:rsidRPr="00C057A6">
        <w:rPr>
          <w:sz w:val="24"/>
          <w:szCs w:val="24"/>
        </w:rPr>
        <w:t xml:space="preserve"> or we need to scale up citywide or whatever, as well as saying there’s a huge gap here. One huge gap</w:t>
      </w:r>
      <w:r w:rsidR="00D65C89">
        <w:rPr>
          <w:sz w:val="24"/>
          <w:szCs w:val="24"/>
        </w:rPr>
        <w:t>,</w:t>
      </w:r>
      <w:r w:rsidRPr="00C057A6">
        <w:rPr>
          <w:sz w:val="24"/>
          <w:szCs w:val="24"/>
        </w:rPr>
        <w:t xml:space="preserve"> to give you an example, it might not directly fit in with our priorities and it’s not unique…I think most public agencies probably fail some pretty vulnerable teenagers.’</w:t>
      </w:r>
    </w:p>
    <w:p w:rsidR="009E2867" w:rsidRPr="00C84FC2" w:rsidRDefault="004A56E9" w:rsidP="009E2867">
      <w:pPr>
        <w:spacing w:before="100" w:beforeAutospacing="1" w:line="240" w:lineRule="auto"/>
        <w:rPr>
          <w:sz w:val="24"/>
          <w:szCs w:val="24"/>
        </w:rPr>
      </w:pPr>
      <w:r>
        <w:rPr>
          <w:sz w:val="24"/>
          <w:szCs w:val="24"/>
        </w:rPr>
        <w:t xml:space="preserve">To establish partnerships, sites 1, 2 4 and 5 began by establishing shadow HWBs. </w:t>
      </w:r>
      <w:r w:rsidR="00777AB2">
        <w:rPr>
          <w:sz w:val="24"/>
          <w:szCs w:val="24"/>
        </w:rPr>
        <w:t>S</w:t>
      </w:r>
      <w:r w:rsidR="006B64DE">
        <w:rPr>
          <w:sz w:val="24"/>
          <w:szCs w:val="24"/>
        </w:rPr>
        <w:t>ite 3</w:t>
      </w:r>
      <w:r w:rsidR="008D2B2D">
        <w:rPr>
          <w:sz w:val="24"/>
          <w:szCs w:val="24"/>
        </w:rPr>
        <w:t>,</w:t>
      </w:r>
      <w:r w:rsidR="00777AB2">
        <w:rPr>
          <w:sz w:val="24"/>
          <w:szCs w:val="24"/>
        </w:rPr>
        <w:t xml:space="preserve"> </w:t>
      </w:r>
      <w:r w:rsidR="006B64DE">
        <w:rPr>
          <w:sz w:val="24"/>
          <w:szCs w:val="24"/>
        </w:rPr>
        <w:t>however, adopted a different approach</w:t>
      </w:r>
      <w:r>
        <w:rPr>
          <w:sz w:val="24"/>
          <w:szCs w:val="24"/>
        </w:rPr>
        <w:t xml:space="preserve">. It </w:t>
      </w:r>
      <w:r w:rsidR="006B64DE" w:rsidRPr="00C84FC2">
        <w:rPr>
          <w:sz w:val="24"/>
          <w:szCs w:val="24"/>
        </w:rPr>
        <w:t xml:space="preserve">spent a year </w:t>
      </w:r>
      <w:r>
        <w:rPr>
          <w:sz w:val="24"/>
          <w:szCs w:val="24"/>
        </w:rPr>
        <w:t xml:space="preserve">developing </w:t>
      </w:r>
      <w:r w:rsidR="006B64DE" w:rsidRPr="00C84FC2">
        <w:rPr>
          <w:sz w:val="24"/>
          <w:szCs w:val="24"/>
        </w:rPr>
        <w:t>a system leadership approach to collaboration</w:t>
      </w:r>
      <w:r w:rsidR="006B64DE">
        <w:rPr>
          <w:sz w:val="24"/>
          <w:szCs w:val="24"/>
        </w:rPr>
        <w:t>,</w:t>
      </w:r>
      <w:r w:rsidR="006B64DE" w:rsidRPr="00C84FC2">
        <w:rPr>
          <w:sz w:val="24"/>
          <w:szCs w:val="24"/>
        </w:rPr>
        <w:t xml:space="preserve"> partly by participating in a national programme on </w:t>
      </w:r>
      <w:r w:rsidR="006B64DE">
        <w:rPr>
          <w:sz w:val="24"/>
          <w:szCs w:val="24"/>
        </w:rPr>
        <w:t>the subject</w:t>
      </w:r>
      <w:r w:rsidR="006B64DE" w:rsidRPr="00C84FC2">
        <w:rPr>
          <w:sz w:val="24"/>
          <w:szCs w:val="24"/>
        </w:rPr>
        <w:t xml:space="preserve">. </w:t>
      </w:r>
      <w:r w:rsidR="00777AB2">
        <w:rPr>
          <w:sz w:val="24"/>
          <w:szCs w:val="24"/>
        </w:rPr>
        <w:t xml:space="preserve">This collaboration </w:t>
      </w:r>
      <w:r w:rsidR="006B64DE" w:rsidRPr="00C84FC2">
        <w:rPr>
          <w:sz w:val="24"/>
          <w:szCs w:val="24"/>
        </w:rPr>
        <w:t xml:space="preserve">resulted in a </w:t>
      </w:r>
      <w:r w:rsidR="006B64DE">
        <w:rPr>
          <w:sz w:val="24"/>
          <w:szCs w:val="24"/>
        </w:rPr>
        <w:t xml:space="preserve">focus on health and social care integration with a pooled budget for health and social care </w:t>
      </w:r>
      <w:r w:rsidR="006B64DE" w:rsidRPr="00C84FC2">
        <w:rPr>
          <w:sz w:val="24"/>
          <w:szCs w:val="24"/>
        </w:rPr>
        <w:t xml:space="preserve">of over £400 million and the co-location of health and social care workers. </w:t>
      </w:r>
      <w:r w:rsidR="006B64DE">
        <w:rPr>
          <w:sz w:val="24"/>
          <w:szCs w:val="24"/>
        </w:rPr>
        <w:t>However, partnerships</w:t>
      </w:r>
      <w:r w:rsidR="00EE11BB">
        <w:rPr>
          <w:sz w:val="24"/>
          <w:szCs w:val="24"/>
        </w:rPr>
        <w:t>,</w:t>
      </w:r>
      <w:r w:rsidR="006B64DE">
        <w:rPr>
          <w:sz w:val="24"/>
          <w:szCs w:val="24"/>
        </w:rPr>
        <w:t xml:space="preserve"> in terms of </w:t>
      </w:r>
      <w:r>
        <w:rPr>
          <w:sz w:val="24"/>
          <w:szCs w:val="24"/>
        </w:rPr>
        <w:t xml:space="preserve">dealing with </w:t>
      </w:r>
      <w:r w:rsidR="006B64DE">
        <w:rPr>
          <w:sz w:val="24"/>
          <w:szCs w:val="24"/>
        </w:rPr>
        <w:t>the wider determinants of health and health inequalities</w:t>
      </w:r>
      <w:r w:rsidR="00EE11BB">
        <w:rPr>
          <w:sz w:val="24"/>
          <w:szCs w:val="24"/>
        </w:rPr>
        <w:t>,</w:t>
      </w:r>
      <w:r w:rsidR="00777AB2">
        <w:rPr>
          <w:sz w:val="24"/>
          <w:szCs w:val="24"/>
        </w:rPr>
        <w:t xml:space="preserve"> </w:t>
      </w:r>
      <w:r w:rsidR="006B64DE">
        <w:rPr>
          <w:sz w:val="24"/>
          <w:szCs w:val="24"/>
        </w:rPr>
        <w:t xml:space="preserve">were not well developed </w:t>
      </w:r>
      <w:r w:rsidR="00777AB2">
        <w:rPr>
          <w:sz w:val="24"/>
          <w:szCs w:val="24"/>
        </w:rPr>
        <w:t>in site 3</w:t>
      </w:r>
      <w:r w:rsidR="009E2867">
        <w:rPr>
          <w:sz w:val="24"/>
          <w:szCs w:val="24"/>
        </w:rPr>
        <w:t>. Th</w:t>
      </w:r>
      <w:r w:rsidR="008E6C9E">
        <w:rPr>
          <w:sz w:val="24"/>
          <w:szCs w:val="24"/>
        </w:rPr>
        <w:t>e</w:t>
      </w:r>
      <w:r w:rsidR="009E2867">
        <w:rPr>
          <w:sz w:val="24"/>
          <w:szCs w:val="24"/>
        </w:rPr>
        <w:t xml:space="preserve"> CCG Chair in site 3 cited the lack of progress on the wider determinants of health in the strategy:</w:t>
      </w:r>
      <w:r w:rsidR="008E6C9E">
        <w:rPr>
          <w:sz w:val="24"/>
          <w:szCs w:val="24"/>
        </w:rPr>
        <w:t xml:space="preserve"> </w:t>
      </w:r>
      <w:r w:rsidR="009E2867" w:rsidRPr="00B75E63">
        <w:rPr>
          <w:sz w:val="24"/>
          <w:szCs w:val="24"/>
        </w:rPr>
        <w:t xml:space="preserve">‘…it's all motherhood and apple pie.  You know, we want people to eat well, come on what we going to do about it?  Let's </w:t>
      </w:r>
      <w:r w:rsidR="009E2867" w:rsidRPr="008E6C9E">
        <w:rPr>
          <w:sz w:val="24"/>
          <w:szCs w:val="24"/>
        </w:rPr>
        <w:t xml:space="preserve">have </w:t>
      </w:r>
      <w:r w:rsidR="009E2867" w:rsidRPr="00B75E63">
        <w:rPr>
          <w:sz w:val="24"/>
          <w:szCs w:val="24"/>
        </w:rPr>
        <w:t xml:space="preserve">safe pavements/no drinking after midnight strategy.  Let's have </w:t>
      </w:r>
      <w:r w:rsidR="008E6C9E">
        <w:rPr>
          <w:sz w:val="24"/>
          <w:szCs w:val="24"/>
        </w:rPr>
        <w:t xml:space="preserve">a </w:t>
      </w:r>
      <w:r w:rsidR="009E2867" w:rsidRPr="00B75E63">
        <w:rPr>
          <w:sz w:val="24"/>
          <w:szCs w:val="24"/>
        </w:rPr>
        <w:t xml:space="preserve">sugar tax in our supermarkets.  We've got a low alcohol initiative but has that really been landed well? So I think the purpose of the </w:t>
      </w:r>
      <w:r w:rsidR="008E6C9E">
        <w:rPr>
          <w:sz w:val="24"/>
          <w:szCs w:val="24"/>
        </w:rPr>
        <w:t>H</w:t>
      </w:r>
      <w:r w:rsidR="009E2867" w:rsidRPr="00B75E63">
        <w:rPr>
          <w:sz w:val="24"/>
          <w:szCs w:val="24"/>
        </w:rPr>
        <w:t xml:space="preserve">ealth and </w:t>
      </w:r>
      <w:r w:rsidR="008E6C9E">
        <w:rPr>
          <w:sz w:val="24"/>
          <w:szCs w:val="24"/>
        </w:rPr>
        <w:t>W</w:t>
      </w:r>
      <w:r w:rsidR="009E2867" w:rsidRPr="00B75E63">
        <w:rPr>
          <w:sz w:val="24"/>
          <w:szCs w:val="24"/>
        </w:rPr>
        <w:t xml:space="preserve">ellbeing </w:t>
      </w:r>
      <w:r w:rsidR="008E6C9E">
        <w:rPr>
          <w:sz w:val="24"/>
          <w:szCs w:val="24"/>
        </w:rPr>
        <w:t>B</w:t>
      </w:r>
      <w:r w:rsidR="009E2867" w:rsidRPr="00B75E63">
        <w:rPr>
          <w:sz w:val="24"/>
          <w:szCs w:val="24"/>
        </w:rPr>
        <w:t xml:space="preserve">oard should </w:t>
      </w:r>
      <w:r w:rsidR="008E6C9E">
        <w:rPr>
          <w:sz w:val="24"/>
          <w:szCs w:val="24"/>
        </w:rPr>
        <w:t xml:space="preserve">be to </w:t>
      </w:r>
      <w:r w:rsidR="009E2867" w:rsidRPr="00B75E63">
        <w:rPr>
          <w:sz w:val="24"/>
          <w:szCs w:val="24"/>
        </w:rPr>
        <w:t>take that str</w:t>
      </w:r>
      <w:r w:rsidR="009E2867">
        <w:rPr>
          <w:sz w:val="24"/>
          <w:szCs w:val="24"/>
        </w:rPr>
        <w:t xml:space="preserve">ategy document and make it real’.  </w:t>
      </w:r>
    </w:p>
    <w:p w:rsidR="009E2867" w:rsidRDefault="009E2867" w:rsidP="006B64DE">
      <w:pPr>
        <w:spacing w:before="100" w:beforeAutospacing="1" w:line="240" w:lineRule="auto"/>
        <w:rPr>
          <w:sz w:val="24"/>
          <w:szCs w:val="24"/>
        </w:rPr>
      </w:pPr>
      <w:r w:rsidRPr="009E2867">
        <w:rPr>
          <w:sz w:val="24"/>
          <w:szCs w:val="24"/>
        </w:rPr>
        <w:t>It was argued that there was difficulty e</w:t>
      </w:r>
      <w:r>
        <w:rPr>
          <w:sz w:val="24"/>
          <w:szCs w:val="24"/>
        </w:rPr>
        <w:t>ngaging partners such as the acute trust, who were</w:t>
      </w:r>
      <w:r w:rsidRPr="009E2867">
        <w:rPr>
          <w:sz w:val="24"/>
          <w:szCs w:val="24"/>
        </w:rPr>
        <w:t xml:space="preserve"> dealing with their own priorities. </w:t>
      </w:r>
      <w:r>
        <w:rPr>
          <w:sz w:val="24"/>
          <w:szCs w:val="24"/>
        </w:rPr>
        <w:t>L</w:t>
      </w:r>
      <w:r w:rsidRPr="009E2867">
        <w:rPr>
          <w:sz w:val="24"/>
          <w:szCs w:val="24"/>
        </w:rPr>
        <w:t>inks with education, housing and the police</w:t>
      </w:r>
      <w:r>
        <w:rPr>
          <w:sz w:val="24"/>
          <w:szCs w:val="24"/>
        </w:rPr>
        <w:t xml:space="preserve"> were also seen as </w:t>
      </w:r>
      <w:r w:rsidR="0054435B">
        <w:rPr>
          <w:sz w:val="24"/>
          <w:szCs w:val="24"/>
        </w:rPr>
        <w:t>requiring</w:t>
      </w:r>
      <w:r>
        <w:rPr>
          <w:sz w:val="24"/>
          <w:szCs w:val="24"/>
        </w:rPr>
        <w:t xml:space="preserve"> improvement</w:t>
      </w:r>
      <w:r w:rsidRPr="009E2867">
        <w:rPr>
          <w:sz w:val="24"/>
          <w:szCs w:val="24"/>
        </w:rPr>
        <w:t xml:space="preserve">. </w:t>
      </w:r>
      <w:r>
        <w:rPr>
          <w:sz w:val="24"/>
          <w:szCs w:val="24"/>
        </w:rPr>
        <w:t xml:space="preserve">It was observed that </w:t>
      </w:r>
      <w:r w:rsidRPr="009E2867">
        <w:rPr>
          <w:sz w:val="24"/>
          <w:szCs w:val="24"/>
        </w:rPr>
        <w:t>Children’s and Community Safety Partnerships were struggling with a systems approach to partnership working</w:t>
      </w:r>
      <w:r>
        <w:rPr>
          <w:sz w:val="24"/>
          <w:szCs w:val="24"/>
        </w:rPr>
        <w:t xml:space="preserve"> in site 3</w:t>
      </w:r>
      <w:r w:rsidRPr="009E2867">
        <w:rPr>
          <w:sz w:val="24"/>
          <w:szCs w:val="24"/>
        </w:rPr>
        <w:t xml:space="preserve">. </w:t>
      </w:r>
    </w:p>
    <w:p w:rsidR="006B64DE" w:rsidRPr="00C84FC2" w:rsidRDefault="009E2867" w:rsidP="006B64DE">
      <w:pPr>
        <w:spacing w:before="100" w:beforeAutospacing="1" w:line="240" w:lineRule="auto"/>
        <w:rPr>
          <w:sz w:val="24"/>
          <w:szCs w:val="24"/>
        </w:rPr>
      </w:pPr>
      <w:r>
        <w:rPr>
          <w:sz w:val="24"/>
          <w:szCs w:val="24"/>
        </w:rPr>
        <w:t>In addition,</w:t>
      </w:r>
      <w:r w:rsidR="006B64DE">
        <w:rPr>
          <w:sz w:val="24"/>
          <w:szCs w:val="24"/>
        </w:rPr>
        <w:t xml:space="preserve"> the JHWSs </w:t>
      </w:r>
      <w:r>
        <w:rPr>
          <w:sz w:val="24"/>
          <w:szCs w:val="24"/>
        </w:rPr>
        <w:t xml:space="preserve">across the </w:t>
      </w:r>
      <w:r w:rsidR="0054435B">
        <w:rPr>
          <w:sz w:val="24"/>
          <w:szCs w:val="24"/>
        </w:rPr>
        <w:t xml:space="preserve">sites </w:t>
      </w:r>
      <w:r w:rsidR="006B64DE">
        <w:rPr>
          <w:sz w:val="24"/>
          <w:szCs w:val="24"/>
        </w:rPr>
        <w:t xml:space="preserve">had </w:t>
      </w:r>
      <w:r w:rsidR="00187382">
        <w:rPr>
          <w:sz w:val="24"/>
          <w:szCs w:val="24"/>
        </w:rPr>
        <w:t xml:space="preserve">not </w:t>
      </w:r>
      <w:r w:rsidR="006B64DE">
        <w:rPr>
          <w:sz w:val="24"/>
          <w:szCs w:val="24"/>
        </w:rPr>
        <w:t>engendered ownership by partners</w:t>
      </w:r>
      <w:r w:rsidR="00D93C14">
        <w:rPr>
          <w:sz w:val="24"/>
          <w:szCs w:val="24"/>
        </w:rPr>
        <w:t xml:space="preserve"> </w:t>
      </w:r>
      <w:r w:rsidR="0054435B">
        <w:rPr>
          <w:sz w:val="24"/>
          <w:szCs w:val="24"/>
        </w:rPr>
        <w:t xml:space="preserve">As this HWB Development Lead Officer in site 2 discussed: </w:t>
      </w:r>
      <w:r w:rsidR="0054435B" w:rsidRPr="0054435B">
        <w:rPr>
          <w:sz w:val="24"/>
          <w:szCs w:val="24"/>
        </w:rPr>
        <w:t xml:space="preserve">‘I don’t think they </w:t>
      </w:r>
      <w:r w:rsidR="0054435B">
        <w:rPr>
          <w:sz w:val="24"/>
          <w:szCs w:val="24"/>
        </w:rPr>
        <w:t>[the HWB] engage enough with the...strategy...</w:t>
      </w:r>
      <w:r w:rsidR="0054435B" w:rsidRPr="0054435B">
        <w:rPr>
          <w:sz w:val="24"/>
          <w:szCs w:val="24"/>
        </w:rPr>
        <w:t>other than through if you like semi-briefings from… [the D</w:t>
      </w:r>
      <w:r w:rsidR="0054435B">
        <w:rPr>
          <w:sz w:val="24"/>
          <w:szCs w:val="24"/>
        </w:rPr>
        <w:t xml:space="preserve">irector of </w:t>
      </w:r>
      <w:r w:rsidR="0054435B" w:rsidRPr="0054435B">
        <w:rPr>
          <w:sz w:val="24"/>
          <w:szCs w:val="24"/>
        </w:rPr>
        <w:t>P</w:t>
      </w:r>
      <w:r w:rsidR="0054435B">
        <w:rPr>
          <w:sz w:val="24"/>
          <w:szCs w:val="24"/>
        </w:rPr>
        <w:t xml:space="preserve">ublic </w:t>
      </w:r>
      <w:r w:rsidR="0054435B" w:rsidRPr="0054435B">
        <w:rPr>
          <w:sz w:val="24"/>
          <w:szCs w:val="24"/>
        </w:rPr>
        <w:t>H</w:t>
      </w:r>
      <w:r w:rsidR="0054435B">
        <w:rPr>
          <w:sz w:val="24"/>
          <w:szCs w:val="24"/>
        </w:rPr>
        <w:t>ealth</w:t>
      </w:r>
      <w:r w:rsidR="0054435B" w:rsidRPr="0054435B">
        <w:rPr>
          <w:sz w:val="24"/>
          <w:szCs w:val="24"/>
        </w:rPr>
        <w:t>] in their more formal structures, and I actually think that collectively we could offer a lot more…</w:t>
      </w:r>
      <w:r w:rsidR="0054435B">
        <w:rPr>
          <w:sz w:val="24"/>
          <w:szCs w:val="24"/>
        </w:rPr>
        <w:t>’</w:t>
      </w:r>
      <w:r w:rsidR="008E6C9E">
        <w:rPr>
          <w:sz w:val="24"/>
          <w:szCs w:val="24"/>
        </w:rPr>
        <w:t>.</w:t>
      </w:r>
      <w:r w:rsidR="0054435B">
        <w:rPr>
          <w:sz w:val="24"/>
          <w:szCs w:val="24"/>
        </w:rPr>
        <w:t xml:space="preserve"> </w:t>
      </w:r>
    </w:p>
    <w:p w:rsidR="00133D1C" w:rsidRDefault="006B64DE" w:rsidP="00C21E48">
      <w:pPr>
        <w:spacing w:before="100" w:beforeAutospacing="1" w:line="240" w:lineRule="auto"/>
        <w:rPr>
          <w:sz w:val="24"/>
          <w:szCs w:val="24"/>
        </w:rPr>
      </w:pPr>
      <w:r>
        <w:rPr>
          <w:sz w:val="24"/>
          <w:szCs w:val="24"/>
        </w:rPr>
        <w:lastRenderedPageBreak/>
        <w:t>Overall, the study sites had largely followed the same process as previous partnerships and had not capitali</w:t>
      </w:r>
      <w:r w:rsidR="00E14C05">
        <w:rPr>
          <w:sz w:val="24"/>
          <w:szCs w:val="24"/>
        </w:rPr>
        <w:t>z</w:t>
      </w:r>
      <w:r>
        <w:rPr>
          <w:sz w:val="24"/>
          <w:szCs w:val="24"/>
        </w:rPr>
        <w:t xml:space="preserve">ed on having good attendance from board partners. </w:t>
      </w:r>
      <w:r w:rsidR="009E2867">
        <w:rPr>
          <w:sz w:val="24"/>
          <w:szCs w:val="24"/>
        </w:rPr>
        <w:t xml:space="preserve">Previous health partnerships had been characterised by </w:t>
      </w:r>
      <w:r w:rsidR="008E6C9E">
        <w:rPr>
          <w:sz w:val="24"/>
          <w:szCs w:val="24"/>
        </w:rPr>
        <w:t>a</w:t>
      </w:r>
      <w:r w:rsidR="009E2867">
        <w:rPr>
          <w:sz w:val="24"/>
          <w:szCs w:val="24"/>
        </w:rPr>
        <w:t xml:space="preserve"> lack of commitment from key players</w:t>
      </w:r>
      <w:r w:rsidR="008E6C9E">
        <w:rPr>
          <w:sz w:val="24"/>
          <w:szCs w:val="24"/>
        </w:rPr>
        <w:t>.</w:t>
      </w:r>
      <w:r w:rsidR="0054435B" w:rsidRPr="002C716D">
        <w:rPr>
          <w:sz w:val="24"/>
          <w:szCs w:val="24"/>
          <w:vertAlign w:val="superscript"/>
        </w:rPr>
        <w:t>13</w:t>
      </w:r>
      <w:r w:rsidR="008E6C9E">
        <w:rPr>
          <w:sz w:val="24"/>
          <w:szCs w:val="24"/>
          <w:vertAlign w:val="superscript"/>
        </w:rPr>
        <w:t xml:space="preserve"> </w:t>
      </w:r>
      <w:r w:rsidR="008E6C9E">
        <w:rPr>
          <w:sz w:val="24"/>
          <w:szCs w:val="24"/>
        </w:rPr>
        <w:t>Wi</w:t>
      </w:r>
      <w:r w:rsidR="009E2867">
        <w:rPr>
          <w:sz w:val="24"/>
          <w:szCs w:val="24"/>
        </w:rPr>
        <w:t xml:space="preserve">th all key partners attending HWBs </w:t>
      </w:r>
      <w:r w:rsidR="008E6C9E">
        <w:rPr>
          <w:sz w:val="24"/>
          <w:szCs w:val="24"/>
        </w:rPr>
        <w:t xml:space="preserve">it was </w:t>
      </w:r>
      <w:r w:rsidR="009E2867">
        <w:rPr>
          <w:sz w:val="24"/>
          <w:szCs w:val="24"/>
        </w:rPr>
        <w:t xml:space="preserve">hoped that more progress could have been made.  </w:t>
      </w:r>
      <w:r w:rsidR="0054435B">
        <w:rPr>
          <w:sz w:val="24"/>
          <w:szCs w:val="24"/>
        </w:rPr>
        <w:t xml:space="preserve">As observed, </w:t>
      </w:r>
      <w:r w:rsidR="00C16677">
        <w:rPr>
          <w:sz w:val="24"/>
          <w:szCs w:val="24"/>
        </w:rPr>
        <w:t>across the</w:t>
      </w:r>
      <w:r>
        <w:rPr>
          <w:sz w:val="24"/>
          <w:szCs w:val="24"/>
        </w:rPr>
        <w:t xml:space="preserve"> sites the impact of boards on</w:t>
      </w:r>
      <w:r w:rsidRPr="004E5FBF">
        <w:rPr>
          <w:sz w:val="24"/>
          <w:szCs w:val="24"/>
        </w:rPr>
        <w:t xml:space="preserve"> tackl</w:t>
      </w:r>
      <w:r>
        <w:rPr>
          <w:sz w:val="24"/>
          <w:szCs w:val="24"/>
        </w:rPr>
        <w:t>ing</w:t>
      </w:r>
      <w:r w:rsidRPr="004E5FBF">
        <w:rPr>
          <w:sz w:val="24"/>
          <w:szCs w:val="24"/>
        </w:rPr>
        <w:t xml:space="preserve"> the wider determinants of health</w:t>
      </w:r>
      <w:r>
        <w:rPr>
          <w:sz w:val="24"/>
          <w:szCs w:val="24"/>
        </w:rPr>
        <w:t xml:space="preserve"> and reducing health inequalities </w:t>
      </w:r>
      <w:r w:rsidR="00F410DC">
        <w:rPr>
          <w:sz w:val="24"/>
          <w:szCs w:val="24"/>
        </w:rPr>
        <w:t xml:space="preserve">through the JHWS </w:t>
      </w:r>
      <w:r>
        <w:rPr>
          <w:sz w:val="24"/>
          <w:szCs w:val="24"/>
        </w:rPr>
        <w:t>was</w:t>
      </w:r>
      <w:r w:rsidR="0054435B">
        <w:rPr>
          <w:sz w:val="24"/>
          <w:szCs w:val="24"/>
        </w:rPr>
        <w:t xml:space="preserve"> viewed as </w:t>
      </w:r>
      <w:r w:rsidR="00BD748A">
        <w:rPr>
          <w:sz w:val="24"/>
          <w:szCs w:val="24"/>
        </w:rPr>
        <w:t>in</w:t>
      </w:r>
      <w:r w:rsidR="0054435B">
        <w:rPr>
          <w:sz w:val="24"/>
          <w:szCs w:val="24"/>
        </w:rPr>
        <w:t>sufficient.</w:t>
      </w:r>
      <w:r w:rsidRPr="00B26527">
        <w:rPr>
          <w:sz w:val="24"/>
          <w:szCs w:val="24"/>
        </w:rPr>
        <w:t xml:space="preserve"> </w:t>
      </w:r>
    </w:p>
    <w:p w:rsidR="00C21E48" w:rsidRPr="00C21E48" w:rsidRDefault="00C21E48" w:rsidP="00C21E48">
      <w:pPr>
        <w:spacing w:before="100" w:beforeAutospacing="1" w:line="240" w:lineRule="auto"/>
        <w:rPr>
          <w:b/>
          <w:i/>
          <w:sz w:val="24"/>
          <w:szCs w:val="24"/>
        </w:rPr>
      </w:pPr>
      <w:r w:rsidRPr="00C057A6">
        <w:rPr>
          <w:b/>
          <w:i/>
          <w:sz w:val="24"/>
          <w:szCs w:val="24"/>
        </w:rPr>
        <w:t>2.</w:t>
      </w:r>
      <w:r w:rsidRPr="00C21E48">
        <w:rPr>
          <w:b/>
          <w:sz w:val="24"/>
          <w:szCs w:val="24"/>
        </w:rPr>
        <w:t xml:space="preserve"> </w:t>
      </w:r>
      <w:r w:rsidRPr="00C21E48">
        <w:rPr>
          <w:b/>
          <w:i/>
          <w:sz w:val="24"/>
          <w:szCs w:val="24"/>
        </w:rPr>
        <w:t>How far have HWBs strengthened collaboration, trust, goodwill and linkages between partners horizontally (across organi</w:t>
      </w:r>
      <w:r w:rsidR="00E21DC3">
        <w:rPr>
          <w:b/>
          <w:i/>
          <w:sz w:val="24"/>
          <w:szCs w:val="24"/>
        </w:rPr>
        <w:t>z</w:t>
      </w:r>
      <w:r w:rsidRPr="00C21E48">
        <w:rPr>
          <w:b/>
          <w:i/>
          <w:sz w:val="24"/>
          <w:szCs w:val="24"/>
        </w:rPr>
        <w:t>ations including CCGs) and vertically (with agencies ‘on the ground’ such as HealthWatch and the voluntary sector)?</w:t>
      </w:r>
    </w:p>
    <w:p w:rsidR="002B2793" w:rsidRDefault="006B64DE" w:rsidP="002D36D4">
      <w:pPr>
        <w:spacing w:before="100" w:beforeAutospacing="1" w:line="240" w:lineRule="auto"/>
        <w:rPr>
          <w:sz w:val="24"/>
          <w:szCs w:val="24"/>
        </w:rPr>
      </w:pPr>
      <w:r>
        <w:rPr>
          <w:sz w:val="24"/>
          <w:szCs w:val="24"/>
        </w:rPr>
        <w:t>Although</w:t>
      </w:r>
      <w:r w:rsidRPr="00C84FC2">
        <w:rPr>
          <w:sz w:val="24"/>
          <w:szCs w:val="24"/>
        </w:rPr>
        <w:t xml:space="preserve"> trusting and good relationships had developed </w:t>
      </w:r>
      <w:r w:rsidR="00B07ADE">
        <w:rPr>
          <w:sz w:val="24"/>
          <w:szCs w:val="24"/>
        </w:rPr>
        <w:t xml:space="preserve">to varying degrees and in various areas </w:t>
      </w:r>
      <w:r w:rsidRPr="00C84FC2">
        <w:rPr>
          <w:sz w:val="24"/>
          <w:szCs w:val="24"/>
        </w:rPr>
        <w:t xml:space="preserve">in all </w:t>
      </w:r>
      <w:r w:rsidR="004A56E9">
        <w:rPr>
          <w:sz w:val="24"/>
          <w:szCs w:val="24"/>
        </w:rPr>
        <w:t>f</w:t>
      </w:r>
      <w:r w:rsidR="00BF529D">
        <w:rPr>
          <w:sz w:val="24"/>
          <w:szCs w:val="24"/>
        </w:rPr>
        <w:t>ive</w:t>
      </w:r>
      <w:r w:rsidRPr="00C84FC2">
        <w:rPr>
          <w:sz w:val="24"/>
          <w:szCs w:val="24"/>
        </w:rPr>
        <w:t xml:space="preserve"> sites, among</w:t>
      </w:r>
      <w:r w:rsidR="00A649AC">
        <w:rPr>
          <w:sz w:val="24"/>
          <w:szCs w:val="24"/>
        </w:rPr>
        <w:t xml:space="preserve"> different</w:t>
      </w:r>
      <w:r w:rsidRPr="00C84FC2">
        <w:rPr>
          <w:sz w:val="24"/>
          <w:szCs w:val="24"/>
        </w:rPr>
        <w:t xml:space="preserve"> partners</w:t>
      </w:r>
      <w:r>
        <w:rPr>
          <w:sz w:val="24"/>
          <w:szCs w:val="24"/>
        </w:rPr>
        <w:t>, their development was patchy</w:t>
      </w:r>
      <w:r w:rsidRPr="00C84FC2">
        <w:rPr>
          <w:sz w:val="24"/>
          <w:szCs w:val="24"/>
        </w:rPr>
        <w:t>.</w:t>
      </w:r>
      <w:r>
        <w:rPr>
          <w:sz w:val="24"/>
          <w:szCs w:val="24"/>
        </w:rPr>
        <w:t xml:space="preserve"> </w:t>
      </w:r>
      <w:r w:rsidRPr="007A3299">
        <w:rPr>
          <w:sz w:val="24"/>
          <w:szCs w:val="24"/>
        </w:rPr>
        <w:t xml:space="preserve">In site 3, </w:t>
      </w:r>
      <w:r>
        <w:rPr>
          <w:sz w:val="24"/>
          <w:szCs w:val="24"/>
        </w:rPr>
        <w:t>as noted, where they had built successful partnerships in terms of integration, the HWB Chair highlighted</w:t>
      </w:r>
      <w:r w:rsidRPr="004868CE">
        <w:rPr>
          <w:sz w:val="24"/>
          <w:szCs w:val="24"/>
        </w:rPr>
        <w:t xml:space="preserve"> the importance of trust: </w:t>
      </w:r>
    </w:p>
    <w:p w:rsidR="002B2793" w:rsidRDefault="006B64DE" w:rsidP="00C057A6">
      <w:pPr>
        <w:spacing w:before="100" w:beforeAutospacing="1" w:line="240" w:lineRule="auto"/>
        <w:ind w:left="720"/>
        <w:rPr>
          <w:sz w:val="24"/>
          <w:szCs w:val="24"/>
        </w:rPr>
      </w:pPr>
      <w:r w:rsidRPr="00C057A6">
        <w:rPr>
          <w:sz w:val="24"/>
          <w:szCs w:val="24"/>
        </w:rPr>
        <w:t>‘</w:t>
      </w:r>
      <w:r w:rsidR="002B2793" w:rsidRPr="00C057A6">
        <w:rPr>
          <w:sz w:val="24"/>
          <w:szCs w:val="24"/>
        </w:rPr>
        <w:t>R</w:t>
      </w:r>
      <w:r w:rsidRPr="00C057A6">
        <w:rPr>
          <w:sz w:val="24"/>
          <w:szCs w:val="24"/>
        </w:rPr>
        <w:t>ight throughout this whole experience for me, it's all been about relationships and building trust and being open and honest with each other. And I think if there's one secret, I would say that's the secret of what we've achieved. I think health and wellbeing boards need to focus on that and understand what that can achieve for them.</w:t>
      </w:r>
      <w:r w:rsidR="002B2793">
        <w:rPr>
          <w:sz w:val="24"/>
          <w:szCs w:val="24"/>
        </w:rPr>
        <w:t>’</w:t>
      </w:r>
      <w:r w:rsidRPr="003454A4">
        <w:rPr>
          <w:sz w:val="24"/>
          <w:szCs w:val="24"/>
        </w:rPr>
        <w:t xml:space="preserve"> </w:t>
      </w:r>
    </w:p>
    <w:p w:rsidR="00AD7F74" w:rsidRDefault="006B64DE" w:rsidP="002D36D4">
      <w:pPr>
        <w:spacing w:before="100" w:beforeAutospacing="1" w:line="240" w:lineRule="auto"/>
        <w:rPr>
          <w:sz w:val="24"/>
          <w:szCs w:val="24"/>
        </w:rPr>
      </w:pPr>
      <w:r>
        <w:rPr>
          <w:sz w:val="24"/>
          <w:szCs w:val="24"/>
        </w:rPr>
        <w:t xml:space="preserve">However, a general lack of engagement and trust was evident </w:t>
      </w:r>
      <w:r w:rsidR="004A56E9">
        <w:rPr>
          <w:sz w:val="24"/>
          <w:szCs w:val="24"/>
        </w:rPr>
        <w:t xml:space="preserve">at </w:t>
      </w:r>
      <w:r>
        <w:rPr>
          <w:sz w:val="24"/>
          <w:szCs w:val="24"/>
        </w:rPr>
        <w:t>the other study sites.</w:t>
      </w:r>
      <w:r>
        <w:rPr>
          <w:i/>
          <w:sz w:val="24"/>
          <w:szCs w:val="24"/>
        </w:rPr>
        <w:t xml:space="preserve"> </w:t>
      </w:r>
      <w:r w:rsidRPr="00B565C7">
        <w:rPr>
          <w:sz w:val="24"/>
          <w:szCs w:val="24"/>
        </w:rPr>
        <w:t>Contributing factors</w:t>
      </w:r>
      <w:r>
        <w:rPr>
          <w:sz w:val="24"/>
          <w:szCs w:val="24"/>
        </w:rPr>
        <w:t xml:space="preserve"> included:</w:t>
      </w:r>
      <w:r>
        <w:rPr>
          <w:i/>
          <w:sz w:val="24"/>
          <w:szCs w:val="24"/>
        </w:rPr>
        <w:t xml:space="preserve"> </w:t>
      </w:r>
      <w:r>
        <w:rPr>
          <w:sz w:val="24"/>
          <w:szCs w:val="24"/>
        </w:rPr>
        <w:t>p</w:t>
      </w:r>
      <w:r w:rsidRPr="006B74FD">
        <w:rPr>
          <w:sz w:val="24"/>
          <w:szCs w:val="24"/>
        </w:rPr>
        <w:t>oor</w:t>
      </w:r>
      <w:r w:rsidRPr="007A3299">
        <w:rPr>
          <w:sz w:val="24"/>
          <w:szCs w:val="24"/>
        </w:rPr>
        <w:t xml:space="preserve"> local authority and CCG relationships a</w:t>
      </w:r>
      <w:r>
        <w:rPr>
          <w:sz w:val="24"/>
          <w:szCs w:val="24"/>
        </w:rPr>
        <w:t>nd a</w:t>
      </w:r>
      <w:r w:rsidRPr="007A3299">
        <w:rPr>
          <w:sz w:val="24"/>
          <w:szCs w:val="24"/>
        </w:rPr>
        <w:t xml:space="preserve"> lack of information </w:t>
      </w:r>
      <w:r>
        <w:rPr>
          <w:sz w:val="24"/>
          <w:szCs w:val="24"/>
        </w:rPr>
        <w:t>sharing</w:t>
      </w:r>
      <w:r w:rsidRPr="007A3299">
        <w:rPr>
          <w:sz w:val="24"/>
          <w:szCs w:val="24"/>
        </w:rPr>
        <w:t xml:space="preserve"> and en</w:t>
      </w:r>
      <w:r>
        <w:rPr>
          <w:sz w:val="24"/>
          <w:szCs w:val="24"/>
        </w:rPr>
        <w:t>gagement; p</w:t>
      </w:r>
      <w:r w:rsidRPr="003454A4">
        <w:rPr>
          <w:sz w:val="24"/>
          <w:szCs w:val="24"/>
        </w:rPr>
        <w:t>ersonality conflicts</w:t>
      </w:r>
      <w:r>
        <w:rPr>
          <w:sz w:val="24"/>
          <w:szCs w:val="24"/>
        </w:rPr>
        <w:t>;</w:t>
      </w:r>
      <w:r w:rsidRPr="003454A4">
        <w:rPr>
          <w:sz w:val="24"/>
          <w:szCs w:val="24"/>
        </w:rPr>
        <w:t xml:space="preserve"> tensions within the health sector (providers and </w:t>
      </w:r>
      <w:r>
        <w:rPr>
          <w:sz w:val="24"/>
          <w:szCs w:val="24"/>
        </w:rPr>
        <w:t>the</w:t>
      </w:r>
      <w:r w:rsidRPr="003454A4">
        <w:rPr>
          <w:sz w:val="24"/>
          <w:szCs w:val="24"/>
        </w:rPr>
        <w:t xml:space="preserve"> former </w:t>
      </w:r>
      <w:r w:rsidR="00AD7F74">
        <w:rPr>
          <w:sz w:val="24"/>
          <w:szCs w:val="24"/>
        </w:rPr>
        <w:t>primary care trusts</w:t>
      </w:r>
      <w:r w:rsidRPr="003454A4">
        <w:rPr>
          <w:sz w:val="24"/>
          <w:szCs w:val="24"/>
        </w:rPr>
        <w:t xml:space="preserve"> not working together)</w:t>
      </w:r>
      <w:r>
        <w:rPr>
          <w:sz w:val="24"/>
          <w:szCs w:val="24"/>
        </w:rPr>
        <w:t>; poor</w:t>
      </w:r>
      <w:r w:rsidRPr="003454A4">
        <w:rPr>
          <w:sz w:val="24"/>
          <w:szCs w:val="24"/>
        </w:rPr>
        <w:t xml:space="preserve"> partnership working </w:t>
      </w:r>
      <w:r>
        <w:rPr>
          <w:sz w:val="24"/>
          <w:szCs w:val="24"/>
        </w:rPr>
        <w:t>between</w:t>
      </w:r>
      <w:r w:rsidRPr="003454A4">
        <w:rPr>
          <w:sz w:val="24"/>
          <w:szCs w:val="24"/>
        </w:rPr>
        <w:t xml:space="preserve"> the local authority and the voluntary sector</w:t>
      </w:r>
      <w:r>
        <w:rPr>
          <w:sz w:val="24"/>
          <w:szCs w:val="24"/>
        </w:rPr>
        <w:t>; and c</w:t>
      </w:r>
      <w:r w:rsidRPr="003454A4">
        <w:rPr>
          <w:sz w:val="24"/>
          <w:szCs w:val="24"/>
        </w:rPr>
        <w:t xml:space="preserve">ultural differences </w:t>
      </w:r>
      <w:r>
        <w:t>with d</w:t>
      </w:r>
      <w:r w:rsidRPr="003454A4">
        <w:rPr>
          <w:sz w:val="24"/>
          <w:szCs w:val="24"/>
        </w:rPr>
        <w:t>ifferent leadership approaches.</w:t>
      </w:r>
      <w:r>
        <w:rPr>
          <w:sz w:val="24"/>
          <w:szCs w:val="24"/>
        </w:rPr>
        <w:t xml:space="preserve"> </w:t>
      </w:r>
      <w:r w:rsidR="002D36D4" w:rsidRPr="002D36D4">
        <w:rPr>
          <w:sz w:val="24"/>
          <w:szCs w:val="24"/>
        </w:rPr>
        <w:t xml:space="preserve">A CCG Chair </w:t>
      </w:r>
      <w:r w:rsidR="002D36D4">
        <w:rPr>
          <w:sz w:val="24"/>
          <w:szCs w:val="24"/>
        </w:rPr>
        <w:t xml:space="preserve">in site 4 </w:t>
      </w:r>
      <w:r w:rsidR="002D36D4" w:rsidRPr="002D36D4">
        <w:rPr>
          <w:sz w:val="24"/>
          <w:szCs w:val="24"/>
        </w:rPr>
        <w:t xml:space="preserve">commented on the acrimonious nature of the previous </w:t>
      </w:r>
      <w:r w:rsidR="00AD7F74">
        <w:rPr>
          <w:sz w:val="24"/>
          <w:szCs w:val="24"/>
        </w:rPr>
        <w:t xml:space="preserve">primary care trust </w:t>
      </w:r>
      <w:r w:rsidR="002D36D4" w:rsidRPr="002D36D4">
        <w:rPr>
          <w:sz w:val="24"/>
          <w:szCs w:val="24"/>
        </w:rPr>
        <w:t>and local authority relationship:</w:t>
      </w:r>
      <w:r w:rsidR="002D36D4">
        <w:rPr>
          <w:sz w:val="24"/>
          <w:szCs w:val="24"/>
        </w:rPr>
        <w:t xml:space="preserve"> </w:t>
      </w:r>
    </w:p>
    <w:p w:rsidR="006B64DE" w:rsidRPr="00C057A6" w:rsidRDefault="00863295" w:rsidP="00C057A6">
      <w:pPr>
        <w:spacing w:before="100" w:beforeAutospacing="1" w:line="240" w:lineRule="auto"/>
        <w:ind w:left="720"/>
        <w:rPr>
          <w:sz w:val="24"/>
          <w:szCs w:val="24"/>
        </w:rPr>
      </w:pPr>
      <w:r w:rsidRPr="00C057A6">
        <w:rPr>
          <w:sz w:val="24"/>
          <w:szCs w:val="24"/>
        </w:rPr>
        <w:t>‘I think historically it’s fair to say that the primary care trust did not have a good relationship with the local authority. And that the local authority did not have a good relationsh</w:t>
      </w:r>
      <w:r w:rsidR="002D36D4" w:rsidRPr="00C057A6">
        <w:rPr>
          <w:sz w:val="24"/>
          <w:szCs w:val="24"/>
        </w:rPr>
        <w:t>ip with the primary care trust...</w:t>
      </w:r>
      <w:r w:rsidRPr="00C057A6">
        <w:rPr>
          <w:sz w:val="24"/>
          <w:szCs w:val="24"/>
        </w:rPr>
        <w:t>there was I think blood on the floor at times.</w:t>
      </w:r>
      <w:r w:rsidR="00AD7F74">
        <w:rPr>
          <w:sz w:val="24"/>
          <w:szCs w:val="24"/>
        </w:rPr>
        <w:t>’</w:t>
      </w:r>
    </w:p>
    <w:p w:rsidR="00AD7F74" w:rsidRDefault="006B64DE" w:rsidP="00187382">
      <w:pPr>
        <w:spacing w:before="100" w:beforeAutospacing="1" w:line="240" w:lineRule="auto"/>
        <w:rPr>
          <w:sz w:val="24"/>
          <w:szCs w:val="24"/>
        </w:rPr>
      </w:pPr>
      <w:r>
        <w:rPr>
          <w:sz w:val="24"/>
          <w:szCs w:val="24"/>
        </w:rPr>
        <w:t>When it came to horizontal and vertical linkages between partners, s</w:t>
      </w:r>
      <w:r w:rsidRPr="00C84FC2">
        <w:rPr>
          <w:sz w:val="24"/>
          <w:szCs w:val="24"/>
        </w:rPr>
        <w:t>ystem leadership</w:t>
      </w:r>
      <w:r>
        <w:rPr>
          <w:sz w:val="24"/>
          <w:szCs w:val="24"/>
        </w:rPr>
        <w:t xml:space="preserve"> by boards was largely weak across the study sites, with a focus largely on partner agencies’ own organi</w:t>
      </w:r>
      <w:r w:rsidR="00E21DC3">
        <w:rPr>
          <w:sz w:val="24"/>
          <w:szCs w:val="24"/>
        </w:rPr>
        <w:t>z</w:t>
      </w:r>
      <w:r>
        <w:rPr>
          <w:sz w:val="24"/>
          <w:szCs w:val="24"/>
        </w:rPr>
        <w:t xml:space="preserve">ational priorities, lack of clear goals and the inability to hold partners to account.  </w:t>
      </w:r>
      <w:r w:rsidR="002D36D4" w:rsidRPr="002D36D4">
        <w:rPr>
          <w:sz w:val="24"/>
          <w:szCs w:val="24"/>
        </w:rPr>
        <w:t>In site 2, for instance, it was noted that the Foundation Trust had its own priorities driven by its Chief Executive; and in site 4, it was argued</w:t>
      </w:r>
      <w:r w:rsidR="0054435B">
        <w:rPr>
          <w:sz w:val="24"/>
          <w:szCs w:val="24"/>
        </w:rPr>
        <w:t xml:space="preserve"> by a CCG Chair</w:t>
      </w:r>
      <w:r w:rsidR="002D36D4" w:rsidRPr="002D36D4">
        <w:rPr>
          <w:sz w:val="24"/>
          <w:szCs w:val="24"/>
        </w:rPr>
        <w:t xml:space="preserve"> that there were ‘Big people with big personalities’ who could exert a disproportionate influence over policies and agendas.</w:t>
      </w:r>
      <w:r w:rsidR="002D36D4">
        <w:rPr>
          <w:sz w:val="24"/>
          <w:szCs w:val="24"/>
        </w:rPr>
        <w:t xml:space="preserve"> </w:t>
      </w:r>
    </w:p>
    <w:p w:rsidR="00AD7F74" w:rsidRDefault="00AD7F74" w:rsidP="00187382">
      <w:pPr>
        <w:spacing w:before="100" w:beforeAutospacing="1" w:line="240" w:lineRule="auto"/>
        <w:rPr>
          <w:sz w:val="24"/>
          <w:szCs w:val="24"/>
        </w:rPr>
      </w:pPr>
      <w:r>
        <w:rPr>
          <w:sz w:val="24"/>
          <w:szCs w:val="24"/>
        </w:rPr>
        <w:t>The Vice Chair of the HWB at site 2 encapsulated a common theme in the responses, that of b</w:t>
      </w:r>
      <w:r w:rsidR="00187382">
        <w:rPr>
          <w:sz w:val="24"/>
          <w:szCs w:val="24"/>
        </w:rPr>
        <w:t>oards not being able to hold partners to account</w:t>
      </w:r>
      <w:r w:rsidR="002D36D4">
        <w:rPr>
          <w:sz w:val="24"/>
          <w:szCs w:val="24"/>
        </w:rPr>
        <w:t xml:space="preserve">: </w:t>
      </w:r>
    </w:p>
    <w:p w:rsidR="00AD7F74" w:rsidRDefault="002D36D4" w:rsidP="00C057A6">
      <w:pPr>
        <w:spacing w:before="100" w:beforeAutospacing="1" w:line="240" w:lineRule="auto"/>
        <w:ind w:left="720"/>
        <w:rPr>
          <w:sz w:val="24"/>
          <w:szCs w:val="24"/>
        </w:rPr>
      </w:pPr>
      <w:r w:rsidRPr="00AD7F74">
        <w:rPr>
          <w:sz w:val="24"/>
          <w:szCs w:val="24"/>
        </w:rPr>
        <w:lastRenderedPageBreak/>
        <w:t>‘</w:t>
      </w:r>
      <w:r w:rsidR="00863295" w:rsidRPr="00C057A6">
        <w:rPr>
          <w:sz w:val="24"/>
          <w:szCs w:val="24"/>
        </w:rPr>
        <w:t>The problem</w:t>
      </w:r>
      <w:r w:rsidR="004A56E9">
        <w:rPr>
          <w:sz w:val="24"/>
          <w:szCs w:val="24"/>
        </w:rPr>
        <w:t>,</w:t>
      </w:r>
      <w:r w:rsidR="00863295" w:rsidRPr="00C057A6">
        <w:rPr>
          <w:sz w:val="24"/>
          <w:szCs w:val="24"/>
        </w:rPr>
        <w:t xml:space="preserve"> as I see health and wellbeing boards</w:t>
      </w:r>
      <w:r w:rsidR="004A56E9">
        <w:rPr>
          <w:sz w:val="24"/>
          <w:szCs w:val="24"/>
        </w:rPr>
        <w:t>,</w:t>
      </w:r>
      <w:r w:rsidR="00863295" w:rsidRPr="00C057A6">
        <w:rPr>
          <w:sz w:val="24"/>
          <w:szCs w:val="24"/>
        </w:rPr>
        <w:t xml:space="preserve"> is they’re not accountable. And if you’ve got no kind of controls, and you can’t hold people to account, apart from through having a good relationship and a conversation, actually</w:t>
      </w:r>
      <w:r w:rsidR="004A56E9">
        <w:rPr>
          <w:sz w:val="24"/>
          <w:szCs w:val="24"/>
        </w:rPr>
        <w:t>,</w:t>
      </w:r>
      <w:r w:rsidR="00863295" w:rsidRPr="00C057A6">
        <w:rPr>
          <w:sz w:val="24"/>
          <w:szCs w:val="24"/>
        </w:rPr>
        <w:t xml:space="preserve"> it means they’re not terribly effective</w:t>
      </w:r>
      <w:r w:rsidR="00AD7F74">
        <w:rPr>
          <w:sz w:val="24"/>
          <w:szCs w:val="24"/>
        </w:rPr>
        <w:t>.’</w:t>
      </w:r>
      <w:r w:rsidR="00187382">
        <w:rPr>
          <w:sz w:val="24"/>
          <w:szCs w:val="24"/>
        </w:rPr>
        <w:t xml:space="preserve"> </w:t>
      </w:r>
    </w:p>
    <w:p w:rsidR="00187382" w:rsidRPr="00187382" w:rsidRDefault="00AD7F74" w:rsidP="00187382">
      <w:pPr>
        <w:spacing w:before="100" w:beforeAutospacing="1" w:line="240" w:lineRule="auto"/>
        <w:rPr>
          <w:sz w:val="24"/>
          <w:szCs w:val="24"/>
        </w:rPr>
      </w:pPr>
      <w:r>
        <w:rPr>
          <w:sz w:val="24"/>
          <w:szCs w:val="24"/>
        </w:rPr>
        <w:t>Other problems were a l</w:t>
      </w:r>
      <w:r w:rsidR="00187382">
        <w:rPr>
          <w:sz w:val="24"/>
          <w:szCs w:val="24"/>
        </w:rPr>
        <w:t>ack of performance monitoring and accountability for outcomes</w:t>
      </w:r>
      <w:r>
        <w:rPr>
          <w:sz w:val="24"/>
          <w:szCs w:val="24"/>
        </w:rPr>
        <w:t xml:space="preserve">, </w:t>
      </w:r>
      <w:r w:rsidR="00187382">
        <w:rPr>
          <w:sz w:val="24"/>
          <w:szCs w:val="24"/>
        </w:rPr>
        <w:t>as discus</w:t>
      </w:r>
      <w:r w:rsidR="00637CA4">
        <w:rPr>
          <w:sz w:val="24"/>
          <w:szCs w:val="24"/>
        </w:rPr>
        <w:t>s</w:t>
      </w:r>
      <w:r w:rsidR="00187382">
        <w:rPr>
          <w:sz w:val="24"/>
          <w:szCs w:val="24"/>
        </w:rPr>
        <w:t>ed by a</w:t>
      </w:r>
      <w:r w:rsidR="00187382" w:rsidRPr="00187382">
        <w:rPr>
          <w:sz w:val="24"/>
          <w:szCs w:val="24"/>
        </w:rPr>
        <w:t xml:space="preserve"> Service Director </w:t>
      </w:r>
      <w:r w:rsidR="00187382">
        <w:rPr>
          <w:sz w:val="24"/>
          <w:szCs w:val="24"/>
        </w:rPr>
        <w:t>in site 4 when describing</w:t>
      </w:r>
      <w:r w:rsidR="00187382" w:rsidRPr="00187382">
        <w:rPr>
          <w:sz w:val="24"/>
          <w:szCs w:val="24"/>
        </w:rPr>
        <w:t xml:space="preserve"> their </w:t>
      </w:r>
      <w:r w:rsidRPr="00AD7F74">
        <w:rPr>
          <w:sz w:val="24"/>
          <w:szCs w:val="24"/>
        </w:rPr>
        <w:t>Joint Health and Wellbeing Strategies</w:t>
      </w:r>
      <w:r w:rsidR="00187382" w:rsidRPr="00187382">
        <w:rPr>
          <w:sz w:val="24"/>
          <w:szCs w:val="24"/>
        </w:rPr>
        <w:t xml:space="preserve"> (which had been distilled </w:t>
      </w:r>
      <w:r>
        <w:rPr>
          <w:sz w:val="24"/>
          <w:szCs w:val="24"/>
        </w:rPr>
        <w:t>on</w:t>
      </w:r>
      <w:r w:rsidR="00187382" w:rsidRPr="00187382">
        <w:rPr>
          <w:sz w:val="24"/>
          <w:szCs w:val="24"/>
        </w:rPr>
        <w:t>to a single page):</w:t>
      </w:r>
    </w:p>
    <w:p w:rsidR="00187382" w:rsidRPr="00AD7F74" w:rsidRDefault="00863295" w:rsidP="00C057A6">
      <w:pPr>
        <w:spacing w:before="100" w:beforeAutospacing="1" w:line="240" w:lineRule="auto"/>
        <w:ind w:left="720"/>
        <w:rPr>
          <w:sz w:val="24"/>
          <w:szCs w:val="24"/>
        </w:rPr>
      </w:pPr>
      <w:r w:rsidRPr="00C057A6">
        <w:rPr>
          <w:sz w:val="24"/>
          <w:szCs w:val="24"/>
        </w:rPr>
        <w:t>‘The left</w:t>
      </w:r>
      <w:r w:rsidR="004A56E9">
        <w:rPr>
          <w:sz w:val="24"/>
          <w:szCs w:val="24"/>
        </w:rPr>
        <w:t>-</w:t>
      </w:r>
      <w:r w:rsidRPr="00C057A6">
        <w:rPr>
          <w:sz w:val="24"/>
          <w:szCs w:val="24"/>
        </w:rPr>
        <w:t xml:space="preserve">hand side </w:t>
      </w:r>
      <w:r w:rsidR="004A56E9">
        <w:rPr>
          <w:sz w:val="24"/>
          <w:szCs w:val="24"/>
        </w:rPr>
        <w:t xml:space="preserve">[of the page] </w:t>
      </w:r>
      <w:r w:rsidRPr="00C057A6">
        <w:rPr>
          <w:sz w:val="24"/>
          <w:szCs w:val="24"/>
        </w:rPr>
        <w:t>is the high level outcomes, what we’re trying to achieve. Nice and clear on that. The right</w:t>
      </w:r>
      <w:r w:rsidR="004A56E9">
        <w:rPr>
          <w:sz w:val="24"/>
          <w:szCs w:val="24"/>
        </w:rPr>
        <w:t>-</w:t>
      </w:r>
      <w:r w:rsidRPr="00C057A6">
        <w:rPr>
          <w:sz w:val="24"/>
          <w:szCs w:val="24"/>
        </w:rPr>
        <w:t>hand side was</w:t>
      </w:r>
      <w:r w:rsidR="004A56E9">
        <w:rPr>
          <w:sz w:val="24"/>
          <w:szCs w:val="24"/>
        </w:rPr>
        <w:t>,</w:t>
      </w:r>
      <w:r w:rsidRPr="00C057A6">
        <w:rPr>
          <w:sz w:val="24"/>
          <w:szCs w:val="24"/>
        </w:rPr>
        <w:t xml:space="preserve"> well</w:t>
      </w:r>
      <w:r w:rsidR="004A56E9">
        <w:rPr>
          <w:sz w:val="24"/>
          <w:szCs w:val="24"/>
        </w:rPr>
        <w:t>,</w:t>
      </w:r>
      <w:r w:rsidRPr="00C057A6">
        <w:rPr>
          <w:sz w:val="24"/>
          <w:szCs w:val="24"/>
        </w:rPr>
        <w:t xml:space="preserve"> what are the specific measures, targets and who’s accountable for them</w:t>
      </w:r>
      <w:r w:rsidR="004A56E9">
        <w:rPr>
          <w:sz w:val="24"/>
          <w:szCs w:val="24"/>
        </w:rPr>
        <w:t>? W</w:t>
      </w:r>
      <w:r w:rsidRPr="00C057A6">
        <w:rPr>
          <w:sz w:val="24"/>
          <w:szCs w:val="24"/>
        </w:rPr>
        <w:t>e weren’t so good at that</w:t>
      </w:r>
      <w:r w:rsidR="00187382" w:rsidRPr="00AD7F74">
        <w:rPr>
          <w:sz w:val="24"/>
          <w:szCs w:val="24"/>
        </w:rPr>
        <w:t>.</w:t>
      </w:r>
      <w:r w:rsidR="004A56E9">
        <w:rPr>
          <w:sz w:val="24"/>
          <w:szCs w:val="24"/>
        </w:rPr>
        <w:t>’</w:t>
      </w:r>
    </w:p>
    <w:p w:rsidR="006B64DE" w:rsidRDefault="00AD7F74" w:rsidP="00187382">
      <w:pPr>
        <w:spacing w:before="100" w:beforeAutospacing="1" w:line="240" w:lineRule="auto"/>
        <w:rPr>
          <w:sz w:val="24"/>
          <w:szCs w:val="24"/>
        </w:rPr>
      </w:pPr>
      <w:r>
        <w:rPr>
          <w:sz w:val="24"/>
          <w:szCs w:val="24"/>
        </w:rPr>
        <w:t>Participants at</w:t>
      </w:r>
      <w:r w:rsidR="006B64DE" w:rsidRPr="006A3C90">
        <w:rPr>
          <w:sz w:val="24"/>
          <w:szCs w:val="24"/>
        </w:rPr>
        <w:t xml:space="preserve"> site 3 believed the HWB </w:t>
      </w:r>
      <w:r w:rsidR="006B64DE">
        <w:rPr>
          <w:sz w:val="24"/>
          <w:szCs w:val="24"/>
        </w:rPr>
        <w:t>did</w:t>
      </w:r>
      <w:r w:rsidR="006B64DE" w:rsidRPr="006A3C90">
        <w:rPr>
          <w:sz w:val="24"/>
          <w:szCs w:val="24"/>
        </w:rPr>
        <w:t xml:space="preserve"> offer strategic leadership and to some extent acted successfully in holding commissioners to account. However, many decisions were taken at sub-board level and the HWB was seen to offer assurance and oversight on decisions (although this was also interpreted as rubberstamping by some interviewees</w:t>
      </w:r>
      <w:r w:rsidR="004A56E9">
        <w:rPr>
          <w:sz w:val="24"/>
          <w:szCs w:val="24"/>
        </w:rPr>
        <w:t>,</w:t>
      </w:r>
      <w:r w:rsidR="006B64DE" w:rsidRPr="006A3C90">
        <w:rPr>
          <w:sz w:val="24"/>
          <w:szCs w:val="24"/>
        </w:rPr>
        <w:t xml:space="preserve"> in respect of reports passed without a</w:t>
      </w:r>
      <w:r w:rsidR="006B64DE">
        <w:rPr>
          <w:sz w:val="24"/>
          <w:szCs w:val="24"/>
        </w:rPr>
        <w:t>n appropriate</w:t>
      </w:r>
      <w:r w:rsidR="006B64DE" w:rsidRPr="006A3C90">
        <w:rPr>
          <w:sz w:val="24"/>
          <w:szCs w:val="24"/>
        </w:rPr>
        <w:t xml:space="preserve"> level of scrutiny at the </w:t>
      </w:r>
      <w:r w:rsidR="006B64DE">
        <w:rPr>
          <w:sz w:val="24"/>
          <w:szCs w:val="24"/>
        </w:rPr>
        <w:t>full</w:t>
      </w:r>
      <w:r w:rsidR="006B64DE" w:rsidRPr="006A3C90">
        <w:rPr>
          <w:sz w:val="24"/>
          <w:szCs w:val="24"/>
        </w:rPr>
        <w:t xml:space="preserve"> </w:t>
      </w:r>
      <w:r w:rsidR="006B64DE">
        <w:rPr>
          <w:sz w:val="24"/>
          <w:szCs w:val="24"/>
        </w:rPr>
        <w:t>HWB</w:t>
      </w:r>
      <w:r w:rsidR="006B64DE" w:rsidRPr="006A3C90">
        <w:rPr>
          <w:sz w:val="24"/>
          <w:szCs w:val="24"/>
        </w:rPr>
        <w:t>).</w:t>
      </w:r>
      <w:r w:rsidR="0054435B">
        <w:rPr>
          <w:sz w:val="24"/>
          <w:szCs w:val="24"/>
        </w:rPr>
        <w:t xml:space="preserve"> As th</w:t>
      </w:r>
      <w:r w:rsidR="00BD748A">
        <w:rPr>
          <w:sz w:val="24"/>
          <w:szCs w:val="24"/>
        </w:rPr>
        <w:t xml:space="preserve">e </w:t>
      </w:r>
      <w:r w:rsidR="00C17F79">
        <w:rPr>
          <w:sz w:val="24"/>
          <w:szCs w:val="24"/>
        </w:rPr>
        <w:t>Director of Public Health</w:t>
      </w:r>
      <w:r w:rsidR="0054435B">
        <w:rPr>
          <w:sz w:val="24"/>
          <w:szCs w:val="24"/>
        </w:rPr>
        <w:t xml:space="preserve"> </w:t>
      </w:r>
      <w:r w:rsidR="002712EC">
        <w:rPr>
          <w:sz w:val="24"/>
          <w:szCs w:val="24"/>
        </w:rPr>
        <w:t xml:space="preserve">in site 3 observed: </w:t>
      </w:r>
      <w:r w:rsidR="002712EC" w:rsidRPr="002712EC">
        <w:rPr>
          <w:sz w:val="24"/>
          <w:szCs w:val="24"/>
        </w:rPr>
        <w:t xml:space="preserve">‘…if you sort of step back and ask, where was the decision made?  It wasn't at the </w:t>
      </w:r>
      <w:r w:rsidR="00BD748A">
        <w:rPr>
          <w:sz w:val="24"/>
          <w:szCs w:val="24"/>
        </w:rPr>
        <w:t>H</w:t>
      </w:r>
      <w:r w:rsidR="002712EC" w:rsidRPr="002712EC">
        <w:rPr>
          <w:sz w:val="24"/>
          <w:szCs w:val="24"/>
        </w:rPr>
        <w:t xml:space="preserve">ealth and </w:t>
      </w:r>
      <w:r w:rsidR="00BD748A">
        <w:rPr>
          <w:sz w:val="24"/>
          <w:szCs w:val="24"/>
        </w:rPr>
        <w:t>W</w:t>
      </w:r>
      <w:r w:rsidR="002712EC" w:rsidRPr="002712EC">
        <w:rPr>
          <w:sz w:val="24"/>
          <w:szCs w:val="24"/>
        </w:rPr>
        <w:t xml:space="preserve">ellbeing </w:t>
      </w:r>
      <w:r w:rsidR="00BD748A">
        <w:rPr>
          <w:sz w:val="24"/>
          <w:szCs w:val="24"/>
        </w:rPr>
        <w:t>B</w:t>
      </w:r>
      <w:r w:rsidR="002712EC" w:rsidRPr="002712EC">
        <w:rPr>
          <w:sz w:val="24"/>
          <w:szCs w:val="24"/>
        </w:rPr>
        <w:t xml:space="preserve">oard because all of the information and intelligence and critical thought that enables the decision was offered elsewhere and the decision was taken elsewhere.  And what the </w:t>
      </w:r>
      <w:r w:rsidR="00BD748A">
        <w:rPr>
          <w:sz w:val="24"/>
          <w:szCs w:val="24"/>
        </w:rPr>
        <w:t>H</w:t>
      </w:r>
      <w:r w:rsidR="002712EC" w:rsidRPr="002712EC">
        <w:rPr>
          <w:sz w:val="24"/>
          <w:szCs w:val="24"/>
        </w:rPr>
        <w:t xml:space="preserve">ealth and </w:t>
      </w:r>
      <w:r w:rsidR="00BD748A">
        <w:rPr>
          <w:sz w:val="24"/>
          <w:szCs w:val="24"/>
        </w:rPr>
        <w:t>W</w:t>
      </w:r>
      <w:r w:rsidR="002712EC" w:rsidRPr="002712EC">
        <w:rPr>
          <w:sz w:val="24"/>
          <w:szCs w:val="24"/>
        </w:rPr>
        <w:t xml:space="preserve">ellbeing </w:t>
      </w:r>
      <w:r w:rsidR="00BD748A">
        <w:rPr>
          <w:sz w:val="24"/>
          <w:szCs w:val="24"/>
        </w:rPr>
        <w:t>B</w:t>
      </w:r>
      <w:r w:rsidR="002712EC" w:rsidRPr="002712EC">
        <w:rPr>
          <w:sz w:val="24"/>
          <w:szCs w:val="24"/>
        </w:rPr>
        <w:t xml:space="preserve">oard did was to say </w:t>
      </w:r>
      <w:r w:rsidR="00BD748A">
        <w:rPr>
          <w:sz w:val="24"/>
          <w:szCs w:val="24"/>
        </w:rPr>
        <w:t>‘</w:t>
      </w:r>
      <w:r w:rsidR="002712EC" w:rsidRPr="002712EC">
        <w:rPr>
          <w:sz w:val="24"/>
          <w:szCs w:val="24"/>
        </w:rPr>
        <w:t>yes, we agree, carry on</w:t>
      </w:r>
      <w:r w:rsidR="00BD748A">
        <w:rPr>
          <w:sz w:val="24"/>
          <w:szCs w:val="24"/>
        </w:rPr>
        <w:t>’</w:t>
      </w:r>
      <w:r w:rsidR="002712EC" w:rsidRPr="002712EC">
        <w:rPr>
          <w:sz w:val="24"/>
          <w:szCs w:val="24"/>
        </w:rPr>
        <w:t>.  But is that decision making?  Some people would say, no, that's rubber stamping’.</w:t>
      </w:r>
      <w:r w:rsidR="00C17F79">
        <w:rPr>
          <w:sz w:val="24"/>
          <w:szCs w:val="24"/>
        </w:rPr>
        <w:t xml:space="preserve"> </w:t>
      </w:r>
    </w:p>
    <w:p w:rsidR="00CA4902" w:rsidRDefault="006B64DE" w:rsidP="00A81509">
      <w:pPr>
        <w:spacing w:before="100" w:beforeAutospacing="1" w:line="240" w:lineRule="auto"/>
        <w:rPr>
          <w:i/>
        </w:rPr>
      </w:pPr>
      <w:r>
        <w:rPr>
          <w:sz w:val="24"/>
          <w:szCs w:val="24"/>
        </w:rPr>
        <w:t>In regard to working with agencies at street level, such as the voluntary sector and HealthWatch, there was a concern</w:t>
      </w:r>
      <w:r w:rsidR="00BD748A">
        <w:rPr>
          <w:sz w:val="24"/>
          <w:szCs w:val="24"/>
        </w:rPr>
        <w:t xml:space="preserve"> that</w:t>
      </w:r>
      <w:r>
        <w:rPr>
          <w:sz w:val="24"/>
          <w:szCs w:val="24"/>
        </w:rPr>
        <w:t xml:space="preserve"> </w:t>
      </w:r>
      <w:r w:rsidR="0078212C">
        <w:rPr>
          <w:sz w:val="24"/>
          <w:szCs w:val="24"/>
        </w:rPr>
        <w:t xml:space="preserve">such agencies </w:t>
      </w:r>
      <w:r>
        <w:rPr>
          <w:sz w:val="24"/>
          <w:szCs w:val="24"/>
        </w:rPr>
        <w:t xml:space="preserve">generally </w:t>
      </w:r>
      <w:r w:rsidR="0078212C">
        <w:rPr>
          <w:sz w:val="24"/>
          <w:szCs w:val="24"/>
        </w:rPr>
        <w:t xml:space="preserve">had little </w:t>
      </w:r>
      <w:r>
        <w:rPr>
          <w:sz w:val="24"/>
          <w:szCs w:val="24"/>
        </w:rPr>
        <w:t>influen</w:t>
      </w:r>
      <w:r w:rsidR="0078212C">
        <w:rPr>
          <w:sz w:val="24"/>
          <w:szCs w:val="24"/>
        </w:rPr>
        <w:t xml:space="preserve">ce </w:t>
      </w:r>
      <w:r>
        <w:rPr>
          <w:sz w:val="24"/>
          <w:szCs w:val="24"/>
        </w:rPr>
        <w:t xml:space="preserve">on HWBs and </w:t>
      </w:r>
      <w:r w:rsidR="0078212C">
        <w:rPr>
          <w:sz w:val="24"/>
          <w:szCs w:val="24"/>
        </w:rPr>
        <w:t xml:space="preserve">were </w:t>
      </w:r>
      <w:r>
        <w:rPr>
          <w:sz w:val="24"/>
          <w:szCs w:val="24"/>
        </w:rPr>
        <w:t xml:space="preserve">somewhat </w:t>
      </w:r>
      <w:r w:rsidR="0078212C">
        <w:rPr>
          <w:sz w:val="24"/>
          <w:szCs w:val="24"/>
        </w:rPr>
        <w:t>of</w:t>
      </w:r>
      <w:r>
        <w:rPr>
          <w:sz w:val="24"/>
          <w:szCs w:val="24"/>
        </w:rPr>
        <w:t xml:space="preserve"> an afterthought. </w:t>
      </w:r>
      <w:r w:rsidR="00C021D7">
        <w:rPr>
          <w:sz w:val="24"/>
          <w:szCs w:val="24"/>
        </w:rPr>
        <w:t>A member of a community organi</w:t>
      </w:r>
      <w:r w:rsidR="00E21DC3">
        <w:rPr>
          <w:sz w:val="24"/>
          <w:szCs w:val="24"/>
        </w:rPr>
        <w:t>z</w:t>
      </w:r>
      <w:r w:rsidR="00C021D7">
        <w:rPr>
          <w:sz w:val="24"/>
          <w:szCs w:val="24"/>
        </w:rPr>
        <w:t xml:space="preserve">ation in one of the voluntary sector focus groups </w:t>
      </w:r>
      <w:r w:rsidR="002C716D">
        <w:rPr>
          <w:sz w:val="24"/>
          <w:szCs w:val="24"/>
        </w:rPr>
        <w:t>was critical</w:t>
      </w:r>
      <w:r w:rsidR="00C021D7">
        <w:rPr>
          <w:sz w:val="24"/>
          <w:szCs w:val="24"/>
        </w:rPr>
        <w:t xml:space="preserve"> about </w:t>
      </w:r>
      <w:r w:rsidR="00430FD7">
        <w:rPr>
          <w:sz w:val="24"/>
          <w:szCs w:val="24"/>
        </w:rPr>
        <w:t xml:space="preserve">decisions being made elsewhere, not by the </w:t>
      </w:r>
      <w:r w:rsidR="00C021D7">
        <w:rPr>
          <w:sz w:val="24"/>
          <w:szCs w:val="24"/>
        </w:rPr>
        <w:t>HWB</w:t>
      </w:r>
      <w:r w:rsidR="00DE5DD3">
        <w:rPr>
          <w:sz w:val="24"/>
          <w:szCs w:val="24"/>
        </w:rPr>
        <w:t>,</w:t>
      </w:r>
      <w:r w:rsidR="00C021D7">
        <w:rPr>
          <w:sz w:val="24"/>
          <w:szCs w:val="24"/>
        </w:rPr>
        <w:t xml:space="preserve"> and </w:t>
      </w:r>
      <w:r w:rsidR="00DE5DD3">
        <w:rPr>
          <w:sz w:val="24"/>
          <w:szCs w:val="24"/>
        </w:rPr>
        <w:t xml:space="preserve">about </w:t>
      </w:r>
      <w:r w:rsidR="00C021D7">
        <w:rPr>
          <w:sz w:val="24"/>
          <w:szCs w:val="24"/>
        </w:rPr>
        <w:t xml:space="preserve">how </w:t>
      </w:r>
      <w:r w:rsidR="00430FD7">
        <w:rPr>
          <w:sz w:val="24"/>
          <w:szCs w:val="24"/>
        </w:rPr>
        <w:t>the voluntary sector was not meaningfully involved</w:t>
      </w:r>
      <w:r w:rsidR="00C021D7">
        <w:rPr>
          <w:sz w:val="24"/>
          <w:szCs w:val="24"/>
        </w:rPr>
        <w:t xml:space="preserve">: </w:t>
      </w:r>
      <w:r w:rsidR="00863295" w:rsidRPr="00C057A6">
        <w:rPr>
          <w:sz w:val="24"/>
          <w:szCs w:val="24"/>
        </w:rPr>
        <w:t>‘I do think as a community engagement organi</w:t>
      </w:r>
      <w:r w:rsidR="00E21DC3" w:rsidRPr="00C057A6">
        <w:rPr>
          <w:sz w:val="24"/>
          <w:szCs w:val="24"/>
        </w:rPr>
        <w:t>z</w:t>
      </w:r>
      <w:r w:rsidR="00863295" w:rsidRPr="00C057A6">
        <w:rPr>
          <w:sz w:val="24"/>
          <w:szCs w:val="24"/>
        </w:rPr>
        <w:t>ation, there is a point at which we need to say</w:t>
      </w:r>
      <w:r w:rsidR="00DE5DD3">
        <w:rPr>
          <w:sz w:val="24"/>
          <w:szCs w:val="24"/>
        </w:rPr>
        <w:t>,</w:t>
      </w:r>
      <w:r w:rsidR="00863295" w:rsidRPr="00C057A6">
        <w:rPr>
          <w:sz w:val="24"/>
          <w:szCs w:val="24"/>
        </w:rPr>
        <w:t xml:space="preserve"> </w:t>
      </w:r>
      <w:r w:rsidR="00D372C6">
        <w:rPr>
          <w:sz w:val="24"/>
          <w:szCs w:val="24"/>
        </w:rPr>
        <w:t>“D</w:t>
      </w:r>
      <w:r w:rsidR="00863295" w:rsidRPr="00C057A6">
        <w:rPr>
          <w:sz w:val="24"/>
          <w:szCs w:val="24"/>
        </w:rPr>
        <w:t>o you know what, we’re not going to collude with the circus anymore.</w:t>
      </w:r>
      <w:r w:rsidR="00DE5DD3">
        <w:rPr>
          <w:sz w:val="24"/>
          <w:szCs w:val="24"/>
        </w:rPr>
        <w:t>’</w:t>
      </w:r>
      <w:r w:rsidR="00C021D7" w:rsidRPr="00C057A6">
        <w:t xml:space="preserve"> </w:t>
      </w:r>
    </w:p>
    <w:p w:rsidR="00D82849" w:rsidRDefault="00D372C6" w:rsidP="006B64DE">
      <w:pPr>
        <w:spacing w:before="100" w:beforeAutospacing="1" w:line="240" w:lineRule="auto"/>
        <w:rPr>
          <w:rFonts w:asciiTheme="minorHAnsi" w:hAnsiTheme="minorHAnsi" w:cstheme="minorHAnsi"/>
          <w:sz w:val="24"/>
          <w:szCs w:val="24"/>
        </w:rPr>
      </w:pPr>
      <w:r w:rsidRPr="00C057A6">
        <w:rPr>
          <w:rFonts w:asciiTheme="minorHAnsi" w:hAnsiTheme="minorHAnsi" w:cstheme="minorHAnsi"/>
          <w:sz w:val="24"/>
          <w:szCs w:val="24"/>
        </w:rPr>
        <w:t>W</w:t>
      </w:r>
      <w:r w:rsidR="00A81509" w:rsidRPr="00C057A6">
        <w:rPr>
          <w:rFonts w:asciiTheme="minorHAnsi" w:hAnsiTheme="minorHAnsi" w:cstheme="minorHAnsi"/>
          <w:sz w:val="24"/>
          <w:szCs w:val="24"/>
        </w:rPr>
        <w:t>i</w:t>
      </w:r>
      <w:r w:rsidR="006B64DE" w:rsidRPr="00C057A6">
        <w:rPr>
          <w:rFonts w:asciiTheme="minorHAnsi" w:hAnsiTheme="minorHAnsi" w:cstheme="minorHAnsi"/>
          <w:sz w:val="24"/>
          <w:szCs w:val="24"/>
        </w:rPr>
        <w:t>th HWBs in our study sites largely having no clear vision and purpose, coupled with a lack of accountability</w:t>
      </w:r>
      <w:r w:rsidR="00BD748A">
        <w:rPr>
          <w:rFonts w:asciiTheme="minorHAnsi" w:hAnsiTheme="minorHAnsi" w:cstheme="minorHAnsi"/>
          <w:sz w:val="24"/>
          <w:szCs w:val="24"/>
        </w:rPr>
        <w:t xml:space="preserve"> and weak system leadership evident in two of the sites</w:t>
      </w:r>
      <w:r w:rsidR="006B64DE" w:rsidRPr="00C057A6">
        <w:rPr>
          <w:rFonts w:asciiTheme="minorHAnsi" w:hAnsiTheme="minorHAnsi" w:cstheme="minorHAnsi"/>
          <w:sz w:val="24"/>
          <w:szCs w:val="24"/>
        </w:rPr>
        <w:t xml:space="preserve">, there was very little in </w:t>
      </w:r>
      <w:r w:rsidR="001B7CAF" w:rsidRPr="00C057A6">
        <w:rPr>
          <w:rFonts w:asciiTheme="minorHAnsi" w:hAnsiTheme="minorHAnsi" w:cstheme="minorHAnsi"/>
          <w:sz w:val="24"/>
          <w:szCs w:val="24"/>
        </w:rPr>
        <w:t xml:space="preserve">the way of </w:t>
      </w:r>
      <w:r w:rsidR="00B16ABE" w:rsidRPr="00C057A6">
        <w:rPr>
          <w:rFonts w:asciiTheme="minorHAnsi" w:hAnsiTheme="minorHAnsi" w:cstheme="minorHAnsi"/>
          <w:sz w:val="24"/>
          <w:szCs w:val="24"/>
        </w:rPr>
        <w:t xml:space="preserve">what study participants themselves determined as </w:t>
      </w:r>
      <w:r w:rsidR="006B64DE" w:rsidRPr="00C057A6">
        <w:rPr>
          <w:rFonts w:asciiTheme="minorHAnsi" w:hAnsiTheme="minorHAnsi" w:cstheme="minorHAnsi"/>
          <w:sz w:val="24"/>
          <w:szCs w:val="24"/>
        </w:rPr>
        <w:t>tangible outcomes</w:t>
      </w:r>
      <w:r w:rsidRPr="00C057A6">
        <w:rPr>
          <w:rFonts w:asciiTheme="minorHAnsi" w:hAnsiTheme="minorHAnsi" w:cstheme="minorHAnsi"/>
          <w:sz w:val="24"/>
          <w:szCs w:val="24"/>
        </w:rPr>
        <w:t xml:space="preserve"> - </w:t>
      </w:r>
      <w:r w:rsidR="001B7CAF" w:rsidRPr="00C057A6">
        <w:rPr>
          <w:rFonts w:asciiTheme="minorHAnsi" w:hAnsiTheme="minorHAnsi" w:cstheme="minorHAnsi"/>
          <w:sz w:val="24"/>
          <w:szCs w:val="24"/>
        </w:rPr>
        <w:t>namely</w:t>
      </w:r>
      <w:r w:rsidR="00D82849" w:rsidRPr="00C057A6">
        <w:rPr>
          <w:rFonts w:asciiTheme="minorHAnsi" w:hAnsiTheme="minorHAnsi" w:cstheme="minorHAnsi"/>
          <w:sz w:val="24"/>
          <w:szCs w:val="24"/>
        </w:rPr>
        <w:t>, achieving</w:t>
      </w:r>
      <w:r w:rsidR="007920DF" w:rsidRPr="00C057A6">
        <w:rPr>
          <w:rFonts w:asciiTheme="minorHAnsi" w:hAnsiTheme="minorHAnsi" w:cstheme="minorHAnsi"/>
          <w:sz w:val="24"/>
          <w:szCs w:val="24"/>
        </w:rPr>
        <w:t xml:space="preserve"> targets and goals set by boards, largely through the </w:t>
      </w:r>
      <w:r w:rsidR="00D82849" w:rsidRPr="00C057A6">
        <w:rPr>
          <w:rFonts w:asciiTheme="minorHAnsi" w:hAnsiTheme="minorHAnsi" w:cstheme="minorHAnsi"/>
          <w:sz w:val="24"/>
          <w:szCs w:val="24"/>
        </w:rPr>
        <w:t>priorities of</w:t>
      </w:r>
      <w:r w:rsidR="007920DF" w:rsidRPr="00C057A6">
        <w:rPr>
          <w:rFonts w:asciiTheme="minorHAnsi" w:hAnsiTheme="minorHAnsi" w:cstheme="minorHAnsi"/>
          <w:sz w:val="24"/>
          <w:szCs w:val="24"/>
        </w:rPr>
        <w:t xml:space="preserve"> the JHWS</w:t>
      </w:r>
      <w:r w:rsidR="001B7CAF" w:rsidRPr="00C057A6">
        <w:rPr>
          <w:rFonts w:asciiTheme="minorHAnsi" w:hAnsiTheme="minorHAnsi" w:cstheme="minorHAnsi"/>
          <w:sz w:val="24"/>
          <w:szCs w:val="24"/>
        </w:rPr>
        <w:t>s</w:t>
      </w:r>
      <w:r w:rsidR="007920DF" w:rsidRPr="00C057A6">
        <w:rPr>
          <w:rFonts w:asciiTheme="minorHAnsi" w:hAnsiTheme="minorHAnsi" w:cstheme="minorHAnsi"/>
          <w:sz w:val="24"/>
          <w:szCs w:val="24"/>
        </w:rPr>
        <w:t xml:space="preserve"> and other </w:t>
      </w:r>
      <w:r w:rsidR="004C78AF" w:rsidRPr="00C057A6">
        <w:rPr>
          <w:rFonts w:asciiTheme="minorHAnsi" w:hAnsiTheme="minorHAnsi" w:cstheme="minorHAnsi"/>
          <w:sz w:val="24"/>
          <w:szCs w:val="24"/>
        </w:rPr>
        <w:t xml:space="preserve">means </w:t>
      </w:r>
      <w:r w:rsidR="007920DF" w:rsidRPr="00C057A6">
        <w:rPr>
          <w:rFonts w:asciiTheme="minorHAnsi" w:hAnsiTheme="minorHAnsi" w:cstheme="minorHAnsi"/>
          <w:sz w:val="24"/>
          <w:szCs w:val="24"/>
        </w:rPr>
        <w:t>such as health and social care integration</w:t>
      </w:r>
      <w:r w:rsidR="006B64DE" w:rsidRPr="00C057A6">
        <w:rPr>
          <w:rFonts w:asciiTheme="minorHAnsi" w:hAnsiTheme="minorHAnsi" w:cstheme="minorHAnsi"/>
          <w:sz w:val="24"/>
          <w:szCs w:val="24"/>
        </w:rPr>
        <w:t>.</w:t>
      </w:r>
      <w:r w:rsidR="00F046D3" w:rsidRPr="00F046D3">
        <w:t xml:space="preserve"> </w:t>
      </w:r>
      <w:r w:rsidR="00F046D3">
        <w:rPr>
          <w:rFonts w:asciiTheme="minorHAnsi" w:hAnsiTheme="minorHAnsi" w:cstheme="minorHAnsi"/>
          <w:sz w:val="24"/>
          <w:szCs w:val="24"/>
        </w:rPr>
        <w:t xml:space="preserve">A </w:t>
      </w:r>
      <w:r w:rsidR="00F046D3" w:rsidRPr="00F046D3">
        <w:rPr>
          <w:rFonts w:asciiTheme="minorHAnsi" w:hAnsiTheme="minorHAnsi" w:cstheme="minorHAnsi"/>
          <w:sz w:val="24"/>
          <w:szCs w:val="24"/>
        </w:rPr>
        <w:t>HWB</w:t>
      </w:r>
      <w:r w:rsidR="00BD748A">
        <w:rPr>
          <w:rFonts w:asciiTheme="minorHAnsi" w:hAnsiTheme="minorHAnsi" w:cstheme="minorHAnsi"/>
          <w:sz w:val="24"/>
          <w:szCs w:val="24"/>
        </w:rPr>
        <w:t xml:space="preserve"> voluntary sector </w:t>
      </w:r>
      <w:r w:rsidR="00F046D3" w:rsidRPr="00F046D3">
        <w:rPr>
          <w:rFonts w:asciiTheme="minorHAnsi" w:hAnsiTheme="minorHAnsi" w:cstheme="minorHAnsi"/>
          <w:sz w:val="24"/>
          <w:szCs w:val="24"/>
        </w:rPr>
        <w:t xml:space="preserve">representative </w:t>
      </w:r>
      <w:r w:rsidR="00F046D3">
        <w:rPr>
          <w:rFonts w:asciiTheme="minorHAnsi" w:hAnsiTheme="minorHAnsi" w:cstheme="minorHAnsi"/>
          <w:sz w:val="24"/>
          <w:szCs w:val="24"/>
        </w:rPr>
        <w:t xml:space="preserve">in </w:t>
      </w:r>
      <w:r w:rsidR="00F046D3" w:rsidRPr="00F046D3">
        <w:rPr>
          <w:rFonts w:asciiTheme="minorHAnsi" w:hAnsiTheme="minorHAnsi" w:cstheme="minorHAnsi"/>
          <w:sz w:val="24"/>
          <w:szCs w:val="24"/>
        </w:rPr>
        <w:t>site 4</w:t>
      </w:r>
      <w:r w:rsidR="00F046D3">
        <w:rPr>
          <w:rFonts w:asciiTheme="minorHAnsi" w:hAnsiTheme="minorHAnsi" w:cstheme="minorHAnsi"/>
          <w:sz w:val="24"/>
          <w:szCs w:val="24"/>
        </w:rPr>
        <w:t xml:space="preserve"> discussed the lack of outcomes in terms of health inequalities: </w:t>
      </w:r>
      <w:r w:rsidR="00F046D3" w:rsidRPr="00F046D3">
        <w:rPr>
          <w:rFonts w:asciiTheme="minorHAnsi" w:hAnsiTheme="minorHAnsi" w:cstheme="minorHAnsi"/>
          <w:sz w:val="24"/>
          <w:szCs w:val="24"/>
        </w:rPr>
        <w:t>‘I suppose the other thing is anything to do with health inequality which tends to be mentioned. So we’ve had several presentations about the difference in life expectancy between people in the far south of the city and the far north. But there’s never any plan for tackling that in any way</w:t>
      </w:r>
      <w:r w:rsidR="00BD748A">
        <w:rPr>
          <w:rFonts w:asciiTheme="minorHAnsi" w:hAnsiTheme="minorHAnsi" w:cstheme="minorHAnsi"/>
          <w:sz w:val="24"/>
          <w:szCs w:val="24"/>
        </w:rPr>
        <w:t>.</w:t>
      </w:r>
      <w:r w:rsidR="00F046D3" w:rsidRPr="00F046D3">
        <w:rPr>
          <w:rFonts w:asciiTheme="minorHAnsi" w:hAnsiTheme="minorHAnsi" w:cstheme="minorHAnsi"/>
          <w:sz w:val="24"/>
          <w:szCs w:val="24"/>
        </w:rPr>
        <w:t xml:space="preserve">’ </w:t>
      </w:r>
      <w:r>
        <w:rPr>
          <w:rFonts w:asciiTheme="minorHAnsi" w:hAnsiTheme="minorHAnsi" w:cstheme="minorHAnsi"/>
          <w:sz w:val="24"/>
          <w:szCs w:val="24"/>
        </w:rPr>
        <w:t xml:space="preserve">Where outcomes were cited, these tended to be process outcomes (i.e. producing a JHWS or </w:t>
      </w:r>
      <w:r w:rsidRPr="00A9453B">
        <w:rPr>
          <w:rFonts w:asciiTheme="minorHAnsi" w:hAnsiTheme="minorHAnsi" w:cstheme="minorHAnsi"/>
          <w:sz w:val="24"/>
          <w:szCs w:val="24"/>
        </w:rPr>
        <w:t>signing-off other strategies</w:t>
      </w:r>
      <w:r>
        <w:rPr>
          <w:rFonts w:asciiTheme="minorHAnsi" w:hAnsiTheme="minorHAnsi" w:cstheme="minorHAnsi"/>
          <w:sz w:val="24"/>
          <w:szCs w:val="24"/>
        </w:rPr>
        <w:t>).</w:t>
      </w:r>
      <w:r w:rsidR="00227D27">
        <w:rPr>
          <w:rFonts w:asciiTheme="minorHAnsi" w:hAnsiTheme="minorHAnsi" w:cstheme="minorHAnsi"/>
          <w:sz w:val="24"/>
          <w:szCs w:val="24"/>
        </w:rPr>
        <w:t xml:space="preserve"> </w:t>
      </w:r>
      <w:r w:rsidR="00227D27" w:rsidRPr="00227D27">
        <w:rPr>
          <w:rFonts w:asciiTheme="minorHAnsi" w:hAnsiTheme="minorHAnsi" w:cstheme="minorHAnsi"/>
          <w:sz w:val="24"/>
          <w:szCs w:val="24"/>
        </w:rPr>
        <w:t xml:space="preserve">In the focus group </w:t>
      </w:r>
      <w:r w:rsidR="00BD748A">
        <w:rPr>
          <w:rFonts w:asciiTheme="minorHAnsi" w:hAnsiTheme="minorHAnsi" w:cstheme="minorHAnsi"/>
          <w:sz w:val="24"/>
          <w:szCs w:val="24"/>
        </w:rPr>
        <w:t xml:space="preserve">conducted </w:t>
      </w:r>
      <w:r w:rsidR="00227D27" w:rsidRPr="00227D27">
        <w:rPr>
          <w:rFonts w:asciiTheme="minorHAnsi" w:hAnsiTheme="minorHAnsi" w:cstheme="minorHAnsi"/>
          <w:sz w:val="24"/>
          <w:szCs w:val="24"/>
        </w:rPr>
        <w:t>in site 4, a</w:t>
      </w:r>
      <w:r w:rsidR="00BD748A">
        <w:rPr>
          <w:rFonts w:asciiTheme="minorHAnsi" w:hAnsiTheme="minorHAnsi" w:cstheme="minorHAnsi"/>
          <w:sz w:val="24"/>
          <w:szCs w:val="24"/>
        </w:rPr>
        <w:t xml:space="preserve"> participant </w:t>
      </w:r>
      <w:r w:rsidR="00227D27">
        <w:rPr>
          <w:rFonts w:asciiTheme="minorHAnsi" w:hAnsiTheme="minorHAnsi" w:cstheme="minorHAnsi"/>
          <w:sz w:val="24"/>
          <w:szCs w:val="24"/>
        </w:rPr>
        <w:t xml:space="preserve">encapsulated the views of many respondents when they </w:t>
      </w:r>
      <w:r w:rsidR="00227D27" w:rsidRPr="00227D27">
        <w:rPr>
          <w:rFonts w:asciiTheme="minorHAnsi" w:hAnsiTheme="minorHAnsi" w:cstheme="minorHAnsi"/>
          <w:sz w:val="24"/>
          <w:szCs w:val="24"/>
        </w:rPr>
        <w:t xml:space="preserve">stated of the HWB: ‘Well on paper it seems to have achieved things, and it’s signed off quite </w:t>
      </w:r>
      <w:r w:rsidR="00227D27" w:rsidRPr="00227D27">
        <w:rPr>
          <w:rFonts w:asciiTheme="minorHAnsi" w:hAnsiTheme="minorHAnsi" w:cstheme="minorHAnsi"/>
          <w:sz w:val="24"/>
          <w:szCs w:val="24"/>
        </w:rPr>
        <w:lastRenderedPageBreak/>
        <w:t xml:space="preserve">a lot of strategies…But I couldn’t say confidently that therefore things are getting implemented’. </w:t>
      </w:r>
      <w:r>
        <w:rPr>
          <w:rFonts w:asciiTheme="minorHAnsi" w:hAnsiTheme="minorHAnsi" w:cstheme="minorHAnsi"/>
          <w:sz w:val="24"/>
          <w:szCs w:val="24"/>
        </w:rPr>
        <w:t xml:space="preserve"> </w:t>
      </w:r>
      <w:r w:rsidR="006B64DE">
        <w:rPr>
          <w:rFonts w:asciiTheme="minorHAnsi" w:hAnsiTheme="minorHAnsi" w:cstheme="minorHAnsi"/>
          <w:sz w:val="24"/>
          <w:szCs w:val="24"/>
        </w:rPr>
        <w:t>Site 3</w:t>
      </w:r>
      <w:r w:rsidR="001B7CAF">
        <w:rPr>
          <w:rFonts w:asciiTheme="minorHAnsi" w:hAnsiTheme="minorHAnsi" w:cstheme="minorHAnsi"/>
          <w:sz w:val="24"/>
          <w:szCs w:val="24"/>
        </w:rPr>
        <w:t>,</w:t>
      </w:r>
      <w:r w:rsidR="006B64DE">
        <w:rPr>
          <w:rFonts w:asciiTheme="minorHAnsi" w:hAnsiTheme="minorHAnsi" w:cstheme="minorHAnsi"/>
          <w:sz w:val="24"/>
          <w:szCs w:val="24"/>
        </w:rPr>
        <w:t xml:space="preserve"> with its emphasis on partnerships and system leadership</w:t>
      </w:r>
      <w:r w:rsidR="001B7CAF">
        <w:rPr>
          <w:rFonts w:asciiTheme="minorHAnsi" w:hAnsiTheme="minorHAnsi" w:cstheme="minorHAnsi"/>
          <w:sz w:val="24"/>
          <w:szCs w:val="24"/>
        </w:rPr>
        <w:t>,</w:t>
      </w:r>
      <w:r w:rsidR="006B64DE">
        <w:rPr>
          <w:rFonts w:asciiTheme="minorHAnsi" w:hAnsiTheme="minorHAnsi" w:cstheme="minorHAnsi"/>
          <w:sz w:val="24"/>
          <w:szCs w:val="24"/>
        </w:rPr>
        <w:t xml:space="preserve"> tended to lead the way on tangible outcomes in terms of integration of health and social care, but not, as discussed, tackling the wider determinants of health and health inequalities. </w:t>
      </w:r>
    </w:p>
    <w:p w:rsidR="00D372C6" w:rsidRPr="0058463A" w:rsidRDefault="00D372C6" w:rsidP="004E537D">
      <w:pPr>
        <w:spacing w:before="100" w:beforeAutospacing="1" w:line="240" w:lineRule="auto"/>
        <w:rPr>
          <w:rFonts w:asciiTheme="minorHAnsi" w:hAnsiTheme="minorHAnsi" w:cstheme="minorHAnsi"/>
          <w:b/>
          <w:sz w:val="24"/>
          <w:szCs w:val="24"/>
        </w:rPr>
      </w:pPr>
      <w:r>
        <w:rPr>
          <w:rFonts w:asciiTheme="minorHAnsi" w:hAnsiTheme="minorHAnsi" w:cstheme="minorHAnsi"/>
          <w:b/>
          <w:sz w:val="24"/>
          <w:szCs w:val="24"/>
        </w:rPr>
        <w:t>Respondents’ thoughts on the future</w:t>
      </w:r>
    </w:p>
    <w:p w:rsidR="004E537D" w:rsidRDefault="004E537D" w:rsidP="004E537D">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 xml:space="preserve">What sort of future, if any, awaits HWBs? During the study, </w:t>
      </w:r>
      <w:r w:rsidRPr="00D22BEE">
        <w:rPr>
          <w:rFonts w:asciiTheme="minorHAnsi" w:hAnsiTheme="minorHAnsi" w:cstheme="minorHAnsi"/>
          <w:sz w:val="24"/>
          <w:szCs w:val="24"/>
        </w:rPr>
        <w:t>Sustainability and Transformation Plans (STPs)</w:t>
      </w:r>
      <w:r>
        <w:rPr>
          <w:rFonts w:asciiTheme="minorHAnsi" w:hAnsiTheme="minorHAnsi" w:cstheme="minorHAnsi"/>
          <w:sz w:val="24"/>
          <w:szCs w:val="24"/>
        </w:rPr>
        <w:t>, were introduced by NHS England on the back of the Five Year Forward View</w:t>
      </w:r>
      <w:r w:rsidR="00D372C6">
        <w:rPr>
          <w:rFonts w:asciiTheme="minorHAnsi" w:hAnsiTheme="minorHAnsi" w:cstheme="minorHAnsi"/>
          <w:sz w:val="24"/>
          <w:szCs w:val="24"/>
        </w:rPr>
        <w:t>.</w:t>
      </w:r>
      <w:r>
        <w:rPr>
          <w:rFonts w:asciiTheme="minorHAnsi" w:hAnsiTheme="minorHAnsi" w:cstheme="minorHAnsi"/>
          <w:sz w:val="24"/>
          <w:szCs w:val="24"/>
          <w:vertAlign w:val="superscript"/>
        </w:rPr>
        <w:t>20</w:t>
      </w:r>
      <w:r>
        <w:rPr>
          <w:rFonts w:asciiTheme="minorHAnsi" w:hAnsiTheme="minorHAnsi" w:cstheme="minorHAnsi"/>
          <w:sz w:val="24"/>
          <w:szCs w:val="24"/>
        </w:rPr>
        <w:t xml:space="preserve"> </w:t>
      </w:r>
      <w:r w:rsidR="00D372C6">
        <w:rPr>
          <w:rFonts w:asciiTheme="minorHAnsi" w:hAnsiTheme="minorHAnsi" w:cstheme="minorHAnsi"/>
          <w:sz w:val="24"/>
          <w:szCs w:val="24"/>
        </w:rPr>
        <w:t xml:space="preserve">These are </w:t>
      </w:r>
      <w:r w:rsidRPr="002C0F5E">
        <w:rPr>
          <w:rFonts w:asciiTheme="minorHAnsi" w:hAnsiTheme="minorHAnsi" w:cstheme="minorHAnsi"/>
          <w:sz w:val="24"/>
          <w:szCs w:val="24"/>
        </w:rPr>
        <w:t xml:space="preserve">intended to help drive transformation in health and care </w:t>
      </w:r>
      <w:r>
        <w:rPr>
          <w:rFonts w:asciiTheme="minorHAnsi" w:hAnsiTheme="minorHAnsi" w:cstheme="minorHAnsi"/>
          <w:sz w:val="24"/>
          <w:szCs w:val="24"/>
        </w:rPr>
        <w:t>outcomes between 2016 and 2021</w:t>
      </w:r>
      <w:r w:rsidR="00D372C6">
        <w:rPr>
          <w:rFonts w:asciiTheme="minorHAnsi" w:hAnsiTheme="minorHAnsi" w:cstheme="minorHAnsi"/>
          <w:sz w:val="24"/>
          <w:szCs w:val="24"/>
        </w:rPr>
        <w:t>,</w:t>
      </w:r>
      <w:r>
        <w:rPr>
          <w:rFonts w:asciiTheme="minorHAnsi" w:hAnsiTheme="minorHAnsi" w:cstheme="minorHAnsi"/>
          <w:sz w:val="24"/>
          <w:szCs w:val="24"/>
        </w:rPr>
        <w:t xml:space="preserve"> with</w:t>
      </w:r>
      <w:r w:rsidRPr="002C0F5E">
        <w:rPr>
          <w:rFonts w:asciiTheme="minorHAnsi" w:hAnsiTheme="minorHAnsi" w:cstheme="minorHAnsi"/>
          <w:sz w:val="24"/>
          <w:szCs w:val="24"/>
        </w:rPr>
        <w:t xml:space="preserve"> NHS providers, CCGs, lo</w:t>
      </w:r>
      <w:r>
        <w:rPr>
          <w:rFonts w:asciiTheme="minorHAnsi" w:hAnsiTheme="minorHAnsi" w:cstheme="minorHAnsi"/>
          <w:sz w:val="24"/>
          <w:szCs w:val="24"/>
        </w:rPr>
        <w:t xml:space="preserve">cal authorities and others </w:t>
      </w:r>
      <w:r w:rsidRPr="002C0F5E">
        <w:rPr>
          <w:rFonts w:asciiTheme="minorHAnsi" w:hAnsiTheme="minorHAnsi" w:cstheme="minorHAnsi"/>
          <w:sz w:val="24"/>
          <w:szCs w:val="24"/>
        </w:rPr>
        <w:t>com</w:t>
      </w:r>
      <w:r>
        <w:rPr>
          <w:rFonts w:asciiTheme="minorHAnsi" w:hAnsiTheme="minorHAnsi" w:cstheme="minorHAnsi"/>
          <w:sz w:val="24"/>
          <w:szCs w:val="24"/>
        </w:rPr>
        <w:t>ing</w:t>
      </w:r>
      <w:r w:rsidRPr="002C0F5E">
        <w:rPr>
          <w:rFonts w:asciiTheme="minorHAnsi" w:hAnsiTheme="minorHAnsi" w:cstheme="minorHAnsi"/>
          <w:sz w:val="24"/>
          <w:szCs w:val="24"/>
        </w:rPr>
        <w:t xml:space="preserve"> together to form 44 </w:t>
      </w:r>
      <w:r>
        <w:rPr>
          <w:rFonts w:asciiTheme="minorHAnsi" w:hAnsiTheme="minorHAnsi" w:cstheme="minorHAnsi"/>
          <w:sz w:val="24"/>
          <w:szCs w:val="24"/>
        </w:rPr>
        <w:t xml:space="preserve">geographical </w:t>
      </w:r>
      <w:r w:rsidRPr="002C0F5E">
        <w:rPr>
          <w:rFonts w:asciiTheme="minorHAnsi" w:hAnsiTheme="minorHAnsi" w:cstheme="minorHAnsi"/>
          <w:sz w:val="24"/>
          <w:szCs w:val="24"/>
        </w:rPr>
        <w:t>STP ‘footprints’</w:t>
      </w:r>
      <w:r>
        <w:rPr>
          <w:rFonts w:asciiTheme="minorHAnsi" w:hAnsiTheme="minorHAnsi" w:cstheme="minorHAnsi"/>
          <w:sz w:val="24"/>
          <w:szCs w:val="24"/>
        </w:rPr>
        <w:t xml:space="preserve"> across England. The plans were </w:t>
      </w:r>
      <w:r w:rsidRPr="005F3EA4">
        <w:rPr>
          <w:rFonts w:asciiTheme="minorHAnsi" w:hAnsiTheme="minorHAnsi" w:cstheme="minorHAnsi"/>
          <w:sz w:val="24"/>
          <w:szCs w:val="24"/>
        </w:rPr>
        <w:t>renamed Sustainability and Transformation Partnerships</w:t>
      </w:r>
      <w:r>
        <w:rPr>
          <w:rFonts w:asciiTheme="minorHAnsi" w:hAnsiTheme="minorHAnsi" w:cstheme="minorHAnsi"/>
          <w:sz w:val="24"/>
          <w:szCs w:val="24"/>
        </w:rPr>
        <w:t xml:space="preserve"> and the subsequent establishment of Accountable Care Systems (ACSs), and latterly Integrated Care Systems (ICSs) and/or Partnerships, in order to deliver the STPs.</w:t>
      </w:r>
      <w:r>
        <w:rPr>
          <w:rFonts w:asciiTheme="minorHAnsi" w:hAnsiTheme="minorHAnsi" w:cstheme="minorHAnsi"/>
          <w:sz w:val="24"/>
          <w:szCs w:val="24"/>
          <w:vertAlign w:val="superscript"/>
        </w:rPr>
        <w:t>20</w:t>
      </w:r>
      <w:r>
        <w:rPr>
          <w:rFonts w:asciiTheme="minorHAnsi" w:hAnsiTheme="minorHAnsi" w:cstheme="minorHAnsi"/>
          <w:sz w:val="24"/>
          <w:szCs w:val="24"/>
        </w:rPr>
        <w:t xml:space="preserve"> </w:t>
      </w:r>
    </w:p>
    <w:p w:rsidR="004E537D" w:rsidRDefault="00D372C6" w:rsidP="004E537D">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In our study r</w:t>
      </w:r>
      <w:r w:rsidR="004E537D">
        <w:rPr>
          <w:rFonts w:asciiTheme="minorHAnsi" w:hAnsiTheme="minorHAnsi" w:cstheme="minorHAnsi"/>
          <w:sz w:val="24"/>
          <w:szCs w:val="24"/>
        </w:rPr>
        <w:t>espondents</w:t>
      </w:r>
      <w:r>
        <w:rPr>
          <w:rFonts w:asciiTheme="minorHAnsi" w:hAnsiTheme="minorHAnsi" w:cstheme="minorHAnsi"/>
          <w:sz w:val="24"/>
          <w:szCs w:val="24"/>
        </w:rPr>
        <w:t>,</w:t>
      </w:r>
      <w:r w:rsidR="004E537D">
        <w:rPr>
          <w:rFonts w:asciiTheme="minorHAnsi" w:hAnsiTheme="minorHAnsi" w:cstheme="minorHAnsi"/>
          <w:sz w:val="24"/>
          <w:szCs w:val="24"/>
        </w:rPr>
        <w:t xml:space="preserve"> expressed c</w:t>
      </w:r>
      <w:r w:rsidR="004E537D" w:rsidRPr="004676A0">
        <w:rPr>
          <w:rFonts w:asciiTheme="minorHAnsi" w:hAnsiTheme="minorHAnsi" w:cstheme="minorHAnsi"/>
          <w:sz w:val="24"/>
          <w:szCs w:val="24"/>
        </w:rPr>
        <w:t xml:space="preserve">oncerns that HWBs and partnerships at a local authority level would become increasingly irrelevant and at risk of being subsumed, or simply bypassed, by STP </w:t>
      </w:r>
      <w:r w:rsidR="004E537D">
        <w:rPr>
          <w:rFonts w:asciiTheme="minorHAnsi" w:hAnsiTheme="minorHAnsi" w:cstheme="minorHAnsi"/>
          <w:sz w:val="24"/>
          <w:szCs w:val="24"/>
        </w:rPr>
        <w:t>b</w:t>
      </w:r>
      <w:r w:rsidR="004E537D" w:rsidRPr="004676A0">
        <w:rPr>
          <w:rFonts w:asciiTheme="minorHAnsi" w:hAnsiTheme="minorHAnsi" w:cstheme="minorHAnsi"/>
          <w:sz w:val="24"/>
          <w:szCs w:val="24"/>
        </w:rPr>
        <w:t>oards</w:t>
      </w:r>
      <w:r w:rsidR="004E537D">
        <w:rPr>
          <w:rFonts w:asciiTheme="minorHAnsi" w:hAnsiTheme="minorHAnsi" w:cstheme="minorHAnsi"/>
          <w:sz w:val="24"/>
          <w:szCs w:val="24"/>
        </w:rPr>
        <w:t xml:space="preserve">. </w:t>
      </w:r>
      <w:r w:rsidR="00227D27">
        <w:rPr>
          <w:rFonts w:asciiTheme="minorHAnsi" w:hAnsiTheme="minorHAnsi" w:cstheme="minorHAnsi"/>
          <w:sz w:val="24"/>
          <w:szCs w:val="24"/>
        </w:rPr>
        <w:t xml:space="preserve">As </w:t>
      </w:r>
      <w:r w:rsidR="00A76D1A">
        <w:rPr>
          <w:rFonts w:asciiTheme="minorHAnsi" w:hAnsiTheme="minorHAnsi" w:cstheme="minorHAnsi"/>
          <w:sz w:val="24"/>
          <w:szCs w:val="24"/>
        </w:rPr>
        <w:t xml:space="preserve">a </w:t>
      </w:r>
      <w:r w:rsidR="00884A26">
        <w:rPr>
          <w:rFonts w:asciiTheme="minorHAnsi" w:hAnsiTheme="minorHAnsi" w:cstheme="minorHAnsi"/>
          <w:sz w:val="24"/>
          <w:szCs w:val="24"/>
        </w:rPr>
        <w:t>Consultant in Public Health</w:t>
      </w:r>
      <w:r w:rsidR="00227D27">
        <w:rPr>
          <w:rFonts w:asciiTheme="minorHAnsi" w:hAnsiTheme="minorHAnsi" w:cstheme="minorHAnsi"/>
          <w:sz w:val="24"/>
          <w:szCs w:val="24"/>
        </w:rPr>
        <w:t xml:space="preserve"> in site 4 stated: </w:t>
      </w:r>
      <w:r w:rsidR="00227D27" w:rsidRPr="00227D27">
        <w:rPr>
          <w:rFonts w:asciiTheme="minorHAnsi" w:hAnsiTheme="minorHAnsi" w:cstheme="minorHAnsi"/>
          <w:sz w:val="24"/>
          <w:szCs w:val="24"/>
        </w:rPr>
        <w:t>‘</w:t>
      </w:r>
      <w:r w:rsidR="00A76D1A">
        <w:rPr>
          <w:rFonts w:asciiTheme="minorHAnsi" w:hAnsiTheme="minorHAnsi" w:cstheme="minorHAnsi"/>
          <w:sz w:val="24"/>
          <w:szCs w:val="24"/>
        </w:rPr>
        <w:t>W</w:t>
      </w:r>
      <w:r w:rsidR="00227D27" w:rsidRPr="00227D27">
        <w:rPr>
          <w:rFonts w:asciiTheme="minorHAnsi" w:hAnsiTheme="minorHAnsi" w:cstheme="minorHAnsi"/>
          <w:sz w:val="24"/>
          <w:szCs w:val="24"/>
        </w:rPr>
        <w:t>e are in grave danger of the STP process effectively side-lining even m</w:t>
      </w:r>
      <w:r w:rsidR="00884A26">
        <w:rPr>
          <w:rFonts w:asciiTheme="minorHAnsi" w:hAnsiTheme="minorHAnsi" w:cstheme="minorHAnsi"/>
          <w:sz w:val="24"/>
          <w:szCs w:val="24"/>
        </w:rPr>
        <w:t>ore...</w:t>
      </w:r>
      <w:r w:rsidR="00227D27" w:rsidRPr="00227D27">
        <w:rPr>
          <w:rFonts w:asciiTheme="minorHAnsi" w:hAnsiTheme="minorHAnsi" w:cstheme="minorHAnsi"/>
          <w:sz w:val="24"/>
          <w:szCs w:val="24"/>
        </w:rPr>
        <w:t xml:space="preserve">the </w:t>
      </w:r>
      <w:r w:rsidR="00A76D1A">
        <w:rPr>
          <w:rFonts w:asciiTheme="minorHAnsi" w:hAnsiTheme="minorHAnsi" w:cstheme="minorHAnsi"/>
          <w:sz w:val="24"/>
          <w:szCs w:val="24"/>
        </w:rPr>
        <w:t>H</w:t>
      </w:r>
      <w:r w:rsidR="00227D27" w:rsidRPr="00227D27">
        <w:rPr>
          <w:rFonts w:asciiTheme="minorHAnsi" w:hAnsiTheme="minorHAnsi" w:cstheme="minorHAnsi"/>
          <w:sz w:val="24"/>
          <w:szCs w:val="24"/>
        </w:rPr>
        <w:t xml:space="preserve">ealth and </w:t>
      </w:r>
      <w:r w:rsidR="00A76D1A">
        <w:rPr>
          <w:rFonts w:asciiTheme="minorHAnsi" w:hAnsiTheme="minorHAnsi" w:cstheme="minorHAnsi"/>
          <w:sz w:val="24"/>
          <w:szCs w:val="24"/>
        </w:rPr>
        <w:t>W</w:t>
      </w:r>
      <w:r w:rsidR="00227D27" w:rsidRPr="00227D27">
        <w:rPr>
          <w:rFonts w:asciiTheme="minorHAnsi" w:hAnsiTheme="minorHAnsi" w:cstheme="minorHAnsi"/>
          <w:sz w:val="24"/>
          <w:szCs w:val="24"/>
        </w:rPr>
        <w:t xml:space="preserve">ellbeing </w:t>
      </w:r>
      <w:r w:rsidR="00A76D1A">
        <w:rPr>
          <w:rFonts w:asciiTheme="minorHAnsi" w:hAnsiTheme="minorHAnsi" w:cstheme="minorHAnsi"/>
          <w:sz w:val="24"/>
          <w:szCs w:val="24"/>
        </w:rPr>
        <w:t>B</w:t>
      </w:r>
      <w:r w:rsidR="00227D27" w:rsidRPr="00227D27">
        <w:rPr>
          <w:rFonts w:asciiTheme="minorHAnsi" w:hAnsiTheme="minorHAnsi" w:cstheme="minorHAnsi"/>
          <w:sz w:val="24"/>
          <w:szCs w:val="24"/>
        </w:rPr>
        <w:t>oards….it just seems to me you might as well just get rid of them [HWBs]</w:t>
      </w:r>
      <w:r w:rsidR="00A76D1A">
        <w:rPr>
          <w:rFonts w:asciiTheme="minorHAnsi" w:hAnsiTheme="minorHAnsi" w:cstheme="minorHAnsi"/>
          <w:sz w:val="24"/>
          <w:szCs w:val="24"/>
        </w:rPr>
        <w:t>,</w:t>
      </w:r>
      <w:r w:rsidR="00227D27" w:rsidRPr="00227D27">
        <w:rPr>
          <w:rFonts w:asciiTheme="minorHAnsi" w:hAnsiTheme="minorHAnsi" w:cstheme="minorHAnsi"/>
          <w:sz w:val="24"/>
          <w:szCs w:val="24"/>
        </w:rPr>
        <w:t xml:space="preserve"> or make them more powerful, but at the moment it does feel like a lingering death. That’s my view’</w:t>
      </w:r>
      <w:r w:rsidR="000B1375">
        <w:rPr>
          <w:rFonts w:asciiTheme="minorHAnsi" w:hAnsiTheme="minorHAnsi" w:cstheme="minorHAnsi"/>
          <w:sz w:val="24"/>
          <w:szCs w:val="24"/>
        </w:rPr>
        <w:t>.</w:t>
      </w:r>
    </w:p>
    <w:p w:rsidR="004E537D" w:rsidRPr="00480835" w:rsidRDefault="004E537D" w:rsidP="004E537D">
      <w:pPr>
        <w:spacing w:before="100" w:beforeAutospacing="1" w:line="240" w:lineRule="auto"/>
        <w:rPr>
          <w:rFonts w:asciiTheme="minorHAnsi" w:hAnsiTheme="minorHAnsi" w:cstheme="minorHAnsi"/>
          <w:sz w:val="24"/>
          <w:szCs w:val="24"/>
          <w:vertAlign w:val="superscript"/>
        </w:rPr>
      </w:pPr>
      <w:r>
        <w:rPr>
          <w:rFonts w:asciiTheme="minorHAnsi" w:hAnsiTheme="minorHAnsi" w:cstheme="minorHAnsi"/>
          <w:sz w:val="24"/>
          <w:szCs w:val="24"/>
        </w:rPr>
        <w:t>These concerns appear to be reinforced by the NHS Long Term Plan</w:t>
      </w:r>
      <w:r w:rsidR="00D372C6">
        <w:rPr>
          <w:rFonts w:asciiTheme="minorHAnsi" w:hAnsiTheme="minorHAnsi" w:cstheme="minorHAnsi"/>
          <w:sz w:val="24"/>
          <w:szCs w:val="24"/>
        </w:rPr>
        <w:t>,</w:t>
      </w:r>
      <w:r>
        <w:rPr>
          <w:rFonts w:asciiTheme="minorHAnsi" w:hAnsiTheme="minorHAnsi" w:cstheme="minorHAnsi"/>
          <w:sz w:val="24"/>
          <w:szCs w:val="24"/>
        </w:rPr>
        <w:t xml:space="preserve"> which reaffirms the commitment to ICSs and accompanying partnerships, but which makes only one fleeting reference to </w:t>
      </w:r>
      <w:r w:rsidRPr="00480835">
        <w:rPr>
          <w:rFonts w:asciiTheme="minorHAnsi" w:hAnsiTheme="minorHAnsi" w:cstheme="minorHAnsi"/>
          <w:sz w:val="24"/>
          <w:szCs w:val="24"/>
        </w:rPr>
        <w:t>HWBs</w:t>
      </w:r>
      <w:r>
        <w:rPr>
          <w:rFonts w:asciiTheme="minorHAnsi" w:hAnsiTheme="minorHAnsi" w:cstheme="minorHAnsi"/>
          <w:sz w:val="24"/>
          <w:szCs w:val="24"/>
        </w:rPr>
        <w:t xml:space="preserve"> </w:t>
      </w:r>
      <w:r w:rsidRPr="00480835">
        <w:rPr>
          <w:rFonts w:asciiTheme="minorHAnsi" w:hAnsiTheme="minorHAnsi" w:cstheme="minorHAnsi"/>
          <w:sz w:val="24"/>
          <w:szCs w:val="24"/>
          <w:vertAlign w:val="superscript"/>
        </w:rPr>
        <w:t>2</w:t>
      </w:r>
      <w:r>
        <w:rPr>
          <w:rFonts w:asciiTheme="minorHAnsi" w:hAnsiTheme="minorHAnsi" w:cstheme="minorHAnsi"/>
          <w:sz w:val="24"/>
          <w:szCs w:val="24"/>
          <w:vertAlign w:val="superscript"/>
        </w:rPr>
        <w:t>1</w:t>
      </w:r>
      <w:r w:rsidRPr="00480835">
        <w:rPr>
          <w:rFonts w:asciiTheme="minorHAnsi" w:hAnsiTheme="minorHAnsi" w:cstheme="minorHAnsi"/>
          <w:sz w:val="24"/>
          <w:szCs w:val="24"/>
        </w:rPr>
        <w:t>.</w:t>
      </w:r>
      <w:r>
        <w:rPr>
          <w:rFonts w:asciiTheme="minorHAnsi" w:hAnsiTheme="minorHAnsi" w:cstheme="minorHAnsi"/>
          <w:sz w:val="24"/>
          <w:szCs w:val="24"/>
        </w:rPr>
        <w:t xml:space="preserve">  There is certainly no mention of HWBs being system leaders located at the heart of the new place-based arrangements that are advocated.  </w:t>
      </w:r>
    </w:p>
    <w:p w:rsidR="006B64DE" w:rsidRPr="001006CA" w:rsidRDefault="006B64DE" w:rsidP="006B64DE">
      <w:pPr>
        <w:spacing w:before="100" w:beforeAutospacing="1" w:line="240" w:lineRule="auto"/>
        <w:rPr>
          <w:rFonts w:asciiTheme="minorHAnsi" w:hAnsiTheme="minorHAnsi" w:cstheme="minorHAnsi"/>
          <w:b/>
          <w:sz w:val="24"/>
          <w:szCs w:val="24"/>
        </w:rPr>
      </w:pPr>
      <w:r w:rsidRPr="001006CA">
        <w:rPr>
          <w:rFonts w:asciiTheme="minorHAnsi" w:hAnsiTheme="minorHAnsi" w:cstheme="minorHAnsi"/>
          <w:b/>
          <w:sz w:val="24"/>
          <w:szCs w:val="24"/>
        </w:rPr>
        <w:t>Discussion</w:t>
      </w:r>
    </w:p>
    <w:p w:rsidR="006B64DE" w:rsidRDefault="00C73502" w:rsidP="00C73502">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Our research shows that the potential benefits of HWBs have not been realized. W</w:t>
      </w:r>
      <w:r w:rsidR="006B64DE">
        <w:rPr>
          <w:rFonts w:asciiTheme="minorHAnsi" w:hAnsiTheme="minorHAnsi" w:cstheme="minorHAnsi"/>
          <w:sz w:val="24"/>
          <w:szCs w:val="24"/>
        </w:rPr>
        <w:t>ith the partial exception of one site</w:t>
      </w:r>
      <w:r w:rsidR="00BF529D">
        <w:rPr>
          <w:rFonts w:asciiTheme="minorHAnsi" w:hAnsiTheme="minorHAnsi" w:cstheme="minorHAnsi"/>
          <w:sz w:val="24"/>
          <w:szCs w:val="24"/>
        </w:rPr>
        <w:t xml:space="preserve">, </w:t>
      </w:r>
      <w:r>
        <w:rPr>
          <w:rFonts w:asciiTheme="minorHAnsi" w:hAnsiTheme="minorHAnsi" w:cstheme="minorHAnsi"/>
          <w:sz w:val="24"/>
          <w:szCs w:val="24"/>
        </w:rPr>
        <w:t>site 3</w:t>
      </w:r>
      <w:r w:rsidR="006B64DE">
        <w:rPr>
          <w:rFonts w:asciiTheme="minorHAnsi" w:hAnsiTheme="minorHAnsi" w:cstheme="minorHAnsi"/>
          <w:sz w:val="24"/>
          <w:szCs w:val="24"/>
        </w:rPr>
        <w:t>, the</w:t>
      </w:r>
      <w:r>
        <w:rPr>
          <w:rFonts w:asciiTheme="minorHAnsi" w:hAnsiTheme="minorHAnsi" w:cstheme="minorHAnsi"/>
          <w:sz w:val="24"/>
          <w:szCs w:val="24"/>
        </w:rPr>
        <w:t xml:space="preserve"> HWBS </w:t>
      </w:r>
      <w:r w:rsidR="006808F0">
        <w:rPr>
          <w:rFonts w:asciiTheme="minorHAnsi" w:hAnsiTheme="minorHAnsi" w:cstheme="minorHAnsi"/>
          <w:sz w:val="24"/>
          <w:szCs w:val="24"/>
        </w:rPr>
        <w:t>in this study</w:t>
      </w:r>
      <w:r w:rsidR="006B64DE">
        <w:rPr>
          <w:rFonts w:asciiTheme="minorHAnsi" w:hAnsiTheme="minorHAnsi" w:cstheme="minorHAnsi"/>
          <w:sz w:val="24"/>
          <w:szCs w:val="24"/>
        </w:rPr>
        <w:t xml:space="preserve"> largely resorted to the default setting and operated much as previous public health partnerships had done. P</w:t>
      </w:r>
      <w:r w:rsidR="006B64DE" w:rsidRPr="0066635C">
        <w:rPr>
          <w:rFonts w:asciiTheme="minorHAnsi" w:hAnsiTheme="minorHAnsi" w:cstheme="minorHAnsi"/>
          <w:sz w:val="24"/>
          <w:szCs w:val="24"/>
        </w:rPr>
        <w:t xml:space="preserve">revious cultural and relational factors </w:t>
      </w:r>
      <w:r w:rsidR="006B64DE">
        <w:rPr>
          <w:rFonts w:asciiTheme="minorHAnsi" w:hAnsiTheme="minorHAnsi" w:cstheme="minorHAnsi"/>
          <w:sz w:val="24"/>
          <w:szCs w:val="24"/>
        </w:rPr>
        <w:t xml:space="preserve">were seen </w:t>
      </w:r>
      <w:r>
        <w:rPr>
          <w:rFonts w:asciiTheme="minorHAnsi" w:hAnsiTheme="minorHAnsi" w:cstheme="minorHAnsi"/>
          <w:sz w:val="24"/>
          <w:szCs w:val="24"/>
        </w:rPr>
        <w:t xml:space="preserve">by respondents </w:t>
      </w:r>
      <w:r w:rsidR="006B64DE">
        <w:rPr>
          <w:rFonts w:asciiTheme="minorHAnsi" w:hAnsiTheme="minorHAnsi" w:cstheme="minorHAnsi"/>
          <w:sz w:val="24"/>
          <w:szCs w:val="24"/>
        </w:rPr>
        <w:t>to be</w:t>
      </w:r>
      <w:r w:rsidR="006B64DE" w:rsidRPr="0066635C">
        <w:rPr>
          <w:rFonts w:asciiTheme="minorHAnsi" w:hAnsiTheme="minorHAnsi" w:cstheme="minorHAnsi"/>
          <w:sz w:val="24"/>
          <w:szCs w:val="24"/>
        </w:rPr>
        <w:t xml:space="preserve"> </w:t>
      </w:r>
      <w:r w:rsidR="006B64DE">
        <w:rPr>
          <w:rFonts w:asciiTheme="minorHAnsi" w:hAnsiTheme="minorHAnsi" w:cstheme="minorHAnsi"/>
          <w:sz w:val="24"/>
          <w:szCs w:val="24"/>
        </w:rPr>
        <w:t>influential in shaping</w:t>
      </w:r>
      <w:r w:rsidR="006B64DE" w:rsidRPr="0066635C">
        <w:rPr>
          <w:rFonts w:asciiTheme="minorHAnsi" w:hAnsiTheme="minorHAnsi" w:cstheme="minorHAnsi"/>
          <w:sz w:val="24"/>
          <w:szCs w:val="24"/>
        </w:rPr>
        <w:t xml:space="preserve"> HWBs’ development</w:t>
      </w:r>
      <w:r w:rsidR="006B64DE">
        <w:rPr>
          <w:rFonts w:asciiTheme="minorHAnsi" w:hAnsiTheme="minorHAnsi" w:cstheme="minorHAnsi"/>
          <w:sz w:val="24"/>
          <w:szCs w:val="24"/>
        </w:rPr>
        <w:t xml:space="preserve"> and t</w:t>
      </w:r>
      <w:r w:rsidR="006B64DE" w:rsidRPr="0066635C">
        <w:rPr>
          <w:rFonts w:asciiTheme="minorHAnsi" w:hAnsiTheme="minorHAnsi" w:cstheme="minorHAnsi"/>
          <w:sz w:val="24"/>
          <w:szCs w:val="24"/>
        </w:rPr>
        <w:t xml:space="preserve">here remained tensions between </w:t>
      </w:r>
      <w:r w:rsidR="006B64DE">
        <w:rPr>
          <w:rFonts w:asciiTheme="minorHAnsi" w:hAnsiTheme="minorHAnsi" w:cstheme="minorHAnsi"/>
          <w:sz w:val="24"/>
          <w:szCs w:val="24"/>
        </w:rPr>
        <w:t xml:space="preserve">the </w:t>
      </w:r>
      <w:r w:rsidR="006B64DE" w:rsidRPr="0066635C">
        <w:rPr>
          <w:rFonts w:asciiTheme="minorHAnsi" w:hAnsiTheme="minorHAnsi" w:cstheme="minorHAnsi"/>
          <w:sz w:val="24"/>
          <w:szCs w:val="24"/>
        </w:rPr>
        <w:t>agencies and personnel on HWBs and the dynamics between partners were important</w:t>
      </w:r>
      <w:r w:rsidR="006B64DE">
        <w:rPr>
          <w:rFonts w:asciiTheme="minorHAnsi" w:hAnsiTheme="minorHAnsi" w:cstheme="minorHAnsi"/>
          <w:sz w:val="24"/>
          <w:szCs w:val="24"/>
        </w:rPr>
        <w:t xml:space="preserve"> in shaping, if not determining, the effectiveness of boards</w:t>
      </w:r>
      <w:r w:rsidR="006B64DE" w:rsidRPr="005451C1">
        <w:rPr>
          <w:rFonts w:asciiTheme="minorHAnsi" w:hAnsiTheme="minorHAnsi" w:cstheme="minorHAnsi"/>
          <w:sz w:val="24"/>
          <w:szCs w:val="24"/>
        </w:rPr>
        <w:t>.</w:t>
      </w:r>
      <w:r w:rsidR="00E43897" w:rsidRPr="005451C1">
        <w:rPr>
          <w:rFonts w:asciiTheme="minorHAnsi" w:hAnsiTheme="minorHAnsi" w:cstheme="minorHAnsi"/>
          <w:sz w:val="24"/>
          <w:szCs w:val="24"/>
        </w:rPr>
        <w:t xml:space="preserve"> </w:t>
      </w:r>
      <w:r w:rsidR="00E43897" w:rsidRPr="00C057A6">
        <w:rPr>
          <w:rFonts w:asciiTheme="minorHAnsi" w:hAnsiTheme="minorHAnsi" w:cstheme="minorHAnsi"/>
          <w:sz w:val="24"/>
          <w:szCs w:val="24"/>
        </w:rPr>
        <w:t>In contrast, s</w:t>
      </w:r>
      <w:r w:rsidR="006B64DE" w:rsidRPr="00C057A6">
        <w:rPr>
          <w:rFonts w:asciiTheme="minorHAnsi" w:hAnsiTheme="minorHAnsi" w:cstheme="minorHAnsi"/>
          <w:sz w:val="24"/>
          <w:szCs w:val="24"/>
        </w:rPr>
        <w:t xml:space="preserve">ite 3 decided to invest time, energy and commitment to establishing partnerships </w:t>
      </w:r>
      <w:r w:rsidR="00E43897" w:rsidRPr="00C057A6">
        <w:rPr>
          <w:rFonts w:asciiTheme="minorHAnsi" w:hAnsiTheme="minorHAnsi" w:cstheme="minorHAnsi"/>
          <w:sz w:val="24"/>
          <w:szCs w:val="24"/>
        </w:rPr>
        <w:t>which,</w:t>
      </w:r>
      <w:r w:rsidR="006B64DE" w:rsidRPr="00C057A6">
        <w:rPr>
          <w:rFonts w:asciiTheme="minorHAnsi" w:hAnsiTheme="minorHAnsi" w:cstheme="minorHAnsi"/>
          <w:sz w:val="24"/>
          <w:szCs w:val="24"/>
        </w:rPr>
        <w:t xml:space="preserve"> in terms of the integration agenda</w:t>
      </w:r>
      <w:r w:rsidR="00E43897" w:rsidRPr="00C057A6">
        <w:rPr>
          <w:rFonts w:asciiTheme="minorHAnsi" w:hAnsiTheme="minorHAnsi" w:cstheme="minorHAnsi"/>
          <w:sz w:val="24"/>
          <w:szCs w:val="24"/>
        </w:rPr>
        <w:t>,</w:t>
      </w:r>
      <w:r w:rsidR="006B64DE" w:rsidRPr="00C057A6">
        <w:rPr>
          <w:rFonts w:asciiTheme="minorHAnsi" w:hAnsiTheme="minorHAnsi" w:cstheme="minorHAnsi"/>
          <w:sz w:val="24"/>
          <w:szCs w:val="24"/>
        </w:rPr>
        <w:t xml:space="preserve"> made a tangible difference</w:t>
      </w:r>
      <w:r w:rsidR="00B16ABE" w:rsidRPr="00C057A6">
        <w:rPr>
          <w:rFonts w:asciiTheme="minorHAnsi" w:hAnsiTheme="minorHAnsi" w:cstheme="minorHAnsi"/>
          <w:sz w:val="24"/>
          <w:szCs w:val="24"/>
        </w:rPr>
        <w:t xml:space="preserve"> in respect of </w:t>
      </w:r>
      <w:r w:rsidR="00E43897" w:rsidRPr="00C057A6">
        <w:rPr>
          <w:rFonts w:asciiTheme="minorHAnsi" w:hAnsiTheme="minorHAnsi" w:cstheme="minorHAnsi"/>
          <w:sz w:val="24"/>
          <w:szCs w:val="24"/>
        </w:rPr>
        <w:t xml:space="preserve">there being </w:t>
      </w:r>
      <w:r w:rsidR="00B16ABE" w:rsidRPr="00C057A6">
        <w:rPr>
          <w:rFonts w:asciiTheme="minorHAnsi" w:hAnsiTheme="minorHAnsi" w:cstheme="minorHAnsi"/>
          <w:sz w:val="24"/>
          <w:szCs w:val="24"/>
        </w:rPr>
        <w:t>a large pooled budget and the co-location of social workers</w:t>
      </w:r>
      <w:r w:rsidR="006B64DE" w:rsidRPr="00C057A6">
        <w:rPr>
          <w:rFonts w:asciiTheme="minorHAnsi" w:hAnsiTheme="minorHAnsi" w:cstheme="minorHAnsi"/>
          <w:sz w:val="24"/>
          <w:szCs w:val="24"/>
        </w:rPr>
        <w:t xml:space="preserve">. </w:t>
      </w:r>
      <w:r w:rsidR="00E43897" w:rsidRPr="00C057A6">
        <w:rPr>
          <w:rFonts w:asciiTheme="minorHAnsi" w:hAnsiTheme="minorHAnsi" w:cstheme="minorHAnsi"/>
          <w:sz w:val="24"/>
          <w:szCs w:val="24"/>
        </w:rPr>
        <w:t xml:space="preserve"> A</w:t>
      </w:r>
      <w:r w:rsidR="006B64DE" w:rsidRPr="00C057A6">
        <w:rPr>
          <w:rFonts w:asciiTheme="minorHAnsi" w:hAnsiTheme="minorHAnsi" w:cstheme="minorHAnsi"/>
          <w:sz w:val="24"/>
          <w:szCs w:val="24"/>
        </w:rPr>
        <w:t xml:space="preserve"> key message from the research</w:t>
      </w:r>
      <w:r w:rsidR="00E43897" w:rsidRPr="00C057A6">
        <w:rPr>
          <w:rFonts w:asciiTheme="minorHAnsi" w:hAnsiTheme="minorHAnsi" w:cstheme="minorHAnsi"/>
          <w:sz w:val="24"/>
          <w:szCs w:val="24"/>
        </w:rPr>
        <w:t>, therefore,</w:t>
      </w:r>
      <w:r w:rsidR="006B64DE" w:rsidRPr="00C057A6">
        <w:rPr>
          <w:rFonts w:asciiTheme="minorHAnsi" w:hAnsiTheme="minorHAnsi" w:cstheme="minorHAnsi"/>
          <w:sz w:val="24"/>
          <w:szCs w:val="24"/>
        </w:rPr>
        <w:t xml:space="preserve"> is that partnerships require</w:t>
      </w:r>
      <w:r w:rsidR="00916CA3" w:rsidRPr="00C057A6">
        <w:rPr>
          <w:rFonts w:asciiTheme="minorHAnsi" w:hAnsiTheme="minorHAnsi" w:cstheme="minorHAnsi"/>
          <w:sz w:val="24"/>
          <w:szCs w:val="24"/>
        </w:rPr>
        <w:t xml:space="preserve"> a deep commitment, space </w:t>
      </w:r>
      <w:r w:rsidR="00E43897" w:rsidRPr="00C057A6">
        <w:rPr>
          <w:rFonts w:asciiTheme="minorHAnsi" w:hAnsiTheme="minorHAnsi" w:cstheme="minorHAnsi"/>
          <w:sz w:val="24"/>
          <w:szCs w:val="24"/>
        </w:rPr>
        <w:t xml:space="preserve">and time </w:t>
      </w:r>
      <w:r w:rsidR="00916CA3" w:rsidRPr="00C057A6">
        <w:rPr>
          <w:rFonts w:asciiTheme="minorHAnsi" w:hAnsiTheme="minorHAnsi" w:cstheme="minorHAnsi"/>
          <w:sz w:val="24"/>
          <w:szCs w:val="24"/>
        </w:rPr>
        <w:t>to develop</w:t>
      </w:r>
      <w:r w:rsidR="00E43897" w:rsidRPr="00C057A6">
        <w:rPr>
          <w:rFonts w:asciiTheme="minorHAnsi" w:hAnsiTheme="minorHAnsi" w:cstheme="minorHAnsi"/>
          <w:sz w:val="24"/>
          <w:szCs w:val="24"/>
        </w:rPr>
        <w:t>,</w:t>
      </w:r>
      <w:r w:rsidR="00916CA3" w:rsidRPr="00C057A6">
        <w:rPr>
          <w:rFonts w:asciiTheme="minorHAnsi" w:hAnsiTheme="minorHAnsi" w:cstheme="minorHAnsi"/>
          <w:sz w:val="24"/>
          <w:szCs w:val="24"/>
        </w:rPr>
        <w:t xml:space="preserve"> and a clear recognition of what the</w:t>
      </w:r>
      <w:r w:rsidR="004C78AF" w:rsidRPr="00C057A6">
        <w:rPr>
          <w:rFonts w:asciiTheme="minorHAnsi" w:hAnsiTheme="minorHAnsi" w:cstheme="minorHAnsi"/>
          <w:sz w:val="24"/>
          <w:szCs w:val="24"/>
        </w:rPr>
        <w:t>y are</w:t>
      </w:r>
      <w:r w:rsidR="00916CA3" w:rsidRPr="00C057A6">
        <w:rPr>
          <w:rFonts w:asciiTheme="minorHAnsi" w:hAnsiTheme="minorHAnsi" w:cstheme="minorHAnsi"/>
          <w:sz w:val="24"/>
          <w:szCs w:val="24"/>
        </w:rPr>
        <w:t xml:space="preserve"> trying to achieve </w:t>
      </w:r>
      <w:r w:rsidR="00E43897" w:rsidRPr="00C057A6">
        <w:rPr>
          <w:rFonts w:asciiTheme="minorHAnsi" w:hAnsiTheme="minorHAnsi" w:cstheme="minorHAnsi"/>
          <w:sz w:val="24"/>
          <w:szCs w:val="24"/>
        </w:rPr>
        <w:t>while remaining attentive</w:t>
      </w:r>
      <w:r w:rsidR="006B64DE" w:rsidRPr="00C057A6">
        <w:rPr>
          <w:rFonts w:asciiTheme="minorHAnsi" w:hAnsiTheme="minorHAnsi" w:cstheme="minorHAnsi"/>
          <w:sz w:val="24"/>
          <w:szCs w:val="24"/>
        </w:rPr>
        <w:t xml:space="preserve"> to changing circumstances.</w:t>
      </w:r>
      <w:r w:rsidR="006B64DE">
        <w:rPr>
          <w:rFonts w:asciiTheme="minorHAnsi" w:hAnsiTheme="minorHAnsi" w:cstheme="minorHAnsi"/>
          <w:sz w:val="24"/>
          <w:szCs w:val="24"/>
        </w:rPr>
        <w:t xml:space="preserve">  </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 xml:space="preserve">When focusing on whether </w:t>
      </w:r>
      <w:r w:rsidRPr="0057010C">
        <w:rPr>
          <w:rFonts w:asciiTheme="minorHAnsi" w:hAnsiTheme="minorHAnsi" w:cstheme="minorHAnsi"/>
          <w:sz w:val="24"/>
          <w:szCs w:val="24"/>
        </w:rPr>
        <w:t xml:space="preserve">HWBs </w:t>
      </w:r>
      <w:r>
        <w:rPr>
          <w:rFonts w:asciiTheme="minorHAnsi" w:hAnsiTheme="minorHAnsi" w:cstheme="minorHAnsi"/>
          <w:sz w:val="24"/>
          <w:szCs w:val="24"/>
        </w:rPr>
        <w:t xml:space="preserve">had </w:t>
      </w:r>
      <w:r w:rsidRPr="0057010C">
        <w:rPr>
          <w:rFonts w:asciiTheme="minorHAnsi" w:hAnsiTheme="minorHAnsi" w:cstheme="minorHAnsi"/>
          <w:sz w:val="24"/>
          <w:szCs w:val="24"/>
        </w:rPr>
        <w:t xml:space="preserve">established partnerships </w:t>
      </w:r>
      <w:r>
        <w:rPr>
          <w:rFonts w:asciiTheme="minorHAnsi" w:hAnsiTheme="minorHAnsi" w:cstheme="minorHAnsi"/>
          <w:sz w:val="24"/>
          <w:szCs w:val="24"/>
        </w:rPr>
        <w:t xml:space="preserve">which </w:t>
      </w:r>
      <w:r w:rsidRPr="0057010C">
        <w:rPr>
          <w:rFonts w:asciiTheme="minorHAnsi" w:hAnsiTheme="minorHAnsi" w:cstheme="minorHAnsi"/>
          <w:sz w:val="24"/>
          <w:szCs w:val="24"/>
        </w:rPr>
        <w:t>strengthened collaboration</w:t>
      </w:r>
      <w:r>
        <w:rPr>
          <w:rFonts w:asciiTheme="minorHAnsi" w:hAnsiTheme="minorHAnsi" w:cstheme="minorHAnsi"/>
          <w:sz w:val="24"/>
          <w:szCs w:val="24"/>
        </w:rPr>
        <w:t xml:space="preserve"> and organi</w:t>
      </w:r>
      <w:r w:rsidR="00E21DC3">
        <w:rPr>
          <w:rFonts w:asciiTheme="minorHAnsi" w:hAnsiTheme="minorHAnsi" w:cstheme="minorHAnsi"/>
          <w:sz w:val="24"/>
          <w:szCs w:val="24"/>
        </w:rPr>
        <w:t>z</w:t>
      </w:r>
      <w:r>
        <w:rPr>
          <w:rFonts w:asciiTheme="minorHAnsi" w:hAnsiTheme="minorHAnsi" w:cstheme="minorHAnsi"/>
          <w:sz w:val="24"/>
          <w:szCs w:val="24"/>
        </w:rPr>
        <w:t xml:space="preserve">ational </w:t>
      </w:r>
      <w:r w:rsidRPr="0057010C">
        <w:rPr>
          <w:rFonts w:asciiTheme="minorHAnsi" w:hAnsiTheme="minorHAnsi" w:cstheme="minorHAnsi"/>
          <w:sz w:val="24"/>
          <w:szCs w:val="24"/>
        </w:rPr>
        <w:t>linkages</w:t>
      </w:r>
      <w:r>
        <w:rPr>
          <w:rFonts w:asciiTheme="minorHAnsi" w:hAnsiTheme="minorHAnsi" w:cstheme="minorHAnsi"/>
          <w:sz w:val="24"/>
          <w:szCs w:val="24"/>
        </w:rPr>
        <w:t xml:space="preserve">, including </w:t>
      </w:r>
      <w:r w:rsidRPr="0057010C">
        <w:rPr>
          <w:rFonts w:asciiTheme="minorHAnsi" w:hAnsiTheme="minorHAnsi" w:cstheme="minorHAnsi"/>
          <w:sz w:val="24"/>
          <w:szCs w:val="24"/>
        </w:rPr>
        <w:t xml:space="preserve">ownership </w:t>
      </w:r>
      <w:r>
        <w:rPr>
          <w:rFonts w:asciiTheme="minorHAnsi" w:hAnsiTheme="minorHAnsi" w:cstheme="minorHAnsi"/>
          <w:sz w:val="24"/>
          <w:szCs w:val="24"/>
        </w:rPr>
        <w:t>of the JHWS, it was found that i</w:t>
      </w:r>
      <w:r w:rsidRPr="0066635C">
        <w:rPr>
          <w:rFonts w:asciiTheme="minorHAnsi" w:hAnsiTheme="minorHAnsi" w:cstheme="minorHAnsi"/>
          <w:sz w:val="24"/>
          <w:szCs w:val="24"/>
        </w:rPr>
        <w:t xml:space="preserve">n the majority of study sites there was an inclusive membership with a high level of </w:t>
      </w:r>
      <w:r w:rsidRPr="0066635C">
        <w:rPr>
          <w:rFonts w:asciiTheme="minorHAnsi" w:hAnsiTheme="minorHAnsi" w:cstheme="minorHAnsi"/>
          <w:sz w:val="24"/>
          <w:szCs w:val="24"/>
        </w:rPr>
        <w:lastRenderedPageBreak/>
        <w:t>representation from the key partner organi</w:t>
      </w:r>
      <w:r w:rsidR="00E21DC3">
        <w:rPr>
          <w:rFonts w:asciiTheme="minorHAnsi" w:hAnsiTheme="minorHAnsi" w:cstheme="minorHAnsi"/>
          <w:sz w:val="24"/>
          <w:szCs w:val="24"/>
        </w:rPr>
        <w:t>z</w:t>
      </w:r>
      <w:r w:rsidRPr="0066635C">
        <w:rPr>
          <w:rFonts w:asciiTheme="minorHAnsi" w:hAnsiTheme="minorHAnsi" w:cstheme="minorHAnsi"/>
          <w:sz w:val="24"/>
          <w:szCs w:val="24"/>
        </w:rPr>
        <w:t xml:space="preserve">ations. </w:t>
      </w:r>
      <w:r>
        <w:rPr>
          <w:rFonts w:asciiTheme="minorHAnsi" w:hAnsiTheme="minorHAnsi" w:cstheme="minorHAnsi"/>
          <w:sz w:val="24"/>
          <w:szCs w:val="24"/>
        </w:rPr>
        <w:t>However, high t</w:t>
      </w:r>
      <w:r w:rsidRPr="0066635C">
        <w:rPr>
          <w:rFonts w:asciiTheme="minorHAnsi" w:hAnsiTheme="minorHAnsi" w:cstheme="minorHAnsi"/>
          <w:sz w:val="24"/>
          <w:szCs w:val="24"/>
        </w:rPr>
        <w:t>rust and sound relationships</w:t>
      </w:r>
      <w:r>
        <w:rPr>
          <w:rFonts w:asciiTheme="minorHAnsi" w:hAnsiTheme="minorHAnsi" w:cstheme="minorHAnsi"/>
          <w:sz w:val="24"/>
          <w:szCs w:val="24"/>
        </w:rPr>
        <w:t xml:space="preserve"> were not a key feature</w:t>
      </w:r>
      <w:r w:rsidRPr="0066635C">
        <w:rPr>
          <w:rFonts w:asciiTheme="minorHAnsi" w:hAnsiTheme="minorHAnsi" w:cstheme="minorHAnsi"/>
          <w:sz w:val="24"/>
          <w:szCs w:val="24"/>
        </w:rPr>
        <w:t xml:space="preserve">. </w:t>
      </w:r>
      <w:r>
        <w:rPr>
          <w:rFonts w:asciiTheme="minorHAnsi" w:hAnsiTheme="minorHAnsi" w:cstheme="minorHAnsi"/>
          <w:sz w:val="24"/>
          <w:szCs w:val="24"/>
        </w:rPr>
        <w:t xml:space="preserve">Also, </w:t>
      </w:r>
      <w:r w:rsidRPr="0066635C">
        <w:rPr>
          <w:rFonts w:asciiTheme="minorHAnsi" w:hAnsiTheme="minorHAnsi" w:cstheme="minorHAnsi"/>
          <w:sz w:val="24"/>
          <w:szCs w:val="24"/>
        </w:rPr>
        <w:t>membership did not automatically translate into a HWB that made decisions and acted in a strategic manner</w:t>
      </w:r>
      <w:r>
        <w:rPr>
          <w:rFonts w:asciiTheme="minorHAnsi" w:hAnsiTheme="minorHAnsi" w:cstheme="minorHAnsi"/>
          <w:sz w:val="24"/>
          <w:szCs w:val="24"/>
        </w:rPr>
        <w:t xml:space="preserve"> due to </w:t>
      </w:r>
      <w:r w:rsidRPr="0066635C">
        <w:rPr>
          <w:rFonts w:asciiTheme="minorHAnsi" w:hAnsiTheme="minorHAnsi" w:cstheme="minorHAnsi"/>
          <w:sz w:val="24"/>
          <w:szCs w:val="24"/>
        </w:rPr>
        <w:t xml:space="preserve">partners having their own priorities and agendas; there being no clear strategic direction or agreement for what partners were responsible for in terms of elements of the JHWS; and, even where there was evidence of such a responsibility, </w:t>
      </w:r>
      <w:r>
        <w:rPr>
          <w:rFonts w:asciiTheme="minorHAnsi" w:hAnsiTheme="minorHAnsi" w:cstheme="minorHAnsi"/>
          <w:sz w:val="24"/>
          <w:szCs w:val="24"/>
        </w:rPr>
        <w:t xml:space="preserve">there were </w:t>
      </w:r>
      <w:r w:rsidRPr="0066635C">
        <w:rPr>
          <w:rFonts w:asciiTheme="minorHAnsi" w:hAnsiTheme="minorHAnsi" w:cstheme="minorHAnsi"/>
          <w:sz w:val="24"/>
          <w:szCs w:val="24"/>
        </w:rPr>
        <w:t xml:space="preserve">no clear mechanisms </w:t>
      </w:r>
      <w:r>
        <w:rPr>
          <w:rFonts w:asciiTheme="minorHAnsi" w:hAnsiTheme="minorHAnsi" w:cstheme="minorHAnsi"/>
          <w:sz w:val="24"/>
          <w:szCs w:val="24"/>
        </w:rPr>
        <w:t xml:space="preserve">in place </w:t>
      </w:r>
      <w:r w:rsidRPr="0066635C">
        <w:rPr>
          <w:rFonts w:asciiTheme="minorHAnsi" w:hAnsiTheme="minorHAnsi" w:cstheme="minorHAnsi"/>
          <w:sz w:val="24"/>
          <w:szCs w:val="24"/>
        </w:rPr>
        <w:t xml:space="preserve">for holding partners to account. </w:t>
      </w:r>
    </w:p>
    <w:p w:rsidR="004E537D" w:rsidRDefault="00C65841"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I</w:t>
      </w:r>
      <w:r w:rsidR="006B64DE">
        <w:rPr>
          <w:rFonts w:asciiTheme="minorHAnsi" w:hAnsiTheme="minorHAnsi" w:cstheme="minorHAnsi"/>
          <w:sz w:val="24"/>
          <w:szCs w:val="24"/>
        </w:rPr>
        <w:t>n the majority of study sites there was</w:t>
      </w:r>
      <w:r w:rsidR="006B64DE" w:rsidRPr="0066635C">
        <w:rPr>
          <w:rFonts w:asciiTheme="minorHAnsi" w:hAnsiTheme="minorHAnsi" w:cstheme="minorHAnsi"/>
          <w:sz w:val="24"/>
          <w:szCs w:val="24"/>
        </w:rPr>
        <w:t xml:space="preserve"> a clear lack of evidenced outcomes. Insufficient accountability, lack of strategic focus and weak or non-existent monitoring were cited as </w:t>
      </w:r>
      <w:r w:rsidR="006B64DE">
        <w:rPr>
          <w:rFonts w:asciiTheme="minorHAnsi" w:hAnsiTheme="minorHAnsi" w:cstheme="minorHAnsi"/>
          <w:sz w:val="24"/>
          <w:szCs w:val="24"/>
        </w:rPr>
        <w:t xml:space="preserve">key </w:t>
      </w:r>
      <w:r w:rsidR="006B64DE" w:rsidRPr="0066635C">
        <w:rPr>
          <w:rFonts w:asciiTheme="minorHAnsi" w:hAnsiTheme="minorHAnsi" w:cstheme="minorHAnsi"/>
          <w:sz w:val="24"/>
          <w:szCs w:val="24"/>
        </w:rPr>
        <w:t>factors</w:t>
      </w:r>
      <w:r w:rsidR="006B64DE">
        <w:rPr>
          <w:rFonts w:asciiTheme="minorHAnsi" w:hAnsiTheme="minorHAnsi" w:cstheme="minorHAnsi"/>
          <w:sz w:val="24"/>
          <w:szCs w:val="24"/>
        </w:rPr>
        <w:t xml:space="preserve">. Instead, process issues were largely cited as outcomes. </w:t>
      </w:r>
      <w:r w:rsidR="008A63F9">
        <w:rPr>
          <w:rFonts w:asciiTheme="minorHAnsi" w:hAnsiTheme="minorHAnsi" w:cstheme="minorHAnsi"/>
          <w:sz w:val="24"/>
          <w:szCs w:val="24"/>
        </w:rPr>
        <w:t>Yet t</w:t>
      </w:r>
      <w:r w:rsidR="006B64DE">
        <w:rPr>
          <w:rFonts w:asciiTheme="minorHAnsi" w:hAnsiTheme="minorHAnsi" w:cstheme="minorHAnsi"/>
          <w:sz w:val="24"/>
          <w:szCs w:val="24"/>
        </w:rPr>
        <w:t xml:space="preserve">here </w:t>
      </w:r>
      <w:r w:rsidR="008A63F9">
        <w:rPr>
          <w:rFonts w:asciiTheme="minorHAnsi" w:hAnsiTheme="minorHAnsi" w:cstheme="minorHAnsi"/>
          <w:sz w:val="24"/>
          <w:szCs w:val="24"/>
        </w:rPr>
        <w:t>remains</w:t>
      </w:r>
      <w:r w:rsidR="006B64DE">
        <w:rPr>
          <w:rFonts w:asciiTheme="minorHAnsi" w:hAnsiTheme="minorHAnsi" w:cstheme="minorHAnsi"/>
          <w:sz w:val="24"/>
          <w:szCs w:val="24"/>
        </w:rPr>
        <w:t xml:space="preserve"> an opportunity for </w:t>
      </w:r>
      <w:r w:rsidR="008A63F9">
        <w:rPr>
          <w:rFonts w:asciiTheme="minorHAnsi" w:hAnsiTheme="minorHAnsi" w:cstheme="minorHAnsi"/>
          <w:sz w:val="24"/>
          <w:szCs w:val="24"/>
        </w:rPr>
        <w:t xml:space="preserve">HWBs </w:t>
      </w:r>
      <w:r w:rsidR="006B64DE">
        <w:rPr>
          <w:rFonts w:asciiTheme="minorHAnsi" w:hAnsiTheme="minorHAnsi" w:cstheme="minorHAnsi"/>
          <w:sz w:val="24"/>
          <w:szCs w:val="24"/>
        </w:rPr>
        <w:t xml:space="preserve">to be viewed as </w:t>
      </w:r>
      <w:r w:rsidR="008A63F9">
        <w:rPr>
          <w:rFonts w:asciiTheme="minorHAnsi" w:hAnsiTheme="minorHAnsi" w:cstheme="minorHAnsi"/>
          <w:sz w:val="24"/>
          <w:szCs w:val="24"/>
        </w:rPr>
        <w:t xml:space="preserve">the key </w:t>
      </w:r>
      <w:r w:rsidR="006B64DE">
        <w:rPr>
          <w:rFonts w:asciiTheme="minorHAnsi" w:hAnsiTheme="minorHAnsi" w:cstheme="minorHAnsi"/>
          <w:sz w:val="24"/>
          <w:szCs w:val="24"/>
        </w:rPr>
        <w:t xml:space="preserve">local partnerships as part of a larger STP place-based footprint.  </w:t>
      </w:r>
      <w:r w:rsidR="008A63F9">
        <w:rPr>
          <w:rFonts w:asciiTheme="minorHAnsi" w:hAnsiTheme="minorHAnsi" w:cstheme="minorHAnsi"/>
          <w:sz w:val="24"/>
          <w:szCs w:val="24"/>
        </w:rPr>
        <w:t xml:space="preserve">But for this to happen, a number of concerns need urgent attention. </w:t>
      </w:r>
      <w:r w:rsidR="006B64DE">
        <w:rPr>
          <w:rFonts w:asciiTheme="minorHAnsi" w:hAnsiTheme="minorHAnsi" w:cstheme="minorHAnsi"/>
          <w:sz w:val="24"/>
          <w:szCs w:val="24"/>
        </w:rPr>
        <w:t xml:space="preserve">Most importantly, what has largely not been achieved in previous health partnerships, or with HWBs, </w:t>
      </w:r>
      <w:r w:rsidR="006B64DE" w:rsidRPr="0066635C">
        <w:rPr>
          <w:rFonts w:asciiTheme="minorHAnsi" w:hAnsiTheme="minorHAnsi" w:cstheme="minorHAnsi"/>
          <w:sz w:val="24"/>
          <w:szCs w:val="24"/>
        </w:rPr>
        <w:t>is to communicate to those at the front line the strategic aims</w:t>
      </w:r>
      <w:r w:rsidR="006B64DE">
        <w:rPr>
          <w:rFonts w:asciiTheme="minorHAnsi" w:hAnsiTheme="minorHAnsi" w:cstheme="minorHAnsi"/>
          <w:sz w:val="24"/>
          <w:szCs w:val="24"/>
        </w:rPr>
        <w:t xml:space="preserve"> of the HWB</w:t>
      </w:r>
      <w:r w:rsidR="006B64DE" w:rsidRPr="0066635C">
        <w:rPr>
          <w:rFonts w:asciiTheme="minorHAnsi" w:hAnsiTheme="minorHAnsi" w:cstheme="minorHAnsi"/>
          <w:sz w:val="24"/>
          <w:szCs w:val="24"/>
        </w:rPr>
        <w:t xml:space="preserve"> in relation to their area of work, why they are important, what goals are to be achieved (both short- and long-term), and how those engaged </w:t>
      </w:r>
      <w:r w:rsidR="006B64DE">
        <w:rPr>
          <w:rFonts w:asciiTheme="minorHAnsi" w:hAnsiTheme="minorHAnsi" w:cstheme="minorHAnsi"/>
          <w:sz w:val="24"/>
          <w:szCs w:val="24"/>
        </w:rPr>
        <w:t xml:space="preserve">in the work </w:t>
      </w:r>
      <w:r w:rsidR="006B64DE" w:rsidRPr="0066635C">
        <w:rPr>
          <w:rFonts w:asciiTheme="minorHAnsi" w:hAnsiTheme="minorHAnsi" w:cstheme="minorHAnsi"/>
          <w:sz w:val="24"/>
          <w:szCs w:val="24"/>
        </w:rPr>
        <w:t>can contribute to th</w:t>
      </w:r>
      <w:r w:rsidR="008A63F9">
        <w:rPr>
          <w:rFonts w:asciiTheme="minorHAnsi" w:hAnsiTheme="minorHAnsi" w:cstheme="minorHAnsi"/>
          <w:sz w:val="24"/>
          <w:szCs w:val="24"/>
        </w:rPr>
        <w:t>ese</w:t>
      </w:r>
      <w:r w:rsidR="006B64DE" w:rsidRPr="0066635C">
        <w:rPr>
          <w:rFonts w:asciiTheme="minorHAnsi" w:hAnsiTheme="minorHAnsi" w:cstheme="minorHAnsi"/>
          <w:sz w:val="24"/>
          <w:szCs w:val="24"/>
        </w:rPr>
        <w:t xml:space="preserve"> in order to ensure ownership of the JHWS and its aims. </w:t>
      </w:r>
    </w:p>
    <w:p w:rsidR="006B64DE" w:rsidRPr="0058463A" w:rsidRDefault="006B64DE" w:rsidP="006B64DE">
      <w:pPr>
        <w:spacing w:before="100" w:beforeAutospacing="1" w:line="240" w:lineRule="auto"/>
        <w:rPr>
          <w:rFonts w:asciiTheme="minorHAnsi" w:hAnsiTheme="minorHAnsi" w:cstheme="minorHAnsi"/>
          <w:b/>
          <w:sz w:val="24"/>
          <w:szCs w:val="24"/>
        </w:rPr>
      </w:pPr>
      <w:bookmarkStart w:id="3" w:name="_Hlk4774326"/>
      <w:r w:rsidRPr="0058463A">
        <w:rPr>
          <w:rFonts w:asciiTheme="minorHAnsi" w:hAnsiTheme="minorHAnsi" w:cstheme="minorHAnsi"/>
          <w:b/>
          <w:sz w:val="24"/>
          <w:szCs w:val="24"/>
        </w:rPr>
        <w:t>Conclusions</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 xml:space="preserve">Partnerships in health and social care are difficult to make work at the best of times, but in the current policy landscape of </w:t>
      </w:r>
      <w:r w:rsidR="003631AF">
        <w:rPr>
          <w:rFonts w:asciiTheme="minorHAnsi" w:hAnsiTheme="minorHAnsi" w:cstheme="minorHAnsi"/>
          <w:sz w:val="24"/>
          <w:szCs w:val="24"/>
        </w:rPr>
        <w:t xml:space="preserve">fragmentation and </w:t>
      </w:r>
      <w:r>
        <w:rPr>
          <w:rFonts w:asciiTheme="minorHAnsi" w:hAnsiTheme="minorHAnsi" w:cstheme="minorHAnsi"/>
          <w:sz w:val="24"/>
          <w:szCs w:val="24"/>
        </w:rPr>
        <w:t xml:space="preserve">constant policy churn, </w:t>
      </w:r>
      <w:r w:rsidR="003631AF">
        <w:rPr>
          <w:rFonts w:asciiTheme="minorHAnsi" w:hAnsiTheme="minorHAnsi" w:cstheme="minorHAnsi"/>
          <w:sz w:val="24"/>
          <w:szCs w:val="24"/>
        </w:rPr>
        <w:t xml:space="preserve">joint </w:t>
      </w:r>
      <w:r w:rsidR="00093435">
        <w:rPr>
          <w:rFonts w:asciiTheme="minorHAnsi" w:hAnsiTheme="minorHAnsi" w:cstheme="minorHAnsi"/>
          <w:sz w:val="24"/>
          <w:szCs w:val="24"/>
        </w:rPr>
        <w:t>working has</w:t>
      </w:r>
      <w:r>
        <w:rPr>
          <w:rFonts w:asciiTheme="minorHAnsi" w:hAnsiTheme="minorHAnsi" w:cstheme="minorHAnsi"/>
          <w:sz w:val="24"/>
          <w:szCs w:val="24"/>
        </w:rPr>
        <w:t xml:space="preserve"> become more critical and challenging. </w:t>
      </w:r>
    </w:p>
    <w:p w:rsidR="006B64DE" w:rsidRDefault="006B64DE" w:rsidP="006B64DE">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In addition, several of the HWBs in our study had either not learnt, chose not to, or were unable to, learn the lessons of previous partnership</w:t>
      </w:r>
      <w:r w:rsidR="004E537D">
        <w:rPr>
          <w:rFonts w:asciiTheme="minorHAnsi" w:hAnsiTheme="minorHAnsi" w:cstheme="minorHAnsi"/>
          <w:sz w:val="24"/>
          <w:szCs w:val="24"/>
        </w:rPr>
        <w:t xml:space="preserve">s. This because they did not </w:t>
      </w:r>
      <w:r>
        <w:rPr>
          <w:rFonts w:asciiTheme="minorHAnsi" w:hAnsiTheme="minorHAnsi" w:cstheme="minorHAnsi"/>
          <w:sz w:val="24"/>
          <w:szCs w:val="24"/>
        </w:rPr>
        <w:t>clearly identify</w:t>
      </w:r>
      <w:r w:rsidR="004E537D">
        <w:rPr>
          <w:rFonts w:asciiTheme="minorHAnsi" w:hAnsiTheme="minorHAnsi" w:cstheme="minorHAnsi"/>
          <w:sz w:val="24"/>
          <w:szCs w:val="24"/>
        </w:rPr>
        <w:t xml:space="preserve"> </w:t>
      </w:r>
      <w:r>
        <w:rPr>
          <w:rFonts w:asciiTheme="minorHAnsi" w:hAnsiTheme="minorHAnsi" w:cstheme="minorHAnsi"/>
          <w:sz w:val="24"/>
          <w:szCs w:val="24"/>
        </w:rPr>
        <w:t xml:space="preserve">what the partnership was for and what it wanted to achieve. </w:t>
      </w:r>
      <w:r w:rsidR="003631AF">
        <w:rPr>
          <w:rFonts w:asciiTheme="minorHAnsi" w:hAnsiTheme="minorHAnsi" w:cstheme="minorHAnsi"/>
          <w:sz w:val="24"/>
          <w:szCs w:val="24"/>
        </w:rPr>
        <w:t>Yet</w:t>
      </w:r>
      <w:r>
        <w:rPr>
          <w:rFonts w:asciiTheme="minorHAnsi" w:hAnsiTheme="minorHAnsi" w:cstheme="minorHAnsi"/>
          <w:sz w:val="24"/>
          <w:szCs w:val="24"/>
        </w:rPr>
        <w:t xml:space="preserve"> HWBs are </w:t>
      </w:r>
      <w:r w:rsidRPr="00DD02F6">
        <w:rPr>
          <w:rFonts w:asciiTheme="minorHAnsi" w:hAnsiTheme="minorHAnsi" w:cstheme="minorHAnsi"/>
          <w:sz w:val="24"/>
          <w:szCs w:val="24"/>
        </w:rPr>
        <w:t xml:space="preserve">the only body </w:t>
      </w:r>
      <w:r>
        <w:rPr>
          <w:rFonts w:asciiTheme="minorHAnsi" w:hAnsiTheme="minorHAnsi" w:cstheme="minorHAnsi"/>
          <w:sz w:val="24"/>
          <w:szCs w:val="24"/>
        </w:rPr>
        <w:t>possessing</w:t>
      </w:r>
      <w:r w:rsidRPr="00DD02F6">
        <w:rPr>
          <w:rFonts w:asciiTheme="minorHAnsi" w:hAnsiTheme="minorHAnsi" w:cstheme="minorHAnsi"/>
          <w:sz w:val="24"/>
          <w:szCs w:val="24"/>
        </w:rPr>
        <w:t xml:space="preserve"> a </w:t>
      </w:r>
      <w:r>
        <w:rPr>
          <w:rFonts w:asciiTheme="minorHAnsi" w:hAnsiTheme="minorHAnsi" w:cstheme="minorHAnsi"/>
          <w:sz w:val="24"/>
          <w:szCs w:val="24"/>
        </w:rPr>
        <w:t xml:space="preserve">statutory legitimacy and </w:t>
      </w:r>
      <w:r w:rsidRPr="00DD02F6">
        <w:rPr>
          <w:rFonts w:asciiTheme="minorHAnsi" w:hAnsiTheme="minorHAnsi" w:cstheme="minorHAnsi"/>
          <w:sz w:val="24"/>
          <w:szCs w:val="24"/>
        </w:rPr>
        <w:t>democratic accountability</w:t>
      </w:r>
      <w:r>
        <w:rPr>
          <w:rFonts w:asciiTheme="minorHAnsi" w:hAnsiTheme="minorHAnsi" w:cstheme="minorHAnsi"/>
          <w:sz w:val="24"/>
          <w:szCs w:val="24"/>
        </w:rPr>
        <w:t xml:space="preserve"> that is</w:t>
      </w:r>
      <w:r w:rsidRPr="00DD02F6">
        <w:rPr>
          <w:rFonts w:asciiTheme="minorHAnsi" w:hAnsiTheme="minorHAnsi" w:cstheme="minorHAnsi"/>
          <w:sz w:val="24"/>
          <w:szCs w:val="24"/>
        </w:rPr>
        <w:t xml:space="preserve"> able to connect with, and respond to, local communities. </w:t>
      </w:r>
      <w:r>
        <w:rPr>
          <w:rFonts w:asciiTheme="minorHAnsi" w:hAnsiTheme="minorHAnsi" w:cstheme="minorHAnsi"/>
          <w:sz w:val="24"/>
          <w:szCs w:val="24"/>
        </w:rPr>
        <w:t xml:space="preserve">They are therefore </w:t>
      </w:r>
      <w:r w:rsidRPr="00DD02F6">
        <w:rPr>
          <w:rFonts w:asciiTheme="minorHAnsi" w:hAnsiTheme="minorHAnsi" w:cstheme="minorHAnsi"/>
          <w:sz w:val="24"/>
          <w:szCs w:val="24"/>
        </w:rPr>
        <w:t>well placed to act</w:t>
      </w:r>
      <w:r>
        <w:rPr>
          <w:rFonts w:asciiTheme="minorHAnsi" w:hAnsiTheme="minorHAnsi" w:cstheme="minorHAnsi"/>
          <w:sz w:val="24"/>
          <w:szCs w:val="24"/>
        </w:rPr>
        <w:t>, in the words of one of our study respondents, as</w:t>
      </w:r>
      <w:r w:rsidRPr="00DD02F6">
        <w:rPr>
          <w:rFonts w:asciiTheme="minorHAnsi" w:hAnsiTheme="minorHAnsi" w:cstheme="minorHAnsi"/>
          <w:sz w:val="24"/>
          <w:szCs w:val="24"/>
        </w:rPr>
        <w:t xml:space="preserve"> ‘the beating heart’ in coordinating </w:t>
      </w:r>
      <w:r>
        <w:rPr>
          <w:rFonts w:asciiTheme="minorHAnsi" w:hAnsiTheme="minorHAnsi" w:cstheme="minorHAnsi"/>
          <w:sz w:val="24"/>
          <w:szCs w:val="24"/>
        </w:rPr>
        <w:t xml:space="preserve">efforts to improve </w:t>
      </w:r>
      <w:r w:rsidRPr="00DD02F6">
        <w:rPr>
          <w:rFonts w:asciiTheme="minorHAnsi" w:hAnsiTheme="minorHAnsi" w:cstheme="minorHAnsi"/>
          <w:sz w:val="24"/>
          <w:szCs w:val="24"/>
        </w:rPr>
        <w:t>population health</w:t>
      </w:r>
      <w:r>
        <w:rPr>
          <w:rFonts w:asciiTheme="minorHAnsi" w:hAnsiTheme="minorHAnsi" w:cstheme="minorHAnsi"/>
          <w:sz w:val="24"/>
          <w:szCs w:val="24"/>
        </w:rPr>
        <w:t xml:space="preserve"> in a community</w:t>
      </w:r>
      <w:r w:rsidRPr="00DD02F6">
        <w:rPr>
          <w:rFonts w:asciiTheme="minorHAnsi" w:hAnsiTheme="minorHAnsi" w:cstheme="minorHAnsi"/>
          <w:sz w:val="24"/>
          <w:szCs w:val="24"/>
        </w:rPr>
        <w:t xml:space="preserve">. </w:t>
      </w:r>
      <w:r>
        <w:rPr>
          <w:rFonts w:asciiTheme="minorHAnsi" w:hAnsiTheme="minorHAnsi" w:cstheme="minorHAnsi"/>
          <w:sz w:val="24"/>
          <w:szCs w:val="24"/>
        </w:rPr>
        <w:t xml:space="preserve">They </w:t>
      </w:r>
      <w:r w:rsidR="003631AF">
        <w:rPr>
          <w:rFonts w:asciiTheme="minorHAnsi" w:hAnsiTheme="minorHAnsi" w:cstheme="minorHAnsi"/>
          <w:sz w:val="24"/>
          <w:szCs w:val="24"/>
        </w:rPr>
        <w:t>are</w:t>
      </w:r>
      <w:r>
        <w:rPr>
          <w:rFonts w:asciiTheme="minorHAnsi" w:hAnsiTheme="minorHAnsi" w:cstheme="minorHAnsi"/>
          <w:sz w:val="24"/>
          <w:szCs w:val="24"/>
        </w:rPr>
        <w:t xml:space="preserve"> also the on</w:t>
      </w:r>
      <w:r w:rsidR="003631AF">
        <w:rPr>
          <w:rFonts w:asciiTheme="minorHAnsi" w:hAnsiTheme="minorHAnsi" w:cstheme="minorHAnsi"/>
          <w:sz w:val="24"/>
          <w:szCs w:val="24"/>
        </w:rPr>
        <w:t>e</w:t>
      </w:r>
      <w:r>
        <w:rPr>
          <w:rFonts w:asciiTheme="minorHAnsi" w:hAnsiTheme="minorHAnsi" w:cstheme="minorHAnsi"/>
          <w:sz w:val="24"/>
          <w:szCs w:val="24"/>
        </w:rPr>
        <w:t xml:space="preserve"> place where the system </w:t>
      </w:r>
      <w:r w:rsidR="003631AF">
        <w:rPr>
          <w:rFonts w:asciiTheme="minorHAnsi" w:hAnsiTheme="minorHAnsi" w:cstheme="minorHAnsi"/>
          <w:sz w:val="24"/>
          <w:szCs w:val="24"/>
        </w:rPr>
        <w:t xml:space="preserve">can </w:t>
      </w:r>
      <w:r w:rsidR="00093435">
        <w:rPr>
          <w:rFonts w:asciiTheme="minorHAnsi" w:hAnsiTheme="minorHAnsi" w:cstheme="minorHAnsi"/>
          <w:sz w:val="24"/>
          <w:szCs w:val="24"/>
        </w:rPr>
        <w:t>come together</w:t>
      </w:r>
      <w:r>
        <w:rPr>
          <w:rFonts w:asciiTheme="minorHAnsi" w:hAnsiTheme="minorHAnsi" w:cstheme="minorHAnsi"/>
          <w:sz w:val="24"/>
          <w:szCs w:val="24"/>
        </w:rPr>
        <w:t xml:space="preserve">. </w:t>
      </w:r>
      <w:r w:rsidRPr="00DD02F6">
        <w:rPr>
          <w:rFonts w:asciiTheme="minorHAnsi" w:hAnsiTheme="minorHAnsi" w:cstheme="minorHAnsi"/>
          <w:sz w:val="24"/>
          <w:szCs w:val="24"/>
        </w:rPr>
        <w:t>Unfortunately, in their present form</w:t>
      </w:r>
      <w:r>
        <w:rPr>
          <w:rFonts w:asciiTheme="minorHAnsi" w:hAnsiTheme="minorHAnsi" w:cstheme="minorHAnsi"/>
          <w:sz w:val="24"/>
          <w:szCs w:val="24"/>
        </w:rPr>
        <w:t>, HWBs</w:t>
      </w:r>
      <w:r w:rsidRPr="00DD02F6">
        <w:rPr>
          <w:rFonts w:asciiTheme="minorHAnsi" w:hAnsiTheme="minorHAnsi" w:cstheme="minorHAnsi"/>
          <w:sz w:val="24"/>
          <w:szCs w:val="24"/>
        </w:rPr>
        <w:t xml:space="preserve"> </w:t>
      </w:r>
      <w:r w:rsidR="003631AF">
        <w:rPr>
          <w:rFonts w:asciiTheme="minorHAnsi" w:hAnsiTheme="minorHAnsi" w:cstheme="minorHAnsi"/>
          <w:sz w:val="24"/>
          <w:szCs w:val="24"/>
        </w:rPr>
        <w:t>lack</w:t>
      </w:r>
      <w:r w:rsidRPr="00DD02F6">
        <w:rPr>
          <w:rFonts w:asciiTheme="minorHAnsi" w:hAnsiTheme="minorHAnsi" w:cstheme="minorHAnsi"/>
          <w:sz w:val="24"/>
          <w:szCs w:val="24"/>
        </w:rPr>
        <w:t xml:space="preserve"> the power to hold partners to account and </w:t>
      </w:r>
      <w:r>
        <w:rPr>
          <w:rFonts w:asciiTheme="minorHAnsi" w:hAnsiTheme="minorHAnsi" w:cstheme="minorHAnsi"/>
          <w:sz w:val="24"/>
          <w:szCs w:val="24"/>
        </w:rPr>
        <w:t xml:space="preserve">truly </w:t>
      </w:r>
      <w:r w:rsidRPr="00DD02F6">
        <w:rPr>
          <w:rFonts w:asciiTheme="minorHAnsi" w:hAnsiTheme="minorHAnsi" w:cstheme="minorHAnsi"/>
          <w:sz w:val="24"/>
          <w:szCs w:val="24"/>
        </w:rPr>
        <w:t>act</w:t>
      </w:r>
      <w:r>
        <w:rPr>
          <w:rFonts w:asciiTheme="minorHAnsi" w:hAnsiTheme="minorHAnsi" w:cstheme="minorHAnsi"/>
          <w:sz w:val="24"/>
          <w:szCs w:val="24"/>
        </w:rPr>
        <w:t xml:space="preserve"> as system leaders.  </w:t>
      </w:r>
    </w:p>
    <w:p w:rsidR="004E537D" w:rsidRDefault="004E537D" w:rsidP="004E537D">
      <w:pPr>
        <w:spacing w:before="100" w:beforeAutospacing="1" w:line="240" w:lineRule="auto"/>
        <w:rPr>
          <w:rFonts w:asciiTheme="minorHAnsi" w:hAnsiTheme="minorHAnsi" w:cstheme="minorHAnsi"/>
          <w:sz w:val="24"/>
          <w:szCs w:val="24"/>
        </w:rPr>
      </w:pPr>
      <w:r>
        <w:rPr>
          <w:rFonts w:asciiTheme="minorHAnsi" w:hAnsiTheme="minorHAnsi" w:cstheme="minorHAnsi"/>
          <w:sz w:val="24"/>
          <w:szCs w:val="24"/>
        </w:rPr>
        <w:t>I</w:t>
      </w:r>
      <w:r w:rsidRPr="0066635C">
        <w:rPr>
          <w:rFonts w:asciiTheme="minorHAnsi" w:hAnsiTheme="minorHAnsi" w:cstheme="minorHAnsi"/>
          <w:sz w:val="24"/>
          <w:szCs w:val="24"/>
        </w:rPr>
        <w:t>t is only through working from the bottom</w:t>
      </w:r>
      <w:r>
        <w:rPr>
          <w:rFonts w:asciiTheme="minorHAnsi" w:hAnsiTheme="minorHAnsi" w:cstheme="minorHAnsi"/>
          <w:sz w:val="24"/>
          <w:szCs w:val="24"/>
        </w:rPr>
        <w:t xml:space="preserve"> </w:t>
      </w:r>
      <w:r w:rsidRPr="0066635C">
        <w:rPr>
          <w:rFonts w:asciiTheme="minorHAnsi" w:hAnsiTheme="minorHAnsi" w:cstheme="minorHAnsi"/>
          <w:sz w:val="24"/>
          <w:szCs w:val="24"/>
        </w:rPr>
        <w:t>up and across partner organi</w:t>
      </w:r>
      <w:r>
        <w:rPr>
          <w:rFonts w:asciiTheme="minorHAnsi" w:hAnsiTheme="minorHAnsi" w:cstheme="minorHAnsi"/>
          <w:sz w:val="24"/>
          <w:szCs w:val="24"/>
        </w:rPr>
        <w:t>z</w:t>
      </w:r>
      <w:r w:rsidRPr="0066635C">
        <w:rPr>
          <w:rFonts w:asciiTheme="minorHAnsi" w:hAnsiTheme="minorHAnsi" w:cstheme="minorHAnsi"/>
          <w:sz w:val="24"/>
          <w:szCs w:val="24"/>
        </w:rPr>
        <w:t xml:space="preserve">ations </w:t>
      </w:r>
      <w:r>
        <w:rPr>
          <w:rFonts w:asciiTheme="minorHAnsi" w:hAnsiTheme="minorHAnsi" w:cstheme="minorHAnsi"/>
          <w:sz w:val="24"/>
          <w:szCs w:val="24"/>
        </w:rPr>
        <w:t>with</w:t>
      </w:r>
      <w:r w:rsidRPr="0066635C">
        <w:rPr>
          <w:rFonts w:asciiTheme="minorHAnsi" w:hAnsiTheme="minorHAnsi" w:cstheme="minorHAnsi"/>
          <w:sz w:val="24"/>
          <w:szCs w:val="24"/>
        </w:rPr>
        <w:t xml:space="preserve">in a clear strategic framework that </w:t>
      </w:r>
      <w:r>
        <w:rPr>
          <w:rFonts w:asciiTheme="minorHAnsi" w:hAnsiTheme="minorHAnsi" w:cstheme="minorHAnsi"/>
          <w:sz w:val="24"/>
          <w:szCs w:val="24"/>
        </w:rPr>
        <w:t>the</w:t>
      </w:r>
      <w:r w:rsidRPr="0066635C">
        <w:rPr>
          <w:rFonts w:asciiTheme="minorHAnsi" w:hAnsiTheme="minorHAnsi" w:cstheme="minorHAnsi"/>
          <w:sz w:val="24"/>
          <w:szCs w:val="24"/>
        </w:rPr>
        <w:t xml:space="preserve"> opportunity </w:t>
      </w:r>
      <w:r>
        <w:rPr>
          <w:rFonts w:asciiTheme="minorHAnsi" w:hAnsiTheme="minorHAnsi" w:cstheme="minorHAnsi"/>
          <w:sz w:val="24"/>
          <w:szCs w:val="24"/>
        </w:rPr>
        <w:t xml:space="preserve">can be created </w:t>
      </w:r>
      <w:r w:rsidRPr="0066635C">
        <w:rPr>
          <w:rFonts w:asciiTheme="minorHAnsi" w:hAnsiTheme="minorHAnsi" w:cstheme="minorHAnsi"/>
          <w:sz w:val="24"/>
          <w:szCs w:val="24"/>
        </w:rPr>
        <w:t xml:space="preserve">to prevent agencies </w:t>
      </w:r>
      <w:r>
        <w:rPr>
          <w:rFonts w:asciiTheme="minorHAnsi" w:hAnsiTheme="minorHAnsi" w:cstheme="minorHAnsi"/>
          <w:sz w:val="24"/>
          <w:szCs w:val="24"/>
        </w:rPr>
        <w:t>focussing</w:t>
      </w:r>
      <w:r w:rsidRPr="0066635C">
        <w:rPr>
          <w:rFonts w:asciiTheme="minorHAnsi" w:hAnsiTheme="minorHAnsi" w:cstheme="minorHAnsi"/>
          <w:sz w:val="24"/>
          <w:szCs w:val="24"/>
        </w:rPr>
        <w:t xml:space="preserve"> </w:t>
      </w:r>
      <w:r>
        <w:rPr>
          <w:rFonts w:asciiTheme="minorHAnsi" w:hAnsiTheme="minorHAnsi" w:cstheme="minorHAnsi"/>
          <w:sz w:val="24"/>
          <w:szCs w:val="24"/>
        </w:rPr>
        <w:t>predominantly on their own priorities. This would also build in accountability with a sense of ownership and purpose across the system while, at the same time, displaying bottom-up and top-down system leadership. The role of HWB sub-groups and workshops is one way to ensure all key stakeholders are engaged at all levels. HWBs also need specific accountable implementing structures, perhaps as part of public health teams in local authorities, in partnership with ICSs, to ensure STP/HWB plans and strategies are co-ordinated in a bottom-up manner so they can have an impact on population health.</w:t>
      </w:r>
      <w:r w:rsidRPr="00480835">
        <w:rPr>
          <w:rFonts w:asciiTheme="minorHAnsi" w:hAnsiTheme="minorHAnsi" w:cstheme="minorHAnsi"/>
          <w:sz w:val="24"/>
          <w:szCs w:val="24"/>
          <w:vertAlign w:val="superscript"/>
        </w:rPr>
        <w:t>2</w:t>
      </w:r>
      <w:r>
        <w:rPr>
          <w:rFonts w:asciiTheme="minorHAnsi" w:hAnsiTheme="minorHAnsi" w:cstheme="minorHAnsi"/>
          <w:sz w:val="24"/>
          <w:szCs w:val="24"/>
          <w:vertAlign w:val="superscript"/>
        </w:rPr>
        <w:t>2</w:t>
      </w:r>
      <w:r>
        <w:rPr>
          <w:rFonts w:asciiTheme="minorHAnsi" w:hAnsiTheme="minorHAnsi" w:cstheme="minorHAnsi"/>
          <w:sz w:val="24"/>
          <w:szCs w:val="24"/>
        </w:rPr>
        <w:t xml:space="preserve"> Above all, boards need some strategic steer and joined</w:t>
      </w:r>
      <w:r w:rsidR="00BF529D">
        <w:rPr>
          <w:rFonts w:asciiTheme="minorHAnsi" w:hAnsiTheme="minorHAnsi" w:cstheme="minorHAnsi"/>
          <w:sz w:val="24"/>
          <w:szCs w:val="24"/>
        </w:rPr>
        <w:t>-</w:t>
      </w:r>
      <w:r>
        <w:rPr>
          <w:rFonts w:asciiTheme="minorHAnsi" w:hAnsiTheme="minorHAnsi" w:cstheme="minorHAnsi"/>
          <w:sz w:val="24"/>
          <w:szCs w:val="24"/>
        </w:rPr>
        <w:t xml:space="preserve">up thinking from government which, having shaped a policy landscape characterized by fragmentation, duplication,  choice and competition, is </w:t>
      </w:r>
      <w:r>
        <w:rPr>
          <w:rFonts w:asciiTheme="minorHAnsi" w:hAnsiTheme="minorHAnsi" w:cstheme="minorHAnsi"/>
          <w:sz w:val="24"/>
          <w:szCs w:val="24"/>
        </w:rPr>
        <w:lastRenderedPageBreak/>
        <w:t xml:space="preserve">now seeking to create a different landscape characterized by collaboration and joined-up whole systems thinking. </w:t>
      </w:r>
    </w:p>
    <w:p w:rsidR="006B3F16" w:rsidRDefault="006B64DE" w:rsidP="006B64DE">
      <w:pPr>
        <w:spacing w:before="100" w:beforeAutospacing="1" w:line="240" w:lineRule="auto"/>
        <w:rPr>
          <w:rFonts w:asciiTheme="minorHAnsi" w:hAnsiTheme="minorHAnsi" w:cstheme="minorHAnsi"/>
          <w:sz w:val="24"/>
          <w:szCs w:val="24"/>
        </w:rPr>
      </w:pPr>
      <w:r w:rsidRPr="00DD02F6">
        <w:rPr>
          <w:rFonts w:asciiTheme="minorHAnsi" w:hAnsiTheme="minorHAnsi" w:cstheme="minorHAnsi"/>
          <w:sz w:val="24"/>
          <w:szCs w:val="24"/>
        </w:rPr>
        <w:t xml:space="preserve">HWBs could have a </w:t>
      </w:r>
      <w:r>
        <w:rPr>
          <w:rFonts w:asciiTheme="minorHAnsi" w:hAnsiTheme="minorHAnsi" w:cstheme="minorHAnsi"/>
          <w:sz w:val="24"/>
          <w:szCs w:val="24"/>
        </w:rPr>
        <w:t xml:space="preserve">positive </w:t>
      </w:r>
      <w:r w:rsidRPr="00DD02F6">
        <w:rPr>
          <w:rFonts w:asciiTheme="minorHAnsi" w:hAnsiTheme="minorHAnsi" w:cstheme="minorHAnsi"/>
          <w:sz w:val="24"/>
          <w:szCs w:val="24"/>
        </w:rPr>
        <w:t>future</w:t>
      </w:r>
      <w:r>
        <w:rPr>
          <w:rFonts w:asciiTheme="minorHAnsi" w:hAnsiTheme="minorHAnsi" w:cstheme="minorHAnsi"/>
          <w:sz w:val="24"/>
          <w:szCs w:val="24"/>
        </w:rPr>
        <w:t xml:space="preserve"> but only if </w:t>
      </w:r>
      <w:r w:rsidR="003631AF">
        <w:rPr>
          <w:rFonts w:asciiTheme="minorHAnsi" w:hAnsiTheme="minorHAnsi" w:cstheme="minorHAnsi"/>
          <w:sz w:val="24"/>
          <w:szCs w:val="24"/>
        </w:rPr>
        <w:t>they</w:t>
      </w:r>
      <w:r>
        <w:rPr>
          <w:rFonts w:asciiTheme="minorHAnsi" w:hAnsiTheme="minorHAnsi" w:cstheme="minorHAnsi"/>
          <w:sz w:val="24"/>
          <w:szCs w:val="24"/>
        </w:rPr>
        <w:t xml:space="preserve"> are </w:t>
      </w:r>
      <w:r w:rsidRPr="00235D52">
        <w:rPr>
          <w:rFonts w:asciiTheme="minorHAnsi" w:hAnsiTheme="minorHAnsi" w:cstheme="minorHAnsi"/>
          <w:sz w:val="24"/>
          <w:szCs w:val="24"/>
        </w:rPr>
        <w:t>given statutory powers in order to pursu</w:t>
      </w:r>
      <w:r>
        <w:rPr>
          <w:rFonts w:asciiTheme="minorHAnsi" w:hAnsiTheme="minorHAnsi" w:cstheme="minorHAnsi"/>
          <w:sz w:val="24"/>
          <w:szCs w:val="24"/>
        </w:rPr>
        <w:t xml:space="preserve">e and drive </w:t>
      </w:r>
      <w:r w:rsidRPr="00235D52">
        <w:rPr>
          <w:rFonts w:asciiTheme="minorHAnsi" w:hAnsiTheme="minorHAnsi" w:cstheme="minorHAnsi"/>
          <w:sz w:val="24"/>
          <w:szCs w:val="24"/>
        </w:rPr>
        <w:t>the policy agenda</w:t>
      </w:r>
      <w:r w:rsidR="00884A26">
        <w:rPr>
          <w:rFonts w:asciiTheme="minorHAnsi" w:hAnsiTheme="minorHAnsi" w:cstheme="minorHAnsi"/>
          <w:sz w:val="24"/>
          <w:szCs w:val="24"/>
        </w:rPr>
        <w:t xml:space="preserve"> through being able to hold partners to account</w:t>
      </w:r>
      <w:r>
        <w:rPr>
          <w:rFonts w:asciiTheme="minorHAnsi" w:hAnsiTheme="minorHAnsi" w:cstheme="minorHAnsi"/>
          <w:sz w:val="24"/>
          <w:szCs w:val="24"/>
        </w:rPr>
        <w:t xml:space="preserve">. </w:t>
      </w:r>
      <w:r w:rsidR="00A76D1A">
        <w:rPr>
          <w:rFonts w:asciiTheme="minorHAnsi" w:hAnsiTheme="minorHAnsi" w:cstheme="minorHAnsi"/>
          <w:sz w:val="24"/>
          <w:szCs w:val="24"/>
        </w:rPr>
        <w:t xml:space="preserve">While ‘soft’ power and being able to influence the actions of others are still important aspects of their work, without statutory powers to hold partners formally to account for their actions HWBs will remain weak and easily disregarded.  This would be regrettable when HWBs are in many respects well-placed </w:t>
      </w:r>
      <w:r w:rsidR="00C16677">
        <w:rPr>
          <w:rFonts w:asciiTheme="minorHAnsi" w:hAnsiTheme="minorHAnsi" w:cstheme="minorHAnsi"/>
          <w:sz w:val="24"/>
          <w:szCs w:val="24"/>
        </w:rPr>
        <w:t>to lead</w:t>
      </w:r>
      <w:bookmarkStart w:id="4" w:name="_GoBack"/>
      <w:bookmarkEnd w:id="4"/>
      <w:r>
        <w:rPr>
          <w:rFonts w:asciiTheme="minorHAnsi" w:hAnsiTheme="minorHAnsi" w:cstheme="minorHAnsi"/>
          <w:sz w:val="24"/>
          <w:szCs w:val="24"/>
        </w:rPr>
        <w:t xml:space="preserve"> the radical upgrade in public health called for in </w:t>
      </w:r>
      <w:r w:rsidR="003631AF">
        <w:rPr>
          <w:rFonts w:asciiTheme="minorHAnsi" w:hAnsiTheme="minorHAnsi" w:cstheme="minorHAnsi"/>
          <w:sz w:val="24"/>
          <w:szCs w:val="24"/>
        </w:rPr>
        <w:t xml:space="preserve">both </w:t>
      </w:r>
      <w:r>
        <w:rPr>
          <w:rFonts w:asciiTheme="minorHAnsi" w:hAnsiTheme="minorHAnsi" w:cstheme="minorHAnsi"/>
          <w:sz w:val="24"/>
          <w:szCs w:val="24"/>
        </w:rPr>
        <w:t>the NHS Five Year Forward View</w:t>
      </w:r>
      <w:r w:rsidR="003631AF">
        <w:rPr>
          <w:rFonts w:asciiTheme="minorHAnsi" w:hAnsiTheme="minorHAnsi" w:cstheme="minorHAnsi"/>
          <w:sz w:val="24"/>
          <w:szCs w:val="24"/>
        </w:rPr>
        <w:t xml:space="preserve"> and Long Term Plan</w:t>
      </w:r>
      <w:r>
        <w:rPr>
          <w:rFonts w:asciiTheme="minorHAnsi" w:hAnsiTheme="minorHAnsi" w:cstheme="minorHAnsi"/>
          <w:sz w:val="24"/>
          <w:szCs w:val="24"/>
        </w:rPr>
        <w:t>.</w:t>
      </w:r>
      <w:r w:rsidR="00480835" w:rsidRPr="00480835">
        <w:rPr>
          <w:rFonts w:asciiTheme="minorHAnsi" w:hAnsiTheme="minorHAnsi" w:cstheme="minorHAnsi"/>
          <w:sz w:val="24"/>
          <w:szCs w:val="24"/>
          <w:vertAlign w:val="superscript"/>
        </w:rPr>
        <w:t>19 20</w:t>
      </w:r>
      <w:r w:rsidR="003631AF">
        <w:rPr>
          <w:rFonts w:asciiTheme="minorHAnsi" w:hAnsiTheme="minorHAnsi" w:cstheme="minorHAnsi"/>
          <w:sz w:val="24"/>
          <w:szCs w:val="24"/>
        </w:rPr>
        <w:t xml:space="preserve"> </w:t>
      </w:r>
      <w:r>
        <w:rPr>
          <w:rFonts w:asciiTheme="minorHAnsi" w:hAnsiTheme="minorHAnsi" w:cstheme="minorHAnsi"/>
          <w:sz w:val="24"/>
          <w:szCs w:val="24"/>
        </w:rPr>
        <w:t xml:space="preserve">In the absence of such </w:t>
      </w:r>
      <w:r w:rsidR="004E537D">
        <w:rPr>
          <w:rFonts w:asciiTheme="minorHAnsi" w:hAnsiTheme="minorHAnsi" w:cstheme="minorHAnsi"/>
          <w:sz w:val="24"/>
          <w:szCs w:val="24"/>
        </w:rPr>
        <w:t>reform</w:t>
      </w:r>
      <w:r>
        <w:rPr>
          <w:rFonts w:asciiTheme="minorHAnsi" w:hAnsiTheme="minorHAnsi" w:cstheme="minorHAnsi"/>
          <w:sz w:val="24"/>
          <w:szCs w:val="24"/>
        </w:rPr>
        <w:t xml:space="preserve">, HWBs stand to wither on the vine.  </w:t>
      </w:r>
    </w:p>
    <w:bookmarkEnd w:id="3"/>
    <w:p w:rsidR="004E537D" w:rsidRDefault="006B64DE" w:rsidP="006B64DE">
      <w:pPr>
        <w:spacing w:before="100" w:beforeAutospacing="1" w:line="240" w:lineRule="auto"/>
        <w:rPr>
          <w:rFonts w:asciiTheme="minorHAnsi" w:hAnsiTheme="minorHAnsi" w:cstheme="minorHAnsi"/>
          <w:b/>
          <w:sz w:val="24"/>
          <w:szCs w:val="24"/>
        </w:rPr>
      </w:pPr>
      <w:r w:rsidRPr="00626FFA">
        <w:rPr>
          <w:rFonts w:asciiTheme="minorHAnsi" w:hAnsiTheme="minorHAnsi" w:cstheme="minorHAnsi"/>
          <w:b/>
          <w:sz w:val="24"/>
          <w:szCs w:val="24"/>
        </w:rPr>
        <w:t>Conflict of interest</w:t>
      </w:r>
    </w:p>
    <w:p w:rsidR="004E537D" w:rsidRDefault="006B64DE" w:rsidP="006B64DE">
      <w:pPr>
        <w:spacing w:before="100" w:beforeAutospacing="1" w:line="240" w:lineRule="auto"/>
        <w:rPr>
          <w:rFonts w:asciiTheme="minorHAnsi" w:hAnsiTheme="minorHAnsi" w:cstheme="minorHAnsi"/>
          <w:sz w:val="24"/>
          <w:szCs w:val="24"/>
        </w:rPr>
      </w:pPr>
      <w:r w:rsidRPr="00626FFA">
        <w:rPr>
          <w:rFonts w:asciiTheme="minorHAnsi" w:hAnsiTheme="minorHAnsi" w:cstheme="minorHAnsi"/>
          <w:sz w:val="24"/>
          <w:szCs w:val="24"/>
        </w:rPr>
        <w:t>The authors have no competing interests to</w:t>
      </w:r>
      <w:r>
        <w:rPr>
          <w:rFonts w:asciiTheme="minorHAnsi" w:hAnsiTheme="minorHAnsi" w:cstheme="minorHAnsi"/>
          <w:sz w:val="24"/>
          <w:szCs w:val="24"/>
        </w:rPr>
        <w:t xml:space="preserve"> </w:t>
      </w:r>
      <w:r w:rsidRPr="00626FFA">
        <w:rPr>
          <w:rFonts w:asciiTheme="minorHAnsi" w:hAnsiTheme="minorHAnsi" w:cstheme="minorHAnsi"/>
          <w:sz w:val="24"/>
          <w:szCs w:val="24"/>
        </w:rPr>
        <w:t xml:space="preserve">declare. </w:t>
      </w:r>
    </w:p>
    <w:p w:rsidR="004E537D" w:rsidRPr="00C057A6" w:rsidRDefault="004E537D" w:rsidP="006B64DE">
      <w:pPr>
        <w:spacing w:before="100" w:beforeAutospacing="1" w:line="240" w:lineRule="auto"/>
        <w:rPr>
          <w:rFonts w:asciiTheme="minorHAnsi" w:hAnsiTheme="minorHAnsi" w:cstheme="minorHAnsi"/>
          <w:b/>
          <w:sz w:val="24"/>
          <w:szCs w:val="24"/>
        </w:rPr>
      </w:pPr>
      <w:r w:rsidRPr="00C057A6">
        <w:rPr>
          <w:rFonts w:asciiTheme="minorHAnsi" w:hAnsiTheme="minorHAnsi" w:cstheme="minorHAnsi"/>
          <w:b/>
          <w:sz w:val="24"/>
          <w:szCs w:val="24"/>
        </w:rPr>
        <w:t>Funding</w:t>
      </w:r>
    </w:p>
    <w:p w:rsidR="006B64DE" w:rsidRDefault="006B64DE" w:rsidP="006B64DE">
      <w:pPr>
        <w:spacing w:before="100" w:beforeAutospacing="1" w:line="240" w:lineRule="auto"/>
        <w:rPr>
          <w:rFonts w:asciiTheme="minorHAnsi" w:hAnsiTheme="minorHAnsi" w:cstheme="minorHAnsi"/>
          <w:sz w:val="24"/>
          <w:szCs w:val="24"/>
        </w:rPr>
      </w:pPr>
      <w:r w:rsidRPr="00626FFA">
        <w:rPr>
          <w:rFonts w:asciiTheme="minorHAnsi" w:hAnsiTheme="minorHAnsi" w:cstheme="minorHAnsi"/>
          <w:sz w:val="24"/>
          <w:szCs w:val="24"/>
        </w:rPr>
        <w:t>The study was funded by a grant from the</w:t>
      </w:r>
      <w:r>
        <w:rPr>
          <w:rFonts w:asciiTheme="minorHAnsi" w:hAnsiTheme="minorHAnsi" w:cstheme="minorHAnsi"/>
          <w:sz w:val="24"/>
          <w:szCs w:val="24"/>
        </w:rPr>
        <w:t xml:space="preserve"> </w:t>
      </w:r>
      <w:r w:rsidRPr="00565232">
        <w:rPr>
          <w:rFonts w:asciiTheme="minorHAnsi" w:hAnsiTheme="minorHAnsi" w:cstheme="minorHAnsi"/>
          <w:sz w:val="24"/>
          <w:szCs w:val="24"/>
        </w:rPr>
        <w:t>National Institute for Health Research                                                                                      Policy Research Programme Project PR-X03-1113-11007</w:t>
      </w:r>
      <w:r w:rsidRPr="00626FFA">
        <w:rPr>
          <w:rFonts w:asciiTheme="minorHAnsi" w:hAnsiTheme="minorHAnsi" w:cstheme="minorHAnsi"/>
          <w:sz w:val="24"/>
          <w:szCs w:val="24"/>
        </w:rPr>
        <w:t>. The views and opinions</w:t>
      </w:r>
      <w:r>
        <w:rPr>
          <w:rFonts w:asciiTheme="minorHAnsi" w:hAnsiTheme="minorHAnsi" w:cstheme="minorHAnsi"/>
          <w:sz w:val="24"/>
          <w:szCs w:val="24"/>
        </w:rPr>
        <w:t xml:space="preserve"> </w:t>
      </w:r>
      <w:r w:rsidRPr="00626FFA">
        <w:rPr>
          <w:rFonts w:asciiTheme="minorHAnsi" w:hAnsiTheme="minorHAnsi" w:cstheme="minorHAnsi"/>
          <w:sz w:val="24"/>
          <w:szCs w:val="24"/>
        </w:rPr>
        <w:t>expressed in the article are those of the authors and do not</w:t>
      </w:r>
      <w:r>
        <w:rPr>
          <w:rFonts w:asciiTheme="minorHAnsi" w:hAnsiTheme="minorHAnsi" w:cstheme="minorHAnsi"/>
          <w:sz w:val="24"/>
          <w:szCs w:val="24"/>
        </w:rPr>
        <w:t xml:space="preserve"> </w:t>
      </w:r>
      <w:r w:rsidRPr="00626FFA">
        <w:rPr>
          <w:rFonts w:asciiTheme="minorHAnsi" w:hAnsiTheme="minorHAnsi" w:cstheme="minorHAnsi"/>
          <w:sz w:val="24"/>
          <w:szCs w:val="24"/>
        </w:rPr>
        <w:t>necessarily reflect those of the NIHR SDO programme or the</w:t>
      </w:r>
      <w:r>
        <w:rPr>
          <w:rFonts w:asciiTheme="minorHAnsi" w:hAnsiTheme="minorHAnsi" w:cstheme="minorHAnsi"/>
          <w:sz w:val="24"/>
          <w:szCs w:val="24"/>
        </w:rPr>
        <w:t xml:space="preserve"> </w:t>
      </w:r>
      <w:r w:rsidRPr="00626FFA">
        <w:rPr>
          <w:rFonts w:asciiTheme="minorHAnsi" w:hAnsiTheme="minorHAnsi" w:cstheme="minorHAnsi"/>
          <w:sz w:val="24"/>
          <w:szCs w:val="24"/>
        </w:rPr>
        <w:t>Department of Health.</w:t>
      </w:r>
    </w:p>
    <w:p w:rsidR="006B64DE" w:rsidRDefault="006B64DE" w:rsidP="006B64DE">
      <w:pPr>
        <w:spacing w:before="100" w:beforeAutospacing="1" w:line="240" w:lineRule="auto"/>
        <w:rPr>
          <w:rFonts w:asciiTheme="minorHAnsi" w:hAnsiTheme="minorHAnsi" w:cstheme="minorHAnsi"/>
          <w:sz w:val="24"/>
          <w:szCs w:val="24"/>
        </w:rPr>
      </w:pPr>
    </w:p>
    <w:p w:rsidR="006B64DE" w:rsidRDefault="006B64DE" w:rsidP="006B64DE">
      <w:pPr>
        <w:spacing w:before="100" w:beforeAutospacing="1" w:line="240" w:lineRule="auto"/>
        <w:rPr>
          <w:rFonts w:asciiTheme="minorHAnsi" w:hAnsiTheme="minorHAnsi" w:cstheme="minorHAnsi"/>
          <w:sz w:val="24"/>
          <w:szCs w:val="24"/>
        </w:rPr>
      </w:pPr>
    </w:p>
    <w:p w:rsidR="006B64DE" w:rsidRDefault="006B64DE" w:rsidP="006B64DE">
      <w:pPr>
        <w:spacing w:before="100" w:beforeAutospacing="1" w:line="240" w:lineRule="auto"/>
        <w:rPr>
          <w:rFonts w:asciiTheme="minorHAnsi" w:hAnsiTheme="minorHAnsi" w:cstheme="minorHAnsi"/>
          <w:sz w:val="24"/>
          <w:szCs w:val="24"/>
        </w:rPr>
      </w:pPr>
    </w:p>
    <w:p w:rsidR="006B64DE" w:rsidRDefault="006B64DE" w:rsidP="006B64DE">
      <w:pPr>
        <w:spacing w:before="100" w:beforeAutospacing="1" w:line="240" w:lineRule="auto"/>
        <w:rPr>
          <w:rFonts w:asciiTheme="minorHAnsi" w:hAnsiTheme="minorHAnsi" w:cstheme="minorHAnsi"/>
          <w:b/>
          <w:sz w:val="24"/>
          <w:szCs w:val="24"/>
        </w:rPr>
      </w:pPr>
    </w:p>
    <w:p w:rsidR="006B64DE" w:rsidRDefault="006B64DE" w:rsidP="006B64DE">
      <w:pPr>
        <w:spacing w:before="100" w:beforeAutospacing="1" w:line="240" w:lineRule="auto"/>
        <w:rPr>
          <w:rFonts w:asciiTheme="minorHAnsi" w:hAnsiTheme="minorHAnsi" w:cstheme="minorHAnsi"/>
          <w:b/>
          <w:sz w:val="24"/>
          <w:szCs w:val="24"/>
        </w:rPr>
      </w:pPr>
    </w:p>
    <w:p w:rsidR="005451C1" w:rsidRDefault="005451C1" w:rsidP="006B64DE">
      <w:pPr>
        <w:spacing w:before="100" w:beforeAutospacing="1" w:line="240" w:lineRule="auto"/>
        <w:rPr>
          <w:rFonts w:asciiTheme="minorHAnsi" w:hAnsiTheme="minorHAnsi" w:cstheme="minorHAnsi"/>
          <w:b/>
          <w:sz w:val="24"/>
          <w:szCs w:val="24"/>
        </w:rPr>
      </w:pPr>
    </w:p>
    <w:p w:rsidR="005451C1" w:rsidRDefault="005451C1" w:rsidP="006B64DE">
      <w:pPr>
        <w:spacing w:before="100" w:beforeAutospacing="1" w:line="240" w:lineRule="auto"/>
        <w:rPr>
          <w:rFonts w:asciiTheme="minorHAnsi" w:hAnsiTheme="minorHAnsi" w:cstheme="minorHAnsi"/>
          <w:b/>
          <w:sz w:val="24"/>
          <w:szCs w:val="24"/>
        </w:rPr>
      </w:pPr>
    </w:p>
    <w:p w:rsidR="002C716D" w:rsidRDefault="002C716D">
      <w:pPr>
        <w:rPr>
          <w:rFonts w:asciiTheme="minorHAnsi" w:hAnsiTheme="minorHAnsi" w:cstheme="minorHAnsi"/>
          <w:b/>
          <w:sz w:val="24"/>
          <w:szCs w:val="24"/>
        </w:rPr>
      </w:pPr>
      <w:r>
        <w:rPr>
          <w:rFonts w:asciiTheme="minorHAnsi" w:hAnsiTheme="minorHAnsi" w:cstheme="minorHAnsi"/>
          <w:b/>
          <w:sz w:val="24"/>
          <w:szCs w:val="24"/>
        </w:rPr>
        <w:br w:type="page"/>
      </w:r>
    </w:p>
    <w:p w:rsidR="006E2BAE" w:rsidRPr="006B64DE" w:rsidRDefault="006B64DE" w:rsidP="006B64DE">
      <w:pPr>
        <w:spacing w:before="100" w:beforeAutospacing="1" w:line="240" w:lineRule="auto"/>
        <w:rPr>
          <w:rFonts w:asciiTheme="minorHAnsi" w:hAnsiTheme="minorHAnsi" w:cstheme="minorHAnsi"/>
          <w:b/>
          <w:sz w:val="24"/>
          <w:szCs w:val="24"/>
        </w:rPr>
      </w:pPr>
      <w:r>
        <w:rPr>
          <w:rFonts w:asciiTheme="minorHAnsi" w:hAnsiTheme="minorHAnsi" w:cstheme="minorHAnsi"/>
          <w:b/>
          <w:sz w:val="24"/>
          <w:szCs w:val="24"/>
        </w:rPr>
        <w:lastRenderedPageBreak/>
        <w:t>References</w:t>
      </w:r>
    </w:p>
    <w:sectPr w:rsidR="006E2BAE" w:rsidRPr="006B64DE" w:rsidSect="000C2811">
      <w:footerReference w:type="default" r:id="rId8"/>
      <w:endnotePr>
        <w:numFmt w:val="decimal"/>
      </w:endnotePr>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6BF6F4" w16cid:durableId="204781CF"/>
  <w16cid:commentId w16cid:paraId="54E57D38" w16cid:durableId="204781BC"/>
  <w16cid:commentId w16cid:paraId="1D22F138" w16cid:durableId="20478447"/>
  <w16cid:commentId w16cid:paraId="5C29F912" w16cid:durableId="2048DB4B"/>
  <w16cid:commentId w16cid:paraId="529DA537" w16cid:durableId="2048E015"/>
  <w16cid:commentId w16cid:paraId="50355D75" w16cid:durableId="2048E125"/>
  <w16cid:commentId w16cid:paraId="54757A47" w16cid:durableId="20478492"/>
  <w16cid:commentId w16cid:paraId="7CB8C23C" w16cid:durableId="2048E18C"/>
  <w16cid:commentId w16cid:paraId="1FCBBD3B" w16cid:durableId="2048E1A6"/>
  <w16cid:commentId w16cid:paraId="735361D2" w16cid:durableId="2048E1D7"/>
  <w16cid:commentId w16cid:paraId="55F8B48B" w16cid:durableId="2048E248"/>
  <w16cid:commentId w16cid:paraId="3D2D6E1D" w16cid:durableId="204784CA"/>
  <w16cid:commentId w16cid:paraId="1E21E4A0" w16cid:durableId="2048E344"/>
  <w16cid:commentId w16cid:paraId="40902F12" w16cid:durableId="20476763"/>
  <w16cid:commentId w16cid:paraId="223EB7C4" w16cid:durableId="204767FF"/>
  <w16cid:commentId w16cid:paraId="496C04B8" w16cid:durableId="204767DC"/>
  <w16cid:commentId w16cid:paraId="55DC5883" w16cid:durableId="20478653"/>
  <w16cid:commentId w16cid:paraId="30710B3B" w16cid:durableId="20478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8C3" w:rsidRDefault="005768C3" w:rsidP="006B64DE">
      <w:pPr>
        <w:spacing w:after="0" w:line="240" w:lineRule="auto"/>
      </w:pPr>
      <w:r>
        <w:separator/>
      </w:r>
    </w:p>
  </w:endnote>
  <w:endnote w:type="continuationSeparator" w:id="0">
    <w:p w:rsidR="005768C3" w:rsidRDefault="005768C3" w:rsidP="006B64DE">
      <w:pPr>
        <w:spacing w:after="0" w:line="240" w:lineRule="auto"/>
      </w:pPr>
      <w:r>
        <w:continuationSeparator/>
      </w:r>
    </w:p>
  </w:endnote>
  <w:endnote w:id="1">
    <w:p w:rsidR="0054435B" w:rsidRPr="0047728C" w:rsidRDefault="0054435B" w:rsidP="006B64DE">
      <w:pPr>
        <w:pStyle w:val="EndnoteText"/>
        <w:rPr>
          <w:rFonts w:asciiTheme="minorHAnsi" w:hAnsiTheme="minorHAnsi" w:cstheme="minorHAnsi"/>
        </w:rPr>
      </w:pPr>
      <w:r w:rsidRPr="00594E31">
        <w:rPr>
          <w:rStyle w:val="EndnoteReference"/>
          <w:sz w:val="24"/>
          <w:szCs w:val="24"/>
        </w:rPr>
        <w:endnoteRef/>
      </w:r>
      <w:r>
        <w:t xml:space="preserve"> </w:t>
      </w:r>
      <w:r w:rsidRPr="00FA121B">
        <w:rPr>
          <w:rFonts w:asciiTheme="minorHAnsi" w:hAnsiTheme="minorHAnsi" w:cstheme="minorHAnsi"/>
        </w:rPr>
        <w:t xml:space="preserve"> Quora. Did Einstein really define insanity as "doing the same thing over and over again and expecting different results"? </w:t>
      </w:r>
      <w:hyperlink r:id="rId1" w:history="1">
        <w:r w:rsidRPr="00FA121B">
          <w:rPr>
            <w:rStyle w:val="Hyperlink"/>
            <w:rFonts w:asciiTheme="minorHAnsi" w:hAnsiTheme="minorHAnsi" w:cstheme="minorHAnsi"/>
          </w:rPr>
          <w:t>https://www.quora.com/Did-Einstein-really-define-insanity-as-doing-the-same-thing-over-and-over-again-and-expecting-different-results</w:t>
        </w:r>
      </w:hyperlink>
      <w:r w:rsidRPr="00FA121B">
        <w:rPr>
          <w:rFonts w:asciiTheme="minorHAnsi" w:hAnsiTheme="minorHAnsi" w:cstheme="minorHAnsi"/>
        </w:rPr>
        <w:t xml:space="preserve">  (2017, accessed 24 July 2018).</w:t>
      </w:r>
    </w:p>
  </w:endnote>
  <w:endnote w:id="2">
    <w:p w:rsidR="0054435B" w:rsidRDefault="0054435B" w:rsidP="006B64DE">
      <w:pPr>
        <w:spacing w:before="100" w:beforeAutospacing="1" w:line="240" w:lineRule="auto"/>
      </w:pPr>
      <w:r w:rsidRPr="00594E31">
        <w:rPr>
          <w:rStyle w:val="EndnoteReference"/>
          <w:sz w:val="24"/>
          <w:szCs w:val="24"/>
        </w:rPr>
        <w:endnoteRef/>
      </w:r>
      <w:r>
        <w:t xml:space="preserve"> </w:t>
      </w:r>
      <w:r w:rsidRPr="0047728C">
        <w:rPr>
          <w:rFonts w:asciiTheme="minorHAnsi" w:hAnsiTheme="minorHAnsi" w:cstheme="minorHAnsi"/>
          <w:sz w:val="20"/>
          <w:szCs w:val="20"/>
        </w:rPr>
        <w:t>Cameron A</w:t>
      </w:r>
      <w:r>
        <w:rPr>
          <w:rFonts w:asciiTheme="minorHAnsi" w:hAnsiTheme="minorHAnsi" w:cstheme="minorHAnsi"/>
          <w:sz w:val="20"/>
          <w:szCs w:val="20"/>
        </w:rPr>
        <w:t>.</w:t>
      </w:r>
      <w:r w:rsidRPr="0047728C">
        <w:rPr>
          <w:rFonts w:asciiTheme="minorHAnsi" w:hAnsiTheme="minorHAnsi" w:cstheme="minorHAnsi"/>
          <w:sz w:val="20"/>
          <w:szCs w:val="20"/>
        </w:rPr>
        <w:t xml:space="preserve"> What have we learnt about joint working between health and social care? </w:t>
      </w:r>
      <w:r w:rsidRPr="0047728C">
        <w:rPr>
          <w:rFonts w:asciiTheme="minorHAnsi" w:hAnsiTheme="minorHAnsi" w:cstheme="minorHAnsi"/>
          <w:i/>
          <w:sz w:val="20"/>
          <w:szCs w:val="20"/>
        </w:rPr>
        <w:t>Public Money &amp; Management</w:t>
      </w:r>
      <w:r w:rsidRPr="0047728C">
        <w:rPr>
          <w:rFonts w:asciiTheme="minorHAnsi" w:hAnsiTheme="minorHAnsi" w:cstheme="minorHAnsi"/>
          <w:sz w:val="20"/>
          <w:szCs w:val="20"/>
        </w:rPr>
        <w:t>, 2016</w:t>
      </w:r>
      <w:r>
        <w:rPr>
          <w:rFonts w:asciiTheme="minorHAnsi" w:hAnsiTheme="minorHAnsi" w:cstheme="minorHAnsi"/>
          <w:sz w:val="20"/>
          <w:szCs w:val="20"/>
        </w:rPr>
        <w:t>;</w:t>
      </w:r>
      <w:r w:rsidRPr="0047728C">
        <w:rPr>
          <w:rFonts w:asciiTheme="minorHAnsi" w:hAnsiTheme="minorHAnsi" w:cstheme="minorHAnsi"/>
          <w:sz w:val="20"/>
          <w:szCs w:val="20"/>
        </w:rPr>
        <w:t xml:space="preserve"> 36,</w:t>
      </w:r>
      <w:r>
        <w:rPr>
          <w:rFonts w:asciiTheme="minorHAnsi" w:hAnsiTheme="minorHAnsi" w:cstheme="minorHAnsi"/>
          <w:sz w:val="20"/>
          <w:szCs w:val="20"/>
        </w:rPr>
        <w:t xml:space="preserve"> </w:t>
      </w:r>
      <w:r w:rsidRPr="0047728C">
        <w:rPr>
          <w:rFonts w:asciiTheme="minorHAnsi" w:hAnsiTheme="minorHAnsi" w:cstheme="minorHAnsi"/>
          <w:sz w:val="20"/>
          <w:szCs w:val="20"/>
        </w:rPr>
        <w:t xml:space="preserve">1, 7-14. </w:t>
      </w:r>
    </w:p>
  </w:endnote>
  <w:endnote w:id="3">
    <w:p w:rsidR="0054435B" w:rsidRDefault="0054435B" w:rsidP="006B64DE">
      <w:pPr>
        <w:spacing w:before="100" w:beforeAutospacing="1" w:line="240" w:lineRule="auto"/>
      </w:pPr>
      <w:r w:rsidRPr="00594E31">
        <w:rPr>
          <w:rStyle w:val="EndnoteReference"/>
          <w:sz w:val="24"/>
          <w:szCs w:val="24"/>
        </w:rPr>
        <w:endnoteRef/>
      </w:r>
      <w:r w:rsidRPr="00594E31">
        <w:rPr>
          <w:sz w:val="24"/>
          <w:szCs w:val="24"/>
        </w:rPr>
        <w:t xml:space="preserve"> </w:t>
      </w:r>
      <w:r w:rsidRPr="0047728C">
        <w:rPr>
          <w:rFonts w:asciiTheme="minorHAnsi" w:hAnsiTheme="minorHAnsi" w:cstheme="minorHAnsi"/>
          <w:sz w:val="20"/>
          <w:szCs w:val="20"/>
        </w:rPr>
        <w:t>Hunter DJ, Marks L</w:t>
      </w:r>
      <w:r>
        <w:rPr>
          <w:rFonts w:asciiTheme="minorHAnsi" w:hAnsiTheme="minorHAnsi" w:cstheme="minorHAnsi"/>
          <w:sz w:val="20"/>
          <w:szCs w:val="20"/>
        </w:rPr>
        <w:t>,</w:t>
      </w:r>
      <w:r w:rsidRPr="0047728C">
        <w:rPr>
          <w:rFonts w:asciiTheme="minorHAnsi" w:hAnsiTheme="minorHAnsi" w:cstheme="minorHAnsi"/>
          <w:sz w:val="20"/>
          <w:szCs w:val="20"/>
        </w:rPr>
        <w:t xml:space="preserve"> Smith KE</w:t>
      </w:r>
      <w:r>
        <w:rPr>
          <w:rFonts w:asciiTheme="minorHAnsi" w:hAnsiTheme="minorHAnsi" w:cstheme="minorHAnsi"/>
          <w:sz w:val="20"/>
          <w:szCs w:val="20"/>
        </w:rPr>
        <w:t>.</w:t>
      </w:r>
      <w:r w:rsidRPr="0047728C">
        <w:rPr>
          <w:rFonts w:asciiTheme="minorHAnsi" w:hAnsiTheme="minorHAnsi" w:cstheme="minorHAnsi"/>
          <w:sz w:val="20"/>
          <w:szCs w:val="20"/>
        </w:rPr>
        <w:t xml:space="preserve"> </w:t>
      </w:r>
      <w:r w:rsidRPr="00C96D0F">
        <w:rPr>
          <w:rFonts w:asciiTheme="minorHAnsi" w:hAnsiTheme="minorHAnsi" w:cstheme="minorHAnsi"/>
          <w:i/>
          <w:sz w:val="20"/>
          <w:szCs w:val="20"/>
        </w:rPr>
        <w:t>The Public Health System in England</w:t>
      </w:r>
      <w:r w:rsidRPr="0047728C">
        <w:rPr>
          <w:rFonts w:asciiTheme="minorHAnsi" w:hAnsiTheme="minorHAnsi" w:cstheme="minorHAnsi"/>
          <w:sz w:val="20"/>
          <w:szCs w:val="20"/>
        </w:rPr>
        <w:t>, Bristol: Policy Press. 2010</w:t>
      </w:r>
      <w:r>
        <w:rPr>
          <w:rFonts w:asciiTheme="minorHAnsi" w:hAnsiTheme="minorHAnsi" w:cstheme="minorHAnsi"/>
          <w:sz w:val="20"/>
          <w:szCs w:val="20"/>
        </w:rPr>
        <w:t>.</w:t>
      </w:r>
    </w:p>
  </w:endnote>
  <w:endnote w:id="4">
    <w:p w:rsidR="0054435B" w:rsidRDefault="0054435B" w:rsidP="006B64DE">
      <w:pPr>
        <w:spacing w:before="100" w:beforeAutospacing="1" w:line="240" w:lineRule="auto"/>
      </w:pPr>
      <w:r w:rsidRPr="00594E31">
        <w:rPr>
          <w:rStyle w:val="EndnoteReference"/>
          <w:sz w:val="24"/>
          <w:szCs w:val="24"/>
        </w:rPr>
        <w:endnoteRef/>
      </w:r>
      <w:r>
        <w:t xml:space="preserve"> </w:t>
      </w:r>
      <w:r w:rsidRPr="0047728C">
        <w:rPr>
          <w:rFonts w:asciiTheme="minorHAnsi" w:hAnsiTheme="minorHAnsi" w:cstheme="minorHAnsi"/>
          <w:sz w:val="20"/>
          <w:szCs w:val="20"/>
        </w:rPr>
        <w:t>Humphries R and Galea A</w:t>
      </w:r>
      <w:r>
        <w:rPr>
          <w:rFonts w:asciiTheme="minorHAnsi" w:hAnsiTheme="minorHAnsi" w:cstheme="minorHAnsi"/>
          <w:sz w:val="20"/>
          <w:szCs w:val="20"/>
        </w:rPr>
        <w:t>.</w:t>
      </w:r>
      <w:r w:rsidRPr="0047728C">
        <w:rPr>
          <w:rFonts w:asciiTheme="minorHAnsi" w:hAnsiTheme="minorHAnsi" w:cstheme="minorHAnsi"/>
          <w:sz w:val="20"/>
          <w:szCs w:val="20"/>
        </w:rPr>
        <w:t xml:space="preserve"> Health and Wellbeing Boards: One Year On, </w:t>
      </w:r>
      <w:r w:rsidRPr="00C96D0F">
        <w:rPr>
          <w:rFonts w:asciiTheme="minorHAnsi" w:hAnsiTheme="minorHAnsi" w:cstheme="minorHAnsi"/>
          <w:i/>
          <w:sz w:val="20"/>
          <w:szCs w:val="20"/>
        </w:rPr>
        <w:t>The King’s Fund</w:t>
      </w:r>
      <w:r w:rsidRPr="0047728C">
        <w:rPr>
          <w:rFonts w:asciiTheme="minorHAnsi" w:hAnsiTheme="minorHAnsi" w:cstheme="minorHAnsi"/>
          <w:sz w:val="20"/>
          <w:szCs w:val="20"/>
        </w:rPr>
        <w:t>, London. 2013</w:t>
      </w:r>
      <w:r>
        <w:rPr>
          <w:rFonts w:asciiTheme="minorHAnsi" w:hAnsiTheme="minorHAnsi" w:cstheme="minorHAnsi"/>
          <w:sz w:val="20"/>
          <w:szCs w:val="20"/>
        </w:rPr>
        <w:t>.</w:t>
      </w:r>
    </w:p>
  </w:endnote>
  <w:endnote w:id="5">
    <w:p w:rsidR="0054435B" w:rsidRDefault="0054435B" w:rsidP="006B64DE">
      <w:pPr>
        <w:spacing w:before="100" w:beforeAutospacing="1" w:line="240" w:lineRule="auto"/>
      </w:pPr>
      <w:r w:rsidRPr="00594E31">
        <w:rPr>
          <w:rStyle w:val="EndnoteReference"/>
          <w:sz w:val="24"/>
          <w:szCs w:val="24"/>
        </w:rPr>
        <w:endnoteRef/>
      </w:r>
      <w:r w:rsidRPr="00594E31">
        <w:rPr>
          <w:sz w:val="24"/>
          <w:szCs w:val="24"/>
        </w:rPr>
        <w:t xml:space="preserve"> </w:t>
      </w:r>
      <w:r w:rsidRPr="00AC4D6F">
        <w:rPr>
          <w:rFonts w:asciiTheme="minorHAnsi" w:hAnsiTheme="minorHAnsi" w:cstheme="minorHAnsi"/>
          <w:sz w:val="20"/>
          <w:szCs w:val="20"/>
        </w:rPr>
        <w:t>Department of Health</w:t>
      </w:r>
      <w:r>
        <w:rPr>
          <w:rFonts w:asciiTheme="minorHAnsi" w:hAnsiTheme="minorHAnsi" w:cstheme="minorHAnsi"/>
          <w:sz w:val="20"/>
          <w:szCs w:val="20"/>
        </w:rPr>
        <w:t>.</w:t>
      </w:r>
      <w:r w:rsidRPr="00AC4D6F">
        <w:rPr>
          <w:rFonts w:asciiTheme="minorHAnsi" w:hAnsiTheme="minorHAnsi" w:cstheme="minorHAnsi"/>
          <w:sz w:val="20"/>
          <w:szCs w:val="20"/>
        </w:rPr>
        <w:t xml:space="preserve"> </w:t>
      </w:r>
      <w:r w:rsidRPr="00AC4D6F">
        <w:rPr>
          <w:rFonts w:asciiTheme="minorHAnsi" w:hAnsiTheme="minorHAnsi" w:cstheme="minorHAnsi"/>
          <w:i/>
          <w:sz w:val="20"/>
          <w:szCs w:val="20"/>
        </w:rPr>
        <w:t>Equity and Excellence: Liberating the NHS</w:t>
      </w:r>
      <w:r w:rsidRPr="00AC4D6F">
        <w:rPr>
          <w:rFonts w:asciiTheme="minorHAnsi" w:hAnsiTheme="minorHAnsi" w:cstheme="minorHAnsi"/>
          <w:sz w:val="20"/>
          <w:szCs w:val="20"/>
        </w:rPr>
        <w:t>. London: Department of Health.</w:t>
      </w:r>
      <w:r>
        <w:t xml:space="preserve"> </w:t>
      </w:r>
      <w:r w:rsidRPr="00AC4D6F">
        <w:rPr>
          <w:rFonts w:asciiTheme="minorHAnsi" w:hAnsiTheme="minorHAnsi" w:cstheme="minorHAnsi"/>
          <w:sz w:val="20"/>
          <w:szCs w:val="20"/>
        </w:rPr>
        <w:t>2010a</w:t>
      </w:r>
      <w:r>
        <w:rPr>
          <w:rFonts w:asciiTheme="minorHAnsi" w:hAnsiTheme="minorHAnsi" w:cstheme="minorHAnsi"/>
          <w:sz w:val="20"/>
          <w:szCs w:val="20"/>
        </w:rPr>
        <w:t>.</w:t>
      </w:r>
    </w:p>
  </w:endnote>
  <w:endnote w:id="6">
    <w:p w:rsidR="0054435B" w:rsidRPr="00594E31" w:rsidRDefault="0054435B" w:rsidP="006B64DE">
      <w:pPr>
        <w:spacing w:before="100" w:beforeAutospacing="1" w:line="240" w:lineRule="auto"/>
        <w:rPr>
          <w:rFonts w:asciiTheme="minorHAnsi" w:hAnsiTheme="minorHAnsi" w:cstheme="minorHAnsi"/>
          <w:sz w:val="20"/>
          <w:szCs w:val="20"/>
        </w:rPr>
      </w:pPr>
      <w:r w:rsidRPr="00594E31">
        <w:rPr>
          <w:rStyle w:val="EndnoteReference"/>
          <w:sz w:val="24"/>
          <w:szCs w:val="24"/>
        </w:rPr>
        <w:endnoteRef/>
      </w:r>
      <w:r>
        <w:t xml:space="preserve"> </w:t>
      </w:r>
      <w:r w:rsidRPr="00AC4D6F">
        <w:rPr>
          <w:rFonts w:asciiTheme="minorHAnsi" w:hAnsiTheme="minorHAnsi" w:cstheme="minorHAnsi"/>
          <w:sz w:val="20"/>
          <w:szCs w:val="20"/>
        </w:rPr>
        <w:t>Department of Health</w:t>
      </w:r>
      <w:r>
        <w:rPr>
          <w:rFonts w:asciiTheme="minorHAnsi" w:hAnsiTheme="minorHAnsi" w:cstheme="minorHAnsi"/>
          <w:sz w:val="20"/>
          <w:szCs w:val="20"/>
        </w:rPr>
        <w:t>.</w:t>
      </w:r>
      <w:r w:rsidRPr="00AC4D6F">
        <w:rPr>
          <w:rFonts w:asciiTheme="minorHAnsi" w:hAnsiTheme="minorHAnsi" w:cstheme="minorHAnsi"/>
          <w:sz w:val="20"/>
          <w:szCs w:val="20"/>
        </w:rPr>
        <w:t xml:space="preserve"> </w:t>
      </w:r>
      <w:r w:rsidRPr="00AC4D6F">
        <w:rPr>
          <w:rFonts w:asciiTheme="minorHAnsi" w:hAnsiTheme="minorHAnsi" w:cstheme="minorHAnsi"/>
          <w:i/>
          <w:sz w:val="20"/>
          <w:szCs w:val="20"/>
        </w:rPr>
        <w:t>Healthy Lives, Healthy People: Our strategy for public health in England</w:t>
      </w:r>
      <w:r>
        <w:rPr>
          <w:rFonts w:asciiTheme="minorHAnsi" w:hAnsiTheme="minorHAnsi" w:cstheme="minorHAnsi"/>
          <w:sz w:val="20"/>
          <w:szCs w:val="20"/>
        </w:rPr>
        <w:t xml:space="preserve">. 2010b. </w:t>
      </w:r>
      <w:r w:rsidRPr="00AC4D6F">
        <w:rPr>
          <w:rFonts w:asciiTheme="minorHAnsi" w:hAnsiTheme="minorHAnsi" w:cstheme="minorHAnsi"/>
          <w:sz w:val="20"/>
          <w:szCs w:val="20"/>
        </w:rPr>
        <w:t>CM7985 London: The Stationery Office.</w:t>
      </w:r>
    </w:p>
  </w:endnote>
  <w:endnote w:id="7">
    <w:p w:rsidR="0054435B" w:rsidRDefault="0054435B">
      <w:pPr>
        <w:pStyle w:val="EndnoteText"/>
        <w:rPr>
          <w:rFonts w:asciiTheme="minorHAnsi" w:hAnsiTheme="minorHAnsi" w:cstheme="minorHAnsi"/>
        </w:rPr>
      </w:pPr>
      <w:r w:rsidRPr="00594E31">
        <w:rPr>
          <w:rStyle w:val="EndnoteReference"/>
          <w:sz w:val="24"/>
          <w:szCs w:val="24"/>
        </w:rPr>
        <w:endnoteRef/>
      </w:r>
      <w:r w:rsidRPr="00594E31">
        <w:rPr>
          <w:sz w:val="24"/>
          <w:szCs w:val="24"/>
        </w:rPr>
        <w:t xml:space="preserve"> </w:t>
      </w:r>
      <w:r w:rsidRPr="00594E31">
        <w:rPr>
          <w:rFonts w:asciiTheme="minorHAnsi" w:hAnsiTheme="minorHAnsi" w:cstheme="minorHAnsi"/>
        </w:rPr>
        <w:t xml:space="preserve">UK Parliament </w:t>
      </w:r>
      <w:r w:rsidRPr="00DB5FA3">
        <w:rPr>
          <w:rFonts w:asciiTheme="minorHAnsi" w:hAnsiTheme="minorHAnsi" w:cstheme="minorHAnsi"/>
        </w:rPr>
        <w:t>Health and Social Care Act 2012</w:t>
      </w:r>
      <w:r w:rsidRPr="00594E31">
        <w:rPr>
          <w:rFonts w:asciiTheme="minorHAnsi" w:hAnsiTheme="minorHAnsi" w:cstheme="minorHAnsi"/>
        </w:rPr>
        <w:t xml:space="preserve"> [Online]. Norwich: The Stationery Office. </w:t>
      </w:r>
      <w:hyperlink r:id="rId2" w:history="1">
        <w:r w:rsidRPr="0006317B">
          <w:rPr>
            <w:rStyle w:val="Hyperlink"/>
            <w:rFonts w:asciiTheme="minorHAnsi" w:hAnsiTheme="minorHAnsi" w:cstheme="minorHAnsi"/>
          </w:rPr>
          <w:t>http://www.legislation.gov.uk/ukpga/2012/7/contents/enacted (2012</w:t>
        </w:r>
      </w:hyperlink>
      <w:r>
        <w:rPr>
          <w:rFonts w:asciiTheme="minorHAnsi" w:hAnsiTheme="minorHAnsi" w:cstheme="minorHAnsi"/>
        </w:rPr>
        <w:t>, accessed 11 April 2017).</w:t>
      </w:r>
    </w:p>
  </w:endnote>
  <w:endnote w:id="8">
    <w:p w:rsidR="0054435B" w:rsidRPr="00594E31" w:rsidRDefault="0054435B" w:rsidP="006B64DE">
      <w:pPr>
        <w:spacing w:before="100" w:beforeAutospacing="1" w:line="240" w:lineRule="auto"/>
        <w:rPr>
          <w:sz w:val="20"/>
          <w:szCs w:val="20"/>
        </w:rPr>
      </w:pPr>
      <w:r w:rsidRPr="00594E31">
        <w:rPr>
          <w:rStyle w:val="EndnoteReference"/>
          <w:sz w:val="24"/>
          <w:szCs w:val="24"/>
        </w:rPr>
        <w:endnoteRef/>
      </w:r>
      <w:r w:rsidRPr="00594E31">
        <w:rPr>
          <w:sz w:val="24"/>
          <w:szCs w:val="24"/>
        </w:rPr>
        <w:t xml:space="preserve"> </w:t>
      </w:r>
      <w:r w:rsidRPr="00594E31">
        <w:rPr>
          <w:sz w:val="20"/>
          <w:szCs w:val="20"/>
        </w:rPr>
        <w:t>Local Government Association and Public Health England</w:t>
      </w:r>
      <w:r>
        <w:rPr>
          <w:sz w:val="20"/>
          <w:szCs w:val="20"/>
        </w:rPr>
        <w:t>.</w:t>
      </w:r>
      <w:r w:rsidRPr="00594E31">
        <w:rPr>
          <w:sz w:val="20"/>
          <w:szCs w:val="20"/>
        </w:rPr>
        <w:t xml:space="preserve"> </w:t>
      </w:r>
      <w:r w:rsidRPr="00594E31">
        <w:rPr>
          <w:i/>
          <w:sz w:val="20"/>
          <w:szCs w:val="20"/>
        </w:rPr>
        <w:t>Public health transformation nine months on: bedding in and reaching out.</w:t>
      </w:r>
      <w:r w:rsidRPr="00594E31">
        <w:rPr>
          <w:sz w:val="20"/>
          <w:szCs w:val="20"/>
        </w:rPr>
        <w:t xml:space="preserve"> 2014</w:t>
      </w:r>
      <w:r>
        <w:rPr>
          <w:sz w:val="20"/>
          <w:szCs w:val="20"/>
        </w:rPr>
        <w:t>.</w:t>
      </w:r>
    </w:p>
  </w:endnote>
  <w:endnote w:id="9">
    <w:p w:rsidR="0054435B" w:rsidRPr="00594E31" w:rsidRDefault="0054435B" w:rsidP="006B64DE">
      <w:pPr>
        <w:spacing w:before="100" w:beforeAutospacing="1" w:line="240" w:lineRule="auto"/>
        <w:rPr>
          <w:sz w:val="20"/>
          <w:szCs w:val="20"/>
        </w:rPr>
      </w:pPr>
      <w:r>
        <w:rPr>
          <w:rStyle w:val="EndnoteReference"/>
        </w:rPr>
        <w:endnoteRef/>
      </w:r>
      <w:r>
        <w:t xml:space="preserve"> </w:t>
      </w:r>
      <w:r w:rsidRPr="00594E31">
        <w:rPr>
          <w:sz w:val="20"/>
          <w:szCs w:val="20"/>
        </w:rPr>
        <w:t>Marks L, Hunter D.J</w:t>
      </w:r>
      <w:r>
        <w:rPr>
          <w:sz w:val="20"/>
          <w:szCs w:val="20"/>
        </w:rPr>
        <w:t>,</w:t>
      </w:r>
      <w:r w:rsidRPr="00594E31">
        <w:rPr>
          <w:sz w:val="20"/>
          <w:szCs w:val="20"/>
        </w:rPr>
        <w:t xml:space="preserve"> Scalabrini</w:t>
      </w:r>
      <w:r>
        <w:rPr>
          <w:sz w:val="20"/>
          <w:szCs w:val="20"/>
        </w:rPr>
        <w:t xml:space="preserve"> S,</w:t>
      </w:r>
      <w:r w:rsidRPr="00594E31">
        <w:rPr>
          <w:sz w:val="20"/>
          <w:szCs w:val="20"/>
        </w:rPr>
        <w:t xml:space="preserve"> </w:t>
      </w:r>
      <w:r>
        <w:rPr>
          <w:sz w:val="20"/>
          <w:szCs w:val="20"/>
        </w:rPr>
        <w:t xml:space="preserve">et al. </w:t>
      </w:r>
      <w:r w:rsidRPr="00594E31">
        <w:rPr>
          <w:sz w:val="20"/>
          <w:szCs w:val="20"/>
        </w:rPr>
        <w:t xml:space="preserve">The return of public health to local government in England: changing the parameters of the public health prioritization debate? </w:t>
      </w:r>
      <w:r w:rsidRPr="00594E31">
        <w:rPr>
          <w:i/>
          <w:sz w:val="20"/>
          <w:szCs w:val="20"/>
        </w:rPr>
        <w:t>Public Health</w:t>
      </w:r>
      <w:r w:rsidRPr="00594E31">
        <w:rPr>
          <w:sz w:val="20"/>
          <w:szCs w:val="20"/>
        </w:rPr>
        <w:t>, 2015</w:t>
      </w:r>
      <w:r>
        <w:rPr>
          <w:sz w:val="20"/>
          <w:szCs w:val="20"/>
        </w:rPr>
        <w:t xml:space="preserve">; </w:t>
      </w:r>
      <w:r w:rsidRPr="00594E31">
        <w:rPr>
          <w:sz w:val="20"/>
          <w:szCs w:val="20"/>
        </w:rPr>
        <w:t xml:space="preserve">129, 9, 1194-1203. </w:t>
      </w:r>
    </w:p>
  </w:endnote>
  <w:endnote w:id="10">
    <w:p w:rsidR="0054435B" w:rsidRPr="006B64DE" w:rsidRDefault="0054435B" w:rsidP="006B64DE">
      <w:pPr>
        <w:spacing w:before="100" w:beforeAutospacing="1" w:line="240" w:lineRule="auto"/>
        <w:rPr>
          <w:rFonts w:asciiTheme="minorHAnsi" w:hAnsiTheme="minorHAnsi" w:cstheme="minorHAnsi"/>
          <w:sz w:val="20"/>
          <w:szCs w:val="20"/>
        </w:rPr>
      </w:pPr>
      <w:r w:rsidRPr="00594E31">
        <w:rPr>
          <w:rStyle w:val="EndnoteReference"/>
          <w:sz w:val="24"/>
          <w:szCs w:val="24"/>
        </w:rPr>
        <w:endnoteRef/>
      </w:r>
      <w:r w:rsidRPr="00594E31">
        <w:rPr>
          <w:sz w:val="24"/>
          <w:szCs w:val="24"/>
        </w:rPr>
        <w:t xml:space="preserve"> </w:t>
      </w:r>
      <w:r w:rsidRPr="00594E31">
        <w:rPr>
          <w:rFonts w:asciiTheme="minorHAnsi" w:hAnsiTheme="minorHAnsi" w:cstheme="minorHAnsi"/>
          <w:color w:val="000000"/>
          <w:sz w:val="20"/>
          <w:szCs w:val="20"/>
        </w:rPr>
        <w:t>Medelin</w:t>
      </w:r>
      <w:r>
        <w:rPr>
          <w:rFonts w:asciiTheme="minorHAnsi" w:hAnsiTheme="minorHAnsi" w:cstheme="minorHAnsi"/>
          <w:color w:val="000000"/>
          <w:sz w:val="20"/>
          <w:szCs w:val="20"/>
        </w:rPr>
        <w:t xml:space="preserve"> </w:t>
      </w:r>
      <w:r w:rsidRPr="00594E31">
        <w:rPr>
          <w:rFonts w:asciiTheme="minorHAnsi" w:hAnsiTheme="minorHAnsi" w:cstheme="minorHAnsi"/>
          <w:color w:val="000000"/>
          <w:sz w:val="20"/>
          <w:szCs w:val="20"/>
        </w:rPr>
        <w:t>T</w:t>
      </w:r>
      <w:r>
        <w:rPr>
          <w:rFonts w:asciiTheme="minorHAnsi" w:hAnsiTheme="minorHAnsi" w:cstheme="minorHAnsi"/>
          <w:color w:val="000000"/>
          <w:sz w:val="20"/>
          <w:szCs w:val="20"/>
        </w:rPr>
        <w:t>.</w:t>
      </w:r>
      <w:r w:rsidRPr="00594E31">
        <w:rPr>
          <w:rFonts w:asciiTheme="minorHAnsi" w:hAnsiTheme="minorHAnsi" w:cstheme="minorHAnsi"/>
          <w:color w:val="000000"/>
          <w:sz w:val="20"/>
          <w:szCs w:val="20"/>
        </w:rPr>
        <w:t xml:space="preserve"> </w:t>
      </w:r>
      <w:r w:rsidRPr="00594E31">
        <w:rPr>
          <w:rFonts w:asciiTheme="minorHAnsi" w:hAnsiTheme="minorHAnsi" w:cstheme="minorHAnsi"/>
          <w:iCs/>
          <w:color w:val="000000"/>
          <w:sz w:val="20"/>
          <w:szCs w:val="20"/>
        </w:rPr>
        <w:t>Transfer of local public health functions from the NHS to local authorities</w:t>
      </w:r>
      <w:r w:rsidRPr="00594E31">
        <w:rPr>
          <w:rFonts w:asciiTheme="minorHAnsi" w:hAnsiTheme="minorHAnsi" w:cstheme="minorHAnsi"/>
          <w:i/>
          <w:color w:val="000000"/>
          <w:sz w:val="20"/>
          <w:szCs w:val="20"/>
        </w:rPr>
        <w:t>.</w:t>
      </w:r>
      <w:r w:rsidRPr="00594E31">
        <w:rPr>
          <w:rFonts w:asciiTheme="minorHAnsi" w:hAnsiTheme="minorHAnsi" w:cstheme="minorHAnsi"/>
          <w:color w:val="000000"/>
          <w:sz w:val="20"/>
          <w:szCs w:val="20"/>
        </w:rPr>
        <w:t xml:space="preserve"> </w:t>
      </w:r>
      <w:r w:rsidRPr="00DB5FA3">
        <w:rPr>
          <w:rFonts w:asciiTheme="minorHAnsi" w:hAnsiTheme="minorHAnsi" w:cstheme="minorHAnsi"/>
          <w:color w:val="000000"/>
          <w:sz w:val="20"/>
          <w:szCs w:val="20"/>
        </w:rPr>
        <w:t xml:space="preserve">The Lancet: </w:t>
      </w:r>
      <w:r w:rsidRPr="00594E31">
        <w:rPr>
          <w:rFonts w:asciiTheme="minorHAnsi" w:hAnsiTheme="minorHAnsi" w:cstheme="minorHAnsi"/>
          <w:color w:val="000000"/>
          <w:sz w:val="20"/>
          <w:szCs w:val="20"/>
        </w:rPr>
        <w:t xml:space="preserve">UK Policy matters. </w:t>
      </w:r>
      <w:hyperlink r:id="rId3" w:history="1">
        <w:r w:rsidRPr="00594E31">
          <w:rPr>
            <w:rStyle w:val="Hyperlink"/>
            <w:rFonts w:asciiTheme="minorHAnsi" w:hAnsiTheme="minorHAnsi" w:cstheme="minorHAnsi"/>
            <w:sz w:val="20"/>
            <w:szCs w:val="20"/>
          </w:rPr>
          <w:t>http://ukpolicymatters.thelancet.com/policy-summary-transfer-of-local-public-health-functions-from-the-nhs-to-local-authorities/</w:t>
        </w:r>
      </w:hyperlink>
      <w:r w:rsidRPr="00594E31">
        <w:rPr>
          <w:rFonts w:asciiTheme="minorHAnsi" w:hAnsiTheme="minorHAnsi" w:cstheme="minorHAnsi"/>
          <w:color w:val="D40024"/>
          <w:sz w:val="20"/>
          <w:szCs w:val="20"/>
        </w:rPr>
        <w:t xml:space="preserve"> </w:t>
      </w:r>
      <w:r w:rsidRPr="006B64DE">
        <w:rPr>
          <w:rFonts w:asciiTheme="minorHAnsi" w:hAnsiTheme="minorHAnsi" w:cstheme="minorHAnsi"/>
          <w:sz w:val="20"/>
          <w:szCs w:val="20"/>
        </w:rPr>
        <w:t>(2011, accessed, 15 March 2012).</w:t>
      </w:r>
    </w:p>
  </w:endnote>
  <w:endnote w:id="11">
    <w:p w:rsidR="0054435B" w:rsidRPr="00BD027D" w:rsidRDefault="0054435B" w:rsidP="006B64DE">
      <w:pPr>
        <w:spacing w:before="100" w:beforeAutospacing="1" w:line="240" w:lineRule="auto"/>
        <w:rPr>
          <w:sz w:val="20"/>
          <w:szCs w:val="20"/>
        </w:rPr>
      </w:pPr>
      <w:r w:rsidRPr="00594E31">
        <w:rPr>
          <w:rStyle w:val="EndnoteReference"/>
          <w:sz w:val="24"/>
          <w:szCs w:val="24"/>
        </w:rPr>
        <w:endnoteRef/>
      </w:r>
      <w:r>
        <w:t xml:space="preserve"> </w:t>
      </w:r>
      <w:r w:rsidRPr="00594E31">
        <w:rPr>
          <w:sz w:val="20"/>
          <w:szCs w:val="20"/>
        </w:rPr>
        <w:t>Kingsnorth R</w:t>
      </w:r>
      <w:r>
        <w:rPr>
          <w:sz w:val="20"/>
          <w:szCs w:val="20"/>
        </w:rPr>
        <w:t>.</w:t>
      </w:r>
      <w:r w:rsidRPr="00594E31">
        <w:rPr>
          <w:sz w:val="20"/>
          <w:szCs w:val="20"/>
        </w:rPr>
        <w:t xml:space="preserve"> Partnerships for health and wellbeing</w:t>
      </w:r>
      <w:r w:rsidRPr="00594E31">
        <w:rPr>
          <w:i/>
          <w:sz w:val="20"/>
          <w:szCs w:val="20"/>
        </w:rPr>
        <w:t>.</w:t>
      </w:r>
      <w:r w:rsidRPr="00594E31">
        <w:rPr>
          <w:sz w:val="20"/>
          <w:szCs w:val="20"/>
        </w:rPr>
        <w:t xml:space="preserve"> </w:t>
      </w:r>
      <w:r w:rsidRPr="00594E31">
        <w:rPr>
          <w:i/>
          <w:sz w:val="20"/>
          <w:szCs w:val="20"/>
        </w:rPr>
        <w:t>Journal of Integrated Care</w:t>
      </w:r>
      <w:r w:rsidRPr="00594E31">
        <w:rPr>
          <w:sz w:val="20"/>
          <w:szCs w:val="20"/>
        </w:rPr>
        <w:t xml:space="preserve"> 2013</w:t>
      </w:r>
      <w:r>
        <w:rPr>
          <w:sz w:val="20"/>
          <w:szCs w:val="20"/>
        </w:rPr>
        <w:t xml:space="preserve">; </w:t>
      </w:r>
      <w:r w:rsidRPr="00594E31">
        <w:rPr>
          <w:sz w:val="20"/>
          <w:szCs w:val="20"/>
        </w:rPr>
        <w:t>21, 2, 64 – 76.</w:t>
      </w:r>
    </w:p>
  </w:endnote>
  <w:endnote w:id="12">
    <w:p w:rsidR="0054435B" w:rsidRPr="00BD027D" w:rsidRDefault="0054435B" w:rsidP="006B64DE">
      <w:pPr>
        <w:spacing w:before="100" w:beforeAutospacing="1" w:line="240" w:lineRule="auto"/>
        <w:rPr>
          <w:sz w:val="20"/>
          <w:szCs w:val="20"/>
        </w:rPr>
      </w:pPr>
      <w:r w:rsidRPr="00BD027D">
        <w:rPr>
          <w:rStyle w:val="EndnoteReference"/>
          <w:sz w:val="24"/>
          <w:szCs w:val="24"/>
        </w:rPr>
        <w:endnoteRef/>
      </w:r>
      <w:r w:rsidRPr="00BD027D">
        <w:rPr>
          <w:sz w:val="24"/>
          <w:szCs w:val="24"/>
        </w:rPr>
        <w:t xml:space="preserve"> </w:t>
      </w:r>
      <w:r w:rsidRPr="00BD027D">
        <w:rPr>
          <w:sz w:val="20"/>
          <w:szCs w:val="20"/>
        </w:rPr>
        <w:t>Department of Health</w:t>
      </w:r>
      <w:r>
        <w:rPr>
          <w:sz w:val="20"/>
          <w:szCs w:val="20"/>
        </w:rPr>
        <w:t>.</w:t>
      </w:r>
      <w:r w:rsidRPr="00BD027D">
        <w:rPr>
          <w:sz w:val="20"/>
          <w:szCs w:val="20"/>
        </w:rPr>
        <w:t xml:space="preserve"> </w:t>
      </w:r>
      <w:r w:rsidRPr="00BD027D">
        <w:rPr>
          <w:i/>
          <w:sz w:val="20"/>
          <w:szCs w:val="20"/>
        </w:rPr>
        <w:t>Joint Strategic Needs Assessment and joint health and wellbeing strategies explained</w:t>
      </w:r>
      <w:r w:rsidRPr="00BD027D">
        <w:rPr>
          <w:sz w:val="20"/>
          <w:szCs w:val="20"/>
        </w:rPr>
        <w:t>, London: Department of Health.</w:t>
      </w:r>
      <w:r>
        <w:rPr>
          <w:sz w:val="20"/>
          <w:szCs w:val="20"/>
        </w:rPr>
        <w:t xml:space="preserve"> </w:t>
      </w:r>
      <w:r w:rsidRPr="00BD027D">
        <w:rPr>
          <w:sz w:val="20"/>
          <w:szCs w:val="20"/>
        </w:rPr>
        <w:t>2011</w:t>
      </w:r>
      <w:r>
        <w:rPr>
          <w:sz w:val="20"/>
          <w:szCs w:val="20"/>
        </w:rPr>
        <w:t>.</w:t>
      </w:r>
    </w:p>
  </w:endnote>
  <w:endnote w:id="13">
    <w:p w:rsidR="0054435B" w:rsidRPr="00BD027D" w:rsidRDefault="0054435B" w:rsidP="006B64DE">
      <w:pPr>
        <w:spacing w:before="100" w:beforeAutospacing="1" w:line="240" w:lineRule="auto"/>
        <w:rPr>
          <w:rFonts w:asciiTheme="minorHAnsi" w:hAnsiTheme="minorHAnsi" w:cstheme="minorHAnsi"/>
          <w:sz w:val="20"/>
          <w:szCs w:val="20"/>
        </w:rPr>
      </w:pPr>
      <w:r w:rsidRPr="00BD027D">
        <w:rPr>
          <w:rStyle w:val="EndnoteReference"/>
          <w:sz w:val="24"/>
          <w:szCs w:val="24"/>
        </w:rPr>
        <w:endnoteRef/>
      </w:r>
      <w:r w:rsidRPr="00BD027D">
        <w:rPr>
          <w:sz w:val="24"/>
          <w:szCs w:val="24"/>
        </w:rPr>
        <w:t xml:space="preserve"> </w:t>
      </w:r>
      <w:r w:rsidRPr="00BD027D">
        <w:rPr>
          <w:rFonts w:asciiTheme="minorHAnsi" w:hAnsiTheme="minorHAnsi" w:cstheme="minorHAnsi"/>
          <w:sz w:val="20"/>
          <w:szCs w:val="20"/>
        </w:rPr>
        <w:t>Hunter</w:t>
      </w:r>
      <w:r>
        <w:rPr>
          <w:rFonts w:asciiTheme="minorHAnsi" w:hAnsiTheme="minorHAnsi" w:cstheme="minorHAnsi"/>
          <w:sz w:val="20"/>
          <w:szCs w:val="20"/>
        </w:rPr>
        <w:t xml:space="preserve"> </w:t>
      </w:r>
      <w:r w:rsidRPr="00BD027D">
        <w:rPr>
          <w:rFonts w:asciiTheme="minorHAnsi" w:hAnsiTheme="minorHAnsi" w:cstheme="minorHAnsi"/>
          <w:sz w:val="20"/>
          <w:szCs w:val="20"/>
        </w:rPr>
        <w:t>D</w:t>
      </w:r>
      <w:r>
        <w:rPr>
          <w:rFonts w:asciiTheme="minorHAnsi" w:hAnsiTheme="minorHAnsi" w:cstheme="minorHAnsi"/>
          <w:sz w:val="20"/>
          <w:szCs w:val="20"/>
        </w:rPr>
        <w:t>J,</w:t>
      </w:r>
      <w:r w:rsidRPr="00BD027D">
        <w:rPr>
          <w:rFonts w:asciiTheme="minorHAnsi" w:hAnsiTheme="minorHAnsi" w:cstheme="minorHAnsi"/>
          <w:sz w:val="20"/>
          <w:szCs w:val="20"/>
        </w:rPr>
        <w:t xml:space="preserve"> Perkins N</w:t>
      </w:r>
      <w:r>
        <w:rPr>
          <w:rFonts w:asciiTheme="minorHAnsi" w:hAnsiTheme="minorHAnsi" w:cstheme="minorHAnsi"/>
          <w:sz w:val="20"/>
          <w:szCs w:val="20"/>
        </w:rPr>
        <w:t>.</w:t>
      </w:r>
      <w:r w:rsidRPr="00BD027D">
        <w:rPr>
          <w:rFonts w:asciiTheme="minorHAnsi" w:hAnsiTheme="minorHAnsi" w:cstheme="minorHAnsi"/>
          <w:sz w:val="20"/>
          <w:szCs w:val="20"/>
        </w:rPr>
        <w:t xml:space="preserve"> </w:t>
      </w:r>
      <w:r w:rsidRPr="00BD027D">
        <w:rPr>
          <w:rFonts w:asciiTheme="minorHAnsi" w:hAnsiTheme="minorHAnsi" w:cstheme="minorHAnsi"/>
          <w:i/>
          <w:sz w:val="20"/>
          <w:szCs w:val="20"/>
        </w:rPr>
        <w:t>Partnership Working in Public Health</w:t>
      </w:r>
      <w:r w:rsidRPr="00BD027D">
        <w:rPr>
          <w:rFonts w:asciiTheme="minorHAnsi" w:hAnsiTheme="minorHAnsi" w:cstheme="minorHAnsi"/>
          <w:sz w:val="20"/>
          <w:szCs w:val="20"/>
        </w:rPr>
        <w:t>, Bristol: Policy Press.</w:t>
      </w:r>
      <w:r>
        <w:rPr>
          <w:rFonts w:asciiTheme="minorHAnsi" w:hAnsiTheme="minorHAnsi" w:cstheme="minorHAnsi"/>
          <w:sz w:val="20"/>
          <w:szCs w:val="20"/>
        </w:rPr>
        <w:t xml:space="preserve"> </w:t>
      </w:r>
      <w:r w:rsidRPr="00BD027D">
        <w:rPr>
          <w:rFonts w:asciiTheme="minorHAnsi" w:hAnsiTheme="minorHAnsi" w:cstheme="minorHAnsi"/>
          <w:sz w:val="20"/>
          <w:szCs w:val="20"/>
        </w:rPr>
        <w:t>2014</w:t>
      </w:r>
      <w:r>
        <w:rPr>
          <w:rFonts w:asciiTheme="minorHAnsi" w:hAnsiTheme="minorHAnsi" w:cstheme="minorHAnsi"/>
          <w:sz w:val="20"/>
          <w:szCs w:val="20"/>
        </w:rPr>
        <w:t>.</w:t>
      </w:r>
    </w:p>
  </w:endnote>
  <w:endnote w:id="14">
    <w:p w:rsidR="0054435B" w:rsidRPr="00B4707A" w:rsidRDefault="0054435B" w:rsidP="006B64DE">
      <w:pPr>
        <w:spacing w:before="100" w:beforeAutospacing="1" w:line="240" w:lineRule="auto"/>
        <w:rPr>
          <w:rFonts w:asciiTheme="minorHAnsi" w:hAnsiTheme="minorHAnsi" w:cstheme="minorHAnsi"/>
          <w:sz w:val="20"/>
          <w:szCs w:val="20"/>
        </w:rPr>
      </w:pPr>
      <w:r w:rsidRPr="00BD027D">
        <w:rPr>
          <w:rStyle w:val="EndnoteReference"/>
          <w:sz w:val="24"/>
          <w:szCs w:val="24"/>
        </w:rPr>
        <w:endnoteRef/>
      </w:r>
      <w:r>
        <w:t xml:space="preserve"> </w:t>
      </w:r>
      <w:r w:rsidRPr="00BD027D">
        <w:rPr>
          <w:rFonts w:asciiTheme="minorHAnsi" w:hAnsiTheme="minorHAnsi" w:cstheme="minorHAnsi"/>
          <w:sz w:val="20"/>
          <w:szCs w:val="20"/>
        </w:rPr>
        <w:t xml:space="preserve">Perkins N, Smith K, Hunter DJ, </w:t>
      </w:r>
      <w:r>
        <w:rPr>
          <w:rFonts w:asciiTheme="minorHAnsi" w:hAnsiTheme="minorHAnsi" w:cstheme="minorHAnsi"/>
          <w:sz w:val="20"/>
          <w:szCs w:val="20"/>
        </w:rPr>
        <w:t xml:space="preserve">et al. </w:t>
      </w:r>
      <w:r w:rsidRPr="00BD027D">
        <w:rPr>
          <w:rFonts w:asciiTheme="minorHAnsi" w:hAnsiTheme="minorHAnsi" w:cstheme="minorHAnsi"/>
          <w:sz w:val="20"/>
          <w:szCs w:val="20"/>
        </w:rPr>
        <w:t xml:space="preserve">What counts is what works? New Labour and partnerships in public health. </w:t>
      </w:r>
      <w:r w:rsidRPr="00BD027D">
        <w:rPr>
          <w:rFonts w:asciiTheme="minorHAnsi" w:hAnsiTheme="minorHAnsi" w:cstheme="minorHAnsi"/>
          <w:i/>
          <w:sz w:val="20"/>
          <w:szCs w:val="20"/>
        </w:rPr>
        <w:t>Policy and Politics</w:t>
      </w:r>
      <w:r w:rsidRPr="00BD027D">
        <w:rPr>
          <w:rFonts w:asciiTheme="minorHAnsi" w:hAnsiTheme="minorHAnsi" w:cstheme="minorHAnsi"/>
          <w:sz w:val="20"/>
          <w:szCs w:val="20"/>
        </w:rPr>
        <w:t xml:space="preserve"> 2010</w:t>
      </w:r>
      <w:r>
        <w:rPr>
          <w:rFonts w:asciiTheme="minorHAnsi" w:hAnsiTheme="minorHAnsi" w:cstheme="minorHAnsi"/>
          <w:sz w:val="20"/>
          <w:szCs w:val="20"/>
        </w:rPr>
        <w:t xml:space="preserve">; </w:t>
      </w:r>
      <w:r w:rsidRPr="00BD027D">
        <w:rPr>
          <w:rFonts w:asciiTheme="minorHAnsi" w:hAnsiTheme="minorHAnsi" w:cstheme="minorHAnsi"/>
          <w:sz w:val="20"/>
          <w:szCs w:val="20"/>
        </w:rPr>
        <w:t>38, 1, 101–17.</w:t>
      </w:r>
    </w:p>
  </w:endnote>
  <w:endnote w:id="15">
    <w:p w:rsidR="0054435B" w:rsidRPr="00B4707A" w:rsidRDefault="0054435B" w:rsidP="006B64DE">
      <w:pPr>
        <w:spacing w:before="100" w:beforeAutospacing="1" w:line="240" w:lineRule="auto"/>
        <w:rPr>
          <w:rFonts w:asciiTheme="minorHAnsi" w:hAnsiTheme="minorHAnsi" w:cstheme="minorHAnsi"/>
          <w:sz w:val="20"/>
          <w:szCs w:val="20"/>
        </w:rPr>
      </w:pPr>
      <w:r w:rsidRPr="00B4707A">
        <w:rPr>
          <w:rStyle w:val="EndnoteReference"/>
          <w:sz w:val="24"/>
          <w:szCs w:val="24"/>
        </w:rPr>
        <w:endnoteRef/>
      </w:r>
      <w:r>
        <w:t xml:space="preserve"> </w:t>
      </w:r>
      <w:r w:rsidRPr="00B4707A">
        <w:rPr>
          <w:rFonts w:asciiTheme="minorHAnsi" w:hAnsiTheme="minorHAnsi" w:cstheme="minorHAnsi"/>
          <w:sz w:val="20"/>
          <w:szCs w:val="20"/>
        </w:rPr>
        <w:t>Humphries R</w:t>
      </w:r>
      <w:r>
        <w:rPr>
          <w:rFonts w:asciiTheme="minorHAnsi" w:hAnsiTheme="minorHAnsi" w:cstheme="minorHAnsi"/>
          <w:sz w:val="20"/>
          <w:szCs w:val="20"/>
        </w:rPr>
        <w:t>.</w:t>
      </w:r>
      <w:r w:rsidRPr="00B4707A">
        <w:rPr>
          <w:rFonts w:asciiTheme="minorHAnsi" w:hAnsiTheme="minorHAnsi" w:cstheme="minorHAnsi"/>
          <w:sz w:val="20"/>
          <w:szCs w:val="20"/>
        </w:rPr>
        <w:t xml:space="preserve"> Health and wellbeing boards: policy and prospects, </w:t>
      </w:r>
      <w:r w:rsidRPr="00B4707A">
        <w:rPr>
          <w:rFonts w:asciiTheme="minorHAnsi" w:hAnsiTheme="minorHAnsi" w:cstheme="minorHAnsi"/>
          <w:i/>
          <w:sz w:val="20"/>
          <w:szCs w:val="20"/>
        </w:rPr>
        <w:t>Journal of Integrated Care</w:t>
      </w:r>
      <w:r w:rsidRPr="00B4707A">
        <w:rPr>
          <w:rFonts w:asciiTheme="minorHAnsi" w:hAnsiTheme="minorHAnsi" w:cstheme="minorHAnsi"/>
          <w:sz w:val="20"/>
          <w:szCs w:val="20"/>
        </w:rPr>
        <w:t>, 2013</w:t>
      </w:r>
      <w:r>
        <w:rPr>
          <w:rFonts w:asciiTheme="minorHAnsi" w:hAnsiTheme="minorHAnsi" w:cstheme="minorHAnsi"/>
          <w:sz w:val="20"/>
          <w:szCs w:val="20"/>
        </w:rPr>
        <w:t>;</w:t>
      </w:r>
      <w:r w:rsidRPr="00B4707A">
        <w:rPr>
          <w:rFonts w:asciiTheme="minorHAnsi" w:hAnsiTheme="minorHAnsi" w:cstheme="minorHAnsi"/>
          <w:sz w:val="20"/>
          <w:szCs w:val="20"/>
        </w:rPr>
        <w:t xml:space="preserve"> 21, 1, 6-.</w:t>
      </w:r>
    </w:p>
  </w:endnote>
  <w:endnote w:id="16">
    <w:p w:rsidR="0054435B" w:rsidRDefault="0054435B" w:rsidP="006B64DE">
      <w:pPr>
        <w:spacing w:before="100" w:beforeAutospacing="1" w:line="240" w:lineRule="auto"/>
        <w:rPr>
          <w:rFonts w:asciiTheme="minorHAnsi" w:hAnsiTheme="minorHAnsi" w:cstheme="minorHAnsi"/>
          <w:sz w:val="20"/>
          <w:szCs w:val="20"/>
        </w:rPr>
      </w:pPr>
      <w:r w:rsidRPr="00B4707A">
        <w:rPr>
          <w:rStyle w:val="EndnoteReference"/>
          <w:sz w:val="24"/>
          <w:szCs w:val="24"/>
        </w:rPr>
        <w:endnoteRef/>
      </w:r>
      <w:r w:rsidRPr="00B4707A">
        <w:rPr>
          <w:sz w:val="24"/>
          <w:szCs w:val="24"/>
        </w:rPr>
        <w:t xml:space="preserve"> </w:t>
      </w:r>
      <w:r w:rsidRPr="00B4707A">
        <w:rPr>
          <w:rFonts w:asciiTheme="minorHAnsi" w:hAnsiTheme="minorHAnsi" w:cstheme="minorHAnsi"/>
          <w:sz w:val="20"/>
          <w:szCs w:val="20"/>
        </w:rPr>
        <w:t>Coleman A, Glendinning C</w:t>
      </w:r>
      <w:r>
        <w:rPr>
          <w:rFonts w:asciiTheme="minorHAnsi" w:hAnsiTheme="minorHAnsi" w:cstheme="minorHAnsi"/>
          <w:sz w:val="20"/>
          <w:szCs w:val="20"/>
        </w:rPr>
        <w:t>.</w:t>
      </w:r>
      <w:r w:rsidRPr="00B4707A">
        <w:rPr>
          <w:rFonts w:asciiTheme="minorHAnsi" w:hAnsiTheme="minorHAnsi" w:cstheme="minorHAnsi"/>
          <w:sz w:val="20"/>
          <w:szCs w:val="20"/>
        </w:rPr>
        <w:t xml:space="preserve"> Going round in circles? Joint working between primary health and social care. </w:t>
      </w:r>
      <w:r w:rsidRPr="00B4707A">
        <w:rPr>
          <w:rFonts w:asciiTheme="minorHAnsi" w:hAnsiTheme="minorHAnsi" w:cstheme="minorHAnsi"/>
          <w:i/>
          <w:sz w:val="20"/>
          <w:szCs w:val="20"/>
        </w:rPr>
        <w:t>Journal of Integrated Care,</w:t>
      </w:r>
      <w:r w:rsidRPr="00B4707A">
        <w:rPr>
          <w:rFonts w:asciiTheme="minorHAnsi" w:hAnsiTheme="minorHAnsi" w:cstheme="minorHAnsi"/>
          <w:sz w:val="20"/>
          <w:szCs w:val="20"/>
        </w:rPr>
        <w:t xml:space="preserve"> 2015</w:t>
      </w:r>
      <w:r>
        <w:rPr>
          <w:rFonts w:asciiTheme="minorHAnsi" w:hAnsiTheme="minorHAnsi" w:cstheme="minorHAnsi"/>
          <w:sz w:val="20"/>
          <w:szCs w:val="20"/>
        </w:rPr>
        <w:t xml:space="preserve">; </w:t>
      </w:r>
      <w:r w:rsidRPr="00B4707A">
        <w:rPr>
          <w:rFonts w:asciiTheme="minorHAnsi" w:hAnsiTheme="minorHAnsi" w:cstheme="minorHAnsi"/>
          <w:sz w:val="20"/>
          <w:szCs w:val="20"/>
        </w:rPr>
        <w:t>23, 2, 53-61.</w:t>
      </w:r>
    </w:p>
    <w:p w:rsidR="0054435B" w:rsidRDefault="0054435B" w:rsidP="00434107">
      <w:pPr>
        <w:rPr>
          <w:sz w:val="20"/>
          <w:szCs w:val="20"/>
        </w:rPr>
      </w:pPr>
      <w:r w:rsidRPr="00434107">
        <w:rPr>
          <w:sz w:val="24"/>
          <w:szCs w:val="24"/>
          <w:vertAlign w:val="superscript"/>
        </w:rPr>
        <w:t>17</w:t>
      </w:r>
      <w:r>
        <w:rPr>
          <w:sz w:val="20"/>
          <w:szCs w:val="20"/>
        </w:rPr>
        <w:t xml:space="preserve"> </w:t>
      </w:r>
      <w:r w:rsidRPr="00881326">
        <w:rPr>
          <w:sz w:val="20"/>
          <w:szCs w:val="20"/>
        </w:rPr>
        <w:t xml:space="preserve">Evaluating the Leadership Role of Health and Wellbeing Boards as Drivers of Health Improvement and Integrated Care Across England. Interim report no. 1: Scoping the evidence base on Health and Wellbeing Boards and similar partnership arrangements. Hunter DJ,  Visram S, Brown S et al. National Institute for Health Research Policy Research Programme. 2015 </w:t>
      </w:r>
    </w:p>
    <w:p w:rsidR="0054435B" w:rsidRDefault="0054435B" w:rsidP="00434107">
      <w:pPr>
        <w:spacing w:before="100" w:beforeAutospacing="1" w:line="240" w:lineRule="auto"/>
        <w:rPr>
          <w:sz w:val="20"/>
          <w:szCs w:val="20"/>
        </w:rPr>
      </w:pPr>
      <w:r w:rsidRPr="00434107">
        <w:rPr>
          <w:sz w:val="24"/>
          <w:szCs w:val="24"/>
          <w:vertAlign w:val="superscript"/>
        </w:rPr>
        <w:t>18</w:t>
      </w:r>
      <w:r>
        <w:rPr>
          <w:sz w:val="20"/>
          <w:szCs w:val="20"/>
        </w:rPr>
        <w:t xml:space="preserve"> </w:t>
      </w:r>
      <w:r w:rsidRPr="00B4707A">
        <w:rPr>
          <w:sz w:val="20"/>
          <w:szCs w:val="20"/>
        </w:rPr>
        <w:t>Coleman A, Dhesi S</w:t>
      </w:r>
      <w:r>
        <w:rPr>
          <w:sz w:val="20"/>
          <w:szCs w:val="20"/>
        </w:rPr>
        <w:t>,</w:t>
      </w:r>
      <w:r w:rsidRPr="00B4707A">
        <w:rPr>
          <w:sz w:val="20"/>
          <w:szCs w:val="20"/>
        </w:rPr>
        <w:t xml:space="preserve"> Peckham S. Health and Wellbeing Boards: the new system stewards? in M Exworthy, R Manion &amp; M Powell (eds), </w:t>
      </w:r>
      <w:r w:rsidRPr="00B4707A">
        <w:rPr>
          <w:rStyle w:val="Emphasis"/>
          <w:sz w:val="20"/>
          <w:szCs w:val="20"/>
        </w:rPr>
        <w:t>Dismantling the NHS?: Evaluating the impact of health reforms.</w:t>
      </w:r>
      <w:r w:rsidRPr="00B4707A">
        <w:rPr>
          <w:sz w:val="20"/>
          <w:szCs w:val="20"/>
        </w:rPr>
        <w:t xml:space="preserve"> Bristol: Policy Press, 2016</w:t>
      </w:r>
      <w:r>
        <w:rPr>
          <w:sz w:val="20"/>
          <w:szCs w:val="20"/>
        </w:rPr>
        <w:t>,</w:t>
      </w:r>
      <w:r>
        <w:rPr>
          <w:rFonts w:asciiTheme="minorHAnsi" w:hAnsiTheme="minorHAnsi" w:cstheme="minorHAnsi"/>
          <w:sz w:val="20"/>
          <w:szCs w:val="20"/>
        </w:rPr>
        <w:t xml:space="preserve"> </w:t>
      </w:r>
      <w:r w:rsidRPr="00B4707A">
        <w:rPr>
          <w:sz w:val="20"/>
          <w:szCs w:val="20"/>
        </w:rPr>
        <w:t>279 – 300.</w:t>
      </w:r>
    </w:p>
    <w:p w:rsidR="0054435B" w:rsidRDefault="0054435B" w:rsidP="00434107">
      <w:pPr>
        <w:pStyle w:val="EndnoteText"/>
        <w:rPr>
          <w:rFonts w:cs="Verdana"/>
          <w:color w:val="000000"/>
        </w:rPr>
      </w:pPr>
      <w:r w:rsidRPr="00434107">
        <w:rPr>
          <w:rFonts w:cs="Verdana"/>
          <w:color w:val="000000"/>
          <w:sz w:val="24"/>
          <w:szCs w:val="24"/>
          <w:vertAlign w:val="superscript"/>
        </w:rPr>
        <w:t>19</w:t>
      </w:r>
      <w:r>
        <w:rPr>
          <w:rFonts w:cs="Verdana"/>
          <w:color w:val="000000"/>
        </w:rPr>
        <w:t xml:space="preserve"> </w:t>
      </w:r>
      <w:r w:rsidRPr="00586540">
        <w:rPr>
          <w:rFonts w:cs="Verdana"/>
          <w:color w:val="000000"/>
        </w:rPr>
        <w:t xml:space="preserve">Bryman A. Social research methods. Oxford: Oxford University Press; 2001. </w:t>
      </w:r>
    </w:p>
    <w:p w:rsidR="0054435B" w:rsidRDefault="0054435B" w:rsidP="002D38D6">
      <w:pPr>
        <w:spacing w:before="100" w:beforeAutospacing="1" w:line="240" w:lineRule="auto"/>
        <w:rPr>
          <w:rFonts w:asciiTheme="minorHAnsi" w:hAnsiTheme="minorHAnsi" w:cstheme="minorHAnsi"/>
          <w:sz w:val="20"/>
          <w:szCs w:val="20"/>
        </w:rPr>
      </w:pPr>
      <w:r w:rsidRPr="002D38D6">
        <w:rPr>
          <w:rFonts w:asciiTheme="minorHAnsi" w:hAnsiTheme="minorHAnsi" w:cstheme="minorHAnsi"/>
          <w:sz w:val="24"/>
          <w:szCs w:val="24"/>
          <w:vertAlign w:val="superscript"/>
        </w:rPr>
        <w:t xml:space="preserve">20 </w:t>
      </w:r>
      <w:r w:rsidRPr="004F32E9">
        <w:rPr>
          <w:rFonts w:asciiTheme="minorHAnsi" w:hAnsiTheme="minorHAnsi" w:cstheme="minorHAnsi"/>
          <w:sz w:val="20"/>
          <w:szCs w:val="20"/>
        </w:rPr>
        <w:t>NHS England</w:t>
      </w:r>
      <w:r>
        <w:rPr>
          <w:rFonts w:asciiTheme="minorHAnsi" w:hAnsiTheme="minorHAnsi" w:cstheme="minorHAnsi"/>
          <w:sz w:val="20"/>
          <w:szCs w:val="20"/>
        </w:rPr>
        <w:t>.</w:t>
      </w:r>
      <w:r w:rsidRPr="004F32E9">
        <w:rPr>
          <w:rFonts w:asciiTheme="minorHAnsi" w:hAnsiTheme="minorHAnsi" w:cstheme="minorHAnsi"/>
          <w:sz w:val="20"/>
          <w:szCs w:val="20"/>
        </w:rPr>
        <w:t xml:space="preserve"> </w:t>
      </w:r>
      <w:r w:rsidRPr="004F32E9">
        <w:rPr>
          <w:rFonts w:asciiTheme="minorHAnsi" w:hAnsiTheme="minorHAnsi" w:cstheme="minorHAnsi"/>
          <w:i/>
          <w:sz w:val="20"/>
          <w:szCs w:val="20"/>
        </w:rPr>
        <w:t>NHS Five Year Forward View</w:t>
      </w:r>
      <w:r w:rsidRPr="004F32E9">
        <w:rPr>
          <w:rFonts w:asciiTheme="minorHAnsi" w:hAnsiTheme="minorHAnsi" w:cstheme="minorHAnsi"/>
          <w:sz w:val="20"/>
          <w:szCs w:val="20"/>
        </w:rPr>
        <w:t>. London: NHSE</w:t>
      </w:r>
      <w:r>
        <w:rPr>
          <w:rFonts w:asciiTheme="minorHAnsi" w:hAnsiTheme="minorHAnsi" w:cstheme="minorHAnsi"/>
          <w:sz w:val="20"/>
          <w:szCs w:val="20"/>
        </w:rPr>
        <w:t xml:space="preserve">. </w:t>
      </w:r>
      <w:r w:rsidRPr="004F32E9">
        <w:rPr>
          <w:rFonts w:asciiTheme="minorHAnsi" w:hAnsiTheme="minorHAnsi" w:cstheme="minorHAnsi"/>
          <w:sz w:val="20"/>
          <w:szCs w:val="20"/>
        </w:rPr>
        <w:t>2014</w:t>
      </w:r>
      <w:r>
        <w:rPr>
          <w:rFonts w:asciiTheme="minorHAnsi" w:hAnsiTheme="minorHAnsi" w:cstheme="minorHAnsi"/>
          <w:sz w:val="20"/>
          <w:szCs w:val="20"/>
        </w:rPr>
        <w:t>.</w:t>
      </w:r>
    </w:p>
    <w:p w:rsidR="0054435B" w:rsidRDefault="0054435B" w:rsidP="002D38D6">
      <w:pPr>
        <w:spacing w:before="100" w:beforeAutospacing="1" w:line="240" w:lineRule="auto"/>
        <w:rPr>
          <w:rFonts w:asciiTheme="minorHAnsi" w:hAnsiTheme="minorHAnsi" w:cstheme="minorHAnsi"/>
          <w:sz w:val="20"/>
          <w:szCs w:val="20"/>
        </w:rPr>
      </w:pPr>
      <w:r w:rsidRPr="002D38D6">
        <w:rPr>
          <w:rFonts w:asciiTheme="minorHAnsi" w:hAnsiTheme="minorHAnsi" w:cstheme="minorHAnsi"/>
          <w:sz w:val="24"/>
          <w:szCs w:val="24"/>
          <w:vertAlign w:val="superscript"/>
        </w:rPr>
        <w:t>21</w:t>
      </w:r>
      <w:r>
        <w:rPr>
          <w:rFonts w:asciiTheme="minorHAnsi" w:hAnsiTheme="minorHAnsi" w:cstheme="minorHAnsi"/>
          <w:sz w:val="20"/>
          <w:szCs w:val="20"/>
        </w:rPr>
        <w:t xml:space="preserve"> </w:t>
      </w:r>
      <w:r w:rsidRPr="000834A8">
        <w:rPr>
          <w:rFonts w:asciiTheme="minorHAnsi" w:hAnsiTheme="minorHAnsi" w:cstheme="minorHAnsi"/>
          <w:sz w:val="20"/>
          <w:szCs w:val="20"/>
        </w:rPr>
        <w:t>NHS</w:t>
      </w:r>
      <w:r>
        <w:rPr>
          <w:rFonts w:asciiTheme="minorHAnsi" w:hAnsiTheme="minorHAnsi" w:cstheme="minorHAnsi"/>
          <w:sz w:val="20"/>
          <w:szCs w:val="20"/>
        </w:rPr>
        <w:t xml:space="preserve"> England</w:t>
      </w:r>
      <w:r w:rsidRPr="000834A8">
        <w:rPr>
          <w:rFonts w:asciiTheme="minorHAnsi" w:hAnsiTheme="minorHAnsi" w:cstheme="minorHAnsi"/>
          <w:sz w:val="20"/>
          <w:szCs w:val="20"/>
        </w:rPr>
        <w:t>. The NHS long term plan. 2019. https://</w:t>
      </w:r>
      <w:r w:rsidRPr="000834A8">
        <w:t xml:space="preserve"> </w:t>
      </w:r>
      <w:hyperlink r:id="rId4" w:history="1">
        <w:r w:rsidRPr="003868EA">
          <w:rPr>
            <w:rStyle w:val="Hyperlink"/>
            <w:rFonts w:asciiTheme="minorHAnsi" w:hAnsiTheme="minorHAnsi" w:cstheme="minorHAnsi"/>
            <w:sz w:val="20"/>
            <w:szCs w:val="20"/>
          </w:rPr>
          <w:t>https://www.longtermplan.nhs.uk/wp-content/uploads/2019/01/nhs-long-term-plan.pdf (2019</w:t>
        </w:r>
      </w:hyperlink>
      <w:r>
        <w:rPr>
          <w:rFonts w:asciiTheme="minorHAnsi" w:hAnsiTheme="minorHAnsi" w:cstheme="minorHAnsi"/>
          <w:sz w:val="20"/>
          <w:szCs w:val="20"/>
        </w:rPr>
        <w:t>, accessed, 12 February 2019).</w:t>
      </w:r>
    </w:p>
    <w:p w:rsidR="0054435B" w:rsidRPr="004F32E9" w:rsidRDefault="0054435B" w:rsidP="002D38D6">
      <w:pPr>
        <w:spacing w:before="100" w:beforeAutospacing="1" w:line="240" w:lineRule="auto"/>
        <w:rPr>
          <w:rFonts w:asciiTheme="minorHAnsi" w:hAnsiTheme="minorHAnsi" w:cstheme="minorHAnsi"/>
          <w:sz w:val="20"/>
          <w:szCs w:val="20"/>
        </w:rPr>
      </w:pPr>
      <w:r w:rsidRPr="002D38D6">
        <w:rPr>
          <w:rFonts w:asciiTheme="minorHAnsi" w:hAnsiTheme="minorHAnsi" w:cstheme="minorHAnsi"/>
          <w:sz w:val="24"/>
          <w:szCs w:val="24"/>
          <w:vertAlign w:val="superscript"/>
        </w:rPr>
        <w:t>22</w:t>
      </w:r>
      <w:r>
        <w:rPr>
          <w:rFonts w:asciiTheme="minorHAnsi" w:hAnsiTheme="minorHAnsi" w:cstheme="minorHAnsi"/>
          <w:sz w:val="20"/>
          <w:szCs w:val="20"/>
        </w:rPr>
        <w:t xml:space="preserve"> </w:t>
      </w:r>
      <w:r w:rsidRPr="004F32E9">
        <w:rPr>
          <w:rFonts w:asciiTheme="minorHAnsi" w:hAnsiTheme="minorHAnsi" w:cstheme="minorHAnsi"/>
          <w:sz w:val="20"/>
          <w:szCs w:val="20"/>
        </w:rPr>
        <w:t>Sabatier A</w:t>
      </w:r>
      <w:r>
        <w:rPr>
          <w:rFonts w:asciiTheme="minorHAnsi" w:hAnsiTheme="minorHAnsi" w:cstheme="minorHAnsi"/>
          <w:sz w:val="20"/>
          <w:szCs w:val="20"/>
        </w:rPr>
        <w:t>.</w:t>
      </w:r>
      <w:r w:rsidRPr="004F32E9">
        <w:rPr>
          <w:rFonts w:asciiTheme="minorHAnsi" w:hAnsiTheme="minorHAnsi" w:cstheme="minorHAnsi"/>
          <w:sz w:val="20"/>
          <w:szCs w:val="20"/>
        </w:rPr>
        <w:t xml:space="preserve"> Top-Down and Bottom-Up Approaches to Implementation Research: a Critical Analysis and Suggested Synthesis</w:t>
      </w:r>
      <w:r w:rsidRPr="004F32E9">
        <w:rPr>
          <w:rFonts w:asciiTheme="minorHAnsi" w:hAnsiTheme="minorHAnsi" w:cstheme="minorHAnsi"/>
          <w:i/>
          <w:sz w:val="20"/>
          <w:szCs w:val="20"/>
        </w:rPr>
        <w:t>. Journal of Public Policy</w:t>
      </w:r>
      <w:r w:rsidRPr="004F32E9">
        <w:rPr>
          <w:rFonts w:asciiTheme="minorHAnsi" w:hAnsiTheme="minorHAnsi" w:cstheme="minorHAnsi"/>
          <w:sz w:val="20"/>
          <w:szCs w:val="20"/>
        </w:rPr>
        <w:t>, 1986</w:t>
      </w:r>
      <w:r>
        <w:rPr>
          <w:rFonts w:asciiTheme="minorHAnsi" w:hAnsiTheme="minorHAnsi" w:cstheme="minorHAnsi"/>
          <w:sz w:val="20"/>
          <w:szCs w:val="20"/>
        </w:rPr>
        <w:t xml:space="preserve">; </w:t>
      </w:r>
      <w:r w:rsidRPr="004F32E9">
        <w:rPr>
          <w:rFonts w:asciiTheme="minorHAnsi" w:hAnsiTheme="minorHAnsi" w:cstheme="minorHAnsi"/>
          <w:sz w:val="20"/>
          <w:szCs w:val="20"/>
        </w:rPr>
        <w:t>6, 1, 21-48.</w:t>
      </w:r>
    </w:p>
    <w:p w:rsidR="0054435B" w:rsidRPr="004F32E9" w:rsidRDefault="0054435B" w:rsidP="002D38D6">
      <w:pPr>
        <w:spacing w:before="100" w:beforeAutospacing="1" w:line="240" w:lineRule="auto"/>
        <w:rPr>
          <w:rFonts w:asciiTheme="minorHAnsi" w:hAnsiTheme="minorHAnsi" w:cstheme="minorHAnsi"/>
          <w:sz w:val="20"/>
          <w:szCs w:val="20"/>
        </w:rPr>
      </w:pPr>
    </w:p>
    <w:p w:rsidR="0054435B" w:rsidRPr="00586540" w:rsidRDefault="0054435B" w:rsidP="00434107">
      <w:pPr>
        <w:pStyle w:val="EndnoteText"/>
        <w:rPr>
          <w:rFonts w:cs="Verdana"/>
          <w:color w:val="000000"/>
        </w:rPr>
      </w:pPr>
    </w:p>
    <w:p w:rsidR="0054435B" w:rsidRDefault="0054435B" w:rsidP="00434107">
      <w:pPr>
        <w:spacing w:before="100" w:beforeAutospacing="1" w:line="240" w:lineRule="auto"/>
        <w:rPr>
          <w:sz w:val="20"/>
          <w:szCs w:val="20"/>
        </w:rPr>
      </w:pPr>
    </w:p>
    <w:p w:rsidR="0054435B" w:rsidRPr="00881326" w:rsidRDefault="0054435B" w:rsidP="00434107">
      <w:pPr>
        <w:rPr>
          <w:sz w:val="20"/>
          <w:szCs w:val="20"/>
        </w:rPr>
      </w:pPr>
    </w:p>
    <w:p w:rsidR="0054435B" w:rsidRPr="00B4707A" w:rsidRDefault="0054435B" w:rsidP="006B64DE">
      <w:pPr>
        <w:spacing w:before="100" w:beforeAutospacing="1" w:line="240" w:lineRule="auto"/>
        <w:rPr>
          <w:rFonts w:asciiTheme="minorHAnsi" w:hAnsiTheme="minorHAnsi" w:cstheme="minorHAnsi"/>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9657"/>
      <w:docPartObj>
        <w:docPartGallery w:val="Page Numbers (Bottom of Page)"/>
        <w:docPartUnique/>
      </w:docPartObj>
    </w:sdtPr>
    <w:sdtEndPr/>
    <w:sdtContent>
      <w:p w:rsidR="0054435B" w:rsidRDefault="00871100">
        <w:pPr>
          <w:pStyle w:val="Footer"/>
          <w:jc w:val="center"/>
        </w:pPr>
        <w:r>
          <w:fldChar w:fldCharType="begin"/>
        </w:r>
        <w:r>
          <w:instrText xml:space="preserve"> PAGE   \* MERGEFORMAT </w:instrText>
        </w:r>
        <w:r>
          <w:fldChar w:fldCharType="separate"/>
        </w:r>
        <w:r w:rsidR="00C16677">
          <w:rPr>
            <w:noProof/>
          </w:rPr>
          <w:t>12</w:t>
        </w:r>
        <w:r>
          <w:rPr>
            <w:noProof/>
          </w:rPr>
          <w:fldChar w:fldCharType="end"/>
        </w:r>
      </w:p>
    </w:sdtContent>
  </w:sdt>
  <w:p w:rsidR="0054435B" w:rsidRDefault="0054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8C3" w:rsidRDefault="005768C3" w:rsidP="006B64DE">
      <w:pPr>
        <w:spacing w:after="0" w:line="240" w:lineRule="auto"/>
      </w:pPr>
      <w:r>
        <w:separator/>
      </w:r>
    </w:p>
  </w:footnote>
  <w:footnote w:type="continuationSeparator" w:id="0">
    <w:p w:rsidR="005768C3" w:rsidRDefault="005768C3" w:rsidP="006B6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374"/>
    <w:multiLevelType w:val="hybridMultilevel"/>
    <w:tmpl w:val="5C742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149B6"/>
    <w:multiLevelType w:val="hybridMultilevel"/>
    <w:tmpl w:val="7834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970D7"/>
    <w:multiLevelType w:val="hybridMultilevel"/>
    <w:tmpl w:val="7C6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41D95"/>
    <w:multiLevelType w:val="hybridMultilevel"/>
    <w:tmpl w:val="4904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DE"/>
    <w:rsid w:val="00005DC5"/>
    <w:rsid w:val="0001238D"/>
    <w:rsid w:val="00033130"/>
    <w:rsid w:val="0004125C"/>
    <w:rsid w:val="0004300C"/>
    <w:rsid w:val="000443C0"/>
    <w:rsid w:val="00066ECA"/>
    <w:rsid w:val="000705C1"/>
    <w:rsid w:val="000834A8"/>
    <w:rsid w:val="00093435"/>
    <w:rsid w:val="000963C4"/>
    <w:rsid w:val="000B086C"/>
    <w:rsid w:val="000B1375"/>
    <w:rsid w:val="000C1415"/>
    <w:rsid w:val="000C2811"/>
    <w:rsid w:val="000C371F"/>
    <w:rsid w:val="000F7216"/>
    <w:rsid w:val="00113638"/>
    <w:rsid w:val="0011562D"/>
    <w:rsid w:val="00123253"/>
    <w:rsid w:val="00133D1C"/>
    <w:rsid w:val="00140C60"/>
    <w:rsid w:val="00166B36"/>
    <w:rsid w:val="00186CE6"/>
    <w:rsid w:val="00187382"/>
    <w:rsid w:val="001B11EB"/>
    <w:rsid w:val="001B7CAF"/>
    <w:rsid w:val="001C1F26"/>
    <w:rsid w:val="0020625B"/>
    <w:rsid w:val="002214A2"/>
    <w:rsid w:val="00227D27"/>
    <w:rsid w:val="002712EC"/>
    <w:rsid w:val="002A224F"/>
    <w:rsid w:val="002B2793"/>
    <w:rsid w:val="002C716D"/>
    <w:rsid w:val="002D36D4"/>
    <w:rsid w:val="002D38D6"/>
    <w:rsid w:val="002E08C4"/>
    <w:rsid w:val="00300C59"/>
    <w:rsid w:val="00310F8B"/>
    <w:rsid w:val="00360A83"/>
    <w:rsid w:val="003631AF"/>
    <w:rsid w:val="003B0E56"/>
    <w:rsid w:val="003C2AA3"/>
    <w:rsid w:val="003F3397"/>
    <w:rsid w:val="00423A79"/>
    <w:rsid w:val="00430FD7"/>
    <w:rsid w:val="004315ED"/>
    <w:rsid w:val="00434107"/>
    <w:rsid w:val="00435B79"/>
    <w:rsid w:val="004437AB"/>
    <w:rsid w:val="00453783"/>
    <w:rsid w:val="004676A0"/>
    <w:rsid w:val="00480835"/>
    <w:rsid w:val="00490EA5"/>
    <w:rsid w:val="004A56E9"/>
    <w:rsid w:val="004A741F"/>
    <w:rsid w:val="004B342C"/>
    <w:rsid w:val="004C032F"/>
    <w:rsid w:val="004C78AF"/>
    <w:rsid w:val="004E537D"/>
    <w:rsid w:val="004F389C"/>
    <w:rsid w:val="005105C3"/>
    <w:rsid w:val="0052441C"/>
    <w:rsid w:val="0054435B"/>
    <w:rsid w:val="005451C1"/>
    <w:rsid w:val="00546207"/>
    <w:rsid w:val="00554275"/>
    <w:rsid w:val="005768C3"/>
    <w:rsid w:val="00581656"/>
    <w:rsid w:val="00586540"/>
    <w:rsid w:val="0060319D"/>
    <w:rsid w:val="00637CA4"/>
    <w:rsid w:val="006808F0"/>
    <w:rsid w:val="006B3F16"/>
    <w:rsid w:val="006B64DE"/>
    <w:rsid w:val="006C4B83"/>
    <w:rsid w:val="006C5D61"/>
    <w:rsid w:val="006E2BAE"/>
    <w:rsid w:val="0070418C"/>
    <w:rsid w:val="00712092"/>
    <w:rsid w:val="00725317"/>
    <w:rsid w:val="007650E1"/>
    <w:rsid w:val="00766A50"/>
    <w:rsid w:val="00777AB2"/>
    <w:rsid w:val="0078212C"/>
    <w:rsid w:val="007920DF"/>
    <w:rsid w:val="007967A8"/>
    <w:rsid w:val="007E5903"/>
    <w:rsid w:val="007F5091"/>
    <w:rsid w:val="00843632"/>
    <w:rsid w:val="00844DC9"/>
    <w:rsid w:val="00847843"/>
    <w:rsid w:val="00856FBA"/>
    <w:rsid w:val="00863295"/>
    <w:rsid w:val="00871100"/>
    <w:rsid w:val="008829BA"/>
    <w:rsid w:val="00884A26"/>
    <w:rsid w:val="008A63F9"/>
    <w:rsid w:val="008D2B2D"/>
    <w:rsid w:val="008D6939"/>
    <w:rsid w:val="008E3815"/>
    <w:rsid w:val="008E6C9E"/>
    <w:rsid w:val="008E7DB2"/>
    <w:rsid w:val="00906623"/>
    <w:rsid w:val="009152F0"/>
    <w:rsid w:val="0091535C"/>
    <w:rsid w:val="00916CA3"/>
    <w:rsid w:val="009602AB"/>
    <w:rsid w:val="0099738D"/>
    <w:rsid w:val="009B07FA"/>
    <w:rsid w:val="009E2867"/>
    <w:rsid w:val="00A13692"/>
    <w:rsid w:val="00A46953"/>
    <w:rsid w:val="00A649AC"/>
    <w:rsid w:val="00A73DC5"/>
    <w:rsid w:val="00A76D1A"/>
    <w:rsid w:val="00A81509"/>
    <w:rsid w:val="00A84BFB"/>
    <w:rsid w:val="00A92F8A"/>
    <w:rsid w:val="00AA7D72"/>
    <w:rsid w:val="00AB2962"/>
    <w:rsid w:val="00AB6CA1"/>
    <w:rsid w:val="00AC6F25"/>
    <w:rsid w:val="00AD7F74"/>
    <w:rsid w:val="00AF5BD0"/>
    <w:rsid w:val="00B07ADE"/>
    <w:rsid w:val="00B07F51"/>
    <w:rsid w:val="00B16ABE"/>
    <w:rsid w:val="00B33FCF"/>
    <w:rsid w:val="00B35BAB"/>
    <w:rsid w:val="00B75E63"/>
    <w:rsid w:val="00B86FBD"/>
    <w:rsid w:val="00B9741D"/>
    <w:rsid w:val="00BB0C99"/>
    <w:rsid w:val="00BC2EB5"/>
    <w:rsid w:val="00BD748A"/>
    <w:rsid w:val="00BF4F48"/>
    <w:rsid w:val="00BF529D"/>
    <w:rsid w:val="00C01B49"/>
    <w:rsid w:val="00C021D7"/>
    <w:rsid w:val="00C057A6"/>
    <w:rsid w:val="00C066F4"/>
    <w:rsid w:val="00C16677"/>
    <w:rsid w:val="00C17F79"/>
    <w:rsid w:val="00C211FA"/>
    <w:rsid w:val="00C21E48"/>
    <w:rsid w:val="00C37254"/>
    <w:rsid w:val="00C431B9"/>
    <w:rsid w:val="00C4617A"/>
    <w:rsid w:val="00C5598D"/>
    <w:rsid w:val="00C56767"/>
    <w:rsid w:val="00C65841"/>
    <w:rsid w:val="00C73502"/>
    <w:rsid w:val="00C80C9C"/>
    <w:rsid w:val="00C871F5"/>
    <w:rsid w:val="00CA4902"/>
    <w:rsid w:val="00CD6C2D"/>
    <w:rsid w:val="00CF3093"/>
    <w:rsid w:val="00D372C6"/>
    <w:rsid w:val="00D457AE"/>
    <w:rsid w:val="00D50D9C"/>
    <w:rsid w:val="00D52C1B"/>
    <w:rsid w:val="00D65C89"/>
    <w:rsid w:val="00D82849"/>
    <w:rsid w:val="00D85040"/>
    <w:rsid w:val="00D9019B"/>
    <w:rsid w:val="00D93C14"/>
    <w:rsid w:val="00DE4F39"/>
    <w:rsid w:val="00DE5DD3"/>
    <w:rsid w:val="00E10D7D"/>
    <w:rsid w:val="00E14C05"/>
    <w:rsid w:val="00E217E1"/>
    <w:rsid w:val="00E21DC3"/>
    <w:rsid w:val="00E43897"/>
    <w:rsid w:val="00E53F99"/>
    <w:rsid w:val="00E630AE"/>
    <w:rsid w:val="00E66B6D"/>
    <w:rsid w:val="00E90CC3"/>
    <w:rsid w:val="00EB4318"/>
    <w:rsid w:val="00ED58A0"/>
    <w:rsid w:val="00EE11BB"/>
    <w:rsid w:val="00F046D3"/>
    <w:rsid w:val="00F410DC"/>
    <w:rsid w:val="00FA140C"/>
    <w:rsid w:val="00FC6A7B"/>
    <w:rsid w:val="00FF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9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4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4DE"/>
    <w:pPr>
      <w:spacing w:after="200" w:afterAutospacing="0"/>
      <w:ind w:left="720"/>
      <w:contextualSpacing/>
    </w:pPr>
  </w:style>
  <w:style w:type="character" w:styleId="Hyperlink">
    <w:name w:val="Hyperlink"/>
    <w:basedOn w:val="DefaultParagraphFont"/>
    <w:uiPriority w:val="99"/>
    <w:unhideWhenUsed/>
    <w:rsid w:val="006B64DE"/>
    <w:rPr>
      <w:color w:val="0000FF" w:themeColor="hyperlink"/>
      <w:u w:val="single"/>
    </w:rPr>
  </w:style>
  <w:style w:type="character" w:styleId="Emphasis">
    <w:name w:val="Emphasis"/>
    <w:basedOn w:val="DefaultParagraphFont"/>
    <w:uiPriority w:val="20"/>
    <w:qFormat/>
    <w:rsid w:val="006B64DE"/>
    <w:rPr>
      <w:i/>
      <w:iCs/>
    </w:rPr>
  </w:style>
  <w:style w:type="paragraph" w:styleId="Header">
    <w:name w:val="header"/>
    <w:basedOn w:val="Normal"/>
    <w:link w:val="HeaderChar"/>
    <w:uiPriority w:val="99"/>
    <w:unhideWhenUsed/>
    <w:rsid w:val="006B6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DE"/>
    <w:rPr>
      <w:rFonts w:ascii="Calibri" w:eastAsia="Calibri" w:hAnsi="Calibri" w:cs="Times New Roman"/>
    </w:rPr>
  </w:style>
  <w:style w:type="paragraph" w:styleId="Footer">
    <w:name w:val="footer"/>
    <w:basedOn w:val="Normal"/>
    <w:link w:val="FooterChar"/>
    <w:uiPriority w:val="99"/>
    <w:unhideWhenUsed/>
    <w:rsid w:val="006B6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DE"/>
    <w:rPr>
      <w:rFonts w:ascii="Calibri" w:eastAsia="Calibri" w:hAnsi="Calibri" w:cs="Times New Roman"/>
    </w:rPr>
  </w:style>
  <w:style w:type="paragraph" w:styleId="EndnoteText">
    <w:name w:val="endnote text"/>
    <w:basedOn w:val="Normal"/>
    <w:link w:val="EndnoteTextChar"/>
    <w:uiPriority w:val="99"/>
    <w:unhideWhenUsed/>
    <w:rsid w:val="006B64DE"/>
    <w:pPr>
      <w:spacing w:after="0" w:line="240" w:lineRule="auto"/>
    </w:pPr>
    <w:rPr>
      <w:sz w:val="20"/>
      <w:szCs w:val="20"/>
    </w:rPr>
  </w:style>
  <w:style w:type="character" w:customStyle="1" w:styleId="EndnoteTextChar">
    <w:name w:val="Endnote Text Char"/>
    <w:basedOn w:val="DefaultParagraphFont"/>
    <w:link w:val="EndnoteText"/>
    <w:uiPriority w:val="99"/>
    <w:rsid w:val="006B64D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B64DE"/>
    <w:rPr>
      <w:vertAlign w:val="superscript"/>
    </w:rPr>
  </w:style>
  <w:style w:type="paragraph" w:styleId="BalloonText">
    <w:name w:val="Balloon Text"/>
    <w:basedOn w:val="Normal"/>
    <w:link w:val="BalloonTextChar"/>
    <w:uiPriority w:val="99"/>
    <w:semiHidden/>
    <w:unhideWhenUsed/>
    <w:rsid w:val="002A2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24F"/>
    <w:rPr>
      <w:rFonts w:ascii="Tahoma" w:eastAsia="Calibri" w:hAnsi="Tahoma" w:cs="Tahoma"/>
      <w:sz w:val="16"/>
      <w:szCs w:val="16"/>
    </w:rPr>
  </w:style>
  <w:style w:type="character" w:styleId="CommentReference">
    <w:name w:val="annotation reference"/>
    <w:basedOn w:val="DefaultParagraphFont"/>
    <w:uiPriority w:val="99"/>
    <w:semiHidden/>
    <w:unhideWhenUsed/>
    <w:rsid w:val="0011562D"/>
    <w:rPr>
      <w:sz w:val="16"/>
      <w:szCs w:val="16"/>
    </w:rPr>
  </w:style>
  <w:style w:type="paragraph" w:styleId="CommentText">
    <w:name w:val="annotation text"/>
    <w:basedOn w:val="Normal"/>
    <w:link w:val="CommentTextChar"/>
    <w:uiPriority w:val="99"/>
    <w:semiHidden/>
    <w:unhideWhenUsed/>
    <w:rsid w:val="0011562D"/>
    <w:pPr>
      <w:spacing w:line="240" w:lineRule="auto"/>
    </w:pPr>
    <w:rPr>
      <w:sz w:val="20"/>
      <w:szCs w:val="20"/>
    </w:rPr>
  </w:style>
  <w:style w:type="character" w:customStyle="1" w:styleId="CommentTextChar">
    <w:name w:val="Comment Text Char"/>
    <w:basedOn w:val="DefaultParagraphFont"/>
    <w:link w:val="CommentText"/>
    <w:uiPriority w:val="99"/>
    <w:semiHidden/>
    <w:rsid w:val="0011562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562D"/>
    <w:rPr>
      <w:b/>
      <w:bCs/>
    </w:rPr>
  </w:style>
  <w:style w:type="character" w:customStyle="1" w:styleId="CommentSubjectChar">
    <w:name w:val="Comment Subject Char"/>
    <w:basedOn w:val="CommentTextChar"/>
    <w:link w:val="CommentSubject"/>
    <w:uiPriority w:val="99"/>
    <w:semiHidden/>
    <w:rsid w:val="0011562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3147">
      <w:bodyDiv w:val="1"/>
      <w:marLeft w:val="0"/>
      <w:marRight w:val="0"/>
      <w:marTop w:val="0"/>
      <w:marBottom w:val="0"/>
      <w:divBdr>
        <w:top w:val="none" w:sz="0" w:space="0" w:color="auto"/>
        <w:left w:val="none" w:sz="0" w:space="0" w:color="auto"/>
        <w:bottom w:val="none" w:sz="0" w:space="0" w:color="auto"/>
        <w:right w:val="none" w:sz="0" w:space="0" w:color="auto"/>
      </w:divBdr>
      <w:divsChild>
        <w:div w:id="177296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ukpolicymatters.thelancet.com/policy-summary-transfer-of-local-public-health-functions-from-the-nhs-to-local-authorities/" TargetMode="External"/><Relationship Id="rId2" Type="http://schemas.openxmlformats.org/officeDocument/2006/relationships/hyperlink" Target="http://www.legislation.gov.uk/ukpga/2012/7/contents/enacted%20(2012" TargetMode="External"/><Relationship Id="rId1" Type="http://schemas.openxmlformats.org/officeDocument/2006/relationships/hyperlink" Target="https://www.quora.com/Did-Einstein-really-define-insanity-as-doing-the-same-thing-over-and-over-again-and-expecting-different-results" TargetMode="External"/><Relationship Id="rId4" Type="http://schemas.openxmlformats.org/officeDocument/2006/relationships/hyperlink" Target="https://www.longtermplan.nhs.uk/wp-content/uploads/2019/01/nhs-long-term-plan.pdf%2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F154A-1E3F-437C-9511-6922F9D0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2019-06-10T11:26:00Z</dcterms:created>
  <dcterms:modified xsi:type="dcterms:W3CDTF">2019-06-10T11:50:00Z</dcterms:modified>
</cp:coreProperties>
</file>