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64315" w14:textId="5DD2546A" w:rsidR="00E8184E" w:rsidRPr="00F413DB" w:rsidRDefault="00E8184E" w:rsidP="00C94A7B">
      <w:pPr>
        <w:spacing w:line="480" w:lineRule="auto"/>
        <w:rPr>
          <w:rFonts w:ascii="Times New Roman" w:hAnsi="Times New Roman" w:cs="Times New Roman"/>
          <w:b/>
          <w:bCs w:val="0"/>
          <w:szCs w:val="24"/>
          <w:lang w:val="en-GB"/>
        </w:rPr>
      </w:pPr>
      <w:r w:rsidRPr="00F413DB">
        <w:rPr>
          <w:rFonts w:ascii="Times New Roman" w:hAnsi="Times New Roman" w:cs="Times New Roman"/>
          <w:b/>
          <w:bCs w:val="0"/>
          <w:szCs w:val="24"/>
          <w:lang w:val="en-GB"/>
        </w:rPr>
        <w:t xml:space="preserve">Predictors of </w:t>
      </w:r>
      <w:r w:rsidR="005559DE" w:rsidRPr="00F413DB">
        <w:rPr>
          <w:rFonts w:ascii="Times New Roman" w:hAnsi="Times New Roman" w:cs="Times New Roman"/>
          <w:b/>
          <w:bCs w:val="0"/>
          <w:szCs w:val="24"/>
          <w:lang w:val="en-GB"/>
        </w:rPr>
        <w:t>recurrent sev</w:t>
      </w:r>
      <w:r w:rsidR="00E60F34" w:rsidRPr="00F413DB">
        <w:rPr>
          <w:rFonts w:ascii="Times New Roman" w:hAnsi="Times New Roman" w:cs="Times New Roman"/>
          <w:b/>
          <w:bCs w:val="0"/>
          <w:szCs w:val="24"/>
          <w:lang w:val="en-GB"/>
        </w:rPr>
        <w:t xml:space="preserve">ere </w:t>
      </w:r>
      <w:proofErr w:type="spellStart"/>
      <w:r w:rsidR="00E60F34" w:rsidRPr="00F413DB">
        <w:rPr>
          <w:rFonts w:ascii="Times New Roman" w:hAnsi="Times New Roman" w:cs="Times New Roman"/>
          <w:b/>
          <w:bCs w:val="0"/>
          <w:szCs w:val="24"/>
          <w:lang w:val="en-GB"/>
        </w:rPr>
        <w:t>hypoglyc</w:t>
      </w:r>
      <w:r w:rsidRPr="00F413DB">
        <w:rPr>
          <w:rFonts w:ascii="Times New Roman" w:hAnsi="Times New Roman" w:cs="Times New Roman"/>
          <w:b/>
          <w:bCs w:val="0"/>
          <w:szCs w:val="24"/>
          <w:lang w:val="en-GB"/>
        </w:rPr>
        <w:t>emia</w:t>
      </w:r>
      <w:proofErr w:type="spellEnd"/>
      <w:r w:rsidRPr="00F413DB">
        <w:rPr>
          <w:rFonts w:ascii="Times New Roman" w:hAnsi="Times New Roman" w:cs="Times New Roman"/>
          <w:b/>
          <w:bCs w:val="0"/>
          <w:szCs w:val="24"/>
          <w:lang w:val="en-GB"/>
        </w:rPr>
        <w:t xml:space="preserve"> in adults with type 1 diabetes and</w:t>
      </w:r>
      <w:r w:rsidR="00E60F34" w:rsidRPr="00F413DB">
        <w:rPr>
          <w:rFonts w:ascii="Times New Roman" w:hAnsi="Times New Roman" w:cs="Times New Roman"/>
          <w:b/>
          <w:bCs w:val="0"/>
          <w:szCs w:val="24"/>
          <w:lang w:val="en-GB"/>
        </w:rPr>
        <w:t xml:space="preserve"> impaired awareness of </w:t>
      </w:r>
      <w:proofErr w:type="spellStart"/>
      <w:r w:rsidR="00E60F34" w:rsidRPr="00F413DB">
        <w:rPr>
          <w:rFonts w:ascii="Times New Roman" w:hAnsi="Times New Roman" w:cs="Times New Roman"/>
          <w:b/>
          <w:bCs w:val="0"/>
          <w:szCs w:val="24"/>
          <w:lang w:val="en-GB"/>
        </w:rPr>
        <w:t>hypoglyc</w:t>
      </w:r>
      <w:r w:rsidRPr="00F413DB">
        <w:rPr>
          <w:rFonts w:ascii="Times New Roman" w:hAnsi="Times New Roman" w:cs="Times New Roman"/>
          <w:b/>
          <w:bCs w:val="0"/>
          <w:szCs w:val="24"/>
          <w:lang w:val="en-GB"/>
        </w:rPr>
        <w:t>emia</w:t>
      </w:r>
      <w:proofErr w:type="spellEnd"/>
      <w:r w:rsidR="004D5C00" w:rsidRPr="004D5C00">
        <w:rPr>
          <w:rFonts w:ascii="Times New Roman" w:hAnsi="Times New Roman" w:cs="Times New Roman"/>
          <w:b/>
          <w:bCs w:val="0"/>
          <w:szCs w:val="24"/>
          <w:lang w:val="en-GB"/>
        </w:rPr>
        <w:t xml:space="preserve"> </w:t>
      </w:r>
      <w:r w:rsidR="004D5C00" w:rsidRPr="00F413DB">
        <w:rPr>
          <w:rFonts w:ascii="Times New Roman" w:hAnsi="Times New Roman" w:cs="Times New Roman"/>
          <w:b/>
          <w:bCs w:val="0"/>
          <w:szCs w:val="24"/>
          <w:lang w:val="en-GB"/>
        </w:rPr>
        <w:t xml:space="preserve">during the </w:t>
      </w:r>
      <w:proofErr w:type="spellStart"/>
      <w:r w:rsidR="004D5C00" w:rsidRPr="00F413DB">
        <w:rPr>
          <w:rFonts w:ascii="Times New Roman" w:hAnsi="Times New Roman" w:cs="Times New Roman"/>
          <w:b/>
          <w:bCs w:val="0"/>
          <w:szCs w:val="24"/>
          <w:lang w:val="en-GB"/>
        </w:rPr>
        <w:t>HypoCOMPaSS</w:t>
      </w:r>
      <w:proofErr w:type="spellEnd"/>
      <w:r w:rsidR="004D5C00" w:rsidRPr="00F413DB">
        <w:rPr>
          <w:rFonts w:ascii="Times New Roman" w:hAnsi="Times New Roman" w:cs="Times New Roman"/>
          <w:b/>
          <w:bCs w:val="0"/>
          <w:szCs w:val="24"/>
          <w:lang w:val="en-GB"/>
        </w:rPr>
        <w:t xml:space="preserve"> study</w:t>
      </w:r>
    </w:p>
    <w:p w14:paraId="60FD82BB" w14:textId="309240E3" w:rsidR="005A751D" w:rsidRPr="00F413DB" w:rsidRDefault="00E8184E" w:rsidP="00C94A7B">
      <w:pPr>
        <w:spacing w:line="480" w:lineRule="auto"/>
        <w:rPr>
          <w:rFonts w:ascii="Times New Roman" w:hAnsi="Times New Roman" w:cs="Times New Roman"/>
          <w:bCs w:val="0"/>
          <w:szCs w:val="24"/>
          <w:lang w:val="en-GB"/>
        </w:rPr>
      </w:pPr>
      <w:r w:rsidRPr="00F413DB">
        <w:rPr>
          <w:rFonts w:ascii="Times New Roman" w:hAnsi="Times New Roman" w:cs="Times New Roman"/>
          <w:b/>
          <w:bCs w:val="0"/>
          <w:szCs w:val="24"/>
          <w:lang w:val="en-GB"/>
        </w:rPr>
        <w:t>R</w:t>
      </w:r>
      <w:r w:rsidR="00FB4DB9" w:rsidRPr="00F413DB">
        <w:rPr>
          <w:rFonts w:ascii="Times New Roman" w:hAnsi="Times New Roman" w:cs="Times New Roman"/>
          <w:b/>
          <w:bCs w:val="0"/>
          <w:szCs w:val="24"/>
          <w:lang w:val="en-GB"/>
        </w:rPr>
        <w:t>unning title:</w:t>
      </w:r>
      <w:r w:rsidR="00FB4DB9" w:rsidRPr="00F413DB">
        <w:rPr>
          <w:rFonts w:ascii="Times New Roman" w:hAnsi="Times New Roman" w:cs="Times New Roman"/>
          <w:bCs w:val="0"/>
          <w:szCs w:val="24"/>
          <w:lang w:val="en-GB"/>
        </w:rPr>
        <w:t xml:space="preserve"> </w:t>
      </w:r>
      <w:r w:rsidR="000602E5" w:rsidRPr="00F413DB">
        <w:rPr>
          <w:rFonts w:ascii="Times New Roman" w:hAnsi="Times New Roman" w:cs="Times New Roman"/>
          <w:bCs w:val="0"/>
          <w:szCs w:val="24"/>
          <w:lang w:val="en-GB"/>
        </w:rPr>
        <w:t>R</w:t>
      </w:r>
      <w:r w:rsidR="005559DE" w:rsidRPr="00F413DB">
        <w:rPr>
          <w:rFonts w:ascii="Times New Roman" w:hAnsi="Times New Roman" w:cs="Times New Roman"/>
          <w:bCs w:val="0"/>
          <w:szCs w:val="24"/>
          <w:lang w:val="en-GB"/>
        </w:rPr>
        <w:t xml:space="preserve">ecurrent severe </w:t>
      </w:r>
      <w:proofErr w:type="spellStart"/>
      <w:r w:rsidR="00E60F34" w:rsidRPr="00F413DB">
        <w:rPr>
          <w:rFonts w:ascii="Times New Roman" w:hAnsi="Times New Roman" w:cs="Times New Roman"/>
          <w:bCs w:val="0"/>
          <w:szCs w:val="24"/>
          <w:lang w:val="en-GB"/>
        </w:rPr>
        <w:t>hypoglyc</w:t>
      </w:r>
      <w:r w:rsidR="005559DE" w:rsidRPr="00F413DB">
        <w:rPr>
          <w:rFonts w:ascii="Times New Roman" w:hAnsi="Times New Roman" w:cs="Times New Roman"/>
          <w:bCs w:val="0"/>
          <w:szCs w:val="24"/>
          <w:lang w:val="en-GB"/>
        </w:rPr>
        <w:t>emia</w:t>
      </w:r>
      <w:proofErr w:type="spellEnd"/>
      <w:r w:rsidR="005559DE" w:rsidRPr="00F413DB">
        <w:rPr>
          <w:rFonts w:ascii="Times New Roman" w:hAnsi="Times New Roman" w:cs="Times New Roman"/>
          <w:bCs w:val="0"/>
          <w:szCs w:val="24"/>
          <w:lang w:val="en-GB"/>
        </w:rPr>
        <w:t xml:space="preserve"> in </w:t>
      </w:r>
      <w:proofErr w:type="spellStart"/>
      <w:r w:rsidR="005559DE" w:rsidRPr="00F413DB">
        <w:rPr>
          <w:rFonts w:ascii="Times New Roman" w:hAnsi="Times New Roman" w:cs="Times New Roman"/>
          <w:bCs w:val="0"/>
          <w:szCs w:val="24"/>
          <w:lang w:val="en-GB"/>
        </w:rPr>
        <w:t>H</w:t>
      </w:r>
      <w:r w:rsidRPr="00F413DB">
        <w:rPr>
          <w:rFonts w:ascii="Times New Roman" w:hAnsi="Times New Roman" w:cs="Times New Roman"/>
          <w:bCs w:val="0"/>
          <w:szCs w:val="24"/>
          <w:lang w:val="en-GB"/>
        </w:rPr>
        <w:t>ypoCOMPaSS</w:t>
      </w:r>
      <w:proofErr w:type="spellEnd"/>
    </w:p>
    <w:p w14:paraId="5ABD3790" w14:textId="1430A72A" w:rsidR="00772D69" w:rsidRPr="00F413DB" w:rsidRDefault="004977F7" w:rsidP="00363CDB">
      <w:pPr>
        <w:spacing w:line="480" w:lineRule="auto"/>
        <w:outlineLvl w:val="0"/>
        <w:rPr>
          <w:rFonts w:ascii="Times New Roman" w:hAnsi="Times New Roman" w:cs="Times New Roman"/>
          <w:b/>
          <w:bCs w:val="0"/>
          <w:szCs w:val="24"/>
          <w:lang w:val="en-GB"/>
        </w:rPr>
      </w:pPr>
      <w:r w:rsidRPr="00F413DB">
        <w:rPr>
          <w:rFonts w:ascii="Times New Roman" w:hAnsi="Times New Roman" w:cs="Times New Roman"/>
          <w:b/>
          <w:bCs w:val="0"/>
          <w:szCs w:val="24"/>
          <w:lang w:val="en-GB"/>
        </w:rPr>
        <w:t>Authors</w:t>
      </w:r>
    </w:p>
    <w:p w14:paraId="758BF259" w14:textId="53B75C90" w:rsidR="00DD5354" w:rsidRDefault="004977F7" w:rsidP="00C94A7B">
      <w:pPr>
        <w:spacing w:line="480" w:lineRule="auto"/>
        <w:rPr>
          <w:rFonts w:ascii="Times New Roman" w:hAnsi="Times New Roman" w:cs="Times New Roman"/>
          <w:bCs w:val="0"/>
          <w:szCs w:val="24"/>
          <w:lang w:val="en-GB"/>
        </w:rPr>
      </w:pPr>
      <w:r w:rsidRPr="00F413DB">
        <w:rPr>
          <w:rFonts w:ascii="Times New Roman" w:hAnsi="Times New Roman" w:cs="Times New Roman"/>
          <w:bCs w:val="0"/>
          <w:szCs w:val="24"/>
          <w:lang w:val="en-GB"/>
        </w:rPr>
        <w:t>Anneliese JS Flatt</w:t>
      </w:r>
      <w:r w:rsidR="00846B9C" w:rsidRPr="00F413DB">
        <w:rPr>
          <w:rFonts w:ascii="Times New Roman" w:hAnsi="Times New Roman" w:cs="Times New Roman"/>
          <w:bCs w:val="0"/>
          <w:szCs w:val="24"/>
          <w:lang w:val="en-GB"/>
        </w:rPr>
        <w:t xml:space="preserve"> MB</w:t>
      </w:r>
      <w:r w:rsidR="00070261" w:rsidRPr="00F413DB">
        <w:rPr>
          <w:rFonts w:ascii="Times New Roman" w:hAnsi="Times New Roman" w:cs="Times New Roman"/>
          <w:bCs w:val="0"/>
          <w:szCs w:val="24"/>
          <w:lang w:val="en-GB"/>
        </w:rPr>
        <w:t xml:space="preserve"> </w:t>
      </w:r>
      <w:r w:rsidR="003A47BB" w:rsidRPr="00F413DB">
        <w:rPr>
          <w:rFonts w:ascii="Times New Roman" w:hAnsi="Times New Roman" w:cs="Times New Roman"/>
          <w:bCs w:val="0"/>
          <w:szCs w:val="24"/>
          <w:lang w:val="en-GB"/>
        </w:rPr>
        <w:t>BC</w:t>
      </w:r>
      <w:r w:rsidR="00FB4DB9" w:rsidRPr="00F413DB">
        <w:rPr>
          <w:rFonts w:ascii="Times New Roman" w:hAnsi="Times New Roman" w:cs="Times New Roman"/>
          <w:bCs w:val="0"/>
          <w:szCs w:val="24"/>
          <w:lang w:val="en-GB"/>
        </w:rPr>
        <w:t>h</w:t>
      </w:r>
      <w:r w:rsidR="00D61D1B" w:rsidRPr="00F413DB">
        <w:rPr>
          <w:rFonts w:ascii="Times New Roman" w:hAnsi="Times New Roman" w:cs="Times New Roman"/>
          <w:bCs w:val="0"/>
          <w:szCs w:val="24"/>
          <w:vertAlign w:val="superscript"/>
          <w:lang w:val="en-GB"/>
        </w:rPr>
        <w:t>1</w:t>
      </w:r>
      <w:r w:rsidR="00070261" w:rsidRPr="00F413DB">
        <w:rPr>
          <w:rFonts w:ascii="Times New Roman" w:hAnsi="Times New Roman" w:cs="Times New Roman"/>
          <w:bCs w:val="0"/>
          <w:szCs w:val="24"/>
          <w:vertAlign w:val="superscript"/>
          <w:lang w:val="en-GB"/>
        </w:rPr>
        <w:t>,2</w:t>
      </w:r>
      <w:r w:rsidRPr="00F413DB">
        <w:rPr>
          <w:rFonts w:ascii="Times New Roman" w:hAnsi="Times New Roman" w:cs="Times New Roman"/>
          <w:bCs w:val="0"/>
          <w:szCs w:val="24"/>
          <w:lang w:val="en-GB"/>
        </w:rPr>
        <w:t xml:space="preserve">, Stuart A Little </w:t>
      </w:r>
      <w:r w:rsidR="00080AC3" w:rsidRPr="00F413DB">
        <w:rPr>
          <w:rFonts w:ascii="Times New Roman" w:hAnsi="Times New Roman" w:cs="Times New Roman"/>
          <w:bCs w:val="0"/>
          <w:szCs w:val="24"/>
          <w:lang w:val="en-GB"/>
        </w:rPr>
        <w:t>MD</w:t>
      </w:r>
      <w:r w:rsidR="00D61D1B" w:rsidRPr="00F413DB">
        <w:rPr>
          <w:rFonts w:ascii="Times New Roman" w:hAnsi="Times New Roman" w:cs="Times New Roman"/>
          <w:bCs w:val="0"/>
          <w:szCs w:val="24"/>
          <w:vertAlign w:val="superscript"/>
          <w:lang w:val="en-GB"/>
        </w:rPr>
        <w:t>1</w:t>
      </w:r>
      <w:r w:rsidR="00070261" w:rsidRPr="00F413DB">
        <w:rPr>
          <w:rFonts w:ascii="Times New Roman" w:hAnsi="Times New Roman" w:cs="Times New Roman"/>
          <w:bCs w:val="0"/>
          <w:szCs w:val="24"/>
          <w:vertAlign w:val="superscript"/>
          <w:lang w:val="en-GB"/>
        </w:rPr>
        <w:t>,2</w:t>
      </w:r>
      <w:r w:rsidRPr="00F413DB">
        <w:rPr>
          <w:rFonts w:ascii="Times New Roman" w:hAnsi="Times New Roman" w:cs="Times New Roman"/>
          <w:bCs w:val="0"/>
          <w:szCs w:val="24"/>
          <w:lang w:val="en-GB"/>
        </w:rPr>
        <w:t xml:space="preserve">, </w:t>
      </w:r>
      <w:r w:rsidR="00FB4DB9" w:rsidRPr="00F413DB">
        <w:rPr>
          <w:rFonts w:ascii="Times New Roman" w:hAnsi="Times New Roman" w:cs="Times New Roman"/>
          <w:bCs w:val="0"/>
          <w:szCs w:val="24"/>
          <w:lang w:val="en-GB"/>
        </w:rPr>
        <w:t>Jane Speight PhD</w:t>
      </w:r>
      <w:r w:rsidR="00070261" w:rsidRPr="00F413DB">
        <w:rPr>
          <w:rFonts w:ascii="Times New Roman" w:hAnsi="Times New Roman" w:cs="Times New Roman"/>
          <w:bCs w:val="0"/>
          <w:szCs w:val="24"/>
          <w:vertAlign w:val="superscript"/>
          <w:lang w:val="en-GB"/>
        </w:rPr>
        <w:t>3</w:t>
      </w:r>
      <w:r w:rsidR="00D61D1B" w:rsidRPr="00F413DB">
        <w:rPr>
          <w:rFonts w:ascii="Times New Roman" w:hAnsi="Times New Roman" w:cs="Times New Roman"/>
          <w:bCs w:val="0"/>
          <w:szCs w:val="24"/>
          <w:vertAlign w:val="superscript"/>
          <w:lang w:val="en-GB"/>
        </w:rPr>
        <w:t>,</w:t>
      </w:r>
      <w:r w:rsidR="00070261" w:rsidRPr="00F413DB">
        <w:rPr>
          <w:rFonts w:ascii="Times New Roman" w:hAnsi="Times New Roman" w:cs="Times New Roman"/>
          <w:bCs w:val="0"/>
          <w:szCs w:val="24"/>
          <w:vertAlign w:val="superscript"/>
          <w:lang w:val="en-GB"/>
        </w:rPr>
        <w:t>4</w:t>
      </w:r>
      <w:r w:rsidR="00D61D1B" w:rsidRPr="00F413DB">
        <w:rPr>
          <w:rFonts w:ascii="Times New Roman" w:hAnsi="Times New Roman" w:cs="Times New Roman"/>
          <w:bCs w:val="0"/>
          <w:szCs w:val="24"/>
          <w:vertAlign w:val="superscript"/>
          <w:lang w:val="en-GB"/>
        </w:rPr>
        <w:t>,</w:t>
      </w:r>
      <w:r w:rsidR="00070261" w:rsidRPr="00F413DB">
        <w:rPr>
          <w:rFonts w:ascii="Times New Roman" w:hAnsi="Times New Roman" w:cs="Times New Roman"/>
          <w:bCs w:val="0"/>
          <w:szCs w:val="24"/>
          <w:vertAlign w:val="superscript"/>
          <w:lang w:val="en-GB"/>
        </w:rPr>
        <w:t>5</w:t>
      </w:r>
      <w:r w:rsidR="00FB4DB9" w:rsidRPr="00F413DB">
        <w:rPr>
          <w:rFonts w:ascii="Times New Roman" w:hAnsi="Times New Roman" w:cs="Times New Roman"/>
          <w:bCs w:val="0"/>
          <w:szCs w:val="24"/>
          <w:lang w:val="en-GB"/>
        </w:rPr>
        <w:t>, Lalantha Leelarathna PhD</w:t>
      </w:r>
      <w:r w:rsidR="00070261" w:rsidRPr="00F413DB">
        <w:rPr>
          <w:rFonts w:ascii="Times New Roman" w:hAnsi="Times New Roman" w:cs="Times New Roman"/>
          <w:bCs w:val="0"/>
          <w:szCs w:val="24"/>
          <w:vertAlign w:val="superscript"/>
          <w:lang w:val="en-GB"/>
        </w:rPr>
        <w:t>6</w:t>
      </w:r>
      <w:r w:rsidR="00FB4DB9" w:rsidRPr="00F413DB">
        <w:rPr>
          <w:rFonts w:ascii="Times New Roman" w:hAnsi="Times New Roman" w:cs="Times New Roman"/>
          <w:bCs w:val="0"/>
          <w:szCs w:val="24"/>
          <w:lang w:val="en-GB"/>
        </w:rPr>
        <w:t>, Emma Walkinshaw MRCP</w:t>
      </w:r>
      <w:r w:rsidR="00070261" w:rsidRPr="00F413DB">
        <w:rPr>
          <w:rFonts w:ascii="Times New Roman" w:hAnsi="Times New Roman" w:cs="Times New Roman"/>
          <w:bCs w:val="0"/>
          <w:szCs w:val="24"/>
          <w:vertAlign w:val="superscript"/>
          <w:lang w:val="en-GB"/>
        </w:rPr>
        <w:t>7</w:t>
      </w:r>
      <w:r w:rsidR="008945C4" w:rsidRPr="00F413DB">
        <w:rPr>
          <w:rFonts w:ascii="Times New Roman" w:hAnsi="Times New Roman" w:cs="Times New Roman"/>
          <w:bCs w:val="0"/>
          <w:szCs w:val="24"/>
          <w:lang w:val="en-GB"/>
        </w:rPr>
        <w:t xml:space="preserve">, </w:t>
      </w:r>
      <w:r w:rsidR="00FB4DB9" w:rsidRPr="00F413DB">
        <w:rPr>
          <w:rFonts w:ascii="Times New Roman" w:hAnsi="Times New Roman" w:cs="Times New Roman"/>
          <w:bCs w:val="0"/>
          <w:szCs w:val="24"/>
          <w:lang w:val="en-GB"/>
        </w:rPr>
        <w:t>Horng Kai Tan MRCP</w:t>
      </w:r>
      <w:r w:rsidR="00070261" w:rsidRPr="00F413DB">
        <w:rPr>
          <w:rFonts w:ascii="Times New Roman" w:hAnsi="Times New Roman" w:cs="Times New Roman"/>
          <w:bCs w:val="0"/>
          <w:szCs w:val="24"/>
          <w:vertAlign w:val="superscript"/>
          <w:lang w:val="en-GB"/>
        </w:rPr>
        <w:t>8</w:t>
      </w:r>
      <w:r w:rsidR="00FB4DB9" w:rsidRPr="00F413DB">
        <w:rPr>
          <w:rFonts w:ascii="Times New Roman" w:hAnsi="Times New Roman" w:cs="Times New Roman"/>
          <w:bCs w:val="0"/>
          <w:szCs w:val="24"/>
          <w:lang w:val="en-GB"/>
        </w:rPr>
        <w:t>, Anita Bowes MSc</w:t>
      </w:r>
      <w:r w:rsidR="00070261" w:rsidRPr="00F413DB">
        <w:rPr>
          <w:rFonts w:ascii="Times New Roman" w:hAnsi="Times New Roman" w:cs="Times New Roman"/>
          <w:bCs w:val="0"/>
          <w:szCs w:val="24"/>
          <w:vertAlign w:val="superscript"/>
          <w:lang w:val="en-GB"/>
        </w:rPr>
        <w:t>9</w:t>
      </w:r>
      <w:r w:rsidR="00FB4DB9" w:rsidRPr="00F413DB">
        <w:rPr>
          <w:rFonts w:ascii="Times New Roman" w:hAnsi="Times New Roman" w:cs="Times New Roman"/>
          <w:bCs w:val="0"/>
          <w:szCs w:val="24"/>
          <w:lang w:val="en-GB"/>
        </w:rPr>
        <w:t>, Alexandra Lubina-Solomon MRCP</w:t>
      </w:r>
      <w:r w:rsidR="00070261" w:rsidRPr="00F413DB">
        <w:rPr>
          <w:rFonts w:ascii="Times New Roman" w:hAnsi="Times New Roman" w:cs="Times New Roman"/>
          <w:bCs w:val="0"/>
          <w:szCs w:val="24"/>
          <w:vertAlign w:val="superscript"/>
          <w:lang w:val="en-GB"/>
        </w:rPr>
        <w:t>7</w:t>
      </w:r>
      <w:r w:rsidR="00FB4DB9" w:rsidRPr="00F413DB">
        <w:rPr>
          <w:rFonts w:ascii="Times New Roman" w:hAnsi="Times New Roman" w:cs="Times New Roman"/>
          <w:bCs w:val="0"/>
          <w:szCs w:val="24"/>
          <w:lang w:val="en-GB"/>
        </w:rPr>
        <w:t xml:space="preserve">, </w:t>
      </w:r>
      <w:r w:rsidR="003D23BF" w:rsidRPr="003D23BF">
        <w:rPr>
          <w:rFonts w:ascii="Times New Roman" w:hAnsi="Times New Roman" w:cs="Times New Roman"/>
          <w:bCs w:val="0"/>
          <w:szCs w:val="24"/>
          <w:lang w:val="en-GB"/>
        </w:rPr>
        <w:t>Elizabeth Holmes-Truscott</w:t>
      </w:r>
      <w:r w:rsidR="003D1961">
        <w:rPr>
          <w:rFonts w:ascii="Times New Roman" w:hAnsi="Times New Roman" w:cs="Times New Roman"/>
          <w:bCs w:val="0"/>
          <w:szCs w:val="24"/>
          <w:lang w:val="en-GB"/>
        </w:rPr>
        <w:t xml:space="preserve"> PhD</w:t>
      </w:r>
      <w:r w:rsidR="003D23BF">
        <w:rPr>
          <w:rFonts w:ascii="Times New Roman" w:hAnsi="Times New Roman" w:cs="Times New Roman"/>
          <w:bCs w:val="0"/>
          <w:szCs w:val="24"/>
          <w:vertAlign w:val="superscript"/>
          <w:lang w:val="en-GB"/>
        </w:rPr>
        <w:t>2,3</w:t>
      </w:r>
      <w:r w:rsidR="003D23BF">
        <w:rPr>
          <w:rFonts w:ascii="Times New Roman" w:hAnsi="Times New Roman" w:cs="Times New Roman"/>
          <w:bCs w:val="0"/>
          <w:szCs w:val="24"/>
          <w:lang w:val="en-GB"/>
        </w:rPr>
        <w:t xml:space="preserve">, </w:t>
      </w:r>
      <w:r w:rsidR="00FB4DB9" w:rsidRPr="00F413DB">
        <w:rPr>
          <w:rFonts w:ascii="Times New Roman" w:hAnsi="Times New Roman" w:cs="Times New Roman"/>
          <w:bCs w:val="0"/>
          <w:szCs w:val="24"/>
          <w:lang w:val="en-GB"/>
        </w:rPr>
        <w:t>Thomas J Chadwick PhD</w:t>
      </w:r>
      <w:r w:rsidR="00070261" w:rsidRPr="00F413DB">
        <w:rPr>
          <w:rFonts w:ascii="Times New Roman" w:hAnsi="Times New Roman" w:cs="Times New Roman"/>
          <w:bCs w:val="0"/>
          <w:szCs w:val="24"/>
          <w:vertAlign w:val="superscript"/>
          <w:lang w:val="en-GB"/>
        </w:rPr>
        <w:t>10</w:t>
      </w:r>
      <w:r w:rsidR="005559DE" w:rsidRPr="00F413DB">
        <w:rPr>
          <w:rFonts w:ascii="Times New Roman" w:hAnsi="Times New Roman" w:cs="Times New Roman"/>
          <w:bCs w:val="0"/>
          <w:szCs w:val="24"/>
          <w:lang w:val="en-GB"/>
        </w:rPr>
        <w:t xml:space="preserve">, </w:t>
      </w:r>
      <w:r w:rsidR="00FB4DB9" w:rsidRPr="00F413DB">
        <w:rPr>
          <w:rFonts w:ascii="Times New Roman" w:hAnsi="Times New Roman" w:cs="Times New Roman"/>
          <w:bCs w:val="0"/>
          <w:szCs w:val="24"/>
          <w:lang w:val="en-GB"/>
        </w:rPr>
        <w:t>Ruth Wood MSc</w:t>
      </w:r>
      <w:r w:rsidR="00D61D1B" w:rsidRPr="00F413DB">
        <w:rPr>
          <w:rFonts w:ascii="Times New Roman" w:hAnsi="Times New Roman" w:cs="Times New Roman"/>
          <w:bCs w:val="0"/>
          <w:szCs w:val="24"/>
          <w:vertAlign w:val="superscript"/>
          <w:lang w:val="en-GB"/>
        </w:rPr>
        <w:t>1</w:t>
      </w:r>
      <w:r w:rsidR="00070261" w:rsidRPr="00F413DB">
        <w:rPr>
          <w:rFonts w:ascii="Times New Roman" w:hAnsi="Times New Roman" w:cs="Times New Roman"/>
          <w:bCs w:val="0"/>
          <w:szCs w:val="24"/>
          <w:vertAlign w:val="superscript"/>
          <w:lang w:val="en-GB"/>
        </w:rPr>
        <w:t>1</w:t>
      </w:r>
      <w:r w:rsidR="00FB4DB9" w:rsidRPr="00F413DB">
        <w:rPr>
          <w:rFonts w:ascii="Times New Roman" w:hAnsi="Times New Roman" w:cs="Times New Roman"/>
          <w:bCs w:val="0"/>
          <w:szCs w:val="24"/>
          <w:lang w:val="en-GB"/>
        </w:rPr>
        <w:t xml:space="preserve">, </w:t>
      </w:r>
      <w:r w:rsidR="00AB3DD8" w:rsidRPr="00F413DB">
        <w:rPr>
          <w:rFonts w:ascii="Times New Roman" w:hAnsi="Times New Roman" w:cs="Times New Roman"/>
          <w:bCs w:val="0"/>
          <w:szCs w:val="24"/>
          <w:lang w:val="en-GB"/>
        </w:rPr>
        <w:t xml:space="preserve">Timothy </w:t>
      </w:r>
      <w:r w:rsidR="00846B9C" w:rsidRPr="00F413DB">
        <w:rPr>
          <w:rFonts w:ascii="Times New Roman" w:hAnsi="Times New Roman" w:cs="Times New Roman"/>
          <w:bCs w:val="0"/>
          <w:szCs w:val="24"/>
          <w:lang w:val="en-GB"/>
        </w:rPr>
        <w:t xml:space="preserve">J </w:t>
      </w:r>
      <w:r w:rsidR="00AB3DD8" w:rsidRPr="00F413DB">
        <w:rPr>
          <w:rFonts w:ascii="Times New Roman" w:hAnsi="Times New Roman" w:cs="Times New Roman"/>
          <w:bCs w:val="0"/>
          <w:szCs w:val="24"/>
          <w:lang w:val="en-GB"/>
        </w:rPr>
        <w:t>McDonald</w:t>
      </w:r>
      <w:r w:rsidR="00846B9C" w:rsidRPr="00F413DB">
        <w:rPr>
          <w:rFonts w:ascii="Times New Roman" w:hAnsi="Times New Roman" w:cs="Times New Roman"/>
          <w:bCs w:val="0"/>
          <w:szCs w:val="24"/>
          <w:lang w:val="en-GB"/>
        </w:rPr>
        <w:t xml:space="preserve"> FRCPath</w:t>
      </w:r>
      <w:r w:rsidR="00FB5E8D" w:rsidRPr="00F413DB">
        <w:rPr>
          <w:rFonts w:ascii="Times New Roman" w:hAnsi="Times New Roman" w:cs="Times New Roman"/>
          <w:bCs w:val="0"/>
          <w:szCs w:val="24"/>
          <w:vertAlign w:val="superscript"/>
          <w:lang w:val="en-GB"/>
        </w:rPr>
        <w:t>1</w:t>
      </w:r>
      <w:r w:rsidR="00070261" w:rsidRPr="00F413DB">
        <w:rPr>
          <w:rFonts w:ascii="Times New Roman" w:hAnsi="Times New Roman" w:cs="Times New Roman"/>
          <w:bCs w:val="0"/>
          <w:szCs w:val="24"/>
          <w:vertAlign w:val="superscript"/>
          <w:lang w:val="en-GB"/>
        </w:rPr>
        <w:t>2</w:t>
      </w:r>
      <w:r w:rsidR="00AB3DD8" w:rsidRPr="00F413DB">
        <w:rPr>
          <w:rFonts w:ascii="Times New Roman" w:hAnsi="Times New Roman" w:cs="Times New Roman"/>
          <w:bCs w:val="0"/>
          <w:szCs w:val="24"/>
          <w:lang w:val="en-GB"/>
        </w:rPr>
        <w:t xml:space="preserve">, </w:t>
      </w:r>
      <w:r w:rsidR="00FB4DB9" w:rsidRPr="00F413DB">
        <w:rPr>
          <w:rFonts w:ascii="Times New Roman" w:hAnsi="Times New Roman" w:cs="Times New Roman"/>
          <w:bCs w:val="0"/>
          <w:szCs w:val="24"/>
          <w:lang w:val="en-GB"/>
        </w:rPr>
        <w:t>David Kerr FRCP</w:t>
      </w:r>
      <w:r w:rsidR="00070261" w:rsidRPr="00F413DB">
        <w:rPr>
          <w:rFonts w:ascii="Times New Roman" w:hAnsi="Times New Roman" w:cs="Times New Roman"/>
          <w:bCs w:val="0"/>
          <w:szCs w:val="24"/>
          <w:vertAlign w:val="superscript"/>
          <w:lang w:val="en-GB"/>
        </w:rPr>
        <w:t>9</w:t>
      </w:r>
      <w:r w:rsidR="000C34C0">
        <w:rPr>
          <w:rFonts w:ascii="Times New Roman" w:hAnsi="Times New Roman" w:cs="Times New Roman"/>
          <w:bCs w:val="0"/>
          <w:szCs w:val="24"/>
          <w:vertAlign w:val="superscript"/>
          <w:lang w:val="en-GB"/>
        </w:rPr>
        <w:t>,13</w:t>
      </w:r>
      <w:r w:rsidR="00FB4DB9" w:rsidRPr="00F413DB">
        <w:rPr>
          <w:rFonts w:ascii="Times New Roman" w:hAnsi="Times New Roman" w:cs="Times New Roman"/>
          <w:bCs w:val="0"/>
          <w:szCs w:val="24"/>
          <w:lang w:val="en-GB"/>
        </w:rPr>
        <w:t>, Daniel Flanagan FRCP</w:t>
      </w:r>
      <w:r w:rsidR="00070261" w:rsidRPr="00F413DB">
        <w:rPr>
          <w:rFonts w:ascii="Times New Roman" w:hAnsi="Times New Roman" w:cs="Times New Roman"/>
          <w:bCs w:val="0"/>
          <w:szCs w:val="24"/>
          <w:vertAlign w:val="superscript"/>
          <w:lang w:val="en-GB"/>
        </w:rPr>
        <w:t>8</w:t>
      </w:r>
      <w:r w:rsidR="00FB4DB9" w:rsidRPr="00F413DB">
        <w:rPr>
          <w:rFonts w:ascii="Times New Roman" w:hAnsi="Times New Roman" w:cs="Times New Roman"/>
          <w:bCs w:val="0"/>
          <w:szCs w:val="24"/>
          <w:lang w:val="en-GB"/>
        </w:rPr>
        <w:t>, Augustin Brooks</w:t>
      </w:r>
      <w:r w:rsidR="00DD5354" w:rsidRPr="00F413DB">
        <w:rPr>
          <w:rFonts w:ascii="Times New Roman" w:hAnsi="Times New Roman" w:cs="Times New Roman"/>
          <w:bCs w:val="0"/>
          <w:szCs w:val="24"/>
          <w:lang w:val="en-GB"/>
        </w:rPr>
        <w:t xml:space="preserve"> MD</w:t>
      </w:r>
      <w:r w:rsidR="00070261" w:rsidRPr="00F413DB">
        <w:rPr>
          <w:rFonts w:ascii="Times New Roman" w:hAnsi="Times New Roman" w:cs="Times New Roman"/>
          <w:bCs w:val="0"/>
          <w:szCs w:val="24"/>
          <w:vertAlign w:val="superscript"/>
          <w:lang w:val="en-GB"/>
        </w:rPr>
        <w:t>9</w:t>
      </w:r>
      <w:r w:rsidR="00DD5354" w:rsidRPr="00F413DB">
        <w:rPr>
          <w:rFonts w:ascii="Times New Roman" w:hAnsi="Times New Roman" w:cs="Times New Roman"/>
          <w:bCs w:val="0"/>
          <w:szCs w:val="24"/>
          <w:lang w:val="en-GB"/>
        </w:rPr>
        <w:t xml:space="preserve">, </w:t>
      </w:r>
      <w:r w:rsidR="00FB4DB9" w:rsidRPr="00F413DB">
        <w:rPr>
          <w:rFonts w:ascii="Times New Roman" w:hAnsi="Times New Roman" w:cs="Times New Roman"/>
          <w:bCs w:val="0"/>
          <w:szCs w:val="24"/>
          <w:lang w:val="en-GB"/>
        </w:rPr>
        <w:t xml:space="preserve">Simon </w:t>
      </w:r>
      <w:r w:rsidR="00DD5354" w:rsidRPr="00F413DB">
        <w:rPr>
          <w:rFonts w:ascii="Times New Roman" w:hAnsi="Times New Roman" w:cs="Times New Roman"/>
          <w:bCs w:val="0"/>
          <w:szCs w:val="24"/>
          <w:lang w:val="en-GB"/>
        </w:rPr>
        <w:t>R Heller FRCP</w:t>
      </w:r>
      <w:r w:rsidR="00070261" w:rsidRPr="00F413DB">
        <w:rPr>
          <w:rFonts w:ascii="Times New Roman" w:hAnsi="Times New Roman" w:cs="Times New Roman"/>
          <w:bCs w:val="0"/>
          <w:szCs w:val="24"/>
          <w:vertAlign w:val="superscript"/>
          <w:lang w:val="en-GB"/>
        </w:rPr>
        <w:t>7</w:t>
      </w:r>
      <w:r w:rsidR="00DD5354" w:rsidRPr="00F413DB">
        <w:rPr>
          <w:rFonts w:ascii="Times New Roman" w:hAnsi="Times New Roman" w:cs="Times New Roman"/>
          <w:bCs w:val="0"/>
          <w:szCs w:val="24"/>
          <w:lang w:val="en-GB"/>
        </w:rPr>
        <w:t>, Mark L Evans FRCP</w:t>
      </w:r>
      <w:r w:rsidR="00070261" w:rsidRPr="00F413DB">
        <w:rPr>
          <w:rFonts w:ascii="Times New Roman" w:hAnsi="Times New Roman" w:cs="Times New Roman"/>
          <w:bCs w:val="0"/>
          <w:szCs w:val="24"/>
          <w:vertAlign w:val="superscript"/>
          <w:lang w:val="en-GB"/>
        </w:rPr>
        <w:t>6</w:t>
      </w:r>
      <w:r w:rsidR="00DD5354" w:rsidRPr="00F413DB">
        <w:rPr>
          <w:rFonts w:ascii="Times New Roman" w:hAnsi="Times New Roman" w:cs="Times New Roman"/>
          <w:bCs w:val="0"/>
          <w:szCs w:val="24"/>
          <w:lang w:val="en-GB"/>
        </w:rPr>
        <w:t xml:space="preserve">, </w:t>
      </w:r>
      <w:r w:rsidR="00476DDA" w:rsidRPr="00F413DB">
        <w:rPr>
          <w:rFonts w:ascii="Times New Roman" w:hAnsi="Times New Roman" w:cs="Times New Roman"/>
          <w:bCs w:val="0"/>
          <w:szCs w:val="24"/>
          <w:lang w:val="en-GB"/>
        </w:rPr>
        <w:t>James AM Shaw FRCP</w:t>
      </w:r>
      <w:r w:rsidR="00D61D1B" w:rsidRPr="00F413DB">
        <w:rPr>
          <w:rFonts w:ascii="Times New Roman" w:hAnsi="Times New Roman" w:cs="Times New Roman"/>
          <w:bCs w:val="0"/>
          <w:szCs w:val="24"/>
          <w:vertAlign w:val="superscript"/>
          <w:lang w:val="en-GB"/>
        </w:rPr>
        <w:t>1</w:t>
      </w:r>
      <w:r w:rsidR="00070261" w:rsidRPr="00F413DB">
        <w:rPr>
          <w:rFonts w:ascii="Times New Roman" w:hAnsi="Times New Roman" w:cs="Times New Roman"/>
          <w:bCs w:val="0"/>
          <w:szCs w:val="24"/>
          <w:vertAlign w:val="superscript"/>
          <w:lang w:val="en-GB"/>
        </w:rPr>
        <w:t>,2</w:t>
      </w:r>
      <w:r w:rsidR="00476DDA" w:rsidRPr="00F413DB">
        <w:rPr>
          <w:rFonts w:ascii="Times New Roman" w:hAnsi="Times New Roman" w:cs="Times New Roman"/>
          <w:bCs w:val="0"/>
          <w:szCs w:val="24"/>
          <w:lang w:val="en-GB"/>
        </w:rPr>
        <w:t>.</w:t>
      </w:r>
    </w:p>
    <w:p w14:paraId="3F088808" w14:textId="59E941EF" w:rsidR="00F0003D" w:rsidRPr="00F413DB" w:rsidRDefault="00F0003D" w:rsidP="00C94A7B">
      <w:pPr>
        <w:spacing w:line="480" w:lineRule="auto"/>
        <w:rPr>
          <w:rFonts w:ascii="Times New Roman" w:hAnsi="Times New Roman" w:cs="Times New Roman"/>
          <w:bCs w:val="0"/>
          <w:szCs w:val="24"/>
          <w:lang w:val="en-GB"/>
        </w:rPr>
      </w:pPr>
      <w:r>
        <w:rPr>
          <w:rFonts w:ascii="Times New Roman" w:hAnsi="Times New Roman" w:cs="Times New Roman"/>
          <w:bCs w:val="0"/>
          <w:szCs w:val="24"/>
          <w:lang w:val="en-GB"/>
        </w:rPr>
        <w:t>Affiliations:</w:t>
      </w:r>
    </w:p>
    <w:p w14:paraId="334C5BA0" w14:textId="705D086A" w:rsidR="00DD5354" w:rsidRPr="00F413DB" w:rsidRDefault="00DD5354" w:rsidP="00F0003D">
      <w:pPr>
        <w:pStyle w:val="ListParagraph"/>
        <w:numPr>
          <w:ilvl w:val="0"/>
          <w:numId w:val="4"/>
        </w:numPr>
        <w:spacing w:line="360" w:lineRule="auto"/>
        <w:ind w:left="357" w:hanging="357"/>
        <w:rPr>
          <w:rFonts w:ascii="Times New Roman" w:hAnsi="Times New Roman" w:cs="Times New Roman"/>
          <w:bCs w:val="0"/>
          <w:szCs w:val="24"/>
          <w:lang w:val="en-GB"/>
        </w:rPr>
      </w:pPr>
      <w:r w:rsidRPr="00F413DB">
        <w:rPr>
          <w:rFonts w:ascii="Times New Roman" w:hAnsi="Times New Roman" w:cs="Times New Roman"/>
          <w:bCs w:val="0"/>
          <w:szCs w:val="24"/>
          <w:lang w:val="en-GB"/>
        </w:rPr>
        <w:t>Institute of Cellular Medicine, Newcastle University, UK.</w:t>
      </w:r>
    </w:p>
    <w:p w14:paraId="02D5EFA9" w14:textId="17C45A67" w:rsidR="00070261" w:rsidRPr="00F413DB" w:rsidRDefault="00070261" w:rsidP="00B77DB8">
      <w:pPr>
        <w:pStyle w:val="ListParagraph"/>
        <w:numPr>
          <w:ilvl w:val="0"/>
          <w:numId w:val="4"/>
        </w:numPr>
        <w:spacing w:line="360" w:lineRule="auto"/>
        <w:ind w:left="357" w:hanging="357"/>
        <w:rPr>
          <w:rFonts w:ascii="Times New Roman" w:hAnsi="Times New Roman" w:cs="Times New Roman"/>
          <w:bCs w:val="0"/>
          <w:szCs w:val="24"/>
          <w:lang w:val="en-GB"/>
        </w:rPr>
      </w:pPr>
      <w:r w:rsidRPr="00F413DB">
        <w:rPr>
          <w:rFonts w:ascii="Times New Roman" w:hAnsi="Times New Roman" w:cs="Times New Roman"/>
          <w:bCs w:val="0"/>
          <w:szCs w:val="24"/>
          <w:lang w:val="en-GB"/>
        </w:rPr>
        <w:t>Newcastle Diabetes Centre, Newcastle upon Tyne Hospitals NHS Foundation Trust, UK</w:t>
      </w:r>
    </w:p>
    <w:p w14:paraId="3C18B4C2" w14:textId="492C4EB5" w:rsidR="00DD5354" w:rsidRPr="00F413DB" w:rsidRDefault="00DD5354" w:rsidP="00B77DB8">
      <w:pPr>
        <w:pStyle w:val="ListParagraph"/>
        <w:numPr>
          <w:ilvl w:val="0"/>
          <w:numId w:val="4"/>
        </w:numPr>
        <w:spacing w:line="360" w:lineRule="auto"/>
        <w:ind w:left="357" w:hanging="357"/>
        <w:rPr>
          <w:rFonts w:ascii="Times New Roman" w:hAnsi="Times New Roman" w:cs="Times New Roman"/>
          <w:bCs w:val="0"/>
          <w:szCs w:val="24"/>
          <w:lang w:val="en-GB"/>
        </w:rPr>
      </w:pPr>
      <w:r w:rsidRPr="00F413DB">
        <w:rPr>
          <w:rFonts w:ascii="Times New Roman" w:hAnsi="Times New Roman" w:cs="Times New Roman"/>
          <w:bCs w:val="0"/>
          <w:szCs w:val="24"/>
          <w:lang w:val="en-GB"/>
        </w:rPr>
        <w:t>School of Psychology, Deakin University, Geelong, Victoria, Australia.</w:t>
      </w:r>
    </w:p>
    <w:p w14:paraId="43D46433" w14:textId="6F6B3A61" w:rsidR="00DD5354" w:rsidRPr="00F413DB" w:rsidRDefault="00DD5354" w:rsidP="00B77DB8">
      <w:pPr>
        <w:pStyle w:val="ListParagraph"/>
        <w:numPr>
          <w:ilvl w:val="0"/>
          <w:numId w:val="4"/>
        </w:numPr>
        <w:spacing w:line="360" w:lineRule="auto"/>
        <w:ind w:left="357" w:hanging="357"/>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The Australian Centre for Behavioural Research in Diabetes, Diabetes Victoria, Melbourne, Australia. </w:t>
      </w:r>
    </w:p>
    <w:p w14:paraId="7FAB7B11" w14:textId="517D4CBD" w:rsidR="00DD5354" w:rsidRPr="00F413DB" w:rsidRDefault="00DD5354" w:rsidP="00B77DB8">
      <w:pPr>
        <w:pStyle w:val="ListParagraph"/>
        <w:numPr>
          <w:ilvl w:val="0"/>
          <w:numId w:val="4"/>
        </w:numPr>
        <w:spacing w:line="360" w:lineRule="auto"/>
        <w:ind w:left="357" w:hanging="357"/>
        <w:rPr>
          <w:rFonts w:ascii="Times New Roman" w:hAnsi="Times New Roman" w:cs="Times New Roman"/>
          <w:bCs w:val="0"/>
          <w:szCs w:val="24"/>
          <w:lang w:val="en-GB"/>
        </w:rPr>
      </w:pPr>
      <w:r w:rsidRPr="00F413DB">
        <w:rPr>
          <w:rFonts w:ascii="Times New Roman" w:hAnsi="Times New Roman" w:cs="Times New Roman"/>
          <w:bCs w:val="0"/>
          <w:szCs w:val="24"/>
          <w:lang w:val="en-GB"/>
        </w:rPr>
        <w:t>AHP Research, Hornchurch, UK</w:t>
      </w:r>
    </w:p>
    <w:p w14:paraId="4EF5E2A6" w14:textId="34ABA34F" w:rsidR="00DD5354" w:rsidRPr="00F413DB" w:rsidRDefault="00DD5354" w:rsidP="00B77DB8">
      <w:pPr>
        <w:pStyle w:val="ListParagraph"/>
        <w:numPr>
          <w:ilvl w:val="0"/>
          <w:numId w:val="4"/>
        </w:numPr>
        <w:spacing w:line="360" w:lineRule="auto"/>
        <w:ind w:left="357" w:hanging="357"/>
        <w:rPr>
          <w:rFonts w:ascii="Times New Roman" w:hAnsi="Times New Roman" w:cs="Times New Roman"/>
          <w:bCs w:val="0"/>
          <w:szCs w:val="24"/>
          <w:lang w:val="en-GB"/>
        </w:rPr>
      </w:pPr>
      <w:proofErr w:type="spellStart"/>
      <w:r w:rsidRPr="00F413DB">
        <w:rPr>
          <w:rFonts w:ascii="Times New Roman" w:hAnsi="Times New Roman" w:cs="Times New Roman"/>
          <w:bCs w:val="0"/>
          <w:szCs w:val="24"/>
          <w:lang w:val="en-GB"/>
        </w:rPr>
        <w:t>Wellcome</w:t>
      </w:r>
      <w:proofErr w:type="spellEnd"/>
      <w:r w:rsidRPr="00F413DB">
        <w:rPr>
          <w:rFonts w:ascii="Times New Roman" w:hAnsi="Times New Roman" w:cs="Times New Roman"/>
          <w:bCs w:val="0"/>
          <w:szCs w:val="24"/>
          <w:lang w:val="en-GB"/>
        </w:rPr>
        <w:t xml:space="preserve"> Trust-MRC Institute of Metabolic Science Metabolic Research Laboratories, University of Cambridge, UK.</w:t>
      </w:r>
    </w:p>
    <w:p w14:paraId="37A4DE9F" w14:textId="2A10FB85" w:rsidR="00DD5354" w:rsidRPr="00F413DB" w:rsidRDefault="00DD5354" w:rsidP="00B77DB8">
      <w:pPr>
        <w:pStyle w:val="ListParagraph"/>
        <w:numPr>
          <w:ilvl w:val="0"/>
          <w:numId w:val="4"/>
        </w:numPr>
        <w:spacing w:line="360" w:lineRule="auto"/>
        <w:ind w:left="357" w:hanging="357"/>
        <w:rPr>
          <w:rFonts w:ascii="Times New Roman" w:hAnsi="Times New Roman" w:cs="Times New Roman"/>
          <w:bCs w:val="0"/>
          <w:szCs w:val="24"/>
          <w:lang w:val="en-GB"/>
        </w:rPr>
      </w:pPr>
      <w:r w:rsidRPr="00F413DB">
        <w:rPr>
          <w:rFonts w:ascii="Times New Roman" w:hAnsi="Times New Roman" w:cs="Times New Roman"/>
          <w:bCs w:val="0"/>
          <w:szCs w:val="24"/>
          <w:lang w:val="en-GB"/>
        </w:rPr>
        <w:t>School of Medicine and Biomedical Sciences, Sheffield University, UK.</w:t>
      </w:r>
    </w:p>
    <w:p w14:paraId="688DEF10" w14:textId="00095189" w:rsidR="00DD5354" w:rsidRPr="00F413DB" w:rsidRDefault="00DD5354" w:rsidP="00B77DB8">
      <w:pPr>
        <w:pStyle w:val="ListParagraph"/>
        <w:numPr>
          <w:ilvl w:val="0"/>
          <w:numId w:val="4"/>
        </w:numPr>
        <w:spacing w:line="360" w:lineRule="auto"/>
        <w:ind w:left="357" w:hanging="357"/>
        <w:rPr>
          <w:rFonts w:ascii="Times New Roman" w:hAnsi="Times New Roman" w:cs="Times New Roman"/>
          <w:bCs w:val="0"/>
          <w:szCs w:val="24"/>
          <w:lang w:val="en-GB"/>
        </w:rPr>
      </w:pPr>
      <w:r w:rsidRPr="00F413DB">
        <w:rPr>
          <w:rFonts w:ascii="Times New Roman" w:hAnsi="Times New Roman" w:cs="Times New Roman"/>
          <w:bCs w:val="0"/>
          <w:szCs w:val="24"/>
          <w:lang w:val="en-GB"/>
        </w:rPr>
        <w:t>Peninsula College of Medicine and Dentistry, Plymouth, UK.</w:t>
      </w:r>
    </w:p>
    <w:p w14:paraId="0089ABEC" w14:textId="283F3568" w:rsidR="00DD5354" w:rsidRPr="00F413DB" w:rsidRDefault="00F13DE4" w:rsidP="00B77DB8">
      <w:pPr>
        <w:pStyle w:val="ListParagraph"/>
        <w:numPr>
          <w:ilvl w:val="0"/>
          <w:numId w:val="4"/>
        </w:numPr>
        <w:spacing w:line="360" w:lineRule="auto"/>
        <w:ind w:left="357" w:hanging="357"/>
        <w:rPr>
          <w:rFonts w:ascii="Times New Roman" w:hAnsi="Times New Roman" w:cs="Times New Roman"/>
          <w:bCs w:val="0"/>
          <w:szCs w:val="24"/>
          <w:lang w:val="en-GB"/>
        </w:rPr>
      </w:pPr>
      <w:r w:rsidRPr="00461681">
        <w:rPr>
          <w:rFonts w:ascii="Times New Roman" w:hAnsi="Times New Roman" w:cs="Times New Roman"/>
          <w:bCs w:val="0"/>
          <w:szCs w:val="24"/>
          <w:lang w:val="en-GB"/>
        </w:rPr>
        <w:t>Bournemouth Diabetes &amp; Endocrine Centre, Royal Bourn</w:t>
      </w:r>
      <w:r w:rsidRPr="007A7914">
        <w:rPr>
          <w:rFonts w:ascii="Times New Roman" w:hAnsi="Times New Roman" w:cs="Times New Roman"/>
          <w:bCs w:val="0"/>
          <w:szCs w:val="24"/>
          <w:lang w:val="en-GB"/>
        </w:rPr>
        <w:t>e</w:t>
      </w:r>
      <w:r>
        <w:rPr>
          <w:rFonts w:ascii="Times New Roman" w:hAnsi="Times New Roman" w:cs="Times New Roman"/>
          <w:bCs w:val="0"/>
          <w:szCs w:val="24"/>
          <w:lang w:val="en-GB"/>
        </w:rPr>
        <w:t>m</w:t>
      </w:r>
      <w:r w:rsidRPr="007A7914">
        <w:rPr>
          <w:rFonts w:ascii="Times New Roman" w:hAnsi="Times New Roman" w:cs="Times New Roman"/>
          <w:bCs w:val="0"/>
          <w:szCs w:val="24"/>
          <w:lang w:val="en-GB"/>
        </w:rPr>
        <w:t>outh Hospital</w:t>
      </w:r>
      <w:r>
        <w:rPr>
          <w:rFonts w:ascii="Times New Roman" w:hAnsi="Times New Roman" w:cs="Times New Roman"/>
          <w:bCs w:val="0"/>
          <w:szCs w:val="24"/>
          <w:lang w:val="en-GB"/>
        </w:rPr>
        <w:t>, Bournemouth,</w:t>
      </w:r>
      <w:r w:rsidRPr="00461681">
        <w:rPr>
          <w:rFonts w:ascii="Times New Roman" w:hAnsi="Times New Roman" w:cs="Times New Roman"/>
          <w:bCs w:val="0"/>
          <w:szCs w:val="24"/>
          <w:lang w:val="en-GB"/>
        </w:rPr>
        <w:t xml:space="preserve"> UK</w:t>
      </w:r>
      <w:r w:rsidR="00DD5354" w:rsidRPr="00F413DB">
        <w:rPr>
          <w:rFonts w:ascii="Times New Roman" w:hAnsi="Times New Roman" w:cs="Times New Roman"/>
          <w:bCs w:val="0"/>
          <w:szCs w:val="24"/>
          <w:lang w:val="en-GB"/>
        </w:rPr>
        <w:t xml:space="preserve">. </w:t>
      </w:r>
    </w:p>
    <w:p w14:paraId="2FEF7989" w14:textId="0C81E7B5" w:rsidR="00DD5354" w:rsidRPr="00F413DB" w:rsidRDefault="00DD5354" w:rsidP="00B77DB8">
      <w:pPr>
        <w:pStyle w:val="ListParagraph"/>
        <w:numPr>
          <w:ilvl w:val="0"/>
          <w:numId w:val="4"/>
        </w:numPr>
        <w:spacing w:line="360" w:lineRule="auto"/>
        <w:ind w:left="357" w:hanging="357"/>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Institute of Health and Society, Newcastle University, Newcastle, UK. </w:t>
      </w:r>
    </w:p>
    <w:p w14:paraId="6BA775CD" w14:textId="5A603C8D" w:rsidR="00583256" w:rsidRPr="00F413DB" w:rsidRDefault="00DD5354" w:rsidP="00B77DB8">
      <w:pPr>
        <w:pStyle w:val="ListParagraph"/>
        <w:numPr>
          <w:ilvl w:val="0"/>
          <w:numId w:val="4"/>
        </w:numPr>
        <w:spacing w:line="360" w:lineRule="auto"/>
        <w:ind w:left="357" w:hanging="357"/>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Newcastle Clinical Trials Unit, Faculty </w:t>
      </w:r>
      <w:r w:rsidR="00F0003D">
        <w:rPr>
          <w:rFonts w:ascii="Times New Roman" w:hAnsi="Times New Roman" w:cs="Times New Roman"/>
          <w:bCs w:val="0"/>
          <w:szCs w:val="24"/>
          <w:lang w:val="en-GB"/>
        </w:rPr>
        <w:t xml:space="preserve">of </w:t>
      </w:r>
      <w:r w:rsidRPr="00F413DB">
        <w:rPr>
          <w:rFonts w:ascii="Times New Roman" w:hAnsi="Times New Roman" w:cs="Times New Roman"/>
          <w:bCs w:val="0"/>
          <w:szCs w:val="24"/>
          <w:lang w:val="en-GB"/>
        </w:rPr>
        <w:t xml:space="preserve">Medical Sciences, Newcastle University, Newcastle, UK. </w:t>
      </w:r>
    </w:p>
    <w:p w14:paraId="3C269271" w14:textId="77777777" w:rsidR="000C34C0" w:rsidRDefault="003960BC" w:rsidP="00B77DB8">
      <w:pPr>
        <w:pStyle w:val="ListParagraph"/>
        <w:numPr>
          <w:ilvl w:val="0"/>
          <w:numId w:val="4"/>
        </w:numPr>
        <w:spacing w:line="360" w:lineRule="auto"/>
        <w:ind w:left="357" w:hanging="357"/>
        <w:rPr>
          <w:rFonts w:ascii="Times New Roman" w:hAnsi="Times New Roman" w:cs="Times New Roman"/>
          <w:bCs w:val="0"/>
          <w:szCs w:val="24"/>
          <w:lang w:val="en-GB"/>
        </w:rPr>
      </w:pPr>
      <w:r w:rsidRPr="00F413DB">
        <w:rPr>
          <w:rFonts w:ascii="Times New Roman" w:hAnsi="Times New Roman" w:cs="Times New Roman"/>
          <w:bCs w:val="0"/>
          <w:szCs w:val="24"/>
          <w:lang w:val="en-GB"/>
        </w:rPr>
        <w:t>Institute of Biomedical and Clinical Science, University of Exeter Medical School, Exeter, UK.</w:t>
      </w:r>
    </w:p>
    <w:p w14:paraId="2BBA8374" w14:textId="56EC2285" w:rsidR="00FB5E8D" w:rsidRPr="00F413DB" w:rsidRDefault="000C34C0" w:rsidP="000C34C0">
      <w:pPr>
        <w:pStyle w:val="ListParagraph"/>
        <w:numPr>
          <w:ilvl w:val="0"/>
          <w:numId w:val="4"/>
        </w:numPr>
        <w:spacing w:line="360" w:lineRule="auto"/>
        <w:rPr>
          <w:rFonts w:ascii="Times New Roman" w:hAnsi="Times New Roman" w:cs="Times New Roman"/>
          <w:bCs w:val="0"/>
          <w:szCs w:val="24"/>
          <w:lang w:val="en-GB"/>
        </w:rPr>
      </w:pPr>
      <w:r w:rsidRPr="000C34C0">
        <w:rPr>
          <w:rFonts w:ascii="Times New Roman" w:hAnsi="Times New Roman" w:cs="Times New Roman"/>
          <w:bCs w:val="0"/>
          <w:szCs w:val="24"/>
          <w:lang w:val="en-GB"/>
        </w:rPr>
        <w:t>Sansum Diabetes Research Institute, Santa Barb</w:t>
      </w:r>
      <w:r w:rsidR="0085037C">
        <w:rPr>
          <w:rFonts w:ascii="Times New Roman" w:hAnsi="Times New Roman" w:cs="Times New Roman"/>
          <w:bCs w:val="0"/>
          <w:szCs w:val="24"/>
          <w:lang w:val="en-GB"/>
        </w:rPr>
        <w:t>a</w:t>
      </w:r>
      <w:r w:rsidRPr="000C34C0">
        <w:rPr>
          <w:rFonts w:ascii="Times New Roman" w:hAnsi="Times New Roman" w:cs="Times New Roman"/>
          <w:bCs w:val="0"/>
          <w:szCs w:val="24"/>
          <w:lang w:val="en-GB"/>
        </w:rPr>
        <w:t>ra</w:t>
      </w:r>
      <w:r>
        <w:rPr>
          <w:rFonts w:ascii="Times New Roman" w:hAnsi="Times New Roman" w:cs="Times New Roman"/>
          <w:bCs w:val="0"/>
          <w:szCs w:val="24"/>
          <w:lang w:val="en-GB"/>
        </w:rPr>
        <w:t>,</w:t>
      </w:r>
      <w:r w:rsidRPr="000C34C0">
        <w:rPr>
          <w:rFonts w:ascii="Times New Roman" w:hAnsi="Times New Roman" w:cs="Times New Roman"/>
          <w:bCs w:val="0"/>
          <w:szCs w:val="24"/>
          <w:lang w:val="en-GB"/>
        </w:rPr>
        <w:t xml:space="preserve"> California </w:t>
      </w:r>
      <w:r w:rsidR="003960BC" w:rsidRPr="00F413DB">
        <w:rPr>
          <w:rFonts w:ascii="Times New Roman" w:hAnsi="Times New Roman" w:cs="Times New Roman"/>
          <w:bCs w:val="0"/>
          <w:szCs w:val="24"/>
          <w:lang w:val="en-GB"/>
        </w:rPr>
        <w:t xml:space="preserve"> </w:t>
      </w:r>
    </w:p>
    <w:p w14:paraId="38486006" w14:textId="494217F0" w:rsidR="00DD5354" w:rsidRPr="00F413DB" w:rsidRDefault="00DD5354" w:rsidP="00363CDB">
      <w:pPr>
        <w:outlineLvl w:val="0"/>
        <w:rPr>
          <w:rFonts w:ascii="Times New Roman" w:hAnsi="Times New Roman" w:cs="Times New Roman"/>
          <w:b/>
          <w:bCs w:val="0"/>
          <w:szCs w:val="24"/>
          <w:lang w:val="en-GB"/>
        </w:rPr>
      </w:pPr>
      <w:r w:rsidRPr="00F413DB">
        <w:rPr>
          <w:rFonts w:ascii="Times New Roman" w:hAnsi="Times New Roman" w:cs="Times New Roman"/>
          <w:b/>
          <w:bCs w:val="0"/>
          <w:szCs w:val="24"/>
          <w:lang w:val="en-GB"/>
        </w:rPr>
        <w:t>Correspondence to:</w:t>
      </w:r>
    </w:p>
    <w:p w14:paraId="15B8575E" w14:textId="38FFC304" w:rsidR="00DD5354" w:rsidRPr="00F413DB" w:rsidRDefault="00DD5354" w:rsidP="00E87EB3">
      <w:pPr>
        <w:outlineLvl w:val="0"/>
        <w:rPr>
          <w:rFonts w:ascii="Times New Roman" w:hAnsi="Times New Roman" w:cs="Times New Roman"/>
          <w:bCs w:val="0"/>
          <w:szCs w:val="24"/>
          <w:lang w:val="en-GB"/>
        </w:rPr>
      </w:pPr>
      <w:r w:rsidRPr="00F413DB">
        <w:rPr>
          <w:rFonts w:ascii="Times New Roman" w:hAnsi="Times New Roman" w:cs="Times New Roman"/>
          <w:bCs w:val="0"/>
          <w:szCs w:val="24"/>
          <w:lang w:val="en-GB"/>
        </w:rPr>
        <w:t>James Shaw</w:t>
      </w:r>
      <w:r w:rsidR="00F0003D">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Professor of Regenerative Medicine for Diabetes and Honorary Consultant Physician</w:t>
      </w:r>
    </w:p>
    <w:p w14:paraId="0756CADF" w14:textId="39C3FECE" w:rsidR="00DD5354" w:rsidRPr="00F413DB" w:rsidRDefault="00DD5354" w:rsidP="00DD5354">
      <w:pPr>
        <w:rPr>
          <w:rFonts w:ascii="Times New Roman" w:hAnsi="Times New Roman" w:cs="Times New Roman"/>
          <w:bCs w:val="0"/>
          <w:szCs w:val="24"/>
          <w:lang w:val="en-GB"/>
        </w:rPr>
      </w:pPr>
      <w:r w:rsidRPr="00F413DB">
        <w:rPr>
          <w:rFonts w:ascii="Times New Roman" w:hAnsi="Times New Roman" w:cs="Times New Roman"/>
          <w:bCs w:val="0"/>
          <w:szCs w:val="24"/>
          <w:lang w:val="en-GB"/>
        </w:rPr>
        <w:t>Institute of Cellular Medicine</w:t>
      </w:r>
      <w:r w:rsidR="00B77DB8">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4</w:t>
      </w:r>
      <w:r w:rsidRPr="00F413DB">
        <w:rPr>
          <w:rFonts w:ascii="Times New Roman" w:hAnsi="Times New Roman" w:cs="Times New Roman"/>
          <w:bCs w:val="0"/>
          <w:szCs w:val="24"/>
          <w:vertAlign w:val="superscript"/>
          <w:lang w:val="en-GB"/>
        </w:rPr>
        <w:t>th</w:t>
      </w:r>
      <w:r w:rsidRPr="00F413DB">
        <w:rPr>
          <w:rFonts w:ascii="Times New Roman" w:hAnsi="Times New Roman" w:cs="Times New Roman"/>
          <w:bCs w:val="0"/>
          <w:szCs w:val="24"/>
          <w:lang w:val="en-GB"/>
        </w:rPr>
        <w:t xml:space="preserve"> Floor William Leech Building</w:t>
      </w:r>
    </w:p>
    <w:p w14:paraId="3085321E" w14:textId="78EB6FD5" w:rsidR="00DD5354" w:rsidRPr="00F413DB" w:rsidRDefault="00DD5354" w:rsidP="00DD5354">
      <w:pPr>
        <w:rPr>
          <w:rFonts w:ascii="Times New Roman" w:hAnsi="Times New Roman" w:cs="Times New Roman"/>
          <w:bCs w:val="0"/>
          <w:szCs w:val="24"/>
          <w:lang w:val="en-GB"/>
        </w:rPr>
      </w:pPr>
      <w:r w:rsidRPr="00F413DB">
        <w:rPr>
          <w:rFonts w:ascii="Times New Roman" w:hAnsi="Times New Roman" w:cs="Times New Roman"/>
          <w:bCs w:val="0"/>
          <w:szCs w:val="24"/>
          <w:lang w:val="en-GB"/>
        </w:rPr>
        <w:t>The Medical School, Newcastle Universi</w:t>
      </w:r>
      <w:r w:rsidR="003C68FD" w:rsidRPr="00F413DB">
        <w:rPr>
          <w:rFonts w:ascii="Times New Roman" w:hAnsi="Times New Roman" w:cs="Times New Roman"/>
          <w:bCs w:val="0"/>
          <w:szCs w:val="24"/>
          <w:lang w:val="en-GB"/>
        </w:rPr>
        <w:t>t</w:t>
      </w:r>
      <w:r w:rsidRPr="00F413DB">
        <w:rPr>
          <w:rFonts w:ascii="Times New Roman" w:hAnsi="Times New Roman" w:cs="Times New Roman"/>
          <w:bCs w:val="0"/>
          <w:szCs w:val="24"/>
          <w:lang w:val="en-GB"/>
        </w:rPr>
        <w:t>y</w:t>
      </w:r>
    </w:p>
    <w:p w14:paraId="5093FAA8" w14:textId="2E79E5AA" w:rsidR="00DD5354" w:rsidRPr="00F413DB" w:rsidRDefault="00DD5354" w:rsidP="00DD5354">
      <w:pPr>
        <w:rPr>
          <w:rFonts w:ascii="Times New Roman" w:hAnsi="Times New Roman" w:cs="Times New Roman"/>
          <w:bCs w:val="0"/>
          <w:szCs w:val="24"/>
          <w:lang w:val="en-GB"/>
        </w:rPr>
      </w:pPr>
      <w:proofErr w:type="spellStart"/>
      <w:r w:rsidRPr="00F413DB">
        <w:rPr>
          <w:rFonts w:ascii="Times New Roman" w:hAnsi="Times New Roman" w:cs="Times New Roman"/>
          <w:bCs w:val="0"/>
          <w:szCs w:val="24"/>
          <w:lang w:val="en-GB"/>
        </w:rPr>
        <w:t>Framlington</w:t>
      </w:r>
      <w:proofErr w:type="spellEnd"/>
      <w:r w:rsidRPr="00F413DB">
        <w:rPr>
          <w:rFonts w:ascii="Times New Roman" w:hAnsi="Times New Roman" w:cs="Times New Roman"/>
          <w:bCs w:val="0"/>
          <w:szCs w:val="24"/>
          <w:lang w:val="en-GB"/>
        </w:rPr>
        <w:t xml:space="preserve"> Place</w:t>
      </w:r>
      <w:r w:rsidR="00B77DB8">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Newcastle upon Tyne NE2 4HH, UK</w:t>
      </w:r>
    </w:p>
    <w:p w14:paraId="6D6A9F53" w14:textId="13FBB6B2" w:rsidR="009C4EFF" w:rsidRPr="00F413DB" w:rsidRDefault="00DD5354" w:rsidP="009C4EFF">
      <w:pPr>
        <w:outlineLvl w:val="0"/>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Email: </w:t>
      </w:r>
      <w:hyperlink r:id="rId6" w:history="1">
        <w:r w:rsidRPr="00F413DB">
          <w:rPr>
            <w:rStyle w:val="Hyperlink"/>
            <w:rFonts w:ascii="Times New Roman" w:hAnsi="Times New Roman" w:cs="Times New Roman"/>
            <w:bCs w:val="0"/>
            <w:szCs w:val="24"/>
            <w:lang w:val="en-GB"/>
          </w:rPr>
          <w:t>jim.shaw@ncl.ac.uk</w:t>
        </w:r>
      </w:hyperlink>
      <w:r w:rsidRPr="00F413DB">
        <w:rPr>
          <w:rFonts w:ascii="Times New Roman" w:hAnsi="Times New Roman" w:cs="Times New Roman"/>
          <w:bCs w:val="0"/>
          <w:szCs w:val="24"/>
          <w:lang w:val="en-GB"/>
        </w:rPr>
        <w:t>; Telephone: +44 (0)191 208 8129</w:t>
      </w:r>
    </w:p>
    <w:p w14:paraId="766763E0" w14:textId="77777777" w:rsidR="005A751D" w:rsidRPr="00F413DB" w:rsidRDefault="005A751D" w:rsidP="00ED66D7">
      <w:pPr>
        <w:outlineLvl w:val="0"/>
        <w:rPr>
          <w:rFonts w:ascii="Times New Roman" w:hAnsi="Times New Roman" w:cs="Times New Roman"/>
          <w:bCs w:val="0"/>
          <w:szCs w:val="24"/>
          <w:lang w:val="en-GB"/>
        </w:rPr>
      </w:pPr>
    </w:p>
    <w:p w14:paraId="19BF1AFA" w14:textId="4B509EEB" w:rsidR="004977F7" w:rsidRPr="00F413DB" w:rsidRDefault="00DD5354" w:rsidP="00363CDB">
      <w:pPr>
        <w:spacing w:line="480" w:lineRule="auto"/>
        <w:outlineLvl w:val="0"/>
        <w:rPr>
          <w:rFonts w:ascii="Times New Roman" w:hAnsi="Times New Roman" w:cs="Times New Roman"/>
          <w:b/>
          <w:bCs w:val="0"/>
          <w:szCs w:val="24"/>
          <w:lang w:val="en-GB"/>
        </w:rPr>
      </w:pPr>
      <w:r w:rsidRPr="00F413DB">
        <w:rPr>
          <w:rFonts w:ascii="Times New Roman" w:hAnsi="Times New Roman" w:cs="Times New Roman"/>
          <w:bCs w:val="0"/>
          <w:szCs w:val="24"/>
          <w:lang w:val="en-GB"/>
        </w:rPr>
        <w:t>Word count:</w:t>
      </w:r>
      <w:r w:rsidR="00583256" w:rsidRPr="00F413DB">
        <w:rPr>
          <w:rFonts w:ascii="Times New Roman" w:hAnsi="Times New Roman" w:cs="Times New Roman"/>
          <w:bCs w:val="0"/>
          <w:szCs w:val="24"/>
          <w:lang w:val="en-GB"/>
        </w:rPr>
        <w:t xml:space="preserve"> </w:t>
      </w:r>
      <w:r w:rsidR="005304BA" w:rsidRPr="00F413DB">
        <w:rPr>
          <w:rFonts w:ascii="Times New Roman" w:hAnsi="Times New Roman" w:cs="Times New Roman"/>
          <w:bCs w:val="0"/>
          <w:szCs w:val="24"/>
          <w:lang w:val="en-GB"/>
        </w:rPr>
        <w:t>3</w:t>
      </w:r>
      <w:r w:rsidR="007F6F06">
        <w:rPr>
          <w:rFonts w:ascii="Times New Roman" w:hAnsi="Times New Roman" w:cs="Times New Roman"/>
          <w:bCs w:val="0"/>
          <w:szCs w:val="24"/>
          <w:lang w:val="en-GB"/>
        </w:rPr>
        <w:t>9</w:t>
      </w:r>
      <w:r w:rsidR="00BB6FF7">
        <w:rPr>
          <w:rFonts w:ascii="Times New Roman" w:hAnsi="Times New Roman" w:cs="Times New Roman"/>
          <w:bCs w:val="0"/>
          <w:szCs w:val="24"/>
          <w:lang w:val="en-GB"/>
        </w:rPr>
        <w:t>70</w:t>
      </w:r>
      <w:r w:rsidR="00ED4D9A" w:rsidRPr="00F413DB">
        <w:rPr>
          <w:rFonts w:ascii="Times New Roman" w:hAnsi="Times New Roman" w:cs="Times New Roman"/>
          <w:bCs w:val="0"/>
          <w:szCs w:val="24"/>
          <w:lang w:val="en-GB"/>
        </w:rPr>
        <w:t>/4000 words</w:t>
      </w:r>
      <w:r w:rsidR="005304BA" w:rsidRPr="00F413DB">
        <w:rPr>
          <w:rFonts w:ascii="Times New Roman" w:hAnsi="Times New Roman" w:cs="Times New Roman"/>
          <w:bCs w:val="0"/>
          <w:szCs w:val="24"/>
          <w:lang w:val="en-GB"/>
        </w:rPr>
        <w:t>; 3 tables + 1 supplementary table</w:t>
      </w:r>
      <w:r w:rsidR="00430864">
        <w:rPr>
          <w:rFonts w:ascii="Times New Roman" w:hAnsi="Times New Roman" w:cs="Times New Roman"/>
          <w:bCs w:val="0"/>
          <w:szCs w:val="24"/>
          <w:lang w:val="en-GB"/>
        </w:rPr>
        <w:br w:type="page"/>
      </w:r>
      <w:r w:rsidR="004977F7" w:rsidRPr="00F413DB">
        <w:rPr>
          <w:rFonts w:ascii="Times New Roman" w:hAnsi="Times New Roman" w:cs="Times New Roman"/>
          <w:b/>
          <w:bCs w:val="0"/>
          <w:szCs w:val="24"/>
          <w:lang w:val="en-GB"/>
        </w:rPr>
        <w:lastRenderedPageBreak/>
        <w:t>Objective</w:t>
      </w:r>
    </w:p>
    <w:p w14:paraId="65AD415C" w14:textId="77777777" w:rsidR="00C513A9" w:rsidRDefault="00C513A9" w:rsidP="0063511A">
      <w:pPr>
        <w:spacing w:line="480" w:lineRule="auto"/>
        <w:jc w:val="both"/>
        <w:outlineLvl w:val="0"/>
        <w:rPr>
          <w:rFonts w:ascii="Times New Roman" w:hAnsi="Times New Roman" w:cs="Times New Roman"/>
          <w:bCs w:val="0"/>
          <w:szCs w:val="24"/>
          <w:lang w:val="en-GB"/>
        </w:rPr>
      </w:pPr>
      <w:r w:rsidRPr="00C513A9">
        <w:rPr>
          <w:rFonts w:ascii="Times New Roman" w:hAnsi="Times New Roman" w:cs="Times New Roman"/>
          <w:bCs w:val="0"/>
          <w:szCs w:val="24"/>
          <w:lang w:val="en-GB"/>
        </w:rPr>
        <w:t xml:space="preserve">The </w:t>
      </w:r>
      <w:proofErr w:type="spellStart"/>
      <w:r w:rsidRPr="00C513A9">
        <w:rPr>
          <w:rFonts w:ascii="Times New Roman" w:hAnsi="Times New Roman" w:cs="Times New Roman"/>
          <w:bCs w:val="0"/>
          <w:szCs w:val="24"/>
          <w:lang w:val="en-GB"/>
        </w:rPr>
        <w:t>HypoCOMPaSS</w:t>
      </w:r>
      <w:proofErr w:type="spellEnd"/>
      <w:r w:rsidRPr="00C513A9">
        <w:rPr>
          <w:rFonts w:ascii="Times New Roman" w:hAnsi="Times New Roman" w:cs="Times New Roman"/>
          <w:bCs w:val="0"/>
          <w:szCs w:val="24"/>
          <w:lang w:val="en-GB"/>
        </w:rPr>
        <w:t xml:space="preserve"> study was designed to test the hypothesis that successful avoidance of biochemical </w:t>
      </w:r>
      <w:proofErr w:type="spellStart"/>
      <w:r w:rsidRPr="00C513A9">
        <w:rPr>
          <w:rFonts w:ascii="Times New Roman" w:hAnsi="Times New Roman" w:cs="Times New Roman"/>
          <w:bCs w:val="0"/>
          <w:szCs w:val="24"/>
          <w:lang w:val="en-GB"/>
        </w:rPr>
        <w:t>hypoglycemia</w:t>
      </w:r>
      <w:proofErr w:type="spellEnd"/>
      <w:r w:rsidRPr="00C513A9">
        <w:rPr>
          <w:rFonts w:ascii="Times New Roman" w:hAnsi="Times New Roman" w:cs="Times New Roman"/>
          <w:bCs w:val="0"/>
          <w:szCs w:val="24"/>
          <w:lang w:val="en-GB"/>
        </w:rPr>
        <w:t xml:space="preserve"> without compromising overall </w:t>
      </w:r>
      <w:proofErr w:type="spellStart"/>
      <w:r w:rsidRPr="00C513A9">
        <w:rPr>
          <w:rFonts w:ascii="Times New Roman" w:hAnsi="Times New Roman" w:cs="Times New Roman"/>
          <w:bCs w:val="0"/>
          <w:szCs w:val="24"/>
          <w:lang w:val="en-GB"/>
        </w:rPr>
        <w:t>glycemic</w:t>
      </w:r>
      <w:proofErr w:type="spellEnd"/>
      <w:r w:rsidRPr="00C513A9">
        <w:rPr>
          <w:rFonts w:ascii="Times New Roman" w:hAnsi="Times New Roman" w:cs="Times New Roman"/>
          <w:bCs w:val="0"/>
          <w:szCs w:val="24"/>
          <w:lang w:val="en-GB"/>
        </w:rPr>
        <w:t xml:space="preserve"> control would restore sufficient </w:t>
      </w:r>
      <w:proofErr w:type="spellStart"/>
      <w:r w:rsidRPr="00C513A9">
        <w:rPr>
          <w:rFonts w:ascii="Times New Roman" w:hAnsi="Times New Roman" w:cs="Times New Roman"/>
          <w:bCs w:val="0"/>
          <w:szCs w:val="24"/>
          <w:lang w:val="en-GB"/>
        </w:rPr>
        <w:t>hypoglycemia</w:t>
      </w:r>
      <w:proofErr w:type="spellEnd"/>
      <w:r w:rsidRPr="00C513A9">
        <w:rPr>
          <w:rFonts w:ascii="Times New Roman" w:hAnsi="Times New Roman" w:cs="Times New Roman"/>
          <w:bCs w:val="0"/>
          <w:szCs w:val="24"/>
          <w:lang w:val="en-GB"/>
        </w:rPr>
        <w:t xml:space="preserve"> awareness to prevent recurrent severe </w:t>
      </w:r>
      <w:proofErr w:type="spellStart"/>
      <w:r w:rsidRPr="00C513A9">
        <w:rPr>
          <w:rFonts w:ascii="Times New Roman" w:hAnsi="Times New Roman" w:cs="Times New Roman"/>
          <w:bCs w:val="0"/>
          <w:szCs w:val="24"/>
          <w:lang w:val="en-GB"/>
        </w:rPr>
        <w:t>hypoglycemia</w:t>
      </w:r>
      <w:proofErr w:type="spellEnd"/>
      <w:r w:rsidRPr="00C513A9">
        <w:rPr>
          <w:rFonts w:ascii="Times New Roman" w:hAnsi="Times New Roman" w:cs="Times New Roman"/>
          <w:bCs w:val="0"/>
          <w:szCs w:val="24"/>
          <w:lang w:val="en-GB"/>
        </w:rPr>
        <w:t xml:space="preserve"> in the majority of participants with established type 1 diabetes. Before starting the study, we planned to investigate associations between baseline characteristics and recurrent severe </w:t>
      </w:r>
      <w:proofErr w:type="spellStart"/>
      <w:r w:rsidRPr="00C513A9">
        <w:rPr>
          <w:rFonts w:ascii="Times New Roman" w:hAnsi="Times New Roman" w:cs="Times New Roman"/>
          <w:bCs w:val="0"/>
          <w:szCs w:val="24"/>
          <w:lang w:val="en-GB"/>
        </w:rPr>
        <w:t>hypoglycemia</w:t>
      </w:r>
      <w:proofErr w:type="spellEnd"/>
      <w:r w:rsidRPr="00C513A9">
        <w:rPr>
          <w:rFonts w:ascii="Times New Roman" w:hAnsi="Times New Roman" w:cs="Times New Roman"/>
          <w:bCs w:val="0"/>
          <w:szCs w:val="24"/>
          <w:lang w:val="en-GB"/>
        </w:rPr>
        <w:t xml:space="preserve"> over 2 years' follow-up.</w:t>
      </w:r>
    </w:p>
    <w:p w14:paraId="4F0A3A26" w14:textId="117C3942" w:rsidR="004977F7" w:rsidRPr="00F413DB" w:rsidRDefault="004977F7" w:rsidP="0063511A">
      <w:pPr>
        <w:spacing w:line="480" w:lineRule="auto"/>
        <w:jc w:val="both"/>
        <w:outlineLvl w:val="0"/>
        <w:rPr>
          <w:rFonts w:ascii="Times New Roman" w:hAnsi="Times New Roman" w:cs="Times New Roman"/>
          <w:b/>
          <w:bCs w:val="0"/>
          <w:szCs w:val="24"/>
          <w:lang w:val="en-GB"/>
        </w:rPr>
      </w:pPr>
      <w:r w:rsidRPr="00F413DB">
        <w:rPr>
          <w:rFonts w:ascii="Times New Roman" w:hAnsi="Times New Roman" w:cs="Times New Roman"/>
          <w:b/>
          <w:bCs w:val="0"/>
          <w:szCs w:val="24"/>
          <w:lang w:val="en-GB"/>
        </w:rPr>
        <w:t>Research Design and Methods</w:t>
      </w:r>
    </w:p>
    <w:p w14:paraId="3169024A" w14:textId="1D2132CB" w:rsidR="00EF71C7" w:rsidRPr="00F413DB" w:rsidRDefault="00C513A9" w:rsidP="0063511A">
      <w:pPr>
        <w:spacing w:line="480" w:lineRule="auto"/>
        <w:jc w:val="both"/>
        <w:rPr>
          <w:rFonts w:ascii="Times New Roman" w:hAnsi="Times New Roman" w:cs="Times New Roman"/>
          <w:bCs w:val="0"/>
          <w:szCs w:val="24"/>
          <w:lang w:val="en-GB"/>
        </w:rPr>
      </w:pPr>
      <w:r w:rsidRPr="00C513A9">
        <w:rPr>
          <w:rFonts w:ascii="Times New Roman" w:hAnsi="Times New Roman" w:cs="Times New Roman"/>
          <w:bCs w:val="0"/>
          <w:szCs w:val="24"/>
          <w:lang w:val="en-GB"/>
        </w:rPr>
        <w:t xml:space="preserve">A total of 96 adults with type 1 diabetes and impaired awareness of </w:t>
      </w:r>
      <w:proofErr w:type="spellStart"/>
      <w:r w:rsidRPr="00C513A9">
        <w:rPr>
          <w:rFonts w:ascii="Times New Roman" w:hAnsi="Times New Roman" w:cs="Times New Roman"/>
          <w:bCs w:val="0"/>
          <w:szCs w:val="24"/>
          <w:lang w:val="en-GB"/>
        </w:rPr>
        <w:t>hypoglycemia</w:t>
      </w:r>
      <w:proofErr w:type="spellEnd"/>
      <w:r w:rsidRPr="00C513A9">
        <w:rPr>
          <w:rFonts w:ascii="Times New Roman" w:hAnsi="Times New Roman" w:cs="Times New Roman"/>
          <w:bCs w:val="0"/>
          <w:szCs w:val="24"/>
          <w:lang w:val="en-GB"/>
        </w:rPr>
        <w:t xml:space="preserve"> participated in a 24-week 2 × 2 factorial randomized controlled trial comparing insulin delivery and glucose monitoring modalities, with the goal of rigorous biochemical </w:t>
      </w:r>
      <w:proofErr w:type="spellStart"/>
      <w:r w:rsidRPr="00C513A9">
        <w:rPr>
          <w:rFonts w:ascii="Times New Roman" w:hAnsi="Times New Roman" w:cs="Times New Roman"/>
          <w:bCs w:val="0"/>
          <w:szCs w:val="24"/>
          <w:lang w:val="en-GB"/>
        </w:rPr>
        <w:t>hypoglycemia</w:t>
      </w:r>
      <w:proofErr w:type="spellEnd"/>
      <w:r w:rsidRPr="00C513A9">
        <w:rPr>
          <w:rFonts w:ascii="Times New Roman" w:hAnsi="Times New Roman" w:cs="Times New Roman"/>
          <w:bCs w:val="0"/>
          <w:szCs w:val="24"/>
          <w:lang w:val="en-GB"/>
        </w:rPr>
        <w:t xml:space="preserve"> avoidance. The analysis included 71 participants who had experienced severe </w:t>
      </w:r>
      <w:proofErr w:type="spellStart"/>
      <w:r w:rsidRPr="00C513A9">
        <w:rPr>
          <w:rFonts w:ascii="Times New Roman" w:hAnsi="Times New Roman" w:cs="Times New Roman"/>
          <w:bCs w:val="0"/>
          <w:szCs w:val="24"/>
          <w:lang w:val="en-GB"/>
        </w:rPr>
        <w:t>hypoglycemia</w:t>
      </w:r>
      <w:proofErr w:type="spellEnd"/>
      <w:r w:rsidRPr="00C513A9">
        <w:rPr>
          <w:rFonts w:ascii="Times New Roman" w:hAnsi="Times New Roman" w:cs="Times New Roman"/>
          <w:bCs w:val="0"/>
          <w:szCs w:val="24"/>
          <w:lang w:val="en-GB"/>
        </w:rPr>
        <w:t xml:space="preserve"> in the 12-month </w:t>
      </w:r>
      <w:proofErr w:type="spellStart"/>
      <w:r w:rsidRPr="00C513A9">
        <w:rPr>
          <w:rFonts w:ascii="Times New Roman" w:hAnsi="Times New Roman" w:cs="Times New Roman"/>
          <w:bCs w:val="0"/>
          <w:szCs w:val="24"/>
          <w:lang w:val="en-GB"/>
        </w:rPr>
        <w:t>prestudy</w:t>
      </w:r>
      <w:proofErr w:type="spellEnd"/>
      <w:r w:rsidRPr="00C513A9">
        <w:rPr>
          <w:rFonts w:ascii="Times New Roman" w:hAnsi="Times New Roman" w:cs="Times New Roman"/>
          <w:bCs w:val="0"/>
          <w:szCs w:val="24"/>
          <w:lang w:val="en-GB"/>
        </w:rPr>
        <w:t xml:space="preserve"> with confirmed absence (complete responder) or presence (incomplete responder) of severe </w:t>
      </w:r>
      <w:proofErr w:type="spellStart"/>
      <w:r w:rsidRPr="00C513A9">
        <w:rPr>
          <w:rFonts w:ascii="Times New Roman" w:hAnsi="Times New Roman" w:cs="Times New Roman"/>
          <w:bCs w:val="0"/>
          <w:szCs w:val="24"/>
          <w:lang w:val="en-GB"/>
        </w:rPr>
        <w:t>hypoglycemia</w:t>
      </w:r>
      <w:proofErr w:type="spellEnd"/>
      <w:r w:rsidRPr="00C513A9">
        <w:rPr>
          <w:rFonts w:ascii="Times New Roman" w:hAnsi="Times New Roman" w:cs="Times New Roman"/>
          <w:bCs w:val="0"/>
          <w:szCs w:val="24"/>
          <w:lang w:val="en-GB"/>
        </w:rPr>
        <w:t xml:space="preserve"> over 24 months' follow-up.</w:t>
      </w:r>
    </w:p>
    <w:p w14:paraId="47A2E86D" w14:textId="785C3229" w:rsidR="00EF71C7" w:rsidRPr="00F413DB" w:rsidRDefault="00EF71C7" w:rsidP="0063511A">
      <w:pPr>
        <w:spacing w:line="480" w:lineRule="auto"/>
        <w:jc w:val="both"/>
        <w:rPr>
          <w:rFonts w:ascii="Times New Roman" w:hAnsi="Times New Roman" w:cs="Times New Roman"/>
          <w:b/>
          <w:bCs w:val="0"/>
          <w:szCs w:val="24"/>
          <w:lang w:val="en-GB"/>
        </w:rPr>
      </w:pPr>
      <w:r w:rsidRPr="00F413DB">
        <w:rPr>
          <w:rFonts w:ascii="Times New Roman" w:hAnsi="Times New Roman" w:cs="Times New Roman"/>
          <w:b/>
          <w:bCs w:val="0"/>
          <w:szCs w:val="24"/>
          <w:lang w:val="en-GB"/>
        </w:rPr>
        <w:t>Results</w:t>
      </w:r>
    </w:p>
    <w:p w14:paraId="6ED4E815" w14:textId="77777777" w:rsidR="00C513A9" w:rsidRDefault="00C513A9" w:rsidP="00C513A9">
      <w:pPr>
        <w:spacing w:line="480" w:lineRule="auto"/>
        <w:jc w:val="both"/>
        <w:outlineLvl w:val="0"/>
        <w:rPr>
          <w:rFonts w:ascii="Times New Roman" w:hAnsi="Times New Roman" w:cs="Times New Roman"/>
          <w:bCs w:val="0"/>
          <w:szCs w:val="24"/>
          <w:lang w:val="en-GB"/>
        </w:rPr>
      </w:pPr>
      <w:r w:rsidRPr="00C513A9">
        <w:rPr>
          <w:rFonts w:ascii="Times New Roman" w:hAnsi="Times New Roman" w:cs="Times New Roman"/>
          <w:bCs w:val="0"/>
          <w:szCs w:val="24"/>
          <w:lang w:val="en-GB"/>
        </w:rPr>
        <w:t xml:space="preserve">There were 43 (61%) complete responders and 28 (39%) incomplete responders experiencing mean ± SD 1.5 ± 1.0 severe </w:t>
      </w:r>
      <w:proofErr w:type="spellStart"/>
      <w:r w:rsidRPr="00C513A9">
        <w:rPr>
          <w:rFonts w:ascii="Times New Roman" w:hAnsi="Times New Roman" w:cs="Times New Roman"/>
          <w:bCs w:val="0"/>
          <w:szCs w:val="24"/>
          <w:lang w:val="en-GB"/>
        </w:rPr>
        <w:t>hypoglycemia</w:t>
      </w:r>
      <w:proofErr w:type="spellEnd"/>
      <w:r w:rsidRPr="00C513A9">
        <w:rPr>
          <w:rFonts w:ascii="Times New Roman" w:hAnsi="Times New Roman" w:cs="Times New Roman"/>
          <w:bCs w:val="0"/>
          <w:szCs w:val="24"/>
          <w:lang w:val="en-GB"/>
        </w:rPr>
        <w:t xml:space="preserve"> events/person-year. At 24 months, incomplete responders spent no more time with glucose ≤3 </w:t>
      </w:r>
      <w:proofErr w:type="spellStart"/>
      <w:r w:rsidRPr="00C513A9">
        <w:rPr>
          <w:rFonts w:ascii="Times New Roman" w:hAnsi="Times New Roman" w:cs="Times New Roman"/>
          <w:bCs w:val="0"/>
          <w:szCs w:val="24"/>
          <w:lang w:val="en-GB"/>
        </w:rPr>
        <w:t>mmol</w:t>
      </w:r>
      <w:proofErr w:type="spellEnd"/>
      <w:r w:rsidRPr="00C513A9">
        <w:rPr>
          <w:rFonts w:ascii="Times New Roman" w:hAnsi="Times New Roman" w:cs="Times New Roman"/>
          <w:bCs w:val="0"/>
          <w:szCs w:val="24"/>
          <w:lang w:val="en-GB"/>
        </w:rPr>
        <w:t xml:space="preserve">/L (1.4 ± 2.1% vs. 3.0 ± 4.8% for complete responders; P = 0.26), with lower total daily insulin dose (0.45 vs. 0.58 units/24 h; P = 0.01) and greater impairment of </w:t>
      </w:r>
      <w:proofErr w:type="spellStart"/>
      <w:r w:rsidRPr="00C513A9">
        <w:rPr>
          <w:rFonts w:ascii="Times New Roman" w:hAnsi="Times New Roman" w:cs="Times New Roman"/>
          <w:bCs w:val="0"/>
          <w:szCs w:val="24"/>
          <w:lang w:val="en-GB"/>
        </w:rPr>
        <w:t>hypoglycemia</w:t>
      </w:r>
      <w:proofErr w:type="spellEnd"/>
      <w:r w:rsidRPr="00C513A9">
        <w:rPr>
          <w:rFonts w:ascii="Times New Roman" w:hAnsi="Times New Roman" w:cs="Times New Roman"/>
          <w:bCs w:val="0"/>
          <w:szCs w:val="24"/>
          <w:lang w:val="en-GB"/>
        </w:rPr>
        <w:t xml:space="preserve"> awareness (Clarke score: 3.8 ± 2.2 vs. 2.0 ± 1.9; P = 0.01). Baseline severe </w:t>
      </w:r>
      <w:proofErr w:type="spellStart"/>
      <w:r w:rsidRPr="00C513A9">
        <w:rPr>
          <w:rFonts w:ascii="Times New Roman" w:hAnsi="Times New Roman" w:cs="Times New Roman"/>
          <w:bCs w:val="0"/>
          <w:szCs w:val="24"/>
          <w:lang w:val="en-GB"/>
        </w:rPr>
        <w:t>hypoglycemia</w:t>
      </w:r>
      <w:proofErr w:type="spellEnd"/>
      <w:r w:rsidRPr="00C513A9">
        <w:rPr>
          <w:rFonts w:ascii="Times New Roman" w:hAnsi="Times New Roman" w:cs="Times New Roman"/>
          <w:bCs w:val="0"/>
          <w:szCs w:val="24"/>
          <w:lang w:val="en-GB"/>
        </w:rPr>
        <w:t xml:space="preserve"> rate (16.9 ± 16.3 vs. 6.4 ± 10.8 events/person-year; P = 0.002) and fear of </w:t>
      </w:r>
      <w:proofErr w:type="spellStart"/>
      <w:r w:rsidRPr="00C513A9">
        <w:rPr>
          <w:rFonts w:ascii="Times New Roman" w:hAnsi="Times New Roman" w:cs="Times New Roman"/>
          <w:bCs w:val="0"/>
          <w:szCs w:val="24"/>
          <w:lang w:val="en-GB"/>
        </w:rPr>
        <w:t>hypoglycemia</w:t>
      </w:r>
      <w:proofErr w:type="spellEnd"/>
      <w:r w:rsidRPr="00C513A9">
        <w:rPr>
          <w:rFonts w:ascii="Times New Roman" w:hAnsi="Times New Roman" w:cs="Times New Roman"/>
          <w:bCs w:val="0"/>
          <w:szCs w:val="24"/>
          <w:lang w:val="en-GB"/>
        </w:rPr>
        <w:t xml:space="preserve"> were higher in incomplete responders. Peripheral neuropathy was more prevalent in incomplete responders (11 [39%] vs. 2 [4.7%]; P &lt; 0.001) with a trend toward increased autonomic neuropathy.</w:t>
      </w:r>
    </w:p>
    <w:p w14:paraId="54D2F69D" w14:textId="6A4832E2" w:rsidR="00495EDA" w:rsidRPr="00F413DB" w:rsidRDefault="00495EDA" w:rsidP="00495EDA">
      <w:pPr>
        <w:spacing w:line="480" w:lineRule="auto"/>
        <w:outlineLvl w:val="0"/>
        <w:rPr>
          <w:rFonts w:ascii="Times New Roman" w:hAnsi="Times New Roman" w:cs="Times New Roman"/>
          <w:b/>
          <w:bCs w:val="0"/>
          <w:szCs w:val="24"/>
          <w:lang w:val="en-GB"/>
        </w:rPr>
      </w:pPr>
      <w:r w:rsidRPr="00F413DB">
        <w:rPr>
          <w:rFonts w:ascii="Times New Roman" w:hAnsi="Times New Roman" w:cs="Times New Roman"/>
          <w:b/>
          <w:bCs w:val="0"/>
          <w:szCs w:val="24"/>
          <w:lang w:val="en-GB"/>
        </w:rPr>
        <w:t>Conclusions</w:t>
      </w:r>
    </w:p>
    <w:p w14:paraId="09C9E6AD" w14:textId="77777777" w:rsidR="00C513A9" w:rsidRDefault="00C513A9" w:rsidP="003F7FED">
      <w:pPr>
        <w:spacing w:line="480" w:lineRule="auto"/>
        <w:jc w:val="both"/>
        <w:rPr>
          <w:rFonts w:ascii="Times New Roman" w:hAnsi="Times New Roman" w:cs="Times New Roman"/>
          <w:bCs w:val="0"/>
          <w:szCs w:val="24"/>
          <w:lang w:val="en-GB"/>
        </w:rPr>
      </w:pPr>
      <w:r w:rsidRPr="00C513A9">
        <w:rPr>
          <w:rFonts w:ascii="Times New Roman" w:hAnsi="Times New Roman" w:cs="Times New Roman"/>
          <w:bCs w:val="0"/>
          <w:szCs w:val="24"/>
          <w:lang w:val="en-GB"/>
        </w:rPr>
        <w:t xml:space="preserve">Recurrent severe </w:t>
      </w:r>
      <w:proofErr w:type="spellStart"/>
      <w:r w:rsidRPr="00C513A9">
        <w:rPr>
          <w:rFonts w:ascii="Times New Roman" w:hAnsi="Times New Roman" w:cs="Times New Roman"/>
          <w:bCs w:val="0"/>
          <w:szCs w:val="24"/>
          <w:lang w:val="en-GB"/>
        </w:rPr>
        <w:t>hypoglycemia</w:t>
      </w:r>
      <w:proofErr w:type="spellEnd"/>
      <w:r w:rsidRPr="00C513A9">
        <w:rPr>
          <w:rFonts w:ascii="Times New Roman" w:hAnsi="Times New Roman" w:cs="Times New Roman"/>
          <w:bCs w:val="0"/>
          <w:szCs w:val="24"/>
          <w:lang w:val="en-GB"/>
        </w:rPr>
        <w:t xml:space="preserve"> was associated with higher </w:t>
      </w:r>
      <w:proofErr w:type="spellStart"/>
      <w:r w:rsidRPr="00C513A9">
        <w:rPr>
          <w:rFonts w:ascii="Times New Roman" w:hAnsi="Times New Roman" w:cs="Times New Roman"/>
          <w:bCs w:val="0"/>
          <w:szCs w:val="24"/>
          <w:lang w:val="en-GB"/>
        </w:rPr>
        <w:t>preintervention</w:t>
      </w:r>
      <w:proofErr w:type="spellEnd"/>
      <w:r w:rsidRPr="00C513A9">
        <w:rPr>
          <w:rFonts w:ascii="Times New Roman" w:hAnsi="Times New Roman" w:cs="Times New Roman"/>
          <w:bCs w:val="0"/>
          <w:szCs w:val="24"/>
          <w:lang w:val="en-GB"/>
        </w:rPr>
        <w:t xml:space="preserve"> severe </w:t>
      </w:r>
      <w:proofErr w:type="spellStart"/>
      <w:r w:rsidRPr="00C513A9">
        <w:rPr>
          <w:rFonts w:ascii="Times New Roman" w:hAnsi="Times New Roman" w:cs="Times New Roman"/>
          <w:bCs w:val="0"/>
          <w:szCs w:val="24"/>
          <w:lang w:val="en-GB"/>
        </w:rPr>
        <w:t>hypoglycemia</w:t>
      </w:r>
      <w:proofErr w:type="spellEnd"/>
      <w:r w:rsidRPr="00C513A9">
        <w:rPr>
          <w:rFonts w:ascii="Times New Roman" w:hAnsi="Times New Roman" w:cs="Times New Roman"/>
          <w:bCs w:val="0"/>
          <w:szCs w:val="24"/>
          <w:lang w:val="en-GB"/>
        </w:rPr>
        <w:t xml:space="preserve"> rate, fear of </w:t>
      </w:r>
      <w:proofErr w:type="spellStart"/>
      <w:r w:rsidRPr="00C513A9">
        <w:rPr>
          <w:rFonts w:ascii="Times New Roman" w:hAnsi="Times New Roman" w:cs="Times New Roman"/>
          <w:bCs w:val="0"/>
          <w:szCs w:val="24"/>
          <w:lang w:val="en-GB"/>
        </w:rPr>
        <w:t>hypoglycemia</w:t>
      </w:r>
      <w:proofErr w:type="spellEnd"/>
      <w:r w:rsidRPr="00C513A9">
        <w:rPr>
          <w:rFonts w:ascii="Times New Roman" w:hAnsi="Times New Roman" w:cs="Times New Roman"/>
          <w:bCs w:val="0"/>
          <w:szCs w:val="24"/>
          <w:lang w:val="en-GB"/>
        </w:rPr>
        <w:t>, and concomitant neuropathy.</w:t>
      </w:r>
    </w:p>
    <w:p w14:paraId="1949B3B5" w14:textId="526863CF" w:rsidR="0015346C" w:rsidRPr="00F413DB" w:rsidRDefault="00527C9D" w:rsidP="003F7FED">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lastRenderedPageBreak/>
        <w:t xml:space="preserve">Severe </w:t>
      </w:r>
      <w:proofErr w:type="spellStart"/>
      <w:r w:rsidRPr="00F413DB">
        <w:rPr>
          <w:rFonts w:ascii="Times New Roman" w:hAnsi="Times New Roman" w:cs="Times New Roman"/>
          <w:bCs w:val="0"/>
          <w:szCs w:val="24"/>
          <w:lang w:val="en-GB"/>
        </w:rPr>
        <w:t>hypoglyc</w:t>
      </w:r>
      <w:r w:rsidR="00C97386" w:rsidRPr="00F413DB">
        <w:rPr>
          <w:rFonts w:ascii="Times New Roman" w:hAnsi="Times New Roman" w:cs="Times New Roman"/>
          <w:bCs w:val="0"/>
          <w:szCs w:val="24"/>
          <w:lang w:val="en-GB"/>
        </w:rPr>
        <w:t>emia</w:t>
      </w:r>
      <w:proofErr w:type="spellEnd"/>
      <w:r w:rsidR="00C97386" w:rsidRPr="00F413DB">
        <w:rPr>
          <w:rFonts w:ascii="Times New Roman" w:hAnsi="Times New Roman" w:cs="Times New Roman"/>
          <w:bCs w:val="0"/>
          <w:szCs w:val="24"/>
          <w:lang w:val="en-GB"/>
        </w:rPr>
        <w:t xml:space="preserve"> requiring the assistance of another person </w:t>
      </w:r>
      <w:r w:rsidR="00004FEA" w:rsidRPr="00F413DB">
        <w:rPr>
          <w:rFonts w:ascii="Times New Roman" w:hAnsi="Times New Roman" w:cs="Times New Roman"/>
          <w:bCs w:val="0"/>
          <w:szCs w:val="24"/>
          <w:lang w:val="en-GB"/>
        </w:rPr>
        <w:t>for recovery</w:t>
      </w:r>
      <w:r w:rsidR="00CC5162" w:rsidRPr="00F413DB">
        <w:rPr>
          <w:rFonts w:ascii="Times New Roman" w:hAnsi="Times New Roman" w:cs="Times New Roman"/>
          <w:bCs w:val="0"/>
          <w:szCs w:val="24"/>
          <w:lang w:val="en-GB"/>
        </w:rPr>
        <w:t xml:space="preserve"> </w:t>
      </w:r>
      <w:r w:rsidR="0015346C" w:rsidRPr="00F413DB">
        <w:rPr>
          <w:rFonts w:ascii="Times New Roman" w:hAnsi="Times New Roman" w:cs="Times New Roman"/>
          <w:bCs w:val="0"/>
          <w:szCs w:val="24"/>
          <w:lang w:val="en-GB"/>
        </w:rPr>
        <w:t>was reported as a dangerous potential consequence of insulin therapy within a few months of its clinical implementation</w:t>
      </w:r>
      <w:r w:rsidR="00AB3DD8" w:rsidRPr="00F413DB">
        <w:rPr>
          <w:rFonts w:ascii="Times New Roman" w:hAnsi="Times New Roman" w:cs="Times New Roman"/>
          <w:bCs w:val="0"/>
          <w:szCs w:val="24"/>
          <w:lang w:val="en-GB"/>
        </w:rPr>
        <w:t xml:space="preserve"> almost a century ago</w:t>
      </w:r>
      <w:r w:rsidR="0015346C" w:rsidRPr="00F413DB">
        <w:rPr>
          <w:rFonts w:ascii="Times New Roman" w:hAnsi="Times New Roman" w:cs="Times New Roman"/>
          <w:bCs w:val="0"/>
          <w:szCs w:val="24"/>
          <w:lang w:val="en-GB"/>
        </w:rPr>
        <w:t>. It affect</w:t>
      </w:r>
      <w:r w:rsidR="0021781C" w:rsidRPr="00F413DB">
        <w:rPr>
          <w:rFonts w:ascii="Times New Roman" w:hAnsi="Times New Roman" w:cs="Times New Roman"/>
          <w:bCs w:val="0"/>
          <w:szCs w:val="24"/>
          <w:lang w:val="en-GB"/>
        </w:rPr>
        <w:t>s</w:t>
      </w:r>
      <w:r w:rsidR="0015346C" w:rsidRPr="00F413DB">
        <w:rPr>
          <w:rFonts w:ascii="Times New Roman" w:hAnsi="Times New Roman" w:cs="Times New Roman"/>
          <w:bCs w:val="0"/>
          <w:szCs w:val="24"/>
          <w:lang w:val="en-GB"/>
        </w:rPr>
        <w:t xml:space="preserve"> </w:t>
      </w:r>
      <w:r w:rsidR="00ED66D7" w:rsidRPr="00F413DB">
        <w:rPr>
          <w:rFonts w:ascii="Times New Roman" w:hAnsi="Times New Roman" w:cs="Times New Roman"/>
          <w:bCs w:val="0"/>
          <w:szCs w:val="24"/>
          <w:lang w:val="en-GB"/>
        </w:rPr>
        <w:t xml:space="preserve">up to 50% </w:t>
      </w:r>
      <w:r w:rsidR="0015346C" w:rsidRPr="00F413DB">
        <w:rPr>
          <w:rFonts w:ascii="Times New Roman" w:hAnsi="Times New Roman" w:cs="Times New Roman"/>
          <w:bCs w:val="0"/>
          <w:szCs w:val="24"/>
          <w:lang w:val="en-GB"/>
        </w:rPr>
        <w:t>of those with long-standing type 1 diabetes every year</w:t>
      </w:r>
      <w:r w:rsidR="00B2624B" w:rsidRPr="00F413DB">
        <w:rPr>
          <w:rFonts w:ascii="Times New Roman" w:hAnsi="Times New Roman" w:cs="Times New Roman"/>
          <w:bCs w:val="0"/>
          <w:szCs w:val="24"/>
          <w:lang w:val="en-GB"/>
        </w:rPr>
        <w:t xml:space="preserve"> and may occur </w:t>
      </w:r>
      <w:r w:rsidR="0015346C" w:rsidRPr="00F413DB">
        <w:rPr>
          <w:rFonts w:ascii="Times New Roman" w:hAnsi="Times New Roman" w:cs="Times New Roman"/>
          <w:bCs w:val="0"/>
          <w:szCs w:val="24"/>
          <w:lang w:val="en-GB"/>
        </w:rPr>
        <w:t xml:space="preserve">regardless of overall </w:t>
      </w:r>
      <w:proofErr w:type="spellStart"/>
      <w:r w:rsidR="0015346C" w:rsidRPr="00F413DB">
        <w:rPr>
          <w:rFonts w:ascii="Times New Roman" w:hAnsi="Times New Roman" w:cs="Times New Roman"/>
          <w:bCs w:val="0"/>
          <w:szCs w:val="24"/>
          <w:lang w:val="en-GB"/>
        </w:rPr>
        <w:t>glycemi</w:t>
      </w:r>
      <w:r w:rsidR="00845BF4">
        <w:rPr>
          <w:rFonts w:ascii="Times New Roman" w:hAnsi="Times New Roman" w:cs="Times New Roman"/>
          <w:bCs w:val="0"/>
          <w:szCs w:val="24"/>
          <w:lang w:val="en-GB"/>
        </w:rPr>
        <w:t>a</w:t>
      </w:r>
      <w:proofErr w:type="spellEnd"/>
      <w:r w:rsidR="00845BF4">
        <w:rPr>
          <w:rFonts w:ascii="Times New Roman" w:hAnsi="Times New Roman" w:cs="Times New Roman"/>
          <w:bCs w:val="0"/>
          <w:szCs w:val="24"/>
          <w:lang w:val="en-GB"/>
        </w:rPr>
        <w:t xml:space="preserve">, </w:t>
      </w:r>
      <w:r w:rsidR="0015346C" w:rsidRPr="00F413DB">
        <w:rPr>
          <w:rFonts w:ascii="Times New Roman" w:hAnsi="Times New Roman" w:cs="Times New Roman"/>
          <w:bCs w:val="0"/>
          <w:szCs w:val="24"/>
          <w:lang w:val="en-GB"/>
        </w:rPr>
        <w:t>measured by HbA1c</w:t>
      </w:r>
      <w:r w:rsidR="001737C7" w:rsidRPr="00F413DB">
        <w:rPr>
          <w:rFonts w:ascii="Times New Roman" w:hAnsi="Times New Roman" w:cs="Times New Roman"/>
          <w:bCs w:val="0"/>
          <w:szCs w:val="24"/>
          <w:lang w:val="en-GB"/>
        </w:rPr>
        <w:t xml:space="preserve"> (1,2)</w:t>
      </w:r>
      <w:r w:rsidR="00E96BD4" w:rsidRPr="00F413DB">
        <w:rPr>
          <w:rFonts w:ascii="Times New Roman" w:hAnsi="Times New Roman" w:cs="Times New Roman"/>
          <w:bCs w:val="0"/>
          <w:szCs w:val="24"/>
          <w:lang w:val="en-GB"/>
        </w:rPr>
        <w:t xml:space="preserve">. </w:t>
      </w:r>
    </w:p>
    <w:p w14:paraId="3536E056" w14:textId="3D0901A3" w:rsidR="0015346C" w:rsidRDefault="0015346C" w:rsidP="003F7FED">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Avoidance of </w:t>
      </w:r>
      <w:r w:rsidR="00B513BD" w:rsidRPr="00F413DB">
        <w:rPr>
          <w:rFonts w:ascii="Times New Roman" w:hAnsi="Times New Roman" w:cs="Times New Roman"/>
          <w:bCs w:val="0"/>
          <w:szCs w:val="24"/>
          <w:lang w:val="en-GB"/>
        </w:rPr>
        <w:t xml:space="preserve">serious </w:t>
      </w:r>
      <w:r w:rsidRPr="00F413DB">
        <w:rPr>
          <w:rFonts w:ascii="Times New Roman" w:hAnsi="Times New Roman" w:cs="Times New Roman"/>
          <w:bCs w:val="0"/>
          <w:szCs w:val="24"/>
          <w:lang w:val="en-GB"/>
        </w:rPr>
        <w:t xml:space="preserve">clinically important biochemical </w:t>
      </w:r>
      <w:proofErr w:type="spellStart"/>
      <w:r w:rsidRPr="00F413DB">
        <w:rPr>
          <w:rFonts w:ascii="Times New Roman" w:hAnsi="Times New Roman" w:cs="Times New Roman"/>
          <w:bCs w:val="0"/>
          <w:szCs w:val="24"/>
          <w:lang w:val="en-GB"/>
        </w:rPr>
        <w:t>h</w:t>
      </w:r>
      <w:r w:rsidR="00527C9D" w:rsidRPr="00F413DB">
        <w:rPr>
          <w:rFonts w:ascii="Times New Roman" w:hAnsi="Times New Roman" w:cs="Times New Roman"/>
          <w:bCs w:val="0"/>
          <w:szCs w:val="24"/>
          <w:lang w:val="en-GB"/>
        </w:rPr>
        <w:t>ypoglyc</w:t>
      </w:r>
      <w:r w:rsidRPr="00F413DB">
        <w:rPr>
          <w:rFonts w:ascii="Times New Roman" w:hAnsi="Times New Roman" w:cs="Times New Roman"/>
          <w:bCs w:val="0"/>
          <w:szCs w:val="24"/>
          <w:lang w:val="en-GB"/>
        </w:rPr>
        <w:t>emia</w:t>
      </w:r>
      <w:proofErr w:type="spellEnd"/>
      <w:r w:rsidRPr="00F413DB">
        <w:rPr>
          <w:rFonts w:ascii="Times New Roman" w:hAnsi="Times New Roman" w:cs="Times New Roman"/>
          <w:bCs w:val="0"/>
          <w:szCs w:val="24"/>
          <w:lang w:val="en-GB"/>
        </w:rPr>
        <w:t xml:space="preserve"> </w:t>
      </w:r>
      <w:r w:rsidR="00B513BD" w:rsidRPr="00F413DB">
        <w:rPr>
          <w:rFonts w:ascii="Times New Roman" w:hAnsi="Times New Roman" w:cs="Times New Roman"/>
          <w:bCs w:val="0"/>
          <w:szCs w:val="24"/>
          <w:lang w:val="en-GB"/>
        </w:rPr>
        <w:t>(</w:t>
      </w:r>
      <w:r w:rsidR="004A191A" w:rsidRPr="00F413DB">
        <w:rPr>
          <w:rFonts w:ascii="Times New Roman" w:hAnsi="Times New Roman" w:cs="Times New Roman"/>
          <w:bCs w:val="0"/>
          <w:szCs w:val="24"/>
          <w:lang w:val="en-GB"/>
        </w:rPr>
        <w:t xml:space="preserve">&lt;3 </w:t>
      </w:r>
      <w:proofErr w:type="spellStart"/>
      <w:r w:rsidR="00B513BD" w:rsidRPr="00F413DB">
        <w:rPr>
          <w:rFonts w:ascii="Times New Roman" w:hAnsi="Times New Roman" w:cs="Times New Roman"/>
          <w:bCs w:val="0"/>
          <w:szCs w:val="24"/>
          <w:lang w:val="en-GB"/>
        </w:rPr>
        <w:t>mmol</w:t>
      </w:r>
      <w:proofErr w:type="spellEnd"/>
      <w:r w:rsidR="00B513BD" w:rsidRPr="00F413DB">
        <w:rPr>
          <w:rFonts w:ascii="Times New Roman" w:hAnsi="Times New Roman" w:cs="Times New Roman"/>
          <w:bCs w:val="0"/>
          <w:szCs w:val="24"/>
          <w:lang w:val="en-GB"/>
        </w:rPr>
        <w:t>/</w:t>
      </w:r>
      <w:r w:rsidR="00C27E90" w:rsidRPr="00F413DB">
        <w:rPr>
          <w:rFonts w:ascii="Times New Roman" w:hAnsi="Times New Roman" w:cs="Times New Roman"/>
          <w:bCs w:val="0"/>
          <w:szCs w:val="24"/>
          <w:lang w:val="en-GB"/>
        </w:rPr>
        <w:t>l</w:t>
      </w:r>
      <w:r w:rsidR="00B513BD" w:rsidRPr="00F413DB">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is increasingly being targeted in trials of education, technology, immunotherapy and transplantation in type 1 diabetes</w:t>
      </w:r>
      <w:r w:rsidR="001737C7" w:rsidRPr="00F413DB">
        <w:rPr>
          <w:rFonts w:ascii="Times New Roman" w:hAnsi="Times New Roman" w:cs="Times New Roman"/>
          <w:bCs w:val="0"/>
          <w:szCs w:val="24"/>
          <w:lang w:val="en-GB"/>
        </w:rPr>
        <w:t xml:space="preserve"> (3)</w:t>
      </w:r>
      <w:r w:rsidR="00900338" w:rsidRPr="00F413DB">
        <w:rPr>
          <w:rFonts w:ascii="Times New Roman" w:hAnsi="Times New Roman" w:cs="Times New Roman"/>
          <w:bCs w:val="0"/>
          <w:szCs w:val="24"/>
          <w:lang w:val="en-GB"/>
        </w:rPr>
        <w:t xml:space="preserve">. This is leading to </w:t>
      </w:r>
      <w:r w:rsidRPr="00F413DB">
        <w:rPr>
          <w:rFonts w:ascii="Times New Roman" w:hAnsi="Times New Roman" w:cs="Times New Roman"/>
          <w:bCs w:val="0"/>
          <w:szCs w:val="24"/>
          <w:lang w:val="en-GB"/>
        </w:rPr>
        <w:t>rapidly accruing evidence for successful reduction in s</w:t>
      </w:r>
      <w:r w:rsidR="00527C9D" w:rsidRPr="00F413DB">
        <w:rPr>
          <w:rFonts w:ascii="Times New Roman" w:hAnsi="Times New Roman" w:cs="Times New Roman"/>
          <w:bCs w:val="0"/>
          <w:szCs w:val="24"/>
          <w:lang w:val="en-GB"/>
        </w:rPr>
        <w:t xml:space="preserve">evere </w:t>
      </w:r>
      <w:proofErr w:type="spellStart"/>
      <w:r w:rsidR="00527C9D" w:rsidRPr="00F413DB">
        <w:rPr>
          <w:rFonts w:ascii="Times New Roman" w:hAnsi="Times New Roman" w:cs="Times New Roman"/>
          <w:bCs w:val="0"/>
          <w:szCs w:val="24"/>
          <w:lang w:val="en-GB"/>
        </w:rPr>
        <w:t>hypoglyc</w:t>
      </w:r>
      <w:r w:rsidR="00B513BD" w:rsidRPr="00F413DB">
        <w:rPr>
          <w:rFonts w:ascii="Times New Roman" w:hAnsi="Times New Roman" w:cs="Times New Roman"/>
          <w:bCs w:val="0"/>
          <w:szCs w:val="24"/>
          <w:lang w:val="en-GB"/>
        </w:rPr>
        <w:t>emia</w:t>
      </w:r>
      <w:proofErr w:type="spellEnd"/>
      <w:r w:rsidR="00900338" w:rsidRPr="00F413DB">
        <w:rPr>
          <w:rFonts w:ascii="Times New Roman" w:hAnsi="Times New Roman" w:cs="Times New Roman"/>
          <w:bCs w:val="0"/>
          <w:szCs w:val="24"/>
          <w:lang w:val="en-GB"/>
        </w:rPr>
        <w:t xml:space="preserve"> </w:t>
      </w:r>
      <w:r w:rsidR="00845BF4">
        <w:rPr>
          <w:rFonts w:ascii="Times New Roman" w:hAnsi="Times New Roman" w:cs="Times New Roman"/>
          <w:bCs w:val="0"/>
          <w:szCs w:val="24"/>
          <w:lang w:val="en-GB"/>
        </w:rPr>
        <w:t>following</w:t>
      </w:r>
      <w:r w:rsidR="00845BF4" w:rsidRPr="00F413DB">
        <w:rPr>
          <w:rFonts w:ascii="Times New Roman" w:hAnsi="Times New Roman" w:cs="Times New Roman"/>
          <w:bCs w:val="0"/>
          <w:szCs w:val="24"/>
          <w:lang w:val="en-GB"/>
        </w:rPr>
        <w:t xml:space="preserve"> </w:t>
      </w:r>
      <w:r w:rsidR="00900338" w:rsidRPr="00F413DB">
        <w:rPr>
          <w:rFonts w:ascii="Times New Roman" w:hAnsi="Times New Roman" w:cs="Times New Roman"/>
          <w:bCs w:val="0"/>
          <w:szCs w:val="24"/>
          <w:lang w:val="en-GB"/>
        </w:rPr>
        <w:t>both education</w:t>
      </w:r>
      <w:r w:rsidR="001737C7" w:rsidRPr="00F413DB">
        <w:rPr>
          <w:rFonts w:ascii="Times New Roman" w:hAnsi="Times New Roman" w:cs="Times New Roman"/>
          <w:bCs w:val="0"/>
          <w:szCs w:val="24"/>
          <w:lang w:val="en-GB"/>
        </w:rPr>
        <w:t xml:space="preserve"> (4)</w:t>
      </w:r>
      <w:r w:rsidR="009B1924" w:rsidRPr="00F413DB">
        <w:rPr>
          <w:rFonts w:ascii="Times New Roman" w:hAnsi="Times New Roman" w:cs="Times New Roman"/>
          <w:bCs w:val="0"/>
          <w:szCs w:val="24"/>
          <w:lang w:val="en-GB"/>
        </w:rPr>
        <w:t xml:space="preserve"> </w:t>
      </w:r>
      <w:r w:rsidR="00741152" w:rsidRPr="00F413DB">
        <w:rPr>
          <w:rFonts w:ascii="Times New Roman" w:hAnsi="Times New Roman" w:cs="Times New Roman"/>
          <w:bCs w:val="0"/>
          <w:szCs w:val="24"/>
          <w:lang w:val="en-GB"/>
        </w:rPr>
        <w:t>and technology</w:t>
      </w:r>
      <w:r w:rsidR="00845BF4">
        <w:rPr>
          <w:rFonts w:ascii="Times New Roman" w:hAnsi="Times New Roman" w:cs="Times New Roman"/>
          <w:bCs w:val="0"/>
          <w:szCs w:val="24"/>
          <w:lang w:val="en-GB"/>
        </w:rPr>
        <w:t xml:space="preserve"> interventions</w:t>
      </w:r>
      <w:r w:rsidR="001737C7" w:rsidRPr="00F413DB">
        <w:rPr>
          <w:rFonts w:ascii="Times New Roman" w:hAnsi="Times New Roman" w:cs="Times New Roman"/>
          <w:bCs w:val="0"/>
          <w:szCs w:val="24"/>
          <w:lang w:val="en-GB"/>
        </w:rPr>
        <w:t xml:space="preserve"> (5</w:t>
      </w:r>
      <w:proofErr w:type="gramStart"/>
      <w:r w:rsidR="001737C7" w:rsidRPr="00F413DB">
        <w:rPr>
          <w:rFonts w:ascii="Times New Roman" w:hAnsi="Times New Roman" w:cs="Times New Roman"/>
          <w:bCs w:val="0"/>
          <w:szCs w:val="24"/>
          <w:lang w:val="en-GB"/>
        </w:rPr>
        <w:t>,6</w:t>
      </w:r>
      <w:proofErr w:type="gramEnd"/>
      <w:r w:rsidR="001737C7" w:rsidRPr="00F413DB">
        <w:rPr>
          <w:rFonts w:ascii="Times New Roman" w:hAnsi="Times New Roman" w:cs="Times New Roman"/>
          <w:bCs w:val="0"/>
          <w:szCs w:val="24"/>
          <w:lang w:val="en-GB"/>
        </w:rPr>
        <w:t>)</w:t>
      </w:r>
      <w:r w:rsidR="00845BF4">
        <w:rPr>
          <w:rFonts w:ascii="Times New Roman" w:hAnsi="Times New Roman" w:cs="Times New Roman"/>
          <w:bCs w:val="0"/>
          <w:szCs w:val="24"/>
          <w:lang w:val="en-GB"/>
        </w:rPr>
        <w:t>,</w:t>
      </w:r>
      <w:r w:rsidR="00741152" w:rsidRPr="00F413DB">
        <w:rPr>
          <w:rFonts w:ascii="Times New Roman" w:hAnsi="Times New Roman" w:cs="Times New Roman"/>
          <w:bCs w:val="0"/>
          <w:szCs w:val="24"/>
          <w:vertAlign w:val="superscript"/>
          <w:lang w:val="en-GB"/>
        </w:rPr>
        <w:t xml:space="preserve"> </w:t>
      </w:r>
      <w:r w:rsidR="00900338" w:rsidRPr="00F413DB">
        <w:rPr>
          <w:rFonts w:ascii="Times New Roman" w:hAnsi="Times New Roman" w:cs="Times New Roman"/>
          <w:bCs w:val="0"/>
          <w:szCs w:val="24"/>
          <w:lang w:val="en-GB"/>
        </w:rPr>
        <w:t xml:space="preserve">so that </w:t>
      </w:r>
      <w:r w:rsidR="00B513BD" w:rsidRPr="00F413DB">
        <w:rPr>
          <w:rFonts w:ascii="Times New Roman" w:hAnsi="Times New Roman" w:cs="Times New Roman"/>
          <w:bCs w:val="0"/>
          <w:szCs w:val="24"/>
          <w:lang w:val="en-GB"/>
        </w:rPr>
        <w:t xml:space="preserve">severe </w:t>
      </w:r>
      <w:proofErr w:type="spellStart"/>
      <w:r w:rsidR="00B513BD" w:rsidRPr="00F413DB">
        <w:rPr>
          <w:rFonts w:ascii="Times New Roman" w:hAnsi="Times New Roman" w:cs="Times New Roman"/>
          <w:bCs w:val="0"/>
          <w:szCs w:val="24"/>
          <w:lang w:val="en-GB"/>
        </w:rPr>
        <w:t>hypoglycemia</w:t>
      </w:r>
      <w:proofErr w:type="spellEnd"/>
      <w:r w:rsidR="006F0D06" w:rsidRPr="00F413DB">
        <w:rPr>
          <w:rFonts w:ascii="Times New Roman" w:hAnsi="Times New Roman" w:cs="Times New Roman"/>
          <w:bCs w:val="0"/>
          <w:szCs w:val="24"/>
          <w:lang w:val="en-GB"/>
        </w:rPr>
        <w:t xml:space="preserve"> should no longer be accepted as an inevitable consequence of </w:t>
      </w:r>
      <w:r w:rsidR="00900338" w:rsidRPr="00F413DB">
        <w:rPr>
          <w:rFonts w:ascii="Times New Roman" w:hAnsi="Times New Roman" w:cs="Times New Roman"/>
          <w:bCs w:val="0"/>
          <w:szCs w:val="24"/>
          <w:lang w:val="en-GB"/>
        </w:rPr>
        <w:t xml:space="preserve">established </w:t>
      </w:r>
      <w:r w:rsidR="006F0D06" w:rsidRPr="00F413DB">
        <w:rPr>
          <w:rFonts w:ascii="Times New Roman" w:hAnsi="Times New Roman" w:cs="Times New Roman"/>
          <w:bCs w:val="0"/>
          <w:szCs w:val="24"/>
          <w:lang w:val="en-GB"/>
        </w:rPr>
        <w:t>t</w:t>
      </w:r>
      <w:r w:rsidR="00B513BD" w:rsidRPr="00F413DB">
        <w:rPr>
          <w:rFonts w:ascii="Times New Roman" w:hAnsi="Times New Roman" w:cs="Times New Roman"/>
          <w:bCs w:val="0"/>
          <w:szCs w:val="24"/>
          <w:lang w:val="en-GB"/>
        </w:rPr>
        <w:t>ype 1 diabetes</w:t>
      </w:r>
      <w:r w:rsidR="001737C7" w:rsidRPr="00F413DB">
        <w:rPr>
          <w:rFonts w:ascii="Times New Roman" w:hAnsi="Times New Roman" w:cs="Times New Roman"/>
          <w:bCs w:val="0"/>
          <w:szCs w:val="24"/>
          <w:lang w:val="en-GB"/>
        </w:rPr>
        <w:t xml:space="preserve"> (7)</w:t>
      </w:r>
      <w:r w:rsidR="006F0D06" w:rsidRPr="00F413DB">
        <w:rPr>
          <w:rFonts w:ascii="Times New Roman" w:hAnsi="Times New Roman" w:cs="Times New Roman"/>
          <w:bCs w:val="0"/>
          <w:szCs w:val="24"/>
          <w:lang w:val="en-GB"/>
        </w:rPr>
        <w:t>.</w:t>
      </w:r>
    </w:p>
    <w:p w14:paraId="760FE9FF" w14:textId="77777777" w:rsidR="00107C05" w:rsidRPr="00F413DB" w:rsidRDefault="00107C05" w:rsidP="003F7FED">
      <w:pPr>
        <w:spacing w:line="480" w:lineRule="auto"/>
        <w:jc w:val="both"/>
        <w:rPr>
          <w:rFonts w:ascii="Times New Roman" w:hAnsi="Times New Roman" w:cs="Times New Roman"/>
          <w:bCs w:val="0"/>
          <w:szCs w:val="24"/>
          <w:lang w:val="en-GB"/>
        </w:rPr>
      </w:pPr>
    </w:p>
    <w:p w14:paraId="604ADC83" w14:textId="5CB90C59" w:rsidR="00DF2A9F" w:rsidRPr="00F413DB" w:rsidRDefault="00A677C8" w:rsidP="00991E9B">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The </w:t>
      </w:r>
      <w:proofErr w:type="spellStart"/>
      <w:r w:rsidR="00900338" w:rsidRPr="00F413DB">
        <w:rPr>
          <w:rFonts w:ascii="Times New Roman" w:hAnsi="Times New Roman" w:cs="Times New Roman"/>
          <w:bCs w:val="0"/>
          <w:szCs w:val="24"/>
          <w:lang w:val="en-GB"/>
        </w:rPr>
        <w:t>HypoCOMPaSS</w:t>
      </w:r>
      <w:proofErr w:type="spellEnd"/>
      <w:r w:rsidR="00C048F4">
        <w:rPr>
          <w:rFonts w:ascii="Times New Roman" w:hAnsi="Times New Roman" w:cs="Times New Roman"/>
          <w:bCs w:val="0"/>
          <w:szCs w:val="24"/>
          <w:lang w:val="en-GB"/>
        </w:rPr>
        <w:t xml:space="preserve"> (Comparison of Optimised MDI versus Pumps with or without Sensors in Severe </w:t>
      </w:r>
      <w:proofErr w:type="spellStart"/>
      <w:r w:rsidR="00C048F4">
        <w:rPr>
          <w:rFonts w:ascii="Times New Roman" w:hAnsi="Times New Roman" w:cs="Times New Roman"/>
          <w:bCs w:val="0"/>
          <w:szCs w:val="24"/>
          <w:lang w:val="en-GB"/>
        </w:rPr>
        <w:t>Hypoglycemia</w:t>
      </w:r>
      <w:proofErr w:type="spellEnd"/>
      <w:r w:rsidR="00C048F4">
        <w:rPr>
          <w:rFonts w:ascii="Times New Roman" w:hAnsi="Times New Roman" w:cs="Times New Roman"/>
          <w:bCs w:val="0"/>
          <w:szCs w:val="24"/>
          <w:lang w:val="en-GB"/>
        </w:rPr>
        <w:t>)</w:t>
      </w:r>
      <w:r w:rsidR="00900338" w:rsidRPr="00F413DB">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study compared continuous subcutaneous insulin infusion (CSII) with multiple daily injections (MDI) and real-time continuous glucose monitoring (RT-CGM) with finger-prick self-monitored blood</w:t>
      </w:r>
      <w:r w:rsidR="008745C0" w:rsidRPr="00F413DB">
        <w:rPr>
          <w:rFonts w:ascii="Times New Roman" w:hAnsi="Times New Roman" w:cs="Times New Roman"/>
          <w:bCs w:val="0"/>
          <w:szCs w:val="24"/>
          <w:lang w:val="en-GB"/>
        </w:rPr>
        <w:t xml:space="preserve"> glucose (SMBG) in a 24</w:t>
      </w:r>
      <w:r w:rsidR="00A5485E" w:rsidRPr="00F413DB">
        <w:rPr>
          <w:rFonts w:ascii="Times New Roman" w:hAnsi="Times New Roman" w:cs="Times New Roman"/>
          <w:bCs w:val="0"/>
          <w:szCs w:val="24"/>
          <w:lang w:val="en-GB"/>
        </w:rPr>
        <w:t>-</w:t>
      </w:r>
      <w:r w:rsidR="008745C0" w:rsidRPr="00F413DB">
        <w:rPr>
          <w:rFonts w:ascii="Times New Roman" w:hAnsi="Times New Roman" w:cs="Times New Roman"/>
          <w:bCs w:val="0"/>
          <w:szCs w:val="24"/>
          <w:lang w:val="en-GB"/>
        </w:rPr>
        <w:t>week 2 X</w:t>
      </w:r>
      <w:r w:rsidRPr="00F413DB">
        <w:rPr>
          <w:rFonts w:ascii="Times New Roman" w:hAnsi="Times New Roman" w:cs="Times New Roman"/>
          <w:bCs w:val="0"/>
          <w:szCs w:val="24"/>
          <w:lang w:val="en-GB"/>
        </w:rPr>
        <w:t xml:space="preserve"> 2 factorial </w:t>
      </w:r>
      <w:r w:rsidR="00A4488E">
        <w:rPr>
          <w:rFonts w:ascii="Times New Roman" w:hAnsi="Times New Roman" w:cs="Times New Roman"/>
          <w:bCs w:val="0"/>
          <w:szCs w:val="24"/>
          <w:lang w:val="en-GB"/>
        </w:rPr>
        <w:t>randomized controlled trial (</w:t>
      </w:r>
      <w:r w:rsidRPr="00F413DB">
        <w:rPr>
          <w:rFonts w:ascii="Times New Roman" w:hAnsi="Times New Roman" w:cs="Times New Roman"/>
          <w:bCs w:val="0"/>
          <w:szCs w:val="24"/>
          <w:lang w:val="en-GB"/>
        </w:rPr>
        <w:t>RCT</w:t>
      </w:r>
      <w:r w:rsidR="00A4488E">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in type 1 diabetes complicated by </w:t>
      </w:r>
      <w:r w:rsidR="00B513BD" w:rsidRPr="00F413DB">
        <w:rPr>
          <w:rFonts w:ascii="Times New Roman" w:hAnsi="Times New Roman" w:cs="Times New Roman"/>
          <w:bCs w:val="0"/>
          <w:szCs w:val="24"/>
          <w:lang w:val="en-GB"/>
        </w:rPr>
        <w:t xml:space="preserve">impaired awareness of </w:t>
      </w:r>
      <w:proofErr w:type="spellStart"/>
      <w:r w:rsidR="00B513BD" w:rsidRPr="00F413DB">
        <w:rPr>
          <w:rFonts w:ascii="Times New Roman" w:hAnsi="Times New Roman" w:cs="Times New Roman"/>
          <w:bCs w:val="0"/>
          <w:szCs w:val="24"/>
          <w:lang w:val="en-GB"/>
        </w:rPr>
        <w:t>hypoglycemia</w:t>
      </w:r>
      <w:proofErr w:type="spellEnd"/>
      <w:r w:rsidR="001737C7" w:rsidRPr="00F413DB">
        <w:rPr>
          <w:rFonts w:ascii="Times New Roman" w:hAnsi="Times New Roman" w:cs="Times New Roman"/>
          <w:bCs w:val="0"/>
          <w:szCs w:val="24"/>
          <w:lang w:val="en-GB"/>
        </w:rPr>
        <w:t xml:space="preserve"> (8)</w:t>
      </w:r>
      <w:r w:rsidRPr="00F413DB">
        <w:rPr>
          <w:rFonts w:ascii="Times New Roman" w:hAnsi="Times New Roman" w:cs="Times New Roman"/>
          <w:bCs w:val="0"/>
          <w:szCs w:val="24"/>
          <w:lang w:val="en-GB"/>
        </w:rPr>
        <w:t xml:space="preserve">. </w:t>
      </w:r>
      <w:r w:rsidR="00B513BD" w:rsidRPr="00F413DB">
        <w:rPr>
          <w:rFonts w:ascii="Times New Roman" w:hAnsi="Times New Roman" w:cs="Times New Roman"/>
          <w:bCs w:val="0"/>
          <w:szCs w:val="24"/>
          <w:lang w:val="en-GB"/>
        </w:rPr>
        <w:t>It was designed to test the hypothesis that successful avo</w:t>
      </w:r>
      <w:r w:rsidR="00527C9D" w:rsidRPr="00F413DB">
        <w:rPr>
          <w:rFonts w:ascii="Times New Roman" w:hAnsi="Times New Roman" w:cs="Times New Roman"/>
          <w:bCs w:val="0"/>
          <w:szCs w:val="24"/>
          <w:lang w:val="en-GB"/>
        </w:rPr>
        <w:t xml:space="preserve">idance of biochemical </w:t>
      </w:r>
      <w:proofErr w:type="spellStart"/>
      <w:r w:rsidR="00527C9D" w:rsidRPr="00F413DB">
        <w:rPr>
          <w:rFonts w:ascii="Times New Roman" w:hAnsi="Times New Roman" w:cs="Times New Roman"/>
          <w:bCs w:val="0"/>
          <w:szCs w:val="24"/>
          <w:lang w:val="en-GB"/>
        </w:rPr>
        <w:t>hypoglyc</w:t>
      </w:r>
      <w:r w:rsidR="00B513BD" w:rsidRPr="00F413DB">
        <w:rPr>
          <w:rFonts w:ascii="Times New Roman" w:hAnsi="Times New Roman" w:cs="Times New Roman"/>
          <w:bCs w:val="0"/>
          <w:szCs w:val="24"/>
          <w:lang w:val="en-GB"/>
        </w:rPr>
        <w:t>emia</w:t>
      </w:r>
      <w:proofErr w:type="spellEnd"/>
      <w:r w:rsidR="00B513BD" w:rsidRPr="00F413DB">
        <w:rPr>
          <w:rFonts w:ascii="Times New Roman" w:hAnsi="Times New Roman" w:cs="Times New Roman"/>
          <w:bCs w:val="0"/>
          <w:szCs w:val="24"/>
          <w:lang w:val="en-GB"/>
        </w:rPr>
        <w:t xml:space="preserve"> </w:t>
      </w:r>
      <w:r w:rsidR="00527C9D" w:rsidRPr="00F413DB">
        <w:rPr>
          <w:rFonts w:ascii="Times New Roman" w:hAnsi="Times New Roman" w:cs="Times New Roman"/>
          <w:bCs w:val="0"/>
          <w:szCs w:val="24"/>
          <w:lang w:val="en-GB"/>
        </w:rPr>
        <w:t xml:space="preserve">would lead to improved </w:t>
      </w:r>
      <w:proofErr w:type="spellStart"/>
      <w:r w:rsidR="00527C9D" w:rsidRPr="00F413DB">
        <w:rPr>
          <w:rFonts w:ascii="Times New Roman" w:hAnsi="Times New Roman" w:cs="Times New Roman"/>
          <w:bCs w:val="0"/>
          <w:szCs w:val="24"/>
          <w:lang w:val="en-GB"/>
        </w:rPr>
        <w:t>hypoglyc</w:t>
      </w:r>
      <w:r w:rsidR="00340FC9" w:rsidRPr="00F413DB">
        <w:rPr>
          <w:rFonts w:ascii="Times New Roman" w:hAnsi="Times New Roman" w:cs="Times New Roman"/>
          <w:bCs w:val="0"/>
          <w:szCs w:val="24"/>
          <w:lang w:val="en-GB"/>
        </w:rPr>
        <w:t>emia</w:t>
      </w:r>
      <w:proofErr w:type="spellEnd"/>
      <w:r w:rsidR="00340FC9" w:rsidRPr="00F413DB">
        <w:rPr>
          <w:rFonts w:ascii="Times New Roman" w:hAnsi="Times New Roman" w:cs="Times New Roman"/>
          <w:bCs w:val="0"/>
          <w:szCs w:val="24"/>
          <w:lang w:val="en-GB"/>
        </w:rPr>
        <w:t xml:space="preserve"> awareness and preventi</w:t>
      </w:r>
      <w:r w:rsidR="00527C9D" w:rsidRPr="00F413DB">
        <w:rPr>
          <w:rFonts w:ascii="Times New Roman" w:hAnsi="Times New Roman" w:cs="Times New Roman"/>
          <w:bCs w:val="0"/>
          <w:szCs w:val="24"/>
          <w:lang w:val="en-GB"/>
        </w:rPr>
        <w:t xml:space="preserve">on of recurrent severe </w:t>
      </w:r>
      <w:proofErr w:type="spellStart"/>
      <w:r w:rsidR="00527C9D" w:rsidRPr="00F413DB">
        <w:rPr>
          <w:rFonts w:ascii="Times New Roman" w:hAnsi="Times New Roman" w:cs="Times New Roman"/>
          <w:bCs w:val="0"/>
          <w:szCs w:val="24"/>
          <w:lang w:val="en-GB"/>
        </w:rPr>
        <w:t>hypoglyc</w:t>
      </w:r>
      <w:r w:rsidR="00340FC9" w:rsidRPr="00F413DB">
        <w:rPr>
          <w:rFonts w:ascii="Times New Roman" w:hAnsi="Times New Roman" w:cs="Times New Roman"/>
          <w:bCs w:val="0"/>
          <w:szCs w:val="24"/>
          <w:lang w:val="en-GB"/>
        </w:rPr>
        <w:t>emia</w:t>
      </w:r>
      <w:proofErr w:type="spellEnd"/>
      <w:r w:rsidR="00340FC9" w:rsidRPr="00F413DB">
        <w:rPr>
          <w:rFonts w:ascii="Times New Roman" w:hAnsi="Times New Roman" w:cs="Times New Roman"/>
          <w:bCs w:val="0"/>
          <w:szCs w:val="24"/>
          <w:lang w:val="en-GB"/>
        </w:rPr>
        <w:t xml:space="preserve"> in the majority of participants.  Assessment of </w:t>
      </w:r>
      <w:r w:rsidR="006D022B" w:rsidRPr="00F413DB">
        <w:rPr>
          <w:rFonts w:ascii="Times New Roman" w:hAnsi="Times New Roman" w:cs="Times New Roman"/>
          <w:bCs w:val="0"/>
          <w:szCs w:val="24"/>
          <w:lang w:val="en-GB"/>
        </w:rPr>
        <w:t xml:space="preserve">associations between </w:t>
      </w:r>
      <w:r w:rsidR="00340FC9" w:rsidRPr="00F413DB">
        <w:rPr>
          <w:rFonts w:ascii="Times New Roman" w:hAnsi="Times New Roman" w:cs="Times New Roman"/>
          <w:bCs w:val="0"/>
          <w:szCs w:val="24"/>
          <w:lang w:val="en-GB"/>
        </w:rPr>
        <w:t xml:space="preserve">baseline parameters </w:t>
      </w:r>
      <w:r w:rsidR="006D022B" w:rsidRPr="00F413DB">
        <w:rPr>
          <w:rFonts w:ascii="Times New Roman" w:hAnsi="Times New Roman" w:cs="Times New Roman"/>
          <w:bCs w:val="0"/>
          <w:szCs w:val="24"/>
          <w:lang w:val="en-GB"/>
        </w:rPr>
        <w:t>and</w:t>
      </w:r>
      <w:r w:rsidR="00340FC9" w:rsidRPr="00F413DB">
        <w:rPr>
          <w:rFonts w:ascii="Times New Roman" w:hAnsi="Times New Roman" w:cs="Times New Roman"/>
          <w:bCs w:val="0"/>
          <w:szCs w:val="24"/>
          <w:lang w:val="en-GB"/>
        </w:rPr>
        <w:t xml:space="preserve"> furt</w:t>
      </w:r>
      <w:r w:rsidR="00527C9D" w:rsidRPr="00F413DB">
        <w:rPr>
          <w:rFonts w:ascii="Times New Roman" w:hAnsi="Times New Roman" w:cs="Times New Roman"/>
          <w:bCs w:val="0"/>
          <w:szCs w:val="24"/>
          <w:lang w:val="en-GB"/>
        </w:rPr>
        <w:t xml:space="preserve">her episodes of severe </w:t>
      </w:r>
      <w:proofErr w:type="spellStart"/>
      <w:r w:rsidR="00527C9D" w:rsidRPr="00F413DB">
        <w:rPr>
          <w:rFonts w:ascii="Times New Roman" w:hAnsi="Times New Roman" w:cs="Times New Roman"/>
          <w:bCs w:val="0"/>
          <w:szCs w:val="24"/>
          <w:lang w:val="en-GB"/>
        </w:rPr>
        <w:t>hypoglyc</w:t>
      </w:r>
      <w:r w:rsidR="00340FC9" w:rsidRPr="00F413DB">
        <w:rPr>
          <w:rFonts w:ascii="Times New Roman" w:hAnsi="Times New Roman" w:cs="Times New Roman"/>
          <w:bCs w:val="0"/>
          <w:szCs w:val="24"/>
          <w:lang w:val="en-GB"/>
        </w:rPr>
        <w:t>emia</w:t>
      </w:r>
      <w:proofErr w:type="spellEnd"/>
      <w:r w:rsidR="00340FC9" w:rsidRPr="00F413DB">
        <w:rPr>
          <w:rFonts w:ascii="Times New Roman" w:hAnsi="Times New Roman" w:cs="Times New Roman"/>
          <w:bCs w:val="0"/>
          <w:szCs w:val="24"/>
          <w:lang w:val="en-GB"/>
        </w:rPr>
        <w:t xml:space="preserve"> over two years of follow-up despite trial intervention was planned prior to study commencement</w:t>
      </w:r>
      <w:r w:rsidR="00845BF4">
        <w:rPr>
          <w:rFonts w:ascii="Times New Roman" w:hAnsi="Times New Roman" w:cs="Times New Roman"/>
          <w:bCs w:val="0"/>
          <w:szCs w:val="24"/>
          <w:lang w:val="en-GB"/>
        </w:rPr>
        <w:t>, with two a</w:t>
      </w:r>
      <w:r w:rsidR="006143F8" w:rsidRPr="00F413DB">
        <w:rPr>
          <w:rFonts w:ascii="Times New Roman" w:hAnsi="Times New Roman" w:cs="Times New Roman"/>
          <w:bCs w:val="0"/>
          <w:szCs w:val="24"/>
          <w:lang w:val="en-GB"/>
        </w:rPr>
        <w:t xml:space="preserve"> priori hypotheses proposed</w:t>
      </w:r>
      <w:r w:rsidR="001737C7" w:rsidRPr="00F413DB">
        <w:rPr>
          <w:rFonts w:ascii="Times New Roman" w:hAnsi="Times New Roman" w:cs="Times New Roman"/>
          <w:bCs w:val="0"/>
          <w:szCs w:val="24"/>
          <w:lang w:val="en-GB"/>
        </w:rPr>
        <w:t xml:space="preserve"> (8)</w:t>
      </w:r>
      <w:r w:rsidR="006143F8" w:rsidRPr="00F413DB">
        <w:rPr>
          <w:rFonts w:ascii="Times New Roman" w:hAnsi="Times New Roman" w:cs="Times New Roman"/>
          <w:bCs w:val="0"/>
          <w:szCs w:val="24"/>
          <w:lang w:val="en-GB"/>
        </w:rPr>
        <w:t xml:space="preserve">. First, that a strong preference </w:t>
      </w:r>
      <w:r w:rsidR="00C27E90" w:rsidRPr="00F413DB">
        <w:rPr>
          <w:rFonts w:ascii="Times New Roman" w:hAnsi="Times New Roman" w:cs="Times New Roman"/>
          <w:bCs w:val="0"/>
          <w:szCs w:val="24"/>
          <w:lang w:val="en-GB"/>
        </w:rPr>
        <w:t>for</w:t>
      </w:r>
      <w:r w:rsidR="006143F8" w:rsidRPr="00F413DB">
        <w:rPr>
          <w:rFonts w:ascii="Times New Roman" w:hAnsi="Times New Roman" w:cs="Times New Roman"/>
          <w:bCs w:val="0"/>
          <w:szCs w:val="24"/>
          <w:lang w:val="en-GB"/>
        </w:rPr>
        <w:t xml:space="preserve"> avoid</w:t>
      </w:r>
      <w:r w:rsidR="00C27E90" w:rsidRPr="00F413DB">
        <w:rPr>
          <w:rFonts w:ascii="Times New Roman" w:hAnsi="Times New Roman" w:cs="Times New Roman"/>
          <w:bCs w:val="0"/>
          <w:szCs w:val="24"/>
          <w:lang w:val="en-GB"/>
        </w:rPr>
        <w:t>ing</w:t>
      </w:r>
      <w:r w:rsidR="006143F8" w:rsidRPr="00F413DB">
        <w:rPr>
          <w:rFonts w:ascii="Times New Roman" w:hAnsi="Times New Roman" w:cs="Times New Roman"/>
          <w:bCs w:val="0"/>
          <w:szCs w:val="24"/>
          <w:lang w:val="en-GB"/>
        </w:rPr>
        <w:t xml:space="preserve"> high glucose levels would be associated with significa</w:t>
      </w:r>
      <w:r w:rsidR="00330528" w:rsidRPr="00F413DB">
        <w:rPr>
          <w:rFonts w:ascii="Times New Roman" w:hAnsi="Times New Roman" w:cs="Times New Roman"/>
          <w:bCs w:val="0"/>
          <w:szCs w:val="24"/>
          <w:lang w:val="en-GB"/>
        </w:rPr>
        <w:t xml:space="preserve">nt ongoing biochemical </w:t>
      </w:r>
      <w:proofErr w:type="spellStart"/>
      <w:r w:rsidR="00330528" w:rsidRPr="00F413DB">
        <w:rPr>
          <w:rFonts w:ascii="Times New Roman" w:hAnsi="Times New Roman" w:cs="Times New Roman"/>
          <w:bCs w:val="0"/>
          <w:szCs w:val="24"/>
          <w:lang w:val="en-GB"/>
        </w:rPr>
        <w:t>hypoglyc</w:t>
      </w:r>
      <w:r w:rsidR="006143F8" w:rsidRPr="00F413DB">
        <w:rPr>
          <w:rFonts w:ascii="Times New Roman" w:hAnsi="Times New Roman" w:cs="Times New Roman"/>
          <w:bCs w:val="0"/>
          <w:szCs w:val="24"/>
          <w:lang w:val="en-GB"/>
        </w:rPr>
        <w:t>emia</w:t>
      </w:r>
      <w:proofErr w:type="spellEnd"/>
      <w:r w:rsidR="006143F8" w:rsidRPr="00F413DB">
        <w:rPr>
          <w:rFonts w:ascii="Times New Roman" w:hAnsi="Times New Roman" w:cs="Times New Roman"/>
          <w:bCs w:val="0"/>
          <w:szCs w:val="24"/>
          <w:lang w:val="en-GB"/>
        </w:rPr>
        <w:t xml:space="preserve"> exposure, maintain</w:t>
      </w:r>
      <w:r w:rsidR="00C27E90" w:rsidRPr="00F413DB">
        <w:rPr>
          <w:rFonts w:ascii="Times New Roman" w:hAnsi="Times New Roman" w:cs="Times New Roman"/>
          <w:bCs w:val="0"/>
          <w:szCs w:val="24"/>
          <w:lang w:val="en-GB"/>
        </w:rPr>
        <w:t>ed</w:t>
      </w:r>
      <w:r w:rsidR="00330528" w:rsidRPr="00F413DB">
        <w:rPr>
          <w:rFonts w:ascii="Times New Roman" w:hAnsi="Times New Roman" w:cs="Times New Roman"/>
          <w:bCs w:val="0"/>
          <w:szCs w:val="24"/>
          <w:lang w:val="en-GB"/>
        </w:rPr>
        <w:t xml:space="preserve"> impaired awareness of </w:t>
      </w:r>
      <w:r w:rsidR="006479D5">
        <w:rPr>
          <w:rFonts w:ascii="Times New Roman" w:hAnsi="Times New Roman" w:cs="Times New Roman"/>
          <w:bCs w:val="0"/>
          <w:szCs w:val="24"/>
          <w:lang w:val="en-GB"/>
        </w:rPr>
        <w:t>hypoglycaemia,</w:t>
      </w:r>
      <w:r w:rsidR="006143F8" w:rsidRPr="00F413DB">
        <w:rPr>
          <w:rFonts w:ascii="Times New Roman" w:hAnsi="Times New Roman" w:cs="Times New Roman"/>
          <w:bCs w:val="0"/>
          <w:szCs w:val="24"/>
          <w:lang w:val="en-GB"/>
        </w:rPr>
        <w:t xml:space="preserve"> </w:t>
      </w:r>
      <w:r w:rsidR="00C27E90" w:rsidRPr="00F413DB">
        <w:rPr>
          <w:rFonts w:ascii="Times New Roman" w:hAnsi="Times New Roman" w:cs="Times New Roman"/>
          <w:bCs w:val="0"/>
          <w:szCs w:val="24"/>
          <w:lang w:val="en-GB"/>
        </w:rPr>
        <w:t>and</w:t>
      </w:r>
      <w:r w:rsidR="006143F8" w:rsidRPr="00F413DB">
        <w:rPr>
          <w:rFonts w:ascii="Times New Roman" w:hAnsi="Times New Roman" w:cs="Times New Roman"/>
          <w:bCs w:val="0"/>
          <w:szCs w:val="24"/>
          <w:lang w:val="en-GB"/>
        </w:rPr>
        <w:t xml:space="preserve"> ongoing risk of severe </w:t>
      </w:r>
      <w:proofErr w:type="spellStart"/>
      <w:r w:rsidR="006143F8" w:rsidRPr="00F413DB">
        <w:rPr>
          <w:rFonts w:ascii="Times New Roman" w:hAnsi="Times New Roman" w:cs="Times New Roman"/>
          <w:bCs w:val="0"/>
          <w:szCs w:val="24"/>
          <w:lang w:val="en-GB"/>
        </w:rPr>
        <w:t>hypoglycemia</w:t>
      </w:r>
      <w:proofErr w:type="spellEnd"/>
      <w:r w:rsidR="006143F8" w:rsidRPr="00F413DB">
        <w:rPr>
          <w:rFonts w:ascii="Times New Roman" w:hAnsi="Times New Roman" w:cs="Times New Roman"/>
          <w:bCs w:val="0"/>
          <w:szCs w:val="24"/>
          <w:lang w:val="en-GB"/>
        </w:rPr>
        <w:t xml:space="preserve">. Second, that </w:t>
      </w:r>
      <w:r w:rsidR="00DF2A9F" w:rsidRPr="00F413DB">
        <w:rPr>
          <w:rFonts w:ascii="Times New Roman" w:hAnsi="Times New Roman" w:cs="Times New Roman"/>
          <w:bCs w:val="0"/>
          <w:szCs w:val="24"/>
          <w:lang w:val="en-GB"/>
        </w:rPr>
        <w:t xml:space="preserve">diabetic neuropathy will be associated with irreversible impaired awareness of </w:t>
      </w:r>
      <w:proofErr w:type="spellStart"/>
      <w:r w:rsidR="00DF2A9F" w:rsidRPr="00F413DB">
        <w:rPr>
          <w:rFonts w:ascii="Times New Roman" w:hAnsi="Times New Roman" w:cs="Times New Roman"/>
          <w:bCs w:val="0"/>
          <w:szCs w:val="24"/>
          <w:lang w:val="en-GB"/>
        </w:rPr>
        <w:t>hypoglycemia</w:t>
      </w:r>
      <w:proofErr w:type="spellEnd"/>
      <w:r w:rsidR="00DF2A9F" w:rsidRPr="00F413DB">
        <w:rPr>
          <w:rFonts w:ascii="Times New Roman" w:hAnsi="Times New Roman" w:cs="Times New Roman"/>
          <w:bCs w:val="0"/>
          <w:szCs w:val="24"/>
          <w:lang w:val="en-GB"/>
        </w:rPr>
        <w:t xml:space="preserve"> and unremitting severe </w:t>
      </w:r>
      <w:proofErr w:type="spellStart"/>
      <w:r w:rsidR="00DF2A9F" w:rsidRPr="00F413DB">
        <w:rPr>
          <w:rFonts w:ascii="Times New Roman" w:hAnsi="Times New Roman" w:cs="Times New Roman"/>
          <w:bCs w:val="0"/>
          <w:szCs w:val="24"/>
          <w:lang w:val="en-GB"/>
        </w:rPr>
        <w:t>hypoglycemia</w:t>
      </w:r>
      <w:proofErr w:type="spellEnd"/>
      <w:r w:rsidR="00DF2A9F" w:rsidRPr="00F413DB">
        <w:rPr>
          <w:rFonts w:ascii="Times New Roman" w:hAnsi="Times New Roman" w:cs="Times New Roman"/>
          <w:bCs w:val="0"/>
          <w:szCs w:val="24"/>
          <w:lang w:val="en-GB"/>
        </w:rPr>
        <w:t>.</w:t>
      </w:r>
    </w:p>
    <w:p w14:paraId="033597F8" w14:textId="51DC8C87" w:rsidR="00C65B54" w:rsidRDefault="00C53D99" w:rsidP="00991E9B">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lastRenderedPageBreak/>
        <w:t xml:space="preserve">In this </w:t>
      </w:r>
      <w:r w:rsidR="00B301BE" w:rsidRPr="00F413DB">
        <w:rPr>
          <w:rFonts w:ascii="Times New Roman" w:hAnsi="Times New Roman" w:cs="Times New Roman"/>
          <w:bCs w:val="0"/>
          <w:szCs w:val="24"/>
          <w:lang w:val="en-GB"/>
        </w:rPr>
        <w:t>analysis</w:t>
      </w:r>
      <w:r w:rsidR="00845BF4">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we consid</w:t>
      </w:r>
      <w:r w:rsidR="00CC27B4" w:rsidRPr="00F413DB">
        <w:rPr>
          <w:rFonts w:ascii="Times New Roman" w:hAnsi="Times New Roman" w:cs="Times New Roman"/>
          <w:bCs w:val="0"/>
          <w:szCs w:val="24"/>
          <w:lang w:val="en-GB"/>
        </w:rPr>
        <w:t xml:space="preserve">er participants </w:t>
      </w:r>
      <w:r w:rsidR="00512502" w:rsidRPr="00F413DB">
        <w:rPr>
          <w:rFonts w:ascii="Times New Roman" w:hAnsi="Times New Roman" w:cs="Times New Roman"/>
          <w:bCs w:val="0"/>
          <w:szCs w:val="24"/>
          <w:lang w:val="en-GB"/>
        </w:rPr>
        <w:t>in</w:t>
      </w:r>
      <w:r w:rsidR="00CC27B4" w:rsidRPr="00F413DB">
        <w:rPr>
          <w:rFonts w:ascii="Times New Roman" w:hAnsi="Times New Roman" w:cs="Times New Roman"/>
          <w:bCs w:val="0"/>
          <w:szCs w:val="24"/>
          <w:lang w:val="en-GB"/>
        </w:rPr>
        <w:t xml:space="preserve"> the </w:t>
      </w:r>
      <w:proofErr w:type="spellStart"/>
      <w:r w:rsidR="00CC27B4" w:rsidRPr="00F413DB">
        <w:rPr>
          <w:rFonts w:ascii="Times New Roman" w:hAnsi="Times New Roman" w:cs="Times New Roman"/>
          <w:bCs w:val="0"/>
          <w:szCs w:val="24"/>
          <w:lang w:val="en-GB"/>
        </w:rPr>
        <w:t>HypoCOMPaSS</w:t>
      </w:r>
      <w:proofErr w:type="spellEnd"/>
      <w:r w:rsidR="00CC27B4" w:rsidRPr="00F413DB">
        <w:rPr>
          <w:rFonts w:ascii="Times New Roman" w:hAnsi="Times New Roman" w:cs="Times New Roman"/>
          <w:bCs w:val="0"/>
          <w:szCs w:val="24"/>
          <w:lang w:val="en-GB"/>
        </w:rPr>
        <w:t xml:space="preserve"> study</w:t>
      </w:r>
      <w:r w:rsidR="00644D3C" w:rsidRPr="00F413DB">
        <w:rPr>
          <w:rFonts w:ascii="Times New Roman" w:hAnsi="Times New Roman" w:cs="Times New Roman"/>
          <w:bCs w:val="0"/>
          <w:szCs w:val="24"/>
          <w:lang w:val="en-GB"/>
        </w:rPr>
        <w:t xml:space="preserve"> who experienced severe </w:t>
      </w:r>
      <w:proofErr w:type="spellStart"/>
      <w:r w:rsidR="00644D3C"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in the year </w:t>
      </w:r>
      <w:r w:rsidR="00CC27B4" w:rsidRPr="00F413DB">
        <w:rPr>
          <w:rFonts w:ascii="Times New Roman" w:hAnsi="Times New Roman" w:cs="Times New Roman"/>
          <w:bCs w:val="0"/>
          <w:szCs w:val="24"/>
          <w:lang w:val="en-GB"/>
        </w:rPr>
        <w:t>preceding</w:t>
      </w:r>
      <w:r w:rsidRPr="00F413DB">
        <w:rPr>
          <w:rFonts w:ascii="Times New Roman" w:hAnsi="Times New Roman" w:cs="Times New Roman"/>
          <w:bCs w:val="0"/>
          <w:szCs w:val="24"/>
          <w:lang w:val="en-GB"/>
        </w:rPr>
        <w:t xml:space="preserve"> the </w:t>
      </w:r>
      <w:r w:rsidR="00CC27B4" w:rsidRPr="00F413DB">
        <w:rPr>
          <w:rFonts w:ascii="Times New Roman" w:hAnsi="Times New Roman" w:cs="Times New Roman"/>
          <w:bCs w:val="0"/>
          <w:szCs w:val="24"/>
          <w:lang w:val="en-GB"/>
        </w:rPr>
        <w:t xml:space="preserve">RCT </w:t>
      </w:r>
      <w:r w:rsidRPr="00F413DB">
        <w:rPr>
          <w:rFonts w:ascii="Times New Roman" w:hAnsi="Times New Roman" w:cs="Times New Roman"/>
          <w:bCs w:val="0"/>
          <w:szCs w:val="24"/>
          <w:lang w:val="en-GB"/>
        </w:rPr>
        <w:t xml:space="preserve">and investigate predictors of incomplete response </w:t>
      </w:r>
      <w:r w:rsidR="00CC27B4" w:rsidRPr="00F413DB">
        <w:rPr>
          <w:rFonts w:ascii="Times New Roman" w:hAnsi="Times New Roman" w:cs="Times New Roman"/>
          <w:bCs w:val="0"/>
          <w:szCs w:val="24"/>
          <w:lang w:val="en-GB"/>
        </w:rPr>
        <w:t xml:space="preserve">defined by </w:t>
      </w:r>
      <w:r w:rsidRPr="00F413DB">
        <w:rPr>
          <w:rFonts w:ascii="Times New Roman" w:hAnsi="Times New Roman" w:cs="Times New Roman"/>
          <w:bCs w:val="0"/>
          <w:szCs w:val="24"/>
          <w:lang w:val="en-GB"/>
        </w:rPr>
        <w:t xml:space="preserve">at </w:t>
      </w:r>
      <w:r w:rsidR="002D3B73" w:rsidRPr="00F413DB">
        <w:rPr>
          <w:rFonts w:ascii="Times New Roman" w:hAnsi="Times New Roman" w:cs="Times New Roman"/>
          <w:bCs w:val="0"/>
          <w:szCs w:val="24"/>
          <w:lang w:val="en-GB"/>
        </w:rPr>
        <w:t>least one</w:t>
      </w:r>
      <w:r w:rsidR="00527C9D" w:rsidRPr="00F413DB">
        <w:rPr>
          <w:rFonts w:ascii="Times New Roman" w:hAnsi="Times New Roman" w:cs="Times New Roman"/>
          <w:bCs w:val="0"/>
          <w:szCs w:val="24"/>
          <w:lang w:val="en-GB"/>
        </w:rPr>
        <w:t xml:space="preserve"> further severe </w:t>
      </w:r>
      <w:proofErr w:type="spellStart"/>
      <w:r w:rsidR="00527C9D" w:rsidRPr="00F413DB">
        <w:rPr>
          <w:rFonts w:ascii="Times New Roman" w:hAnsi="Times New Roman" w:cs="Times New Roman"/>
          <w:bCs w:val="0"/>
          <w:szCs w:val="24"/>
          <w:lang w:val="en-GB"/>
        </w:rPr>
        <w:t>hypoglyc</w:t>
      </w:r>
      <w:r w:rsidRPr="00F413DB">
        <w:rPr>
          <w:rFonts w:ascii="Times New Roman" w:hAnsi="Times New Roman" w:cs="Times New Roman"/>
          <w:bCs w:val="0"/>
          <w:szCs w:val="24"/>
          <w:lang w:val="en-GB"/>
        </w:rPr>
        <w:t>emia</w:t>
      </w:r>
      <w:proofErr w:type="spellEnd"/>
      <w:r w:rsidRPr="00F413DB">
        <w:rPr>
          <w:rFonts w:ascii="Times New Roman" w:hAnsi="Times New Roman" w:cs="Times New Roman"/>
          <w:bCs w:val="0"/>
          <w:szCs w:val="24"/>
          <w:lang w:val="en-GB"/>
        </w:rPr>
        <w:t xml:space="preserve"> </w:t>
      </w:r>
      <w:r w:rsidR="0025207E" w:rsidRPr="00F413DB">
        <w:rPr>
          <w:rFonts w:ascii="Times New Roman" w:hAnsi="Times New Roman" w:cs="Times New Roman"/>
          <w:bCs w:val="0"/>
          <w:szCs w:val="24"/>
          <w:lang w:val="en-GB"/>
        </w:rPr>
        <w:t>event</w:t>
      </w:r>
      <w:r w:rsidR="00943BE9" w:rsidRPr="00F413DB">
        <w:rPr>
          <w:rFonts w:ascii="Times New Roman" w:hAnsi="Times New Roman" w:cs="Times New Roman"/>
          <w:bCs w:val="0"/>
          <w:szCs w:val="24"/>
          <w:lang w:val="en-GB"/>
        </w:rPr>
        <w:t xml:space="preserve"> </w:t>
      </w:r>
      <w:r w:rsidR="0025207E" w:rsidRPr="00F413DB">
        <w:rPr>
          <w:rFonts w:ascii="Times New Roman" w:hAnsi="Times New Roman" w:cs="Times New Roman"/>
          <w:bCs w:val="0"/>
          <w:szCs w:val="24"/>
          <w:lang w:val="en-GB"/>
        </w:rPr>
        <w:t xml:space="preserve">over the </w:t>
      </w:r>
      <w:r w:rsidR="00845BF4">
        <w:rPr>
          <w:rFonts w:ascii="Times New Roman" w:hAnsi="Times New Roman" w:cs="Times New Roman"/>
          <w:bCs w:val="0"/>
          <w:szCs w:val="24"/>
          <w:lang w:val="en-GB"/>
        </w:rPr>
        <w:t>24-month</w:t>
      </w:r>
      <w:r w:rsidR="0025207E" w:rsidRPr="00F413DB">
        <w:rPr>
          <w:rFonts w:ascii="Times New Roman" w:hAnsi="Times New Roman" w:cs="Times New Roman"/>
          <w:bCs w:val="0"/>
          <w:szCs w:val="24"/>
          <w:lang w:val="en-GB"/>
        </w:rPr>
        <w:t xml:space="preserve"> follow-</w:t>
      </w:r>
      <w:r w:rsidRPr="00F413DB">
        <w:rPr>
          <w:rFonts w:ascii="Times New Roman" w:hAnsi="Times New Roman" w:cs="Times New Roman"/>
          <w:bCs w:val="0"/>
          <w:szCs w:val="24"/>
          <w:lang w:val="en-GB"/>
        </w:rPr>
        <w:t xml:space="preserve">up period. </w:t>
      </w:r>
    </w:p>
    <w:p w14:paraId="5B90E547" w14:textId="77777777" w:rsidR="00107C05" w:rsidRPr="00F413DB" w:rsidRDefault="00107C05" w:rsidP="00991E9B">
      <w:pPr>
        <w:spacing w:line="480" w:lineRule="auto"/>
        <w:jc w:val="both"/>
        <w:rPr>
          <w:rFonts w:ascii="Times New Roman" w:hAnsi="Times New Roman" w:cs="Times New Roman"/>
          <w:bCs w:val="0"/>
          <w:szCs w:val="24"/>
          <w:lang w:val="en-GB"/>
        </w:rPr>
      </w:pPr>
    </w:p>
    <w:p w14:paraId="13DE62DB" w14:textId="537A93C5" w:rsidR="00BA0FD9" w:rsidRPr="00F413DB" w:rsidRDefault="00ED02EE" w:rsidP="00BA0FD9">
      <w:pPr>
        <w:spacing w:line="480" w:lineRule="auto"/>
        <w:jc w:val="both"/>
        <w:outlineLvl w:val="0"/>
        <w:rPr>
          <w:rFonts w:ascii="Times New Roman" w:hAnsi="Times New Roman" w:cs="Times New Roman"/>
          <w:b/>
          <w:bCs w:val="0"/>
          <w:szCs w:val="24"/>
          <w:lang w:val="en-GB"/>
        </w:rPr>
      </w:pPr>
      <w:r w:rsidRPr="00F413DB">
        <w:rPr>
          <w:rFonts w:ascii="Times New Roman" w:hAnsi="Times New Roman" w:cs="Times New Roman"/>
          <w:b/>
          <w:bCs w:val="0"/>
          <w:szCs w:val="24"/>
          <w:lang w:val="en-GB"/>
        </w:rPr>
        <w:t>Research Design and Methods</w:t>
      </w:r>
    </w:p>
    <w:p w14:paraId="73A42A83" w14:textId="7BFFCC90" w:rsidR="00AF1E68" w:rsidRPr="00F413DB" w:rsidRDefault="007C2C6F" w:rsidP="00991E9B">
      <w:pPr>
        <w:spacing w:line="480" w:lineRule="auto"/>
        <w:jc w:val="both"/>
        <w:outlineLvl w:val="0"/>
        <w:rPr>
          <w:rFonts w:ascii="Times New Roman" w:hAnsi="Times New Roman" w:cs="Times New Roman"/>
          <w:b/>
          <w:bCs w:val="0"/>
          <w:szCs w:val="24"/>
          <w:lang w:val="en-GB"/>
        </w:rPr>
      </w:pPr>
      <w:r w:rsidRPr="00F413DB">
        <w:rPr>
          <w:rFonts w:ascii="Times New Roman" w:hAnsi="Times New Roman" w:cs="Times New Roman"/>
          <w:b/>
          <w:bCs w:val="0"/>
          <w:szCs w:val="24"/>
          <w:lang w:val="en-GB"/>
        </w:rPr>
        <w:t>Study design and participants</w:t>
      </w:r>
    </w:p>
    <w:p w14:paraId="275BC56F" w14:textId="00BD6D9E" w:rsidR="008117B7" w:rsidRPr="00F413DB" w:rsidRDefault="007C2C6F" w:rsidP="00991E9B">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The </w:t>
      </w:r>
      <w:r w:rsidR="00AA1B1A" w:rsidRPr="00F413DB">
        <w:rPr>
          <w:rFonts w:ascii="Times New Roman" w:hAnsi="Times New Roman" w:cs="Times New Roman"/>
          <w:bCs w:val="0"/>
          <w:szCs w:val="24"/>
          <w:lang w:val="en-GB"/>
        </w:rPr>
        <w:t xml:space="preserve">protocol </w:t>
      </w:r>
      <w:r w:rsidR="003A410B" w:rsidRPr="00F413DB">
        <w:rPr>
          <w:rFonts w:ascii="Times New Roman" w:hAnsi="Times New Roman" w:cs="Times New Roman"/>
          <w:bCs w:val="0"/>
          <w:szCs w:val="24"/>
          <w:lang w:val="en-GB"/>
        </w:rPr>
        <w:t xml:space="preserve">was </w:t>
      </w:r>
      <w:r w:rsidR="00100135" w:rsidRPr="00F413DB">
        <w:rPr>
          <w:rFonts w:ascii="Times New Roman" w:hAnsi="Times New Roman" w:cs="Times New Roman"/>
          <w:bCs w:val="0"/>
          <w:szCs w:val="24"/>
          <w:lang w:val="en-GB"/>
        </w:rPr>
        <w:t>approved</w:t>
      </w:r>
      <w:r w:rsidR="003A410B" w:rsidRPr="00F413DB">
        <w:rPr>
          <w:rFonts w:ascii="Times New Roman" w:hAnsi="Times New Roman" w:cs="Times New Roman"/>
          <w:bCs w:val="0"/>
          <w:szCs w:val="24"/>
          <w:lang w:val="en-GB"/>
        </w:rPr>
        <w:t xml:space="preserve"> by </w:t>
      </w:r>
      <w:r w:rsidR="00330528" w:rsidRPr="00F413DB">
        <w:rPr>
          <w:rFonts w:ascii="Times New Roman" w:hAnsi="Times New Roman" w:cs="Times New Roman"/>
          <w:bCs w:val="0"/>
          <w:szCs w:val="24"/>
          <w:lang w:val="en-GB"/>
        </w:rPr>
        <w:t>Sunderland</w:t>
      </w:r>
      <w:r w:rsidR="00953C18" w:rsidRPr="00F413DB">
        <w:rPr>
          <w:rFonts w:ascii="Times New Roman" w:hAnsi="Times New Roman" w:cs="Times New Roman"/>
          <w:bCs w:val="0"/>
          <w:szCs w:val="24"/>
          <w:lang w:val="en-GB"/>
        </w:rPr>
        <w:t xml:space="preserve"> </w:t>
      </w:r>
      <w:r w:rsidR="003A410B" w:rsidRPr="00F413DB">
        <w:rPr>
          <w:rFonts w:ascii="Times New Roman" w:hAnsi="Times New Roman" w:cs="Times New Roman"/>
          <w:bCs w:val="0"/>
          <w:szCs w:val="24"/>
          <w:lang w:val="en-GB"/>
        </w:rPr>
        <w:t xml:space="preserve">Research Ethics Committee </w:t>
      </w:r>
      <w:r w:rsidR="008358EF" w:rsidRPr="00F413DB">
        <w:rPr>
          <w:rFonts w:ascii="Times New Roman" w:hAnsi="Times New Roman" w:cs="Times New Roman"/>
          <w:bCs w:val="0"/>
          <w:szCs w:val="24"/>
          <w:lang w:val="en-GB"/>
        </w:rPr>
        <w:t xml:space="preserve">and </w:t>
      </w:r>
      <w:r w:rsidR="00F133A1">
        <w:rPr>
          <w:rFonts w:ascii="Times New Roman" w:hAnsi="Times New Roman" w:cs="Times New Roman"/>
          <w:bCs w:val="0"/>
          <w:szCs w:val="24"/>
          <w:lang w:val="en-GB"/>
        </w:rPr>
        <w:t>has previously been reported</w:t>
      </w:r>
      <w:r w:rsidR="001737C7" w:rsidRPr="00F413DB">
        <w:rPr>
          <w:rFonts w:ascii="Times New Roman" w:hAnsi="Times New Roman" w:cs="Times New Roman"/>
          <w:bCs w:val="0"/>
          <w:szCs w:val="24"/>
          <w:lang w:val="en-GB"/>
        </w:rPr>
        <w:t xml:space="preserve"> (9)</w:t>
      </w:r>
      <w:r w:rsidR="00D54E68" w:rsidRPr="00F413DB">
        <w:rPr>
          <w:rFonts w:ascii="Times New Roman" w:hAnsi="Times New Roman" w:cs="Times New Roman"/>
          <w:bCs w:val="0"/>
          <w:szCs w:val="24"/>
          <w:lang w:val="en-GB"/>
        </w:rPr>
        <w:t xml:space="preserve">. </w:t>
      </w:r>
      <w:r w:rsidR="008479C5" w:rsidRPr="00F413DB">
        <w:rPr>
          <w:rFonts w:ascii="Times New Roman" w:hAnsi="Times New Roman" w:cs="Times New Roman"/>
          <w:bCs w:val="0"/>
          <w:szCs w:val="24"/>
          <w:lang w:val="en-GB"/>
        </w:rPr>
        <w:t>In summary, e</w:t>
      </w:r>
      <w:r w:rsidR="004D05BA" w:rsidRPr="00F413DB">
        <w:rPr>
          <w:rFonts w:ascii="Times New Roman" w:hAnsi="Times New Roman" w:cs="Times New Roman"/>
          <w:bCs w:val="0"/>
          <w:szCs w:val="24"/>
          <w:lang w:val="en-GB"/>
        </w:rPr>
        <w:t>ligible participants were aged 18-74 years with C-peptide</w:t>
      </w:r>
      <w:r w:rsidR="00F133A1">
        <w:rPr>
          <w:rFonts w:ascii="Times New Roman" w:hAnsi="Times New Roman" w:cs="Times New Roman"/>
          <w:bCs w:val="0"/>
          <w:szCs w:val="24"/>
          <w:lang w:val="en-GB"/>
        </w:rPr>
        <w:t>-</w:t>
      </w:r>
      <w:r w:rsidR="004D05BA" w:rsidRPr="00F413DB">
        <w:rPr>
          <w:rFonts w:ascii="Times New Roman" w:hAnsi="Times New Roman" w:cs="Times New Roman"/>
          <w:bCs w:val="0"/>
          <w:szCs w:val="24"/>
          <w:lang w:val="en-GB"/>
        </w:rPr>
        <w:t>negative diabetes and impaired awareness o</w:t>
      </w:r>
      <w:r w:rsidR="008745C0" w:rsidRPr="00F413DB">
        <w:rPr>
          <w:rFonts w:ascii="Times New Roman" w:hAnsi="Times New Roman" w:cs="Times New Roman"/>
          <w:bCs w:val="0"/>
          <w:szCs w:val="24"/>
          <w:lang w:val="en-GB"/>
        </w:rPr>
        <w:t xml:space="preserve">f </w:t>
      </w:r>
      <w:proofErr w:type="spellStart"/>
      <w:r w:rsidR="008745C0" w:rsidRPr="00F413DB">
        <w:rPr>
          <w:rFonts w:ascii="Times New Roman" w:hAnsi="Times New Roman" w:cs="Times New Roman"/>
          <w:bCs w:val="0"/>
          <w:szCs w:val="24"/>
          <w:lang w:val="en-GB"/>
        </w:rPr>
        <w:t>hypoglyc</w:t>
      </w:r>
      <w:r w:rsidR="004D05BA" w:rsidRPr="00F413DB">
        <w:rPr>
          <w:rFonts w:ascii="Times New Roman" w:hAnsi="Times New Roman" w:cs="Times New Roman"/>
          <w:bCs w:val="0"/>
          <w:szCs w:val="24"/>
          <w:lang w:val="en-GB"/>
        </w:rPr>
        <w:t>emia</w:t>
      </w:r>
      <w:proofErr w:type="spellEnd"/>
      <w:r w:rsidR="004D05BA" w:rsidRPr="00F413DB">
        <w:rPr>
          <w:rFonts w:ascii="Times New Roman" w:hAnsi="Times New Roman" w:cs="Times New Roman"/>
          <w:bCs w:val="0"/>
          <w:szCs w:val="24"/>
          <w:lang w:val="en-GB"/>
        </w:rPr>
        <w:t xml:space="preserve">, confirmed by </w:t>
      </w:r>
      <w:r w:rsidR="002C06D4" w:rsidRPr="00F413DB">
        <w:rPr>
          <w:rFonts w:ascii="Times New Roman" w:hAnsi="Times New Roman" w:cs="Times New Roman"/>
          <w:bCs w:val="0"/>
          <w:szCs w:val="24"/>
          <w:lang w:val="en-GB"/>
        </w:rPr>
        <w:t>Gold score ≥4. Ninety</w:t>
      </w:r>
      <w:r w:rsidR="000931F5">
        <w:rPr>
          <w:rFonts w:ascii="Times New Roman" w:hAnsi="Times New Roman" w:cs="Times New Roman"/>
          <w:bCs w:val="0"/>
          <w:szCs w:val="24"/>
          <w:lang w:val="en-GB"/>
        </w:rPr>
        <w:t xml:space="preserve"> </w:t>
      </w:r>
      <w:r w:rsidR="002C06D4" w:rsidRPr="00F413DB">
        <w:rPr>
          <w:rFonts w:ascii="Times New Roman" w:hAnsi="Times New Roman" w:cs="Times New Roman"/>
          <w:bCs w:val="0"/>
          <w:szCs w:val="24"/>
          <w:lang w:val="en-GB"/>
        </w:rPr>
        <w:t>six p</w:t>
      </w:r>
      <w:r w:rsidR="008479C5" w:rsidRPr="00F413DB">
        <w:rPr>
          <w:rFonts w:ascii="Times New Roman" w:hAnsi="Times New Roman" w:cs="Times New Roman"/>
          <w:bCs w:val="0"/>
          <w:szCs w:val="24"/>
          <w:lang w:val="en-GB"/>
        </w:rPr>
        <w:t>articipants,</w:t>
      </w:r>
      <w:r w:rsidR="004D05BA" w:rsidRPr="00F413DB">
        <w:rPr>
          <w:rFonts w:ascii="Times New Roman" w:hAnsi="Times New Roman" w:cs="Times New Roman"/>
          <w:bCs w:val="0"/>
          <w:szCs w:val="24"/>
          <w:lang w:val="en-GB"/>
        </w:rPr>
        <w:t xml:space="preserve"> recruited acr</w:t>
      </w:r>
      <w:r w:rsidR="008745C0" w:rsidRPr="00F413DB">
        <w:rPr>
          <w:rFonts w:ascii="Times New Roman" w:hAnsi="Times New Roman" w:cs="Times New Roman"/>
          <w:bCs w:val="0"/>
          <w:szCs w:val="24"/>
          <w:lang w:val="en-GB"/>
        </w:rPr>
        <w:t xml:space="preserve">oss </w:t>
      </w:r>
      <w:r w:rsidR="00F133A1">
        <w:rPr>
          <w:rFonts w:ascii="Times New Roman" w:hAnsi="Times New Roman" w:cs="Times New Roman"/>
          <w:bCs w:val="0"/>
          <w:szCs w:val="24"/>
          <w:lang w:val="en-GB"/>
        </w:rPr>
        <w:t>five</w:t>
      </w:r>
      <w:r w:rsidR="008745C0" w:rsidRPr="00F413DB">
        <w:rPr>
          <w:rFonts w:ascii="Times New Roman" w:hAnsi="Times New Roman" w:cs="Times New Roman"/>
          <w:bCs w:val="0"/>
          <w:szCs w:val="24"/>
          <w:lang w:val="en-GB"/>
        </w:rPr>
        <w:t xml:space="preserve"> UK-tertiary referral </w:t>
      </w:r>
      <w:proofErr w:type="spellStart"/>
      <w:r w:rsidR="008745C0" w:rsidRPr="00F413DB">
        <w:rPr>
          <w:rFonts w:ascii="Times New Roman" w:hAnsi="Times New Roman" w:cs="Times New Roman"/>
          <w:bCs w:val="0"/>
          <w:szCs w:val="24"/>
          <w:lang w:val="en-GB"/>
        </w:rPr>
        <w:t>cent</w:t>
      </w:r>
      <w:r w:rsidR="004D05BA" w:rsidRPr="00F413DB">
        <w:rPr>
          <w:rFonts w:ascii="Times New Roman" w:hAnsi="Times New Roman" w:cs="Times New Roman"/>
          <w:bCs w:val="0"/>
          <w:szCs w:val="24"/>
          <w:lang w:val="en-GB"/>
        </w:rPr>
        <w:t>e</w:t>
      </w:r>
      <w:r w:rsidR="008745C0" w:rsidRPr="00F413DB">
        <w:rPr>
          <w:rFonts w:ascii="Times New Roman" w:hAnsi="Times New Roman" w:cs="Times New Roman"/>
          <w:bCs w:val="0"/>
          <w:szCs w:val="24"/>
          <w:lang w:val="en-GB"/>
        </w:rPr>
        <w:t>r</w:t>
      </w:r>
      <w:r w:rsidR="004D05BA" w:rsidRPr="00F413DB">
        <w:rPr>
          <w:rFonts w:ascii="Times New Roman" w:hAnsi="Times New Roman" w:cs="Times New Roman"/>
          <w:bCs w:val="0"/>
          <w:szCs w:val="24"/>
          <w:lang w:val="en-GB"/>
        </w:rPr>
        <w:t>s</w:t>
      </w:r>
      <w:proofErr w:type="spellEnd"/>
      <w:r w:rsidR="008479C5" w:rsidRPr="00F413DB">
        <w:rPr>
          <w:rFonts w:ascii="Times New Roman" w:hAnsi="Times New Roman" w:cs="Times New Roman"/>
          <w:bCs w:val="0"/>
          <w:szCs w:val="24"/>
          <w:lang w:val="en-GB"/>
        </w:rPr>
        <w:t>, were</w:t>
      </w:r>
      <w:r w:rsidR="004D05BA" w:rsidRPr="00F413DB">
        <w:rPr>
          <w:rFonts w:ascii="Times New Roman" w:hAnsi="Times New Roman" w:cs="Times New Roman"/>
          <w:bCs w:val="0"/>
          <w:szCs w:val="24"/>
          <w:lang w:val="en-GB"/>
        </w:rPr>
        <w:t xml:space="preserve"> allocate</w:t>
      </w:r>
      <w:r w:rsidR="008745C0" w:rsidRPr="00F413DB">
        <w:rPr>
          <w:rFonts w:ascii="Times New Roman" w:hAnsi="Times New Roman" w:cs="Times New Roman"/>
          <w:bCs w:val="0"/>
          <w:szCs w:val="24"/>
          <w:lang w:val="en-GB"/>
        </w:rPr>
        <w:t xml:space="preserve">d to intervention groups in a 2 X </w:t>
      </w:r>
      <w:r w:rsidR="004D05BA" w:rsidRPr="00F413DB">
        <w:rPr>
          <w:rFonts w:ascii="Times New Roman" w:hAnsi="Times New Roman" w:cs="Times New Roman"/>
          <w:bCs w:val="0"/>
          <w:szCs w:val="24"/>
          <w:lang w:val="en-GB"/>
        </w:rPr>
        <w:t>2 factorial design</w:t>
      </w:r>
      <w:r w:rsidR="00581C7F" w:rsidRPr="00F413DB">
        <w:rPr>
          <w:rFonts w:ascii="Times New Roman" w:hAnsi="Times New Roman" w:cs="Times New Roman"/>
          <w:bCs w:val="0"/>
          <w:szCs w:val="24"/>
          <w:lang w:val="en-GB"/>
        </w:rPr>
        <w:t xml:space="preserve"> (MDI or CSII and SMBG or RT-CGM)</w:t>
      </w:r>
      <w:r w:rsidR="008745C0" w:rsidRPr="00F413DB">
        <w:rPr>
          <w:rFonts w:ascii="Times New Roman" w:hAnsi="Times New Roman" w:cs="Times New Roman"/>
          <w:bCs w:val="0"/>
          <w:szCs w:val="24"/>
          <w:lang w:val="en-GB"/>
        </w:rPr>
        <w:t xml:space="preserve"> by a web-based randomiz</w:t>
      </w:r>
      <w:r w:rsidR="004D05BA" w:rsidRPr="00F413DB">
        <w:rPr>
          <w:rFonts w:ascii="Times New Roman" w:hAnsi="Times New Roman" w:cs="Times New Roman"/>
          <w:bCs w:val="0"/>
          <w:szCs w:val="24"/>
          <w:lang w:val="en-GB"/>
        </w:rPr>
        <w:t xml:space="preserve">ation system with stratification for </w:t>
      </w:r>
      <w:r w:rsidR="001E0FA2" w:rsidRPr="00F413DB">
        <w:rPr>
          <w:rFonts w:ascii="Times New Roman" w:hAnsi="Times New Roman" w:cs="Times New Roman"/>
          <w:bCs w:val="0"/>
          <w:szCs w:val="24"/>
          <w:lang w:val="en-GB"/>
        </w:rPr>
        <w:t xml:space="preserve">baseline </w:t>
      </w:r>
      <w:r w:rsidR="00F133A1">
        <w:rPr>
          <w:rFonts w:ascii="Times New Roman" w:hAnsi="Times New Roman" w:cs="Times New Roman"/>
          <w:bCs w:val="0"/>
          <w:szCs w:val="24"/>
          <w:lang w:val="en-GB"/>
        </w:rPr>
        <w:t xml:space="preserve">HbA1c (&lt; and ≥8% [64 </w:t>
      </w:r>
      <w:proofErr w:type="spellStart"/>
      <w:r w:rsidR="00F133A1">
        <w:rPr>
          <w:rFonts w:ascii="Times New Roman" w:hAnsi="Times New Roman" w:cs="Times New Roman"/>
          <w:bCs w:val="0"/>
          <w:szCs w:val="24"/>
          <w:lang w:val="en-GB"/>
        </w:rPr>
        <w:t>mmol</w:t>
      </w:r>
      <w:proofErr w:type="spellEnd"/>
      <w:r w:rsidR="00F133A1">
        <w:rPr>
          <w:rFonts w:ascii="Times New Roman" w:hAnsi="Times New Roman" w:cs="Times New Roman"/>
          <w:bCs w:val="0"/>
          <w:szCs w:val="24"/>
          <w:lang w:val="en-GB"/>
        </w:rPr>
        <w:t>/</w:t>
      </w:r>
      <w:proofErr w:type="spellStart"/>
      <w:r w:rsidR="00F133A1">
        <w:rPr>
          <w:rFonts w:ascii="Times New Roman" w:hAnsi="Times New Roman" w:cs="Times New Roman"/>
          <w:bCs w:val="0"/>
          <w:szCs w:val="24"/>
          <w:lang w:val="en-GB"/>
        </w:rPr>
        <w:t>mol</w:t>
      </w:r>
      <w:proofErr w:type="spellEnd"/>
      <w:r w:rsidR="00F133A1">
        <w:rPr>
          <w:rFonts w:ascii="Times New Roman" w:hAnsi="Times New Roman" w:cs="Times New Roman"/>
          <w:bCs w:val="0"/>
          <w:szCs w:val="24"/>
          <w:lang w:val="en-GB"/>
        </w:rPr>
        <w:t>]</w:t>
      </w:r>
      <w:r w:rsidR="004D05BA" w:rsidRPr="00F413DB">
        <w:rPr>
          <w:rFonts w:ascii="Times New Roman" w:hAnsi="Times New Roman" w:cs="Times New Roman"/>
          <w:bCs w:val="0"/>
          <w:szCs w:val="24"/>
          <w:lang w:val="en-GB"/>
        </w:rPr>
        <w:t>).</w:t>
      </w:r>
      <w:r w:rsidR="003A410B" w:rsidRPr="00F413DB">
        <w:rPr>
          <w:rFonts w:ascii="Times New Roman" w:hAnsi="Times New Roman" w:cs="Times New Roman"/>
          <w:bCs w:val="0"/>
          <w:szCs w:val="24"/>
          <w:lang w:val="en-GB"/>
        </w:rPr>
        <w:t xml:space="preserve"> </w:t>
      </w:r>
      <w:r w:rsidR="008479C5" w:rsidRPr="00F413DB">
        <w:rPr>
          <w:rFonts w:ascii="Times New Roman" w:hAnsi="Times New Roman" w:cs="Times New Roman"/>
          <w:bCs w:val="0"/>
          <w:szCs w:val="24"/>
          <w:lang w:val="en-GB"/>
        </w:rPr>
        <w:t>A</w:t>
      </w:r>
      <w:r w:rsidR="008358EF" w:rsidRPr="00F413DB">
        <w:rPr>
          <w:rFonts w:ascii="Times New Roman" w:hAnsi="Times New Roman" w:cs="Times New Roman"/>
          <w:bCs w:val="0"/>
          <w:szCs w:val="24"/>
          <w:lang w:val="en-GB"/>
        </w:rPr>
        <w:t xml:space="preserve">ll participants </w:t>
      </w:r>
      <w:r w:rsidR="00AA1B1A" w:rsidRPr="00F413DB">
        <w:rPr>
          <w:rFonts w:ascii="Times New Roman" w:hAnsi="Times New Roman" w:cs="Times New Roman"/>
          <w:bCs w:val="0"/>
          <w:szCs w:val="24"/>
          <w:lang w:val="en-GB"/>
        </w:rPr>
        <w:t>completed</w:t>
      </w:r>
      <w:r w:rsidR="008745C0" w:rsidRPr="00F413DB">
        <w:rPr>
          <w:rFonts w:ascii="Times New Roman" w:hAnsi="Times New Roman" w:cs="Times New Roman"/>
          <w:bCs w:val="0"/>
          <w:szCs w:val="24"/>
          <w:lang w:val="en-GB"/>
        </w:rPr>
        <w:t xml:space="preserve"> a brief standardiz</w:t>
      </w:r>
      <w:r w:rsidR="00527C9D" w:rsidRPr="00F413DB">
        <w:rPr>
          <w:rFonts w:ascii="Times New Roman" w:hAnsi="Times New Roman" w:cs="Times New Roman"/>
          <w:bCs w:val="0"/>
          <w:szCs w:val="24"/>
          <w:lang w:val="en-GB"/>
        </w:rPr>
        <w:t xml:space="preserve">ed </w:t>
      </w:r>
      <w:proofErr w:type="spellStart"/>
      <w:r w:rsidR="00527C9D" w:rsidRPr="00F413DB">
        <w:rPr>
          <w:rFonts w:ascii="Times New Roman" w:hAnsi="Times New Roman" w:cs="Times New Roman"/>
          <w:bCs w:val="0"/>
          <w:szCs w:val="24"/>
          <w:lang w:val="en-GB"/>
        </w:rPr>
        <w:t>behavio</w:t>
      </w:r>
      <w:r w:rsidR="00F133A1">
        <w:rPr>
          <w:rFonts w:ascii="Times New Roman" w:hAnsi="Times New Roman" w:cs="Times New Roman"/>
          <w:bCs w:val="0"/>
          <w:szCs w:val="24"/>
          <w:lang w:val="en-GB"/>
        </w:rPr>
        <w:t>ral</w:t>
      </w:r>
      <w:proofErr w:type="spellEnd"/>
      <w:r w:rsidR="00F133A1">
        <w:rPr>
          <w:rFonts w:ascii="Times New Roman" w:hAnsi="Times New Roman" w:cs="Times New Roman"/>
          <w:bCs w:val="0"/>
          <w:szCs w:val="24"/>
          <w:lang w:val="en-GB"/>
        </w:rPr>
        <w:t xml:space="preserve"> intervention session (“my hypo compass”</w:t>
      </w:r>
      <w:r w:rsidR="008358EF" w:rsidRPr="00F413DB">
        <w:rPr>
          <w:rFonts w:ascii="Times New Roman" w:hAnsi="Times New Roman" w:cs="Times New Roman"/>
          <w:bCs w:val="0"/>
          <w:szCs w:val="24"/>
          <w:lang w:val="en-GB"/>
        </w:rPr>
        <w:t xml:space="preserve">) </w:t>
      </w:r>
      <w:r w:rsidR="008745C0" w:rsidRPr="00F413DB">
        <w:rPr>
          <w:rFonts w:ascii="Times New Roman" w:hAnsi="Times New Roman" w:cs="Times New Roman"/>
          <w:bCs w:val="0"/>
          <w:szCs w:val="24"/>
          <w:lang w:val="en-GB"/>
        </w:rPr>
        <w:t>after randomiz</w:t>
      </w:r>
      <w:r w:rsidR="00BB159A" w:rsidRPr="00F413DB">
        <w:rPr>
          <w:rFonts w:ascii="Times New Roman" w:hAnsi="Times New Roman" w:cs="Times New Roman"/>
          <w:bCs w:val="0"/>
          <w:szCs w:val="24"/>
          <w:lang w:val="en-GB"/>
        </w:rPr>
        <w:t>ation</w:t>
      </w:r>
      <w:r w:rsidR="0085037C">
        <w:rPr>
          <w:rFonts w:ascii="Times New Roman" w:hAnsi="Times New Roman" w:cs="Times New Roman"/>
          <w:bCs w:val="0"/>
          <w:szCs w:val="24"/>
          <w:lang w:val="en-GB"/>
        </w:rPr>
        <w:t xml:space="preserve"> (9)</w:t>
      </w:r>
      <w:r w:rsidR="008358EF" w:rsidRPr="00F413DB">
        <w:rPr>
          <w:rFonts w:ascii="Times New Roman" w:hAnsi="Times New Roman" w:cs="Times New Roman"/>
          <w:bCs w:val="0"/>
          <w:szCs w:val="24"/>
          <w:lang w:val="en-GB"/>
        </w:rPr>
        <w:t xml:space="preserve">. </w:t>
      </w:r>
      <w:r w:rsidR="008479C5" w:rsidRPr="00F413DB">
        <w:rPr>
          <w:rFonts w:ascii="Times New Roman" w:hAnsi="Times New Roman" w:cs="Times New Roman"/>
          <w:bCs w:val="0"/>
          <w:szCs w:val="24"/>
          <w:lang w:val="en-GB"/>
        </w:rPr>
        <w:t>Participants returned to their usual care at 24</w:t>
      </w:r>
      <w:r w:rsidR="00845BF4">
        <w:rPr>
          <w:rFonts w:ascii="Times New Roman" w:hAnsi="Times New Roman" w:cs="Times New Roman"/>
          <w:bCs w:val="0"/>
          <w:szCs w:val="24"/>
          <w:lang w:val="en-GB"/>
        </w:rPr>
        <w:t xml:space="preserve"> </w:t>
      </w:r>
      <w:r w:rsidR="008479C5" w:rsidRPr="00F413DB">
        <w:rPr>
          <w:rFonts w:ascii="Times New Roman" w:hAnsi="Times New Roman" w:cs="Times New Roman"/>
          <w:bCs w:val="0"/>
          <w:szCs w:val="24"/>
          <w:lang w:val="en-GB"/>
        </w:rPr>
        <w:t>week</w:t>
      </w:r>
      <w:r w:rsidR="002B09A0" w:rsidRPr="00F413DB">
        <w:rPr>
          <w:rFonts w:ascii="Times New Roman" w:hAnsi="Times New Roman" w:cs="Times New Roman"/>
          <w:bCs w:val="0"/>
          <w:szCs w:val="24"/>
          <w:lang w:val="en-GB"/>
        </w:rPr>
        <w:t>s. W</w:t>
      </w:r>
      <w:r w:rsidR="00866DD1" w:rsidRPr="00F413DB">
        <w:rPr>
          <w:rFonts w:ascii="Times New Roman" w:hAnsi="Times New Roman" w:cs="Times New Roman"/>
          <w:bCs w:val="0"/>
          <w:szCs w:val="24"/>
          <w:lang w:val="en-GB"/>
        </w:rPr>
        <w:t>hile participants were able to change insulin delivery modality at 24</w:t>
      </w:r>
      <w:r w:rsidR="00845BF4">
        <w:rPr>
          <w:rFonts w:ascii="Times New Roman" w:hAnsi="Times New Roman" w:cs="Times New Roman"/>
          <w:bCs w:val="0"/>
          <w:szCs w:val="24"/>
          <w:lang w:val="en-GB"/>
        </w:rPr>
        <w:t xml:space="preserve"> </w:t>
      </w:r>
      <w:r w:rsidR="00866DD1" w:rsidRPr="00F413DB">
        <w:rPr>
          <w:rFonts w:ascii="Times New Roman" w:hAnsi="Times New Roman" w:cs="Times New Roman"/>
          <w:bCs w:val="0"/>
          <w:szCs w:val="24"/>
          <w:lang w:val="en-GB"/>
        </w:rPr>
        <w:t>weeks, the RT-CGM versus SMBG randomized comparison continued to 24</w:t>
      </w:r>
      <w:r w:rsidR="00845BF4">
        <w:rPr>
          <w:rFonts w:ascii="Times New Roman" w:hAnsi="Times New Roman" w:cs="Times New Roman"/>
          <w:bCs w:val="0"/>
          <w:szCs w:val="24"/>
          <w:lang w:val="en-GB"/>
        </w:rPr>
        <w:t xml:space="preserve"> </w:t>
      </w:r>
      <w:r w:rsidR="00866DD1" w:rsidRPr="00F413DB">
        <w:rPr>
          <w:rFonts w:ascii="Times New Roman" w:hAnsi="Times New Roman" w:cs="Times New Roman"/>
          <w:bCs w:val="0"/>
          <w:szCs w:val="24"/>
          <w:lang w:val="en-GB"/>
        </w:rPr>
        <w:t xml:space="preserve">months.  The </w:t>
      </w:r>
      <w:r w:rsidR="007171BF">
        <w:rPr>
          <w:rFonts w:ascii="Times New Roman" w:hAnsi="Times New Roman" w:cs="Times New Roman"/>
          <w:bCs w:val="0"/>
          <w:szCs w:val="24"/>
          <w:lang w:val="en-GB"/>
        </w:rPr>
        <w:t>m</w:t>
      </w:r>
      <w:r w:rsidR="00B05630" w:rsidRPr="00F413DB">
        <w:rPr>
          <w:rFonts w:ascii="Times New Roman" w:hAnsi="Times New Roman" w:cs="Times New Roman"/>
          <w:bCs w:val="0"/>
          <w:szCs w:val="24"/>
          <w:lang w:val="en-GB"/>
        </w:rPr>
        <w:t>ixed-</w:t>
      </w:r>
      <w:r w:rsidR="007171BF">
        <w:rPr>
          <w:rFonts w:ascii="Times New Roman" w:hAnsi="Times New Roman" w:cs="Times New Roman"/>
          <w:bCs w:val="0"/>
          <w:szCs w:val="24"/>
          <w:lang w:val="en-GB"/>
        </w:rPr>
        <w:t>m</w:t>
      </w:r>
      <w:r w:rsidR="008479C5" w:rsidRPr="00F413DB">
        <w:rPr>
          <w:rFonts w:ascii="Times New Roman" w:hAnsi="Times New Roman" w:cs="Times New Roman"/>
          <w:bCs w:val="0"/>
          <w:szCs w:val="24"/>
          <w:lang w:val="en-GB"/>
        </w:rPr>
        <w:t xml:space="preserve">eal </w:t>
      </w:r>
      <w:r w:rsidR="007171BF">
        <w:rPr>
          <w:rFonts w:ascii="Times New Roman" w:hAnsi="Times New Roman" w:cs="Times New Roman"/>
          <w:bCs w:val="0"/>
          <w:szCs w:val="24"/>
          <w:lang w:val="en-GB"/>
        </w:rPr>
        <w:t>t</w:t>
      </w:r>
      <w:r w:rsidR="008479C5" w:rsidRPr="00F413DB">
        <w:rPr>
          <w:rFonts w:ascii="Times New Roman" w:hAnsi="Times New Roman" w:cs="Times New Roman"/>
          <w:bCs w:val="0"/>
          <w:szCs w:val="24"/>
          <w:lang w:val="en-GB"/>
        </w:rPr>
        <w:t xml:space="preserve">olerance </w:t>
      </w:r>
      <w:r w:rsidR="007171BF">
        <w:rPr>
          <w:rFonts w:ascii="Times New Roman" w:hAnsi="Times New Roman" w:cs="Times New Roman"/>
          <w:bCs w:val="0"/>
          <w:szCs w:val="24"/>
          <w:lang w:val="en-GB"/>
        </w:rPr>
        <w:t>t</w:t>
      </w:r>
      <w:r w:rsidR="00F133A1">
        <w:rPr>
          <w:rFonts w:ascii="Times New Roman" w:hAnsi="Times New Roman" w:cs="Times New Roman"/>
          <w:bCs w:val="0"/>
          <w:szCs w:val="24"/>
          <w:lang w:val="en-GB"/>
        </w:rPr>
        <w:t xml:space="preserve">est </w:t>
      </w:r>
      <w:proofErr w:type="spellStart"/>
      <w:r w:rsidR="00F133A1">
        <w:rPr>
          <w:rFonts w:ascii="Times New Roman" w:hAnsi="Times New Roman" w:cs="Times New Roman"/>
          <w:bCs w:val="0"/>
          <w:szCs w:val="24"/>
          <w:lang w:val="en-GB"/>
        </w:rPr>
        <w:t>sub</w:t>
      </w:r>
      <w:r w:rsidR="009C1C81" w:rsidRPr="00F413DB">
        <w:rPr>
          <w:rFonts w:ascii="Times New Roman" w:hAnsi="Times New Roman" w:cs="Times New Roman"/>
          <w:bCs w:val="0"/>
          <w:szCs w:val="24"/>
          <w:lang w:val="en-GB"/>
        </w:rPr>
        <w:t>study</w:t>
      </w:r>
      <w:proofErr w:type="spellEnd"/>
      <w:r w:rsidR="009C1C81" w:rsidRPr="00F413DB">
        <w:rPr>
          <w:rFonts w:ascii="Times New Roman" w:hAnsi="Times New Roman" w:cs="Times New Roman"/>
          <w:bCs w:val="0"/>
          <w:szCs w:val="24"/>
          <w:lang w:val="en-GB"/>
        </w:rPr>
        <w:t xml:space="preserve"> was</w:t>
      </w:r>
      <w:r w:rsidR="00EA2E03" w:rsidRPr="00F413DB">
        <w:rPr>
          <w:rFonts w:ascii="Times New Roman" w:hAnsi="Times New Roman" w:cs="Times New Roman"/>
          <w:bCs w:val="0"/>
          <w:szCs w:val="24"/>
          <w:lang w:val="en-GB"/>
        </w:rPr>
        <w:t xml:space="preserve"> approved by Leeds West Research Ethics Committee and undertaken following </w:t>
      </w:r>
      <w:r w:rsidR="0081286A" w:rsidRPr="00F413DB">
        <w:rPr>
          <w:rFonts w:ascii="Times New Roman" w:hAnsi="Times New Roman" w:cs="Times New Roman"/>
          <w:bCs w:val="0"/>
          <w:szCs w:val="24"/>
          <w:lang w:val="en-GB"/>
        </w:rPr>
        <w:t xml:space="preserve">main </w:t>
      </w:r>
      <w:r w:rsidR="00EA2E03" w:rsidRPr="00F413DB">
        <w:rPr>
          <w:rFonts w:ascii="Times New Roman" w:hAnsi="Times New Roman" w:cs="Times New Roman"/>
          <w:bCs w:val="0"/>
          <w:szCs w:val="24"/>
          <w:lang w:val="en-GB"/>
        </w:rPr>
        <w:t>study completion</w:t>
      </w:r>
      <w:r w:rsidR="0081286A" w:rsidRPr="00F413DB">
        <w:rPr>
          <w:rFonts w:ascii="Times New Roman" w:hAnsi="Times New Roman" w:cs="Times New Roman"/>
          <w:bCs w:val="0"/>
          <w:szCs w:val="24"/>
          <w:lang w:val="en-GB"/>
        </w:rPr>
        <w:t xml:space="preserve"> and collection of 24-month outcome data</w:t>
      </w:r>
      <w:r w:rsidR="008479C5" w:rsidRPr="00F413DB">
        <w:rPr>
          <w:rFonts w:ascii="Times New Roman" w:hAnsi="Times New Roman" w:cs="Times New Roman"/>
          <w:bCs w:val="0"/>
          <w:szCs w:val="24"/>
          <w:lang w:val="en-GB"/>
        </w:rPr>
        <w:t xml:space="preserve">. All </w:t>
      </w:r>
      <w:r w:rsidR="00EA2E03" w:rsidRPr="00F413DB">
        <w:rPr>
          <w:rFonts w:ascii="Times New Roman" w:hAnsi="Times New Roman" w:cs="Times New Roman"/>
          <w:bCs w:val="0"/>
          <w:szCs w:val="24"/>
          <w:lang w:val="en-GB"/>
        </w:rPr>
        <w:t xml:space="preserve">individuals </w:t>
      </w:r>
      <w:r w:rsidR="008479C5" w:rsidRPr="00F413DB">
        <w:rPr>
          <w:rFonts w:ascii="Times New Roman" w:hAnsi="Times New Roman" w:cs="Times New Roman"/>
          <w:bCs w:val="0"/>
          <w:szCs w:val="24"/>
          <w:lang w:val="en-GB"/>
        </w:rPr>
        <w:t>remaining</w:t>
      </w:r>
      <w:r w:rsidR="009C1C81" w:rsidRPr="00F413DB">
        <w:rPr>
          <w:rFonts w:ascii="Times New Roman" w:hAnsi="Times New Roman" w:cs="Times New Roman"/>
          <w:bCs w:val="0"/>
          <w:szCs w:val="24"/>
          <w:lang w:val="en-GB"/>
        </w:rPr>
        <w:t xml:space="preserve"> under the care of the </w:t>
      </w:r>
      <w:r w:rsidR="00EA2E03" w:rsidRPr="00F413DB">
        <w:rPr>
          <w:rFonts w:ascii="Times New Roman" w:hAnsi="Times New Roman" w:cs="Times New Roman"/>
          <w:bCs w:val="0"/>
          <w:szCs w:val="24"/>
          <w:lang w:val="en-GB"/>
        </w:rPr>
        <w:t xml:space="preserve">participating </w:t>
      </w:r>
      <w:proofErr w:type="spellStart"/>
      <w:r w:rsidR="00EA2E03" w:rsidRPr="00F413DB">
        <w:rPr>
          <w:rFonts w:ascii="Times New Roman" w:hAnsi="Times New Roman" w:cs="Times New Roman"/>
          <w:bCs w:val="0"/>
          <w:szCs w:val="24"/>
          <w:lang w:val="en-GB"/>
        </w:rPr>
        <w:t>centers</w:t>
      </w:r>
      <w:proofErr w:type="spellEnd"/>
      <w:r w:rsidR="00EA2E03" w:rsidRPr="00F413DB">
        <w:rPr>
          <w:rFonts w:ascii="Times New Roman" w:hAnsi="Times New Roman" w:cs="Times New Roman"/>
          <w:bCs w:val="0"/>
          <w:szCs w:val="24"/>
          <w:lang w:val="en-GB"/>
        </w:rPr>
        <w:t xml:space="preserve"> </w:t>
      </w:r>
      <w:r w:rsidR="008479C5" w:rsidRPr="00F413DB">
        <w:rPr>
          <w:rFonts w:ascii="Times New Roman" w:hAnsi="Times New Roman" w:cs="Times New Roman"/>
          <w:bCs w:val="0"/>
          <w:szCs w:val="24"/>
          <w:lang w:val="en-GB"/>
        </w:rPr>
        <w:t xml:space="preserve">were invited to </w:t>
      </w:r>
      <w:r w:rsidR="00EA2E03" w:rsidRPr="00F413DB">
        <w:rPr>
          <w:rFonts w:ascii="Times New Roman" w:hAnsi="Times New Roman" w:cs="Times New Roman"/>
          <w:bCs w:val="0"/>
          <w:szCs w:val="24"/>
          <w:lang w:val="en-GB"/>
        </w:rPr>
        <w:t>take part</w:t>
      </w:r>
      <w:r w:rsidR="008479C5" w:rsidRPr="00F413DB">
        <w:rPr>
          <w:rFonts w:ascii="Times New Roman" w:hAnsi="Times New Roman" w:cs="Times New Roman"/>
          <w:bCs w:val="0"/>
          <w:szCs w:val="24"/>
          <w:lang w:val="en-GB"/>
        </w:rPr>
        <w:t xml:space="preserve">. </w:t>
      </w:r>
    </w:p>
    <w:p w14:paraId="095E449F" w14:textId="06B1F407" w:rsidR="008117B7" w:rsidRPr="00F413DB" w:rsidRDefault="009C1C81" w:rsidP="00991E9B">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 </w:t>
      </w:r>
    </w:p>
    <w:p w14:paraId="08C4781F" w14:textId="47E3BBC0" w:rsidR="00DA710A" w:rsidRPr="00F413DB" w:rsidRDefault="00DA710A" w:rsidP="00991E9B">
      <w:pPr>
        <w:spacing w:line="480" w:lineRule="auto"/>
        <w:jc w:val="both"/>
        <w:outlineLvl w:val="0"/>
        <w:rPr>
          <w:rFonts w:ascii="Times New Roman" w:hAnsi="Times New Roman" w:cs="Times New Roman"/>
          <w:b/>
          <w:bCs w:val="0"/>
          <w:szCs w:val="24"/>
          <w:lang w:val="en-GB"/>
        </w:rPr>
      </w:pPr>
      <w:r w:rsidRPr="00F413DB">
        <w:rPr>
          <w:rFonts w:ascii="Times New Roman" w:hAnsi="Times New Roman" w:cs="Times New Roman"/>
          <w:b/>
          <w:bCs w:val="0"/>
          <w:szCs w:val="24"/>
          <w:lang w:val="en-GB"/>
        </w:rPr>
        <w:t>Procedures</w:t>
      </w:r>
    </w:p>
    <w:p w14:paraId="558327F3" w14:textId="7759AC9A" w:rsidR="00BA0FD9" w:rsidRPr="00F413DB" w:rsidRDefault="002C16E1" w:rsidP="00B856EE">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Only</w:t>
      </w:r>
      <w:r w:rsidR="00C303A7" w:rsidRPr="00F413DB">
        <w:rPr>
          <w:rFonts w:ascii="Times New Roman" w:hAnsi="Times New Roman" w:cs="Times New Roman"/>
          <w:bCs w:val="0"/>
          <w:szCs w:val="24"/>
          <w:lang w:val="en-GB"/>
        </w:rPr>
        <w:t xml:space="preserve"> </w:t>
      </w:r>
      <w:r w:rsidR="00644D3C" w:rsidRPr="00F413DB">
        <w:rPr>
          <w:rFonts w:ascii="Times New Roman" w:hAnsi="Times New Roman" w:cs="Times New Roman"/>
          <w:bCs w:val="0"/>
          <w:szCs w:val="24"/>
          <w:lang w:val="en-GB"/>
        </w:rPr>
        <w:t xml:space="preserve">participants who experienced severe </w:t>
      </w:r>
      <w:proofErr w:type="spellStart"/>
      <w:r w:rsidR="00644D3C" w:rsidRPr="00F413DB">
        <w:rPr>
          <w:rFonts w:ascii="Times New Roman" w:hAnsi="Times New Roman" w:cs="Times New Roman"/>
          <w:bCs w:val="0"/>
          <w:szCs w:val="24"/>
          <w:lang w:val="en-GB"/>
        </w:rPr>
        <w:t>hypoglycemia</w:t>
      </w:r>
      <w:proofErr w:type="spellEnd"/>
      <w:r w:rsidR="0085170F" w:rsidRPr="00F413DB">
        <w:rPr>
          <w:rFonts w:ascii="Times New Roman" w:hAnsi="Times New Roman" w:cs="Times New Roman"/>
          <w:bCs w:val="0"/>
          <w:szCs w:val="24"/>
          <w:lang w:val="en-GB"/>
        </w:rPr>
        <w:t xml:space="preserve"> in the year preceding the RCT we</w:t>
      </w:r>
      <w:r w:rsidRPr="00F413DB">
        <w:rPr>
          <w:rFonts w:ascii="Times New Roman" w:hAnsi="Times New Roman" w:cs="Times New Roman"/>
          <w:bCs w:val="0"/>
          <w:szCs w:val="24"/>
          <w:lang w:val="en-GB"/>
        </w:rPr>
        <w:t>re included in th</w:t>
      </w:r>
      <w:r w:rsidR="0081286A" w:rsidRPr="00F413DB">
        <w:rPr>
          <w:rFonts w:ascii="Times New Roman" w:hAnsi="Times New Roman" w:cs="Times New Roman"/>
          <w:bCs w:val="0"/>
          <w:szCs w:val="24"/>
          <w:lang w:val="en-GB"/>
        </w:rPr>
        <w:t>e current</w:t>
      </w:r>
      <w:r w:rsidRPr="00F413DB">
        <w:rPr>
          <w:rFonts w:ascii="Times New Roman" w:hAnsi="Times New Roman" w:cs="Times New Roman"/>
          <w:bCs w:val="0"/>
          <w:szCs w:val="24"/>
          <w:lang w:val="en-GB"/>
        </w:rPr>
        <w:t xml:space="preserve"> analysis. As previously published,</w:t>
      </w:r>
      <w:r w:rsidR="00AF1E68" w:rsidRPr="00F413DB">
        <w:rPr>
          <w:rFonts w:ascii="Times New Roman" w:hAnsi="Times New Roman" w:cs="Times New Roman"/>
          <w:bCs w:val="0"/>
          <w:szCs w:val="24"/>
          <w:lang w:val="en-GB"/>
        </w:rPr>
        <w:t xml:space="preserve"> b</w:t>
      </w:r>
      <w:r w:rsidR="00C36C99" w:rsidRPr="00F413DB">
        <w:rPr>
          <w:rFonts w:ascii="Times New Roman" w:hAnsi="Times New Roman" w:cs="Times New Roman"/>
          <w:bCs w:val="0"/>
          <w:szCs w:val="24"/>
          <w:lang w:val="en-GB"/>
        </w:rPr>
        <w:t>aseline data inclu</w:t>
      </w:r>
      <w:r w:rsidR="00C31931" w:rsidRPr="00F413DB">
        <w:rPr>
          <w:rFonts w:ascii="Times New Roman" w:hAnsi="Times New Roman" w:cs="Times New Roman"/>
          <w:bCs w:val="0"/>
          <w:szCs w:val="24"/>
          <w:lang w:val="en-GB"/>
        </w:rPr>
        <w:t>d</w:t>
      </w:r>
      <w:r w:rsidR="00E51D46">
        <w:rPr>
          <w:rFonts w:ascii="Times New Roman" w:hAnsi="Times New Roman" w:cs="Times New Roman"/>
          <w:bCs w:val="0"/>
          <w:szCs w:val="24"/>
          <w:lang w:val="en-GB"/>
        </w:rPr>
        <w:t>ing</w:t>
      </w:r>
      <w:r w:rsidR="00C31931" w:rsidRPr="00F413DB">
        <w:rPr>
          <w:rFonts w:ascii="Times New Roman" w:hAnsi="Times New Roman" w:cs="Times New Roman"/>
          <w:bCs w:val="0"/>
          <w:szCs w:val="24"/>
          <w:lang w:val="en-GB"/>
        </w:rPr>
        <w:t xml:space="preserve"> diabetes-specific history </w:t>
      </w:r>
      <w:r w:rsidR="000E6807">
        <w:rPr>
          <w:rFonts w:ascii="Times New Roman" w:hAnsi="Times New Roman" w:cs="Times New Roman"/>
          <w:bCs w:val="0"/>
          <w:szCs w:val="24"/>
          <w:lang w:val="en-GB"/>
        </w:rPr>
        <w:t>w</w:t>
      </w:r>
      <w:r w:rsidR="00350C93">
        <w:rPr>
          <w:rFonts w:ascii="Times New Roman" w:hAnsi="Times New Roman" w:cs="Times New Roman"/>
          <w:bCs w:val="0"/>
          <w:szCs w:val="24"/>
          <w:lang w:val="en-GB"/>
        </w:rPr>
        <w:t xml:space="preserve">ere </w:t>
      </w:r>
      <w:r w:rsidR="0081286A" w:rsidRPr="00F413DB">
        <w:rPr>
          <w:rFonts w:ascii="Times New Roman" w:hAnsi="Times New Roman" w:cs="Times New Roman"/>
          <w:bCs w:val="0"/>
          <w:szCs w:val="24"/>
          <w:lang w:val="en-GB"/>
        </w:rPr>
        <w:t>recorded using</w:t>
      </w:r>
      <w:r w:rsidR="00644D3C" w:rsidRPr="00F413DB">
        <w:rPr>
          <w:rFonts w:ascii="Times New Roman" w:hAnsi="Times New Roman" w:cs="Times New Roman"/>
          <w:bCs w:val="0"/>
          <w:szCs w:val="24"/>
          <w:lang w:val="en-GB"/>
        </w:rPr>
        <w:t xml:space="preserve"> standardiz</w:t>
      </w:r>
      <w:r w:rsidR="00E51D46">
        <w:rPr>
          <w:rFonts w:ascii="Times New Roman" w:hAnsi="Times New Roman" w:cs="Times New Roman"/>
          <w:bCs w:val="0"/>
          <w:szCs w:val="24"/>
          <w:lang w:val="en-GB"/>
        </w:rPr>
        <w:t>ed case report f</w:t>
      </w:r>
      <w:r w:rsidRPr="00F413DB">
        <w:rPr>
          <w:rFonts w:ascii="Times New Roman" w:hAnsi="Times New Roman" w:cs="Times New Roman"/>
          <w:bCs w:val="0"/>
          <w:szCs w:val="24"/>
          <w:lang w:val="en-GB"/>
        </w:rPr>
        <w:t>orms</w:t>
      </w:r>
      <w:r w:rsidR="00237CA5" w:rsidRPr="00F413DB">
        <w:rPr>
          <w:rFonts w:ascii="Times New Roman" w:hAnsi="Times New Roman" w:cs="Times New Roman"/>
          <w:bCs w:val="0"/>
          <w:szCs w:val="24"/>
          <w:lang w:val="en-GB"/>
        </w:rPr>
        <w:t xml:space="preserve">. </w:t>
      </w:r>
      <w:r w:rsidR="00350C93">
        <w:rPr>
          <w:rFonts w:ascii="Times New Roman" w:hAnsi="Times New Roman" w:cs="Times New Roman"/>
          <w:bCs w:val="0"/>
          <w:szCs w:val="24"/>
          <w:lang w:val="en-GB"/>
        </w:rPr>
        <w:t>Th</w:t>
      </w:r>
      <w:r w:rsidR="000E6807">
        <w:rPr>
          <w:rFonts w:ascii="Times New Roman" w:hAnsi="Times New Roman" w:cs="Times New Roman"/>
          <w:bCs w:val="0"/>
          <w:szCs w:val="24"/>
          <w:lang w:val="en-GB"/>
        </w:rPr>
        <w:t>is</w:t>
      </w:r>
      <w:r w:rsidR="00350C93">
        <w:rPr>
          <w:rFonts w:ascii="Times New Roman" w:hAnsi="Times New Roman" w:cs="Times New Roman"/>
          <w:bCs w:val="0"/>
          <w:szCs w:val="24"/>
          <w:lang w:val="en-GB"/>
        </w:rPr>
        <w:t xml:space="preserve"> included specific questions regarding autonomic neuropathy. Presence / absence of peripheral neuropathy was recorded</w:t>
      </w:r>
      <w:r w:rsidR="00805786">
        <w:rPr>
          <w:rFonts w:ascii="Times New Roman" w:hAnsi="Times New Roman" w:cs="Times New Roman"/>
          <w:bCs w:val="0"/>
          <w:szCs w:val="24"/>
          <w:lang w:val="en-GB"/>
        </w:rPr>
        <w:t>,</w:t>
      </w:r>
      <w:r w:rsidR="00350C93">
        <w:rPr>
          <w:rFonts w:ascii="Times New Roman" w:hAnsi="Times New Roman" w:cs="Times New Roman"/>
          <w:bCs w:val="0"/>
          <w:szCs w:val="24"/>
          <w:lang w:val="en-GB"/>
        </w:rPr>
        <w:t xml:space="preserve"> informed by specific </w:t>
      </w:r>
      <w:r w:rsidR="000E6807">
        <w:rPr>
          <w:rFonts w:ascii="Times New Roman" w:hAnsi="Times New Roman" w:cs="Times New Roman"/>
          <w:bCs w:val="0"/>
          <w:szCs w:val="24"/>
          <w:lang w:val="en-GB"/>
        </w:rPr>
        <w:t xml:space="preserve">questions regarding numbness / </w:t>
      </w:r>
      <w:proofErr w:type="spellStart"/>
      <w:r w:rsidR="000E6807">
        <w:rPr>
          <w:rFonts w:ascii="Times New Roman" w:hAnsi="Times New Roman" w:cs="Times New Roman"/>
          <w:bCs w:val="0"/>
          <w:szCs w:val="24"/>
          <w:lang w:val="en-GB"/>
        </w:rPr>
        <w:t>paresthesiae</w:t>
      </w:r>
      <w:proofErr w:type="spellEnd"/>
      <w:r w:rsidR="000E6807">
        <w:rPr>
          <w:rFonts w:ascii="Times New Roman" w:hAnsi="Times New Roman" w:cs="Times New Roman"/>
          <w:bCs w:val="0"/>
          <w:szCs w:val="24"/>
          <w:lang w:val="en-GB"/>
        </w:rPr>
        <w:t xml:space="preserve"> / neuropathic pain in hands and/or feet underpinned by confirmatory neurological examination to differentiate from </w:t>
      </w:r>
      <w:proofErr w:type="spellStart"/>
      <w:r w:rsidR="000E6807">
        <w:rPr>
          <w:rFonts w:ascii="Times New Roman" w:hAnsi="Times New Roman" w:cs="Times New Roman"/>
          <w:bCs w:val="0"/>
          <w:szCs w:val="24"/>
          <w:lang w:val="en-GB"/>
        </w:rPr>
        <w:t>mononeuropathy</w:t>
      </w:r>
      <w:proofErr w:type="spellEnd"/>
      <w:r w:rsidR="000E6807">
        <w:rPr>
          <w:rFonts w:ascii="Times New Roman" w:hAnsi="Times New Roman" w:cs="Times New Roman"/>
          <w:bCs w:val="0"/>
          <w:szCs w:val="24"/>
          <w:lang w:val="en-GB"/>
        </w:rPr>
        <w:t>.</w:t>
      </w:r>
      <w:r w:rsidR="00350C93">
        <w:rPr>
          <w:rFonts w:ascii="Times New Roman" w:hAnsi="Times New Roman" w:cs="Times New Roman"/>
          <w:bCs w:val="0"/>
          <w:szCs w:val="24"/>
          <w:lang w:val="en-GB"/>
        </w:rPr>
        <w:t xml:space="preserve"> </w:t>
      </w:r>
      <w:r w:rsidR="006D5A38">
        <w:rPr>
          <w:rFonts w:ascii="Times New Roman" w:hAnsi="Times New Roman" w:cs="Times New Roman"/>
          <w:bCs w:val="0"/>
          <w:szCs w:val="24"/>
          <w:lang w:val="en-GB"/>
        </w:rPr>
        <w:t>Participants completed v</w:t>
      </w:r>
      <w:r w:rsidR="00C36C99" w:rsidRPr="00F413DB">
        <w:rPr>
          <w:rFonts w:ascii="Times New Roman" w:hAnsi="Times New Roman" w:cs="Times New Roman"/>
          <w:bCs w:val="0"/>
          <w:szCs w:val="24"/>
          <w:lang w:val="en-GB"/>
        </w:rPr>
        <w:t>alidated</w:t>
      </w:r>
      <w:r w:rsidR="00644D3C" w:rsidRPr="00F413DB">
        <w:rPr>
          <w:rFonts w:ascii="Times New Roman" w:hAnsi="Times New Roman" w:cs="Times New Roman"/>
          <w:bCs w:val="0"/>
          <w:szCs w:val="24"/>
          <w:lang w:val="en-GB"/>
        </w:rPr>
        <w:t xml:space="preserve"> </w:t>
      </w:r>
      <w:r w:rsidR="006D5A38">
        <w:rPr>
          <w:rFonts w:ascii="Times New Roman" w:hAnsi="Times New Roman" w:cs="Times New Roman"/>
          <w:bCs w:val="0"/>
          <w:szCs w:val="24"/>
          <w:lang w:val="en-GB"/>
        </w:rPr>
        <w:lastRenderedPageBreak/>
        <w:t xml:space="preserve">questionnaires </w:t>
      </w:r>
      <w:r w:rsidR="006D5A38" w:rsidRPr="00F413DB">
        <w:rPr>
          <w:rFonts w:ascii="Times New Roman" w:hAnsi="Times New Roman" w:cs="Times New Roman"/>
          <w:bCs w:val="0"/>
          <w:szCs w:val="24"/>
          <w:lang w:val="en-GB"/>
        </w:rPr>
        <w:t>at baseline and 24 months</w:t>
      </w:r>
      <w:r w:rsidR="004F6464">
        <w:rPr>
          <w:rFonts w:ascii="Times New Roman" w:hAnsi="Times New Roman" w:cs="Times New Roman"/>
          <w:bCs w:val="0"/>
          <w:szCs w:val="24"/>
          <w:lang w:val="en-GB"/>
        </w:rPr>
        <w:t xml:space="preserve"> (</w:t>
      </w:r>
      <w:r w:rsidR="000931F5">
        <w:rPr>
          <w:rFonts w:ascii="Times New Roman" w:hAnsi="Times New Roman" w:cs="Times New Roman"/>
          <w:bCs w:val="0"/>
          <w:szCs w:val="24"/>
          <w:lang w:val="en-GB"/>
        </w:rPr>
        <w:t>9</w:t>
      </w:r>
      <w:r w:rsidR="004F6464">
        <w:rPr>
          <w:rFonts w:ascii="Times New Roman" w:hAnsi="Times New Roman" w:cs="Times New Roman"/>
          <w:bCs w:val="0"/>
          <w:szCs w:val="24"/>
          <w:lang w:val="en-GB"/>
        </w:rPr>
        <w:t>)</w:t>
      </w:r>
      <w:r w:rsidR="006D5A38">
        <w:rPr>
          <w:rFonts w:ascii="Times New Roman" w:hAnsi="Times New Roman" w:cs="Times New Roman"/>
          <w:bCs w:val="0"/>
          <w:szCs w:val="24"/>
          <w:lang w:val="en-GB"/>
        </w:rPr>
        <w:t>:</w:t>
      </w:r>
      <w:r w:rsidR="006D5A38" w:rsidRPr="00F413DB">
        <w:rPr>
          <w:rFonts w:ascii="Times New Roman" w:hAnsi="Times New Roman" w:cs="Times New Roman"/>
          <w:bCs w:val="0"/>
          <w:szCs w:val="24"/>
          <w:lang w:val="en-GB"/>
        </w:rPr>
        <w:t xml:space="preserve"> </w:t>
      </w:r>
      <w:r w:rsidR="00644D3C" w:rsidRPr="00F413DB">
        <w:rPr>
          <w:rFonts w:ascii="Times New Roman" w:hAnsi="Times New Roman" w:cs="Times New Roman"/>
          <w:bCs w:val="0"/>
          <w:szCs w:val="24"/>
          <w:lang w:val="en-GB"/>
        </w:rPr>
        <w:t xml:space="preserve">impaired awareness of </w:t>
      </w:r>
      <w:proofErr w:type="spellStart"/>
      <w:r w:rsidR="00644D3C" w:rsidRPr="00F413DB">
        <w:rPr>
          <w:rFonts w:ascii="Times New Roman" w:hAnsi="Times New Roman" w:cs="Times New Roman"/>
          <w:bCs w:val="0"/>
          <w:szCs w:val="24"/>
          <w:lang w:val="en-GB"/>
        </w:rPr>
        <w:t>hypoglyc</w:t>
      </w:r>
      <w:r w:rsidR="00C36C99" w:rsidRPr="00F413DB">
        <w:rPr>
          <w:rFonts w:ascii="Times New Roman" w:hAnsi="Times New Roman" w:cs="Times New Roman"/>
          <w:bCs w:val="0"/>
          <w:szCs w:val="24"/>
          <w:lang w:val="en-GB"/>
        </w:rPr>
        <w:t>emia</w:t>
      </w:r>
      <w:proofErr w:type="spellEnd"/>
      <w:r w:rsidR="00C36C99" w:rsidRPr="00F413DB">
        <w:rPr>
          <w:rFonts w:ascii="Times New Roman" w:hAnsi="Times New Roman" w:cs="Times New Roman"/>
          <w:bCs w:val="0"/>
          <w:szCs w:val="24"/>
          <w:lang w:val="en-GB"/>
        </w:rPr>
        <w:t xml:space="preserve"> question</w:t>
      </w:r>
      <w:r w:rsidR="00DA710A" w:rsidRPr="00F413DB">
        <w:rPr>
          <w:rFonts w:ascii="Times New Roman" w:hAnsi="Times New Roman" w:cs="Times New Roman"/>
          <w:bCs w:val="0"/>
          <w:szCs w:val="24"/>
          <w:lang w:val="en-GB"/>
        </w:rPr>
        <w:t>n</w:t>
      </w:r>
      <w:r w:rsidR="00C36C99" w:rsidRPr="00F413DB">
        <w:rPr>
          <w:rFonts w:ascii="Times New Roman" w:hAnsi="Times New Roman" w:cs="Times New Roman"/>
          <w:bCs w:val="0"/>
          <w:szCs w:val="24"/>
          <w:lang w:val="en-GB"/>
        </w:rPr>
        <w:t>aires</w:t>
      </w:r>
      <w:r w:rsidR="00E57450" w:rsidRPr="00F413DB">
        <w:rPr>
          <w:rFonts w:ascii="Times New Roman" w:hAnsi="Times New Roman" w:cs="Times New Roman"/>
          <w:bCs w:val="0"/>
          <w:szCs w:val="24"/>
          <w:lang w:val="en-GB"/>
        </w:rPr>
        <w:t xml:space="preserve"> </w:t>
      </w:r>
      <w:r w:rsidR="00DB2711">
        <w:rPr>
          <w:rFonts w:ascii="Times New Roman" w:hAnsi="Times New Roman" w:cs="Times New Roman"/>
          <w:bCs w:val="0"/>
          <w:szCs w:val="24"/>
          <w:lang w:val="en-GB"/>
        </w:rPr>
        <w:t>(</w:t>
      </w:r>
      <w:r w:rsidR="00E57450" w:rsidRPr="00F413DB">
        <w:rPr>
          <w:rFonts w:ascii="Times New Roman" w:hAnsi="Times New Roman" w:cs="Times New Roman"/>
          <w:bCs w:val="0"/>
          <w:szCs w:val="24"/>
          <w:lang w:val="en-GB"/>
        </w:rPr>
        <w:t>Gold</w:t>
      </w:r>
      <w:r w:rsidR="00E51D46">
        <w:rPr>
          <w:rFonts w:ascii="Times New Roman" w:hAnsi="Times New Roman" w:cs="Times New Roman"/>
          <w:bCs w:val="0"/>
          <w:szCs w:val="24"/>
          <w:lang w:val="en-GB"/>
        </w:rPr>
        <w:t xml:space="preserve"> score</w:t>
      </w:r>
      <w:r w:rsidR="00E57450" w:rsidRPr="00F413DB">
        <w:rPr>
          <w:rFonts w:ascii="Times New Roman" w:hAnsi="Times New Roman" w:cs="Times New Roman"/>
          <w:bCs w:val="0"/>
          <w:szCs w:val="24"/>
          <w:lang w:val="en-GB"/>
        </w:rPr>
        <w:t>, Clarke score</w:t>
      </w:r>
      <w:r w:rsidR="00E51D46">
        <w:rPr>
          <w:rFonts w:ascii="Times New Roman" w:hAnsi="Times New Roman" w:cs="Times New Roman"/>
          <w:bCs w:val="0"/>
          <w:szCs w:val="24"/>
          <w:lang w:val="en-GB"/>
        </w:rPr>
        <w:t>,</w:t>
      </w:r>
      <w:r w:rsidR="00E57450" w:rsidRPr="00F413DB">
        <w:rPr>
          <w:rFonts w:ascii="Times New Roman" w:hAnsi="Times New Roman" w:cs="Times New Roman"/>
          <w:bCs w:val="0"/>
          <w:szCs w:val="24"/>
          <w:lang w:val="en-GB"/>
        </w:rPr>
        <w:t xml:space="preserve"> and </w:t>
      </w:r>
      <w:r w:rsidR="00E51D46">
        <w:rPr>
          <w:rFonts w:ascii="Times New Roman" w:hAnsi="Times New Roman" w:cs="Times New Roman"/>
          <w:bCs w:val="0"/>
          <w:szCs w:val="24"/>
          <w:lang w:val="en-GB"/>
        </w:rPr>
        <w:t>Hypoglycaemia Awareness Questionnaire [</w:t>
      </w:r>
      <w:proofErr w:type="spellStart"/>
      <w:r w:rsidR="00E57450" w:rsidRPr="00F413DB">
        <w:rPr>
          <w:rFonts w:ascii="Times New Roman" w:hAnsi="Times New Roman" w:cs="Times New Roman"/>
          <w:bCs w:val="0"/>
          <w:szCs w:val="24"/>
          <w:lang w:val="en-GB"/>
        </w:rPr>
        <w:t>HypoA</w:t>
      </w:r>
      <w:proofErr w:type="spellEnd"/>
      <w:r w:rsidR="00E57450" w:rsidRPr="00F413DB">
        <w:rPr>
          <w:rFonts w:ascii="Times New Roman" w:hAnsi="Times New Roman" w:cs="Times New Roman"/>
          <w:bCs w:val="0"/>
          <w:szCs w:val="24"/>
          <w:lang w:val="en-GB"/>
        </w:rPr>
        <w:t>-Q</w:t>
      </w:r>
      <w:r w:rsidR="00E51D46">
        <w:rPr>
          <w:rFonts w:ascii="Times New Roman" w:hAnsi="Times New Roman" w:cs="Times New Roman"/>
          <w:bCs w:val="0"/>
          <w:szCs w:val="24"/>
          <w:lang w:val="en-GB"/>
        </w:rPr>
        <w:t>]</w:t>
      </w:r>
      <w:r w:rsidR="00DB2711">
        <w:rPr>
          <w:rFonts w:ascii="Times New Roman" w:hAnsi="Times New Roman" w:cs="Times New Roman"/>
          <w:bCs w:val="0"/>
          <w:szCs w:val="24"/>
          <w:lang w:val="en-GB"/>
        </w:rPr>
        <w:t>)</w:t>
      </w:r>
      <w:r w:rsidR="001737C7" w:rsidRPr="00F413DB">
        <w:rPr>
          <w:rFonts w:ascii="Times New Roman" w:hAnsi="Times New Roman" w:cs="Times New Roman"/>
          <w:bCs w:val="0"/>
          <w:szCs w:val="24"/>
          <w:lang w:val="en-GB"/>
        </w:rPr>
        <w:t xml:space="preserve"> (10-12)</w:t>
      </w:r>
      <w:r w:rsidR="00E51D46">
        <w:rPr>
          <w:rFonts w:ascii="Times New Roman" w:hAnsi="Times New Roman" w:cs="Times New Roman"/>
          <w:bCs w:val="0"/>
          <w:szCs w:val="24"/>
          <w:lang w:val="en-GB"/>
        </w:rPr>
        <w:t>,</w:t>
      </w:r>
      <w:r w:rsidR="00C36C99" w:rsidRPr="00F413DB">
        <w:rPr>
          <w:rFonts w:ascii="Times New Roman" w:hAnsi="Times New Roman" w:cs="Times New Roman"/>
          <w:bCs w:val="0"/>
          <w:szCs w:val="24"/>
          <w:lang w:val="en-GB"/>
        </w:rPr>
        <w:t xml:space="preserve"> </w:t>
      </w:r>
      <w:proofErr w:type="spellStart"/>
      <w:r w:rsidR="002843EC" w:rsidRPr="00F413DB">
        <w:rPr>
          <w:rFonts w:ascii="Times New Roman" w:hAnsi="Times New Roman" w:cs="Times New Roman"/>
          <w:bCs w:val="0"/>
          <w:szCs w:val="24"/>
          <w:lang w:val="en-GB"/>
        </w:rPr>
        <w:t>Hypoglycemia</w:t>
      </w:r>
      <w:proofErr w:type="spellEnd"/>
      <w:r w:rsidR="002843EC" w:rsidRPr="00F413DB">
        <w:rPr>
          <w:rFonts w:ascii="Times New Roman" w:hAnsi="Times New Roman" w:cs="Times New Roman"/>
          <w:bCs w:val="0"/>
          <w:szCs w:val="24"/>
          <w:lang w:val="en-GB"/>
        </w:rPr>
        <w:t xml:space="preserve"> Fear Survey (HFS-II)</w:t>
      </w:r>
      <w:r w:rsidR="001737C7" w:rsidRPr="00F413DB">
        <w:rPr>
          <w:rFonts w:ascii="Times New Roman" w:hAnsi="Times New Roman" w:cs="Times New Roman"/>
          <w:bCs w:val="0"/>
          <w:szCs w:val="24"/>
          <w:lang w:val="en-GB"/>
        </w:rPr>
        <w:t xml:space="preserve"> (13)</w:t>
      </w:r>
      <w:r w:rsidR="00E51D46">
        <w:rPr>
          <w:rFonts w:ascii="Times New Roman" w:hAnsi="Times New Roman" w:cs="Times New Roman"/>
          <w:bCs w:val="0"/>
          <w:szCs w:val="24"/>
          <w:lang w:val="en-GB"/>
        </w:rPr>
        <w:t>,</w:t>
      </w:r>
      <w:r w:rsidR="002843EC" w:rsidRPr="00F413DB">
        <w:rPr>
          <w:rFonts w:ascii="Times New Roman" w:hAnsi="Times New Roman" w:cs="Times New Roman"/>
          <w:bCs w:val="0"/>
          <w:szCs w:val="24"/>
          <w:lang w:val="en-GB"/>
        </w:rPr>
        <w:t xml:space="preserve"> </w:t>
      </w:r>
      <w:proofErr w:type="spellStart"/>
      <w:r w:rsidR="002843EC" w:rsidRPr="00F413DB">
        <w:rPr>
          <w:rFonts w:ascii="Times New Roman" w:hAnsi="Times New Roman" w:cs="Times New Roman"/>
          <w:bCs w:val="0"/>
          <w:szCs w:val="24"/>
          <w:lang w:val="en-GB"/>
        </w:rPr>
        <w:t>Hyperglycemia</w:t>
      </w:r>
      <w:proofErr w:type="spellEnd"/>
      <w:r w:rsidR="002843EC" w:rsidRPr="00F413DB">
        <w:rPr>
          <w:rFonts w:ascii="Times New Roman" w:hAnsi="Times New Roman" w:cs="Times New Roman"/>
          <w:bCs w:val="0"/>
          <w:szCs w:val="24"/>
          <w:lang w:val="en-GB"/>
        </w:rPr>
        <w:t xml:space="preserve"> Avoidance Scale (HAS)</w:t>
      </w:r>
      <w:r w:rsidR="001737C7" w:rsidRPr="00F413DB">
        <w:rPr>
          <w:rFonts w:ascii="Times New Roman" w:hAnsi="Times New Roman" w:cs="Times New Roman"/>
          <w:bCs w:val="0"/>
          <w:szCs w:val="24"/>
          <w:lang w:val="en-GB"/>
        </w:rPr>
        <w:t xml:space="preserve"> (14)</w:t>
      </w:r>
      <w:r w:rsidR="00E51D46">
        <w:rPr>
          <w:rFonts w:ascii="Times New Roman" w:hAnsi="Times New Roman" w:cs="Times New Roman"/>
          <w:bCs w:val="0"/>
          <w:szCs w:val="24"/>
          <w:lang w:val="en-GB"/>
        </w:rPr>
        <w:t>, and</w:t>
      </w:r>
      <w:r w:rsidR="002843EC" w:rsidRPr="00F413DB">
        <w:rPr>
          <w:rFonts w:ascii="Times New Roman" w:hAnsi="Times New Roman" w:cs="Times New Roman"/>
          <w:bCs w:val="0"/>
          <w:szCs w:val="24"/>
          <w:lang w:val="en-GB"/>
        </w:rPr>
        <w:t xml:space="preserve"> Diabetes Treatment Satisfaction Questionnaire</w:t>
      </w:r>
      <w:r w:rsidR="001737C7" w:rsidRPr="00F413DB">
        <w:rPr>
          <w:rFonts w:ascii="Times New Roman" w:hAnsi="Times New Roman" w:cs="Times New Roman"/>
          <w:bCs w:val="0"/>
          <w:szCs w:val="24"/>
          <w:lang w:val="en-GB"/>
        </w:rPr>
        <w:t xml:space="preserve"> </w:t>
      </w:r>
      <w:r w:rsidR="00E51D46">
        <w:rPr>
          <w:rFonts w:ascii="Times New Roman" w:hAnsi="Times New Roman" w:cs="Times New Roman"/>
          <w:bCs w:val="0"/>
          <w:szCs w:val="24"/>
          <w:lang w:val="en-GB"/>
        </w:rPr>
        <w:t xml:space="preserve">(DTSQ) </w:t>
      </w:r>
      <w:r w:rsidR="001737C7" w:rsidRPr="00F413DB">
        <w:rPr>
          <w:rFonts w:ascii="Times New Roman" w:hAnsi="Times New Roman" w:cs="Times New Roman"/>
          <w:bCs w:val="0"/>
          <w:szCs w:val="24"/>
          <w:lang w:val="en-GB"/>
        </w:rPr>
        <w:t>(15)</w:t>
      </w:r>
      <w:r w:rsidR="00E51D46">
        <w:rPr>
          <w:rFonts w:ascii="Times New Roman" w:hAnsi="Times New Roman" w:cs="Times New Roman"/>
          <w:bCs w:val="0"/>
          <w:szCs w:val="24"/>
          <w:lang w:val="en-GB"/>
        </w:rPr>
        <w:t>,</w:t>
      </w:r>
      <w:r w:rsidR="003B04B3" w:rsidRPr="00F413DB">
        <w:rPr>
          <w:rFonts w:ascii="Times New Roman" w:hAnsi="Times New Roman" w:cs="Times New Roman"/>
          <w:bCs w:val="0"/>
          <w:szCs w:val="24"/>
          <w:lang w:val="en-GB"/>
        </w:rPr>
        <w:t xml:space="preserve"> </w:t>
      </w:r>
      <w:r w:rsidR="000E0CC0" w:rsidRPr="00F413DB">
        <w:rPr>
          <w:rFonts w:ascii="Times New Roman" w:hAnsi="Times New Roman" w:cs="Times New Roman"/>
          <w:bCs w:val="0"/>
          <w:szCs w:val="24"/>
          <w:lang w:val="en-GB"/>
        </w:rPr>
        <w:t xml:space="preserve">with </w:t>
      </w:r>
      <w:r w:rsidR="006D5A38">
        <w:rPr>
          <w:rFonts w:ascii="Times New Roman" w:hAnsi="Times New Roman" w:cs="Times New Roman"/>
          <w:bCs w:val="0"/>
          <w:szCs w:val="24"/>
          <w:lang w:val="en-GB"/>
        </w:rPr>
        <w:t xml:space="preserve">baseline </w:t>
      </w:r>
      <w:r w:rsidR="000E0CC0" w:rsidRPr="00F413DB">
        <w:rPr>
          <w:rFonts w:ascii="Times New Roman" w:hAnsi="Times New Roman" w:cs="Times New Roman"/>
          <w:bCs w:val="0"/>
          <w:szCs w:val="24"/>
          <w:lang w:val="en-GB"/>
        </w:rPr>
        <w:t>completion of the</w:t>
      </w:r>
      <w:r w:rsidR="00237CA5" w:rsidRPr="00F413DB">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Au</w:t>
      </w:r>
      <w:r w:rsidR="00644D3C" w:rsidRPr="00F413DB">
        <w:rPr>
          <w:rFonts w:ascii="Times New Roman" w:hAnsi="Times New Roman" w:cs="Times New Roman"/>
          <w:bCs w:val="0"/>
          <w:szCs w:val="24"/>
          <w:lang w:val="en-GB"/>
        </w:rPr>
        <w:t xml:space="preserve">tonomic Symptom Profile </w:t>
      </w:r>
      <w:r w:rsidR="00BB159A" w:rsidRPr="00F413DB">
        <w:rPr>
          <w:rFonts w:ascii="Times New Roman" w:hAnsi="Times New Roman" w:cs="Times New Roman"/>
          <w:bCs w:val="0"/>
          <w:szCs w:val="24"/>
          <w:lang w:val="en-GB"/>
        </w:rPr>
        <w:t>(ASP)</w:t>
      </w:r>
      <w:r w:rsidR="001737C7" w:rsidRPr="00F413DB">
        <w:rPr>
          <w:rFonts w:ascii="Times New Roman" w:hAnsi="Times New Roman" w:cs="Times New Roman"/>
          <w:bCs w:val="0"/>
          <w:szCs w:val="24"/>
          <w:lang w:val="en-GB"/>
        </w:rPr>
        <w:t xml:space="preserve"> </w:t>
      </w:r>
      <w:r w:rsidR="004F6464">
        <w:rPr>
          <w:rFonts w:ascii="Times New Roman" w:hAnsi="Times New Roman" w:cs="Times New Roman"/>
          <w:bCs w:val="0"/>
          <w:szCs w:val="24"/>
          <w:lang w:val="en-GB"/>
        </w:rPr>
        <w:t>q</w:t>
      </w:r>
      <w:r w:rsidR="004F6464" w:rsidRPr="00F413DB">
        <w:rPr>
          <w:rFonts w:ascii="Times New Roman" w:hAnsi="Times New Roman" w:cs="Times New Roman"/>
          <w:bCs w:val="0"/>
          <w:szCs w:val="24"/>
          <w:lang w:val="en-GB"/>
        </w:rPr>
        <w:t xml:space="preserve">uestionnaire </w:t>
      </w:r>
      <w:r w:rsidR="001737C7" w:rsidRPr="00F413DB">
        <w:rPr>
          <w:rFonts w:ascii="Times New Roman" w:hAnsi="Times New Roman" w:cs="Times New Roman"/>
          <w:bCs w:val="0"/>
          <w:szCs w:val="24"/>
          <w:lang w:val="en-GB"/>
        </w:rPr>
        <w:t>(16)</w:t>
      </w:r>
      <w:r w:rsidR="00237CA5" w:rsidRPr="00F413DB">
        <w:rPr>
          <w:rFonts w:ascii="Times New Roman" w:hAnsi="Times New Roman" w:cs="Times New Roman"/>
          <w:bCs w:val="0"/>
          <w:szCs w:val="24"/>
          <w:lang w:val="en-GB"/>
        </w:rPr>
        <w:t xml:space="preserve">. </w:t>
      </w:r>
      <w:r w:rsidR="00DB2711" w:rsidRPr="00F413DB">
        <w:rPr>
          <w:rFonts w:ascii="Times New Roman" w:hAnsi="Times New Roman" w:cs="Times New Roman"/>
          <w:bCs w:val="0"/>
          <w:szCs w:val="24"/>
          <w:lang w:val="en-GB"/>
        </w:rPr>
        <w:t xml:space="preserve">The </w:t>
      </w:r>
      <w:r w:rsidR="00DB2711">
        <w:rPr>
          <w:rFonts w:ascii="Times New Roman" w:hAnsi="Times New Roman" w:cs="Times New Roman"/>
          <w:bCs w:val="0"/>
          <w:szCs w:val="24"/>
          <w:lang w:val="en-GB"/>
        </w:rPr>
        <w:t xml:space="preserve">ASP </w:t>
      </w:r>
      <w:r w:rsidR="00DB2711" w:rsidRPr="00F413DB">
        <w:rPr>
          <w:rFonts w:ascii="Times New Roman" w:hAnsi="Times New Roman" w:cs="Times New Roman"/>
          <w:bCs w:val="0"/>
          <w:szCs w:val="24"/>
          <w:lang w:val="en-GB"/>
        </w:rPr>
        <w:t>Composite Autonomic Symptom Scale</w:t>
      </w:r>
      <w:r w:rsidR="00E51D46">
        <w:rPr>
          <w:rFonts w:ascii="Times New Roman" w:hAnsi="Times New Roman" w:cs="Times New Roman"/>
          <w:bCs w:val="0"/>
          <w:szCs w:val="24"/>
          <w:lang w:val="en-GB"/>
        </w:rPr>
        <w:t xml:space="preserve"> (COMPASS)</w:t>
      </w:r>
      <w:r w:rsidR="00DB2711" w:rsidRPr="00F413DB">
        <w:rPr>
          <w:rFonts w:ascii="Times New Roman" w:hAnsi="Times New Roman" w:cs="Times New Roman"/>
          <w:bCs w:val="0"/>
          <w:szCs w:val="24"/>
          <w:lang w:val="en-GB"/>
        </w:rPr>
        <w:t xml:space="preserve"> is a validated measure of autonomic dysfunction (16) comprising 72 questions across 11 domains: orthostatic intolerance, vasomotor, </w:t>
      </w:r>
      <w:proofErr w:type="spellStart"/>
      <w:r w:rsidR="00DB2711" w:rsidRPr="00F413DB">
        <w:rPr>
          <w:rFonts w:ascii="Times New Roman" w:hAnsi="Times New Roman" w:cs="Times New Roman"/>
          <w:bCs w:val="0"/>
          <w:szCs w:val="24"/>
          <w:lang w:val="en-GB"/>
        </w:rPr>
        <w:t>secretomotor</w:t>
      </w:r>
      <w:proofErr w:type="spellEnd"/>
      <w:r w:rsidR="00DB2711" w:rsidRPr="00F413DB">
        <w:rPr>
          <w:rFonts w:ascii="Times New Roman" w:hAnsi="Times New Roman" w:cs="Times New Roman"/>
          <w:bCs w:val="0"/>
          <w:szCs w:val="24"/>
          <w:lang w:val="en-GB"/>
        </w:rPr>
        <w:t xml:space="preserve">, gastroparesis, autonomic </w:t>
      </w:r>
      <w:proofErr w:type="spellStart"/>
      <w:r w:rsidR="00DB2711" w:rsidRPr="00F413DB">
        <w:rPr>
          <w:rFonts w:ascii="Times New Roman" w:hAnsi="Times New Roman" w:cs="Times New Roman"/>
          <w:bCs w:val="0"/>
          <w:szCs w:val="24"/>
          <w:lang w:val="en-GB"/>
        </w:rPr>
        <w:t>diarrhea</w:t>
      </w:r>
      <w:proofErr w:type="spellEnd"/>
      <w:r w:rsidR="00DB2711" w:rsidRPr="00F413DB">
        <w:rPr>
          <w:rFonts w:ascii="Times New Roman" w:hAnsi="Times New Roman" w:cs="Times New Roman"/>
          <w:bCs w:val="0"/>
          <w:szCs w:val="24"/>
          <w:lang w:val="en-GB"/>
        </w:rPr>
        <w:t xml:space="preserve">, constipation, bladder, </w:t>
      </w:r>
      <w:proofErr w:type="spellStart"/>
      <w:r w:rsidR="00DB2711" w:rsidRPr="00F413DB">
        <w:rPr>
          <w:rFonts w:ascii="Times New Roman" w:hAnsi="Times New Roman" w:cs="Times New Roman"/>
          <w:bCs w:val="0"/>
          <w:szCs w:val="24"/>
          <w:lang w:val="en-GB"/>
        </w:rPr>
        <w:t>pupilomotor</w:t>
      </w:r>
      <w:proofErr w:type="spellEnd"/>
      <w:r w:rsidR="00DB2711" w:rsidRPr="00F413DB">
        <w:rPr>
          <w:rFonts w:ascii="Times New Roman" w:hAnsi="Times New Roman" w:cs="Times New Roman"/>
          <w:bCs w:val="0"/>
          <w:szCs w:val="24"/>
          <w:lang w:val="en-GB"/>
        </w:rPr>
        <w:t xml:space="preserve">, sleep disorder and syncope. The male sexual / erectile dysfunction domain was excluded to enable comparison across </w:t>
      </w:r>
      <w:r w:rsidR="00702DE2">
        <w:rPr>
          <w:rFonts w:ascii="Times New Roman" w:hAnsi="Times New Roman" w:cs="Times New Roman"/>
          <w:bCs w:val="0"/>
          <w:szCs w:val="24"/>
          <w:lang w:val="en-GB"/>
        </w:rPr>
        <w:t>sexes</w:t>
      </w:r>
      <w:r w:rsidR="00DB2711" w:rsidRPr="00F413DB">
        <w:rPr>
          <w:rFonts w:ascii="Times New Roman" w:hAnsi="Times New Roman" w:cs="Times New Roman"/>
          <w:bCs w:val="0"/>
          <w:szCs w:val="24"/>
          <w:lang w:val="en-GB"/>
        </w:rPr>
        <w:t xml:space="preserve">. </w:t>
      </w:r>
      <w:r w:rsidR="00DB2711">
        <w:rPr>
          <w:rFonts w:ascii="Times New Roman" w:hAnsi="Times New Roman" w:cs="Times New Roman"/>
          <w:bCs w:val="0"/>
          <w:szCs w:val="24"/>
          <w:lang w:val="en-GB"/>
        </w:rPr>
        <w:t>D</w:t>
      </w:r>
      <w:r w:rsidR="00DB2711" w:rsidRPr="00F413DB">
        <w:rPr>
          <w:rFonts w:ascii="Times New Roman" w:hAnsi="Times New Roman" w:cs="Times New Roman"/>
          <w:bCs w:val="0"/>
          <w:szCs w:val="24"/>
          <w:lang w:val="en-GB"/>
        </w:rPr>
        <w:t xml:space="preserve">omains are weighted according to severity and frequency to create a total score indicative of the severity of autonomic dysfunction. </w:t>
      </w:r>
      <w:r w:rsidRPr="00F413DB">
        <w:rPr>
          <w:rFonts w:ascii="Times New Roman" w:hAnsi="Times New Roman" w:cs="Times New Roman"/>
          <w:bCs w:val="0"/>
          <w:szCs w:val="24"/>
          <w:lang w:val="en-GB"/>
        </w:rPr>
        <w:t xml:space="preserve">Participants </w:t>
      </w:r>
      <w:r w:rsidR="00BF792B" w:rsidRPr="00F413DB">
        <w:rPr>
          <w:rFonts w:ascii="Times New Roman" w:hAnsi="Times New Roman" w:cs="Times New Roman"/>
          <w:bCs w:val="0"/>
          <w:szCs w:val="24"/>
          <w:lang w:val="en-GB"/>
        </w:rPr>
        <w:t xml:space="preserve">underwent a 7-day period of blinded CGM (Medtronic </w:t>
      </w:r>
      <w:proofErr w:type="spellStart"/>
      <w:r w:rsidR="00BF792B" w:rsidRPr="00F413DB">
        <w:rPr>
          <w:rFonts w:ascii="Times New Roman" w:hAnsi="Times New Roman" w:cs="Times New Roman"/>
          <w:bCs w:val="0"/>
          <w:szCs w:val="24"/>
          <w:lang w:val="en-GB"/>
        </w:rPr>
        <w:t>iPro</w:t>
      </w:r>
      <w:proofErr w:type="spellEnd"/>
      <w:r w:rsidR="00BF792B" w:rsidRPr="00F413DB">
        <w:rPr>
          <w:rFonts w:ascii="Times New Roman" w:hAnsi="Times New Roman" w:cs="Times New Roman"/>
          <w:bCs w:val="0"/>
          <w:szCs w:val="24"/>
          <w:lang w:val="en-GB"/>
        </w:rPr>
        <w:t>)</w:t>
      </w:r>
      <w:r w:rsidR="00E57450" w:rsidRPr="00F413DB">
        <w:rPr>
          <w:rFonts w:ascii="Times New Roman" w:hAnsi="Times New Roman" w:cs="Times New Roman"/>
          <w:bCs w:val="0"/>
          <w:szCs w:val="24"/>
          <w:lang w:val="en-GB"/>
        </w:rPr>
        <w:t xml:space="preserve"> before each study visit</w:t>
      </w:r>
      <w:r w:rsidR="008C3F63" w:rsidRPr="00F413DB">
        <w:rPr>
          <w:rFonts w:ascii="Times New Roman" w:hAnsi="Times New Roman" w:cs="Times New Roman"/>
          <w:bCs w:val="0"/>
          <w:szCs w:val="24"/>
          <w:lang w:val="en-GB"/>
        </w:rPr>
        <w:t xml:space="preserve"> with prospective collection of s</w:t>
      </w:r>
      <w:r w:rsidR="00644D3C" w:rsidRPr="00F413DB">
        <w:rPr>
          <w:rFonts w:ascii="Times New Roman" w:hAnsi="Times New Roman" w:cs="Times New Roman"/>
          <w:bCs w:val="0"/>
          <w:szCs w:val="24"/>
          <w:lang w:val="en-GB"/>
        </w:rPr>
        <w:t xml:space="preserve">evere </w:t>
      </w:r>
      <w:proofErr w:type="spellStart"/>
      <w:r w:rsidR="00644D3C" w:rsidRPr="00F413DB">
        <w:rPr>
          <w:rFonts w:ascii="Times New Roman" w:hAnsi="Times New Roman" w:cs="Times New Roman"/>
          <w:bCs w:val="0"/>
          <w:szCs w:val="24"/>
          <w:lang w:val="en-GB"/>
        </w:rPr>
        <w:t>hypoglyc</w:t>
      </w:r>
      <w:r w:rsidR="00E57450" w:rsidRPr="00F413DB">
        <w:rPr>
          <w:rFonts w:ascii="Times New Roman" w:hAnsi="Times New Roman" w:cs="Times New Roman"/>
          <w:bCs w:val="0"/>
          <w:szCs w:val="24"/>
          <w:lang w:val="en-GB"/>
        </w:rPr>
        <w:t>emia</w:t>
      </w:r>
      <w:proofErr w:type="spellEnd"/>
      <w:r w:rsidR="00E57450" w:rsidRPr="00F413DB">
        <w:rPr>
          <w:rFonts w:ascii="Times New Roman" w:hAnsi="Times New Roman" w:cs="Times New Roman"/>
          <w:bCs w:val="0"/>
          <w:szCs w:val="24"/>
          <w:lang w:val="en-GB"/>
        </w:rPr>
        <w:t xml:space="preserve"> events</w:t>
      </w:r>
      <w:r w:rsidR="008C3F63" w:rsidRPr="00F413DB">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Post-RCT d</w:t>
      </w:r>
      <w:r w:rsidR="008479C5" w:rsidRPr="00F413DB">
        <w:rPr>
          <w:rFonts w:ascii="Times New Roman" w:hAnsi="Times New Roman" w:cs="Times New Roman"/>
          <w:bCs w:val="0"/>
          <w:szCs w:val="24"/>
          <w:lang w:val="en-GB"/>
        </w:rPr>
        <w:t>ata continued to be collected at 6</w:t>
      </w:r>
      <w:r w:rsidR="008C3F63" w:rsidRPr="00F413DB">
        <w:rPr>
          <w:rFonts w:ascii="Times New Roman" w:hAnsi="Times New Roman" w:cs="Times New Roman"/>
          <w:bCs w:val="0"/>
          <w:szCs w:val="24"/>
          <w:lang w:val="en-GB"/>
        </w:rPr>
        <w:t xml:space="preserve">-monthly intervals to 24 months. </w:t>
      </w:r>
    </w:p>
    <w:p w14:paraId="68D47C73" w14:textId="45F27D4D" w:rsidR="00CE21A8" w:rsidRDefault="00CE21A8" w:rsidP="00991E9B">
      <w:pPr>
        <w:spacing w:line="480" w:lineRule="auto"/>
        <w:jc w:val="both"/>
        <w:rPr>
          <w:rFonts w:ascii="Times New Roman" w:hAnsi="Times New Roman" w:cs="Times New Roman"/>
          <w:bCs w:val="0"/>
          <w:szCs w:val="24"/>
          <w:lang w:val="en-GB"/>
        </w:rPr>
      </w:pPr>
    </w:p>
    <w:p w14:paraId="64E1CB65" w14:textId="2024F437" w:rsidR="00CE21A8" w:rsidRPr="00CE21A8" w:rsidRDefault="00F11368" w:rsidP="00CE21A8">
      <w:pPr>
        <w:spacing w:line="480" w:lineRule="auto"/>
        <w:jc w:val="both"/>
        <w:rPr>
          <w:rFonts w:ascii="Times New Roman" w:hAnsi="Times New Roman" w:cs="Times New Roman"/>
          <w:bCs w:val="0"/>
          <w:szCs w:val="24"/>
          <w:lang w:val="en-GB"/>
        </w:rPr>
      </w:pPr>
      <w:r>
        <w:rPr>
          <w:rFonts w:ascii="Times New Roman" w:hAnsi="Times New Roman" w:cs="Times New Roman"/>
          <w:b/>
          <w:bCs w:val="0"/>
          <w:szCs w:val="24"/>
          <w:lang w:val="en-GB"/>
        </w:rPr>
        <w:t>Detection of ACE Gene P</w:t>
      </w:r>
      <w:r w:rsidR="00CE21A8" w:rsidRPr="00E87EB3">
        <w:rPr>
          <w:rFonts w:ascii="Times New Roman" w:hAnsi="Times New Roman" w:cs="Times New Roman"/>
          <w:b/>
          <w:bCs w:val="0"/>
          <w:szCs w:val="24"/>
          <w:lang w:val="en-GB"/>
        </w:rPr>
        <w:t>olymorphism</w:t>
      </w:r>
      <w:r w:rsidR="00CE21A8" w:rsidRPr="00CE21A8">
        <w:rPr>
          <w:rFonts w:ascii="Times New Roman" w:hAnsi="Times New Roman" w:cs="Times New Roman"/>
          <w:bCs w:val="0"/>
          <w:szCs w:val="24"/>
          <w:lang w:val="en-GB"/>
        </w:rPr>
        <w:t xml:space="preserve"> </w:t>
      </w:r>
    </w:p>
    <w:p w14:paraId="3AB730D4" w14:textId="71DD7708" w:rsidR="00CE21A8" w:rsidRPr="00F413DB" w:rsidRDefault="00CE21A8" w:rsidP="00CE21A8">
      <w:pPr>
        <w:spacing w:line="480" w:lineRule="auto"/>
        <w:jc w:val="both"/>
        <w:rPr>
          <w:rFonts w:ascii="Times New Roman" w:hAnsi="Times New Roman" w:cs="Times New Roman"/>
          <w:bCs w:val="0"/>
          <w:szCs w:val="24"/>
          <w:lang w:val="en-GB"/>
        </w:rPr>
      </w:pPr>
      <w:r w:rsidRPr="00CE21A8">
        <w:rPr>
          <w:rFonts w:ascii="Times New Roman" w:hAnsi="Times New Roman" w:cs="Times New Roman"/>
          <w:bCs w:val="0"/>
          <w:szCs w:val="24"/>
          <w:lang w:val="en-GB"/>
        </w:rPr>
        <w:t xml:space="preserve">DNA was extracted from frozen whole blood.  The insertion/deletion polymorphism of the ACE gene was identified by </w:t>
      </w:r>
      <w:r w:rsidR="00864A0E">
        <w:rPr>
          <w:rFonts w:ascii="Times New Roman" w:hAnsi="Times New Roman" w:cs="Times New Roman"/>
          <w:bCs w:val="0"/>
          <w:szCs w:val="24"/>
          <w:lang w:val="en-GB"/>
        </w:rPr>
        <w:t>PCR</w:t>
      </w:r>
      <w:r w:rsidRPr="00CE21A8">
        <w:rPr>
          <w:rFonts w:ascii="Times New Roman" w:hAnsi="Times New Roman" w:cs="Times New Roman"/>
          <w:bCs w:val="0"/>
          <w:szCs w:val="24"/>
          <w:lang w:val="en-GB"/>
        </w:rPr>
        <w:t xml:space="preserve"> using two primers flanking the site of insertion. Fragments of 191 b</w:t>
      </w:r>
      <w:r w:rsidR="00864A0E">
        <w:rPr>
          <w:rFonts w:ascii="Times New Roman" w:hAnsi="Times New Roman" w:cs="Times New Roman"/>
          <w:bCs w:val="0"/>
          <w:szCs w:val="24"/>
          <w:lang w:val="en-GB"/>
        </w:rPr>
        <w:t xml:space="preserve">ase </w:t>
      </w:r>
      <w:r w:rsidRPr="00CE21A8">
        <w:rPr>
          <w:rFonts w:ascii="Times New Roman" w:hAnsi="Times New Roman" w:cs="Times New Roman"/>
          <w:bCs w:val="0"/>
          <w:szCs w:val="24"/>
          <w:lang w:val="en-GB"/>
        </w:rPr>
        <w:t>p</w:t>
      </w:r>
      <w:r w:rsidR="00864A0E">
        <w:rPr>
          <w:rFonts w:ascii="Times New Roman" w:hAnsi="Times New Roman" w:cs="Times New Roman"/>
          <w:bCs w:val="0"/>
          <w:szCs w:val="24"/>
          <w:lang w:val="en-GB"/>
        </w:rPr>
        <w:t>airs (</w:t>
      </w:r>
      <w:proofErr w:type="spellStart"/>
      <w:r w:rsidR="00864A0E">
        <w:rPr>
          <w:rFonts w:ascii="Times New Roman" w:hAnsi="Times New Roman" w:cs="Times New Roman"/>
          <w:bCs w:val="0"/>
          <w:szCs w:val="24"/>
          <w:lang w:val="en-GB"/>
        </w:rPr>
        <w:t>bp</w:t>
      </w:r>
      <w:proofErr w:type="spellEnd"/>
      <w:r w:rsidR="00864A0E">
        <w:rPr>
          <w:rFonts w:ascii="Times New Roman" w:hAnsi="Times New Roman" w:cs="Times New Roman"/>
          <w:bCs w:val="0"/>
          <w:szCs w:val="24"/>
          <w:lang w:val="en-GB"/>
        </w:rPr>
        <w:t>)</w:t>
      </w:r>
      <w:r w:rsidRPr="00CE21A8">
        <w:rPr>
          <w:rFonts w:ascii="Times New Roman" w:hAnsi="Times New Roman" w:cs="Times New Roman"/>
          <w:bCs w:val="0"/>
          <w:szCs w:val="24"/>
          <w:lang w:val="en-GB"/>
        </w:rPr>
        <w:t xml:space="preserve"> (D allele) and 479 </w:t>
      </w:r>
      <w:proofErr w:type="spellStart"/>
      <w:r w:rsidRPr="00CE21A8">
        <w:rPr>
          <w:rFonts w:ascii="Times New Roman" w:hAnsi="Times New Roman" w:cs="Times New Roman"/>
          <w:bCs w:val="0"/>
          <w:szCs w:val="24"/>
          <w:lang w:val="en-GB"/>
        </w:rPr>
        <w:t>bp</w:t>
      </w:r>
      <w:proofErr w:type="spellEnd"/>
      <w:r w:rsidRPr="00CE21A8">
        <w:rPr>
          <w:rFonts w:ascii="Times New Roman" w:hAnsi="Times New Roman" w:cs="Times New Roman"/>
          <w:bCs w:val="0"/>
          <w:szCs w:val="24"/>
          <w:lang w:val="en-GB"/>
        </w:rPr>
        <w:t xml:space="preserve"> (I allele) were separated on a 2% agarose gel and stained with SYBR Safe DNA Gel Stain</w:t>
      </w:r>
      <w:r>
        <w:rPr>
          <w:rFonts w:ascii="Times New Roman" w:hAnsi="Times New Roman" w:cs="Times New Roman"/>
          <w:bCs w:val="0"/>
          <w:szCs w:val="24"/>
          <w:lang w:val="en-GB"/>
        </w:rPr>
        <w:t xml:space="preserve"> (</w:t>
      </w:r>
      <w:r w:rsidR="00C713BB">
        <w:rPr>
          <w:rFonts w:ascii="Times New Roman" w:hAnsi="Times New Roman" w:cs="Times New Roman"/>
          <w:bCs w:val="0"/>
          <w:szCs w:val="24"/>
          <w:lang w:val="en-GB"/>
        </w:rPr>
        <w:t>17</w:t>
      </w:r>
      <w:r>
        <w:rPr>
          <w:rFonts w:ascii="Times New Roman" w:hAnsi="Times New Roman" w:cs="Times New Roman"/>
          <w:bCs w:val="0"/>
          <w:szCs w:val="24"/>
          <w:lang w:val="en-GB"/>
        </w:rPr>
        <w:t>)</w:t>
      </w:r>
      <w:r w:rsidRPr="00CE21A8">
        <w:rPr>
          <w:rFonts w:ascii="Times New Roman" w:hAnsi="Times New Roman" w:cs="Times New Roman"/>
          <w:bCs w:val="0"/>
          <w:szCs w:val="24"/>
          <w:lang w:val="en-GB"/>
        </w:rPr>
        <w:t>.</w:t>
      </w:r>
    </w:p>
    <w:p w14:paraId="2A671E89" w14:textId="77777777" w:rsidR="008117B7" w:rsidRPr="00F413DB" w:rsidRDefault="008117B7" w:rsidP="00991E9B">
      <w:pPr>
        <w:spacing w:line="480" w:lineRule="auto"/>
        <w:jc w:val="both"/>
        <w:rPr>
          <w:rFonts w:ascii="Times New Roman" w:hAnsi="Times New Roman" w:cs="Times New Roman"/>
          <w:bCs w:val="0"/>
          <w:szCs w:val="24"/>
          <w:lang w:val="en-GB"/>
        </w:rPr>
      </w:pPr>
    </w:p>
    <w:p w14:paraId="31E4D7C4" w14:textId="5DE60F7F" w:rsidR="0067583B" w:rsidRPr="00F413DB" w:rsidRDefault="002C16E1" w:rsidP="00991E9B">
      <w:pPr>
        <w:spacing w:line="480" w:lineRule="auto"/>
        <w:jc w:val="both"/>
        <w:outlineLvl w:val="0"/>
        <w:rPr>
          <w:rFonts w:ascii="Times New Roman" w:hAnsi="Times New Roman" w:cs="Times New Roman"/>
          <w:b/>
          <w:bCs w:val="0"/>
          <w:szCs w:val="24"/>
          <w:lang w:val="en-GB"/>
        </w:rPr>
      </w:pPr>
      <w:r w:rsidRPr="00F413DB">
        <w:rPr>
          <w:rFonts w:ascii="Times New Roman" w:hAnsi="Times New Roman" w:cs="Times New Roman"/>
          <w:b/>
          <w:bCs w:val="0"/>
          <w:szCs w:val="24"/>
          <w:lang w:val="en-GB"/>
        </w:rPr>
        <w:t>Mixed-Meal Tolerance T</w:t>
      </w:r>
      <w:r w:rsidR="00526AA8" w:rsidRPr="00F413DB">
        <w:rPr>
          <w:rFonts w:ascii="Times New Roman" w:hAnsi="Times New Roman" w:cs="Times New Roman"/>
          <w:b/>
          <w:bCs w:val="0"/>
          <w:szCs w:val="24"/>
          <w:lang w:val="en-GB"/>
        </w:rPr>
        <w:t xml:space="preserve">est </w:t>
      </w:r>
      <w:proofErr w:type="spellStart"/>
      <w:r w:rsidR="0024715B">
        <w:rPr>
          <w:rFonts w:ascii="Times New Roman" w:hAnsi="Times New Roman" w:cs="Times New Roman"/>
          <w:b/>
          <w:bCs w:val="0"/>
          <w:szCs w:val="24"/>
          <w:lang w:val="en-GB"/>
        </w:rPr>
        <w:t>S</w:t>
      </w:r>
      <w:r w:rsidR="00526AA8" w:rsidRPr="00F413DB">
        <w:rPr>
          <w:rFonts w:ascii="Times New Roman" w:hAnsi="Times New Roman" w:cs="Times New Roman"/>
          <w:b/>
          <w:bCs w:val="0"/>
          <w:szCs w:val="24"/>
          <w:lang w:val="en-GB"/>
        </w:rPr>
        <w:t>ubstudy</w:t>
      </w:r>
      <w:proofErr w:type="spellEnd"/>
    </w:p>
    <w:p w14:paraId="357423A0" w14:textId="6B886CF6" w:rsidR="008117B7" w:rsidRDefault="00C27E90" w:rsidP="004E73A0">
      <w:pPr>
        <w:spacing w:line="480" w:lineRule="auto"/>
        <w:jc w:val="both"/>
        <w:rPr>
          <w:rFonts w:ascii="Times New Roman" w:hAnsi="Times New Roman" w:cs="Times New Roman"/>
          <w:bCs w:val="0"/>
          <w:szCs w:val="24"/>
          <w:lang w:val="en-GB"/>
        </w:rPr>
      </w:pPr>
      <w:proofErr w:type="spellStart"/>
      <w:r w:rsidRPr="00F413DB">
        <w:rPr>
          <w:rFonts w:ascii="Times New Roman" w:hAnsi="Times New Roman" w:cs="Times New Roman"/>
          <w:bCs w:val="0"/>
          <w:szCs w:val="24"/>
          <w:lang w:val="en-GB"/>
        </w:rPr>
        <w:t>HypoCOM</w:t>
      </w:r>
      <w:r w:rsidR="00747C87">
        <w:rPr>
          <w:rFonts w:ascii="Times New Roman" w:hAnsi="Times New Roman" w:cs="Times New Roman"/>
          <w:bCs w:val="0"/>
          <w:szCs w:val="24"/>
          <w:lang w:val="en-GB"/>
        </w:rPr>
        <w:t>P</w:t>
      </w:r>
      <w:r w:rsidRPr="00F413DB">
        <w:rPr>
          <w:rFonts w:ascii="Times New Roman" w:hAnsi="Times New Roman" w:cs="Times New Roman"/>
          <w:bCs w:val="0"/>
          <w:szCs w:val="24"/>
          <w:lang w:val="en-GB"/>
        </w:rPr>
        <w:t>aSS</w:t>
      </w:r>
      <w:proofErr w:type="spellEnd"/>
      <w:r w:rsidRPr="00F413DB">
        <w:rPr>
          <w:rFonts w:ascii="Times New Roman" w:hAnsi="Times New Roman" w:cs="Times New Roman"/>
          <w:bCs w:val="0"/>
          <w:szCs w:val="24"/>
          <w:lang w:val="en-GB"/>
        </w:rPr>
        <w:t xml:space="preserve"> e</w:t>
      </w:r>
      <w:r w:rsidR="00237CA5" w:rsidRPr="00F413DB">
        <w:rPr>
          <w:rFonts w:ascii="Times New Roman" w:hAnsi="Times New Roman" w:cs="Times New Roman"/>
          <w:bCs w:val="0"/>
          <w:szCs w:val="24"/>
          <w:lang w:val="en-GB"/>
        </w:rPr>
        <w:t xml:space="preserve">ligibility criteria included C-peptide-negative type 1 diabetes </w:t>
      </w:r>
      <w:r w:rsidR="002E22BA" w:rsidRPr="00F413DB">
        <w:rPr>
          <w:rFonts w:ascii="Times New Roman" w:hAnsi="Times New Roman" w:cs="Times New Roman"/>
          <w:bCs w:val="0"/>
          <w:szCs w:val="24"/>
          <w:lang w:val="en-GB"/>
        </w:rPr>
        <w:t xml:space="preserve">determined by quality-assured assay within each participating </w:t>
      </w:r>
      <w:proofErr w:type="spellStart"/>
      <w:r w:rsidR="002E22BA" w:rsidRPr="00F413DB">
        <w:rPr>
          <w:rFonts w:ascii="Times New Roman" w:hAnsi="Times New Roman" w:cs="Times New Roman"/>
          <w:bCs w:val="0"/>
          <w:szCs w:val="24"/>
          <w:lang w:val="en-GB"/>
        </w:rPr>
        <w:t>center</w:t>
      </w:r>
      <w:proofErr w:type="spellEnd"/>
      <w:r w:rsidR="002E22BA" w:rsidRPr="00F413DB">
        <w:rPr>
          <w:rFonts w:ascii="Times New Roman" w:hAnsi="Times New Roman" w:cs="Times New Roman"/>
          <w:bCs w:val="0"/>
          <w:szCs w:val="24"/>
          <w:lang w:val="en-GB"/>
        </w:rPr>
        <w:t xml:space="preserve"> on a random serum sample in the </w:t>
      </w:r>
      <w:r w:rsidR="00330528" w:rsidRPr="00F413DB">
        <w:rPr>
          <w:rFonts w:ascii="Times New Roman" w:hAnsi="Times New Roman" w:cs="Times New Roman"/>
          <w:bCs w:val="0"/>
          <w:szCs w:val="24"/>
          <w:lang w:val="en-GB"/>
        </w:rPr>
        <w:t xml:space="preserve">absence of biochemical </w:t>
      </w:r>
      <w:proofErr w:type="spellStart"/>
      <w:r w:rsidR="00330528" w:rsidRPr="00F413DB">
        <w:rPr>
          <w:rFonts w:ascii="Times New Roman" w:hAnsi="Times New Roman" w:cs="Times New Roman"/>
          <w:bCs w:val="0"/>
          <w:szCs w:val="24"/>
          <w:lang w:val="en-GB"/>
        </w:rPr>
        <w:t>hypoglyc</w:t>
      </w:r>
      <w:r w:rsidR="002E22BA" w:rsidRPr="00F413DB">
        <w:rPr>
          <w:rFonts w:ascii="Times New Roman" w:hAnsi="Times New Roman" w:cs="Times New Roman"/>
          <w:bCs w:val="0"/>
          <w:szCs w:val="24"/>
          <w:lang w:val="en-GB"/>
        </w:rPr>
        <w:t>emia</w:t>
      </w:r>
      <w:proofErr w:type="spellEnd"/>
      <w:r w:rsidR="002E22BA" w:rsidRPr="00F413DB">
        <w:rPr>
          <w:rFonts w:ascii="Times New Roman" w:hAnsi="Times New Roman" w:cs="Times New Roman"/>
          <w:bCs w:val="0"/>
          <w:szCs w:val="24"/>
          <w:lang w:val="en-GB"/>
        </w:rPr>
        <w:t xml:space="preserve"> (plasma glucose &lt;4</w:t>
      </w:r>
      <w:r w:rsidR="001A7EEF">
        <w:rPr>
          <w:rFonts w:ascii="Times New Roman" w:hAnsi="Times New Roman" w:cs="Times New Roman"/>
          <w:bCs w:val="0"/>
          <w:szCs w:val="24"/>
          <w:lang w:val="en-GB"/>
        </w:rPr>
        <w:t xml:space="preserve"> </w:t>
      </w:r>
      <w:proofErr w:type="spellStart"/>
      <w:r w:rsidR="002E22BA" w:rsidRPr="00F413DB">
        <w:rPr>
          <w:rFonts w:ascii="Times New Roman" w:hAnsi="Times New Roman" w:cs="Times New Roman"/>
          <w:bCs w:val="0"/>
          <w:szCs w:val="24"/>
          <w:lang w:val="en-GB"/>
        </w:rPr>
        <w:t>mmol</w:t>
      </w:r>
      <w:proofErr w:type="spellEnd"/>
      <w:r w:rsidR="002E22BA" w:rsidRPr="00F413DB">
        <w:rPr>
          <w:rFonts w:ascii="Times New Roman" w:hAnsi="Times New Roman" w:cs="Times New Roman"/>
          <w:bCs w:val="0"/>
          <w:szCs w:val="24"/>
          <w:lang w:val="en-GB"/>
        </w:rPr>
        <w:t>/L). C-peptide was undetectable or &lt;50</w:t>
      </w:r>
      <w:r w:rsidR="001A7EEF">
        <w:rPr>
          <w:rFonts w:ascii="Times New Roman" w:hAnsi="Times New Roman" w:cs="Times New Roman"/>
          <w:bCs w:val="0"/>
          <w:szCs w:val="24"/>
          <w:lang w:val="en-GB"/>
        </w:rPr>
        <w:t xml:space="preserve"> </w:t>
      </w:r>
      <w:proofErr w:type="spellStart"/>
      <w:r w:rsidR="002E22BA" w:rsidRPr="00F413DB">
        <w:rPr>
          <w:rFonts w:ascii="Times New Roman" w:hAnsi="Times New Roman" w:cs="Times New Roman"/>
          <w:bCs w:val="0"/>
          <w:szCs w:val="24"/>
          <w:lang w:val="en-GB"/>
        </w:rPr>
        <w:t>pmol</w:t>
      </w:r>
      <w:proofErr w:type="spellEnd"/>
      <w:r w:rsidR="002E22BA" w:rsidRPr="00F413DB">
        <w:rPr>
          <w:rFonts w:ascii="Times New Roman" w:hAnsi="Times New Roman" w:cs="Times New Roman"/>
          <w:bCs w:val="0"/>
          <w:szCs w:val="24"/>
          <w:lang w:val="en-GB"/>
        </w:rPr>
        <w:t xml:space="preserve">/L in all </w:t>
      </w:r>
      <w:r w:rsidR="00D92386">
        <w:rPr>
          <w:rFonts w:ascii="Times New Roman" w:hAnsi="Times New Roman" w:cs="Times New Roman"/>
          <w:bCs w:val="0"/>
          <w:szCs w:val="24"/>
          <w:lang w:val="en-GB"/>
        </w:rPr>
        <w:t>except two</w:t>
      </w:r>
      <w:r w:rsidR="00271E91" w:rsidRPr="00F413DB">
        <w:rPr>
          <w:rFonts w:ascii="Times New Roman" w:hAnsi="Times New Roman" w:cs="Times New Roman"/>
          <w:bCs w:val="0"/>
          <w:szCs w:val="24"/>
          <w:lang w:val="en-GB"/>
        </w:rPr>
        <w:t xml:space="preserve"> participants</w:t>
      </w:r>
      <w:r w:rsidR="00FC3709">
        <w:rPr>
          <w:rFonts w:ascii="Times New Roman" w:hAnsi="Times New Roman" w:cs="Times New Roman"/>
          <w:bCs w:val="0"/>
          <w:szCs w:val="24"/>
          <w:lang w:val="en-GB"/>
        </w:rPr>
        <w:t>,</w:t>
      </w:r>
      <w:r w:rsidR="00271E91" w:rsidRPr="00F413DB">
        <w:rPr>
          <w:rFonts w:ascii="Times New Roman" w:hAnsi="Times New Roman" w:cs="Times New Roman"/>
          <w:bCs w:val="0"/>
          <w:szCs w:val="24"/>
          <w:lang w:val="en-GB"/>
        </w:rPr>
        <w:t xml:space="preserve"> </w:t>
      </w:r>
      <w:r w:rsidR="002E22BA" w:rsidRPr="00F413DB">
        <w:rPr>
          <w:rFonts w:ascii="Times New Roman" w:hAnsi="Times New Roman" w:cs="Times New Roman"/>
          <w:bCs w:val="0"/>
          <w:szCs w:val="24"/>
          <w:lang w:val="en-GB"/>
        </w:rPr>
        <w:t xml:space="preserve">with values of </w:t>
      </w:r>
      <w:r w:rsidR="00FC3709">
        <w:rPr>
          <w:rFonts w:ascii="Times New Roman" w:hAnsi="Times New Roman" w:cs="Times New Roman"/>
          <w:bCs w:val="0"/>
          <w:szCs w:val="24"/>
          <w:lang w:val="en-GB"/>
        </w:rPr>
        <w:t xml:space="preserve">87 and 103 </w:t>
      </w:r>
      <w:proofErr w:type="spellStart"/>
      <w:r w:rsidR="00FC3709">
        <w:rPr>
          <w:rFonts w:ascii="Times New Roman" w:hAnsi="Times New Roman" w:cs="Times New Roman"/>
          <w:bCs w:val="0"/>
          <w:szCs w:val="24"/>
          <w:lang w:val="en-GB"/>
        </w:rPr>
        <w:t>pmol</w:t>
      </w:r>
      <w:proofErr w:type="spellEnd"/>
      <w:r w:rsidR="00FC3709">
        <w:rPr>
          <w:rFonts w:ascii="Times New Roman" w:hAnsi="Times New Roman" w:cs="Times New Roman"/>
          <w:bCs w:val="0"/>
          <w:szCs w:val="24"/>
          <w:lang w:val="en-GB"/>
        </w:rPr>
        <w:t>/L</w:t>
      </w:r>
      <w:r w:rsidR="00271E91" w:rsidRPr="00F413DB">
        <w:rPr>
          <w:rFonts w:ascii="Times New Roman" w:hAnsi="Times New Roman" w:cs="Times New Roman"/>
          <w:bCs w:val="0"/>
          <w:szCs w:val="24"/>
          <w:lang w:val="en-GB"/>
        </w:rPr>
        <w:t xml:space="preserve"> at baseline</w:t>
      </w:r>
      <w:r w:rsidR="0088794A" w:rsidRPr="00F413DB">
        <w:rPr>
          <w:rFonts w:ascii="Times New Roman" w:hAnsi="Times New Roman" w:cs="Times New Roman"/>
          <w:bCs w:val="0"/>
          <w:szCs w:val="24"/>
          <w:lang w:val="en-GB"/>
        </w:rPr>
        <w:t xml:space="preserve"> (8)</w:t>
      </w:r>
      <w:r w:rsidR="00FB1AC4" w:rsidRPr="00F413DB">
        <w:rPr>
          <w:rFonts w:ascii="Times New Roman" w:hAnsi="Times New Roman" w:cs="Times New Roman"/>
          <w:bCs w:val="0"/>
          <w:szCs w:val="24"/>
          <w:lang w:val="en-GB"/>
        </w:rPr>
        <w:t xml:space="preserve">. </w:t>
      </w:r>
      <w:r w:rsidR="00F3535C" w:rsidRPr="00F413DB">
        <w:rPr>
          <w:rFonts w:ascii="Times New Roman" w:hAnsi="Times New Roman" w:cs="Times New Roman"/>
          <w:bCs w:val="0"/>
          <w:szCs w:val="24"/>
          <w:lang w:val="en-GB"/>
        </w:rPr>
        <w:t xml:space="preserve">Highly sensitive </w:t>
      </w:r>
      <w:r w:rsidR="00B90FD5" w:rsidRPr="00F413DB">
        <w:rPr>
          <w:rFonts w:ascii="Times New Roman" w:hAnsi="Times New Roman" w:cs="Times New Roman"/>
          <w:bCs w:val="0"/>
          <w:szCs w:val="24"/>
          <w:lang w:val="en-GB"/>
        </w:rPr>
        <w:t>C-peptide assays have confirmed</w:t>
      </w:r>
      <w:r w:rsidR="00A27044" w:rsidRPr="00F413DB">
        <w:rPr>
          <w:rFonts w:ascii="Times New Roman" w:hAnsi="Times New Roman" w:cs="Times New Roman"/>
          <w:bCs w:val="0"/>
          <w:szCs w:val="24"/>
          <w:lang w:val="en-GB"/>
        </w:rPr>
        <w:t xml:space="preserve"> the presence of</w:t>
      </w:r>
      <w:r w:rsidR="00271E91" w:rsidRPr="00F413DB">
        <w:rPr>
          <w:rFonts w:ascii="Times New Roman" w:hAnsi="Times New Roman" w:cs="Times New Roman"/>
          <w:bCs w:val="0"/>
          <w:szCs w:val="24"/>
          <w:lang w:val="en-GB"/>
        </w:rPr>
        <w:t xml:space="preserve"> </w:t>
      </w:r>
      <w:r w:rsidR="00F3535C" w:rsidRPr="00F413DB">
        <w:rPr>
          <w:rFonts w:ascii="Times New Roman" w:hAnsi="Times New Roman" w:cs="Times New Roman"/>
          <w:bCs w:val="0"/>
          <w:szCs w:val="24"/>
          <w:lang w:val="en-GB"/>
        </w:rPr>
        <w:t xml:space="preserve">residual </w:t>
      </w:r>
      <w:r w:rsidR="00B90FD5" w:rsidRPr="00F413DB">
        <w:rPr>
          <w:rFonts w:ascii="Times New Roman" w:hAnsi="Times New Roman" w:cs="Times New Roman"/>
          <w:bCs w:val="0"/>
          <w:szCs w:val="24"/>
          <w:lang w:val="en-GB"/>
        </w:rPr>
        <w:t xml:space="preserve">C-peptide </w:t>
      </w:r>
      <w:proofErr w:type="spellStart"/>
      <w:r w:rsidR="00B90FD5" w:rsidRPr="00F413DB">
        <w:rPr>
          <w:rFonts w:ascii="Times New Roman" w:hAnsi="Times New Roman" w:cs="Times New Roman"/>
          <w:bCs w:val="0"/>
          <w:szCs w:val="24"/>
          <w:lang w:val="en-GB"/>
        </w:rPr>
        <w:t>microsecretion</w:t>
      </w:r>
      <w:proofErr w:type="spellEnd"/>
      <w:r w:rsidR="00B90FD5" w:rsidRPr="00F413DB">
        <w:rPr>
          <w:rFonts w:ascii="Times New Roman" w:hAnsi="Times New Roman" w:cs="Times New Roman"/>
          <w:bCs w:val="0"/>
          <w:szCs w:val="24"/>
          <w:lang w:val="en-GB"/>
        </w:rPr>
        <w:t xml:space="preserve"> </w:t>
      </w:r>
      <w:r w:rsidR="00271E91" w:rsidRPr="00F413DB">
        <w:rPr>
          <w:rFonts w:ascii="Times New Roman" w:hAnsi="Times New Roman" w:cs="Times New Roman"/>
          <w:bCs w:val="0"/>
          <w:szCs w:val="24"/>
          <w:lang w:val="en-GB"/>
        </w:rPr>
        <w:t xml:space="preserve">in </w:t>
      </w:r>
      <w:r w:rsidR="00F3535C" w:rsidRPr="00F413DB">
        <w:rPr>
          <w:rFonts w:ascii="Times New Roman" w:hAnsi="Times New Roman" w:cs="Times New Roman"/>
          <w:bCs w:val="0"/>
          <w:szCs w:val="24"/>
          <w:lang w:val="en-GB"/>
        </w:rPr>
        <w:t xml:space="preserve">a proportion of </w:t>
      </w:r>
      <w:r w:rsidR="00271E91" w:rsidRPr="00F413DB">
        <w:rPr>
          <w:rFonts w:ascii="Times New Roman" w:hAnsi="Times New Roman" w:cs="Times New Roman"/>
          <w:bCs w:val="0"/>
          <w:szCs w:val="24"/>
          <w:lang w:val="en-GB"/>
        </w:rPr>
        <w:t>people with</w:t>
      </w:r>
      <w:r w:rsidR="00B90FD5" w:rsidRPr="00F413DB">
        <w:rPr>
          <w:rFonts w:ascii="Times New Roman" w:hAnsi="Times New Roman" w:cs="Times New Roman"/>
          <w:bCs w:val="0"/>
          <w:szCs w:val="24"/>
          <w:lang w:val="en-GB"/>
        </w:rPr>
        <w:t xml:space="preserve"> </w:t>
      </w:r>
      <w:r w:rsidR="00F3535C" w:rsidRPr="00F413DB">
        <w:rPr>
          <w:rFonts w:ascii="Times New Roman" w:hAnsi="Times New Roman" w:cs="Times New Roman"/>
          <w:bCs w:val="0"/>
          <w:szCs w:val="24"/>
          <w:lang w:val="en-GB"/>
        </w:rPr>
        <w:lastRenderedPageBreak/>
        <w:t xml:space="preserve">established </w:t>
      </w:r>
      <w:r w:rsidR="00B90FD5" w:rsidRPr="00F413DB">
        <w:rPr>
          <w:rFonts w:ascii="Times New Roman" w:hAnsi="Times New Roman" w:cs="Times New Roman"/>
          <w:bCs w:val="0"/>
          <w:szCs w:val="24"/>
          <w:lang w:val="en-GB"/>
        </w:rPr>
        <w:t>type 1 diabetes</w:t>
      </w:r>
      <w:r w:rsidR="0088794A" w:rsidRPr="00F413DB">
        <w:rPr>
          <w:rFonts w:ascii="Times New Roman" w:hAnsi="Times New Roman" w:cs="Times New Roman"/>
          <w:bCs w:val="0"/>
          <w:szCs w:val="24"/>
          <w:lang w:val="en-GB"/>
        </w:rPr>
        <w:t xml:space="preserve"> (1</w:t>
      </w:r>
      <w:r w:rsidR="00C713BB">
        <w:rPr>
          <w:rFonts w:ascii="Times New Roman" w:hAnsi="Times New Roman" w:cs="Times New Roman"/>
          <w:bCs w:val="0"/>
          <w:szCs w:val="24"/>
          <w:lang w:val="en-GB"/>
        </w:rPr>
        <w:t>8</w:t>
      </w:r>
      <w:r w:rsidR="0088794A" w:rsidRPr="00F413DB">
        <w:rPr>
          <w:rFonts w:ascii="Times New Roman" w:hAnsi="Times New Roman" w:cs="Times New Roman"/>
          <w:bCs w:val="0"/>
          <w:szCs w:val="24"/>
          <w:lang w:val="en-GB"/>
        </w:rPr>
        <w:t>)</w:t>
      </w:r>
      <w:r w:rsidR="00B90FD5" w:rsidRPr="00F413DB">
        <w:rPr>
          <w:rFonts w:ascii="Times New Roman" w:hAnsi="Times New Roman" w:cs="Times New Roman"/>
          <w:bCs w:val="0"/>
          <w:szCs w:val="24"/>
          <w:lang w:val="en-GB"/>
        </w:rPr>
        <w:t xml:space="preserve">, </w:t>
      </w:r>
      <w:r w:rsidR="00F3535C" w:rsidRPr="00F413DB">
        <w:rPr>
          <w:rFonts w:ascii="Times New Roman" w:hAnsi="Times New Roman" w:cs="Times New Roman"/>
          <w:bCs w:val="0"/>
          <w:szCs w:val="24"/>
          <w:lang w:val="en-GB"/>
        </w:rPr>
        <w:t xml:space="preserve">although </w:t>
      </w:r>
      <w:r w:rsidR="00B90FD5" w:rsidRPr="00F413DB">
        <w:rPr>
          <w:rFonts w:ascii="Times New Roman" w:hAnsi="Times New Roman" w:cs="Times New Roman"/>
          <w:bCs w:val="0"/>
          <w:szCs w:val="24"/>
          <w:lang w:val="en-GB"/>
        </w:rPr>
        <w:t xml:space="preserve">clinical significance remains uncertain. </w:t>
      </w:r>
      <w:r w:rsidR="00F3535C" w:rsidRPr="00F413DB">
        <w:rPr>
          <w:rFonts w:ascii="Times New Roman" w:hAnsi="Times New Roman" w:cs="Times New Roman"/>
          <w:bCs w:val="0"/>
          <w:szCs w:val="24"/>
          <w:lang w:val="en-GB"/>
        </w:rPr>
        <w:t xml:space="preserve">Following </w:t>
      </w:r>
      <w:proofErr w:type="spellStart"/>
      <w:r w:rsidR="00F3535C" w:rsidRPr="00F413DB">
        <w:rPr>
          <w:rFonts w:ascii="Times New Roman" w:hAnsi="Times New Roman" w:cs="Times New Roman"/>
          <w:bCs w:val="0"/>
          <w:szCs w:val="24"/>
          <w:lang w:val="en-GB"/>
        </w:rPr>
        <w:t>HypoCOMPaSS</w:t>
      </w:r>
      <w:proofErr w:type="spellEnd"/>
      <w:r w:rsidR="00F3535C" w:rsidRPr="00F413DB">
        <w:rPr>
          <w:rFonts w:ascii="Times New Roman" w:hAnsi="Times New Roman" w:cs="Times New Roman"/>
          <w:bCs w:val="0"/>
          <w:szCs w:val="24"/>
          <w:lang w:val="en-GB"/>
        </w:rPr>
        <w:t xml:space="preserve"> study completion,</w:t>
      </w:r>
      <w:r w:rsidR="00461B0E" w:rsidRPr="00F413DB">
        <w:rPr>
          <w:rFonts w:ascii="Times New Roman" w:hAnsi="Times New Roman" w:cs="Times New Roman"/>
          <w:bCs w:val="0"/>
          <w:szCs w:val="24"/>
          <w:lang w:val="en-GB"/>
        </w:rPr>
        <w:t xml:space="preserve"> </w:t>
      </w:r>
      <w:r w:rsidR="002B09A0" w:rsidRPr="00F413DB">
        <w:rPr>
          <w:rFonts w:ascii="Times New Roman" w:hAnsi="Times New Roman" w:cs="Times New Roman"/>
          <w:bCs w:val="0"/>
          <w:szCs w:val="24"/>
          <w:lang w:val="en-GB"/>
        </w:rPr>
        <w:t>47</w:t>
      </w:r>
      <w:r w:rsidR="004E73A0" w:rsidRPr="00F413DB">
        <w:rPr>
          <w:rFonts w:ascii="Times New Roman" w:hAnsi="Times New Roman" w:cs="Times New Roman"/>
          <w:bCs w:val="0"/>
          <w:szCs w:val="24"/>
          <w:lang w:val="en-GB"/>
        </w:rPr>
        <w:t xml:space="preserve"> participants </w:t>
      </w:r>
      <w:r w:rsidR="00F3535C" w:rsidRPr="00F413DB">
        <w:rPr>
          <w:rFonts w:ascii="Times New Roman" w:hAnsi="Times New Roman" w:cs="Times New Roman"/>
          <w:bCs w:val="0"/>
          <w:szCs w:val="24"/>
          <w:lang w:val="en-GB"/>
        </w:rPr>
        <w:t xml:space="preserve">(representing </w:t>
      </w:r>
      <w:r w:rsidR="002B09A0" w:rsidRPr="00F413DB">
        <w:rPr>
          <w:rFonts w:ascii="Times New Roman" w:hAnsi="Times New Roman" w:cs="Times New Roman"/>
          <w:bCs w:val="0"/>
          <w:szCs w:val="24"/>
          <w:lang w:val="en-GB"/>
        </w:rPr>
        <w:t>49%</w:t>
      </w:r>
      <w:r w:rsidR="00F3535C" w:rsidRPr="00F413DB">
        <w:rPr>
          <w:rFonts w:ascii="Times New Roman" w:hAnsi="Times New Roman" w:cs="Times New Roman"/>
          <w:bCs w:val="0"/>
          <w:szCs w:val="24"/>
          <w:lang w:val="en-GB"/>
        </w:rPr>
        <w:t xml:space="preserve"> of the original RCT population)</w:t>
      </w:r>
      <w:r w:rsidR="004E73A0" w:rsidRPr="00F413DB">
        <w:rPr>
          <w:rFonts w:ascii="Times New Roman" w:hAnsi="Times New Roman" w:cs="Times New Roman"/>
          <w:bCs w:val="0"/>
          <w:szCs w:val="24"/>
          <w:lang w:val="en-GB"/>
        </w:rPr>
        <w:t xml:space="preserve"> </w:t>
      </w:r>
      <w:r w:rsidR="00F3535C" w:rsidRPr="00F413DB">
        <w:rPr>
          <w:rFonts w:ascii="Times New Roman" w:hAnsi="Times New Roman" w:cs="Times New Roman"/>
          <w:bCs w:val="0"/>
          <w:szCs w:val="24"/>
          <w:lang w:val="en-GB"/>
        </w:rPr>
        <w:t>completed</w:t>
      </w:r>
      <w:r w:rsidR="004E73A0" w:rsidRPr="00F413DB">
        <w:rPr>
          <w:rFonts w:ascii="Times New Roman" w:hAnsi="Times New Roman" w:cs="Times New Roman"/>
          <w:bCs w:val="0"/>
          <w:szCs w:val="24"/>
          <w:lang w:val="en-GB"/>
        </w:rPr>
        <w:t xml:space="preserve"> </w:t>
      </w:r>
      <w:r w:rsidR="00F3535C" w:rsidRPr="00F413DB">
        <w:rPr>
          <w:rFonts w:ascii="Times New Roman" w:hAnsi="Times New Roman" w:cs="Times New Roman"/>
          <w:bCs w:val="0"/>
          <w:szCs w:val="24"/>
          <w:lang w:val="en-GB"/>
        </w:rPr>
        <w:t xml:space="preserve">a </w:t>
      </w:r>
      <w:r w:rsidR="0081286A" w:rsidRPr="00F413DB">
        <w:rPr>
          <w:rFonts w:ascii="Times New Roman" w:hAnsi="Times New Roman" w:cs="Times New Roman"/>
          <w:bCs w:val="0"/>
          <w:szCs w:val="24"/>
          <w:lang w:val="en-GB"/>
        </w:rPr>
        <w:t xml:space="preserve">standardized </w:t>
      </w:r>
      <w:r w:rsidR="004E73A0" w:rsidRPr="00F413DB">
        <w:rPr>
          <w:rFonts w:ascii="Times New Roman" w:hAnsi="Times New Roman" w:cs="Times New Roman"/>
          <w:bCs w:val="0"/>
          <w:szCs w:val="24"/>
          <w:lang w:val="en-GB"/>
        </w:rPr>
        <w:t>mixed-meal tolerance test</w:t>
      </w:r>
      <w:r w:rsidR="0088794A" w:rsidRPr="00F413DB">
        <w:rPr>
          <w:rFonts w:ascii="Times New Roman" w:hAnsi="Times New Roman" w:cs="Times New Roman"/>
          <w:bCs w:val="0"/>
          <w:szCs w:val="24"/>
          <w:lang w:val="en-GB"/>
        </w:rPr>
        <w:t xml:space="preserve"> (1</w:t>
      </w:r>
      <w:r w:rsidR="00C713BB">
        <w:rPr>
          <w:rFonts w:ascii="Times New Roman" w:hAnsi="Times New Roman" w:cs="Times New Roman"/>
          <w:bCs w:val="0"/>
          <w:szCs w:val="24"/>
          <w:lang w:val="en-GB"/>
        </w:rPr>
        <w:t>9</w:t>
      </w:r>
      <w:r w:rsidR="0088794A" w:rsidRPr="00F413DB">
        <w:rPr>
          <w:rFonts w:ascii="Times New Roman" w:hAnsi="Times New Roman" w:cs="Times New Roman"/>
          <w:bCs w:val="0"/>
          <w:szCs w:val="24"/>
          <w:lang w:val="en-GB"/>
        </w:rPr>
        <w:t>)</w:t>
      </w:r>
      <w:r w:rsidR="00C6508B" w:rsidRPr="00F413DB">
        <w:rPr>
          <w:rFonts w:ascii="Times New Roman" w:hAnsi="Times New Roman" w:cs="Times New Roman"/>
          <w:bCs w:val="0"/>
          <w:szCs w:val="24"/>
          <w:lang w:val="en-GB"/>
        </w:rPr>
        <w:t xml:space="preserve">. </w:t>
      </w:r>
      <w:r w:rsidR="00B05630" w:rsidRPr="00F413DB">
        <w:rPr>
          <w:rFonts w:ascii="Times New Roman" w:hAnsi="Times New Roman" w:cs="Times New Roman"/>
          <w:bCs w:val="0"/>
          <w:szCs w:val="24"/>
          <w:lang w:val="en-GB"/>
        </w:rPr>
        <w:t xml:space="preserve">Participants </w:t>
      </w:r>
      <w:r w:rsidR="00BF792B" w:rsidRPr="00F413DB">
        <w:rPr>
          <w:rFonts w:ascii="Times New Roman" w:hAnsi="Times New Roman" w:cs="Times New Roman"/>
          <w:bCs w:val="0"/>
          <w:szCs w:val="24"/>
          <w:lang w:val="en-GB"/>
        </w:rPr>
        <w:t>attended the</w:t>
      </w:r>
      <w:r w:rsidR="003850B0" w:rsidRPr="00F413DB">
        <w:rPr>
          <w:rFonts w:ascii="Times New Roman" w:hAnsi="Times New Roman" w:cs="Times New Roman"/>
          <w:bCs w:val="0"/>
          <w:szCs w:val="24"/>
          <w:lang w:val="en-GB"/>
        </w:rPr>
        <w:t xml:space="preserve"> participating </w:t>
      </w:r>
      <w:proofErr w:type="spellStart"/>
      <w:r w:rsidR="003850B0" w:rsidRPr="00F413DB">
        <w:rPr>
          <w:rFonts w:ascii="Times New Roman" w:hAnsi="Times New Roman" w:cs="Times New Roman"/>
          <w:bCs w:val="0"/>
          <w:szCs w:val="24"/>
          <w:lang w:val="en-GB"/>
        </w:rPr>
        <w:t>center</w:t>
      </w:r>
      <w:proofErr w:type="spellEnd"/>
      <w:r w:rsidR="00BF792B" w:rsidRPr="00F413DB">
        <w:rPr>
          <w:rFonts w:ascii="Times New Roman" w:hAnsi="Times New Roman" w:cs="Times New Roman"/>
          <w:bCs w:val="0"/>
          <w:szCs w:val="24"/>
          <w:lang w:val="en-GB"/>
        </w:rPr>
        <w:t xml:space="preserve"> Clinical Research Facility fasting with omission of short-acting </w:t>
      </w:r>
      <w:r w:rsidR="00A5485E" w:rsidRPr="00F413DB">
        <w:rPr>
          <w:rFonts w:ascii="Times New Roman" w:hAnsi="Times New Roman" w:cs="Times New Roman"/>
          <w:bCs w:val="0"/>
          <w:szCs w:val="24"/>
          <w:lang w:val="en-GB"/>
        </w:rPr>
        <w:t>but</w:t>
      </w:r>
      <w:r w:rsidR="003850B0" w:rsidRPr="00F413DB">
        <w:rPr>
          <w:rFonts w:ascii="Times New Roman" w:hAnsi="Times New Roman" w:cs="Times New Roman"/>
          <w:bCs w:val="0"/>
          <w:szCs w:val="24"/>
          <w:lang w:val="en-GB"/>
        </w:rPr>
        <w:t xml:space="preserve"> continued basal </w:t>
      </w:r>
      <w:r w:rsidR="00BF792B" w:rsidRPr="00F413DB">
        <w:rPr>
          <w:rFonts w:ascii="Times New Roman" w:hAnsi="Times New Roman" w:cs="Times New Roman"/>
          <w:bCs w:val="0"/>
          <w:szCs w:val="24"/>
          <w:lang w:val="en-GB"/>
        </w:rPr>
        <w:t xml:space="preserve">insulin. </w:t>
      </w:r>
      <w:r w:rsidR="00A5485E" w:rsidRPr="00F413DB">
        <w:rPr>
          <w:rFonts w:ascii="Times New Roman" w:hAnsi="Times New Roman" w:cs="Times New Roman"/>
          <w:bCs w:val="0"/>
          <w:szCs w:val="24"/>
          <w:lang w:val="en-GB"/>
        </w:rPr>
        <w:t>Participants consumed 240</w:t>
      </w:r>
      <w:r w:rsidR="001A7EEF">
        <w:rPr>
          <w:rFonts w:ascii="Times New Roman" w:hAnsi="Times New Roman" w:cs="Times New Roman"/>
          <w:bCs w:val="0"/>
          <w:szCs w:val="24"/>
          <w:lang w:val="en-GB"/>
        </w:rPr>
        <w:t xml:space="preserve"> </w:t>
      </w:r>
      <w:r w:rsidR="00286B8C">
        <w:rPr>
          <w:rFonts w:ascii="Times New Roman" w:hAnsi="Times New Roman" w:cs="Times New Roman"/>
          <w:bCs w:val="0"/>
          <w:szCs w:val="24"/>
          <w:lang w:val="en-GB"/>
        </w:rPr>
        <w:t>mL</w:t>
      </w:r>
      <w:r w:rsidR="00A5485E" w:rsidRPr="00F413DB">
        <w:rPr>
          <w:rFonts w:ascii="Times New Roman" w:hAnsi="Times New Roman" w:cs="Times New Roman"/>
          <w:bCs w:val="0"/>
          <w:szCs w:val="24"/>
          <w:lang w:val="en-GB"/>
        </w:rPr>
        <w:t xml:space="preserve"> </w:t>
      </w:r>
      <w:proofErr w:type="spellStart"/>
      <w:r w:rsidR="00A5485E" w:rsidRPr="00F413DB">
        <w:rPr>
          <w:rFonts w:ascii="Times New Roman" w:hAnsi="Times New Roman" w:cs="Times New Roman"/>
          <w:bCs w:val="0"/>
          <w:szCs w:val="24"/>
          <w:lang w:val="en-GB"/>
        </w:rPr>
        <w:t>Fortisip</w:t>
      </w:r>
      <w:proofErr w:type="spellEnd"/>
      <w:r w:rsidR="00A5485E" w:rsidRPr="00F413DB">
        <w:rPr>
          <w:rFonts w:ascii="Times New Roman" w:hAnsi="Times New Roman" w:cs="Times New Roman"/>
          <w:bCs w:val="0"/>
          <w:szCs w:val="24"/>
          <w:lang w:val="en-GB"/>
        </w:rPr>
        <w:t xml:space="preserve"> (18.4</w:t>
      </w:r>
      <w:r w:rsidR="001A7EEF">
        <w:rPr>
          <w:rFonts w:ascii="Times New Roman" w:hAnsi="Times New Roman" w:cs="Times New Roman"/>
          <w:bCs w:val="0"/>
          <w:szCs w:val="24"/>
          <w:lang w:val="en-GB"/>
        </w:rPr>
        <w:t xml:space="preserve"> </w:t>
      </w:r>
      <w:r w:rsidR="00286B8C">
        <w:rPr>
          <w:rFonts w:ascii="Times New Roman" w:hAnsi="Times New Roman" w:cs="Times New Roman"/>
          <w:bCs w:val="0"/>
          <w:szCs w:val="24"/>
          <w:lang w:val="en-GB"/>
        </w:rPr>
        <w:t>g/100mL</w:t>
      </w:r>
      <w:r w:rsidR="00A5485E" w:rsidRPr="00F413DB">
        <w:rPr>
          <w:rFonts w:ascii="Times New Roman" w:hAnsi="Times New Roman" w:cs="Times New Roman"/>
          <w:bCs w:val="0"/>
          <w:szCs w:val="24"/>
          <w:lang w:val="en-GB"/>
        </w:rPr>
        <w:t xml:space="preserve"> carbohydrate) comprising a total mixed meal of 44.2</w:t>
      </w:r>
      <w:r w:rsidR="001A7EEF">
        <w:rPr>
          <w:rFonts w:ascii="Times New Roman" w:hAnsi="Times New Roman" w:cs="Times New Roman"/>
          <w:bCs w:val="0"/>
          <w:szCs w:val="24"/>
          <w:lang w:val="en-GB"/>
        </w:rPr>
        <w:t xml:space="preserve"> </w:t>
      </w:r>
      <w:r w:rsidR="00A5485E" w:rsidRPr="00F413DB">
        <w:rPr>
          <w:rFonts w:ascii="Times New Roman" w:hAnsi="Times New Roman" w:cs="Times New Roman"/>
          <w:bCs w:val="0"/>
          <w:szCs w:val="24"/>
          <w:lang w:val="en-GB"/>
        </w:rPr>
        <w:t>g carbohydrate, 14.4</w:t>
      </w:r>
      <w:r w:rsidR="001A7EEF">
        <w:rPr>
          <w:rFonts w:ascii="Times New Roman" w:hAnsi="Times New Roman" w:cs="Times New Roman"/>
          <w:bCs w:val="0"/>
          <w:szCs w:val="24"/>
          <w:lang w:val="en-GB"/>
        </w:rPr>
        <w:t xml:space="preserve"> </w:t>
      </w:r>
      <w:r w:rsidR="00A5485E" w:rsidRPr="00F413DB">
        <w:rPr>
          <w:rFonts w:ascii="Times New Roman" w:hAnsi="Times New Roman" w:cs="Times New Roman"/>
          <w:bCs w:val="0"/>
          <w:szCs w:val="24"/>
          <w:lang w:val="en-GB"/>
        </w:rPr>
        <w:t>g protein and 13.9</w:t>
      </w:r>
      <w:r w:rsidR="001A7EEF">
        <w:rPr>
          <w:rFonts w:ascii="Times New Roman" w:hAnsi="Times New Roman" w:cs="Times New Roman"/>
          <w:bCs w:val="0"/>
          <w:szCs w:val="24"/>
          <w:lang w:val="en-GB"/>
        </w:rPr>
        <w:t xml:space="preserve"> </w:t>
      </w:r>
      <w:r w:rsidR="00A5485E" w:rsidRPr="00F413DB">
        <w:rPr>
          <w:rFonts w:ascii="Times New Roman" w:hAnsi="Times New Roman" w:cs="Times New Roman"/>
          <w:bCs w:val="0"/>
          <w:szCs w:val="24"/>
          <w:lang w:val="en-GB"/>
        </w:rPr>
        <w:t xml:space="preserve">g fat. </w:t>
      </w:r>
      <w:r w:rsidR="00B71A2A" w:rsidRPr="00F413DB">
        <w:rPr>
          <w:rFonts w:ascii="Times New Roman" w:hAnsi="Times New Roman" w:cs="Times New Roman"/>
          <w:bCs w:val="0"/>
          <w:szCs w:val="24"/>
          <w:lang w:val="en-GB"/>
        </w:rPr>
        <w:t>Serum</w:t>
      </w:r>
      <w:r w:rsidR="00966254" w:rsidRPr="00F413DB">
        <w:rPr>
          <w:rFonts w:ascii="Times New Roman" w:hAnsi="Times New Roman" w:cs="Times New Roman"/>
          <w:bCs w:val="0"/>
          <w:szCs w:val="24"/>
          <w:lang w:val="en-GB"/>
        </w:rPr>
        <w:t xml:space="preserve"> samples</w:t>
      </w:r>
      <w:r w:rsidR="00B71A2A" w:rsidRPr="00F413DB">
        <w:rPr>
          <w:rFonts w:ascii="Times New Roman" w:hAnsi="Times New Roman" w:cs="Times New Roman"/>
          <w:bCs w:val="0"/>
          <w:szCs w:val="24"/>
          <w:lang w:val="en-GB"/>
        </w:rPr>
        <w:t xml:space="preserve"> w</w:t>
      </w:r>
      <w:r w:rsidR="00966254" w:rsidRPr="00F413DB">
        <w:rPr>
          <w:rFonts w:ascii="Times New Roman" w:hAnsi="Times New Roman" w:cs="Times New Roman"/>
          <w:bCs w:val="0"/>
          <w:szCs w:val="24"/>
          <w:lang w:val="en-GB"/>
        </w:rPr>
        <w:t>ere</w:t>
      </w:r>
      <w:r w:rsidR="00B71A2A" w:rsidRPr="00F413DB">
        <w:rPr>
          <w:rFonts w:ascii="Times New Roman" w:hAnsi="Times New Roman" w:cs="Times New Roman"/>
          <w:bCs w:val="0"/>
          <w:szCs w:val="24"/>
          <w:lang w:val="en-GB"/>
        </w:rPr>
        <w:t xml:space="preserve"> obtained at 0 and 90 minutes for</w:t>
      </w:r>
      <w:r w:rsidR="00BF792B" w:rsidRPr="00F413DB">
        <w:rPr>
          <w:rFonts w:ascii="Times New Roman" w:hAnsi="Times New Roman" w:cs="Times New Roman"/>
          <w:bCs w:val="0"/>
          <w:szCs w:val="24"/>
          <w:lang w:val="en-GB"/>
        </w:rPr>
        <w:t xml:space="preserve"> C-peptide</w:t>
      </w:r>
      <w:r w:rsidR="00966254" w:rsidRPr="00F413DB">
        <w:rPr>
          <w:rFonts w:ascii="Times New Roman" w:hAnsi="Times New Roman" w:cs="Times New Roman"/>
          <w:bCs w:val="0"/>
          <w:szCs w:val="24"/>
          <w:lang w:val="en-GB"/>
        </w:rPr>
        <w:t xml:space="preserve"> and </w:t>
      </w:r>
      <w:r w:rsidR="00BF792B" w:rsidRPr="00F413DB">
        <w:rPr>
          <w:rFonts w:ascii="Times New Roman" w:hAnsi="Times New Roman" w:cs="Times New Roman"/>
          <w:bCs w:val="0"/>
          <w:szCs w:val="24"/>
          <w:lang w:val="en-GB"/>
        </w:rPr>
        <w:t xml:space="preserve">glucose </w:t>
      </w:r>
      <w:r w:rsidR="003850B0" w:rsidRPr="00F413DB">
        <w:rPr>
          <w:rFonts w:ascii="Times New Roman" w:hAnsi="Times New Roman" w:cs="Times New Roman"/>
          <w:bCs w:val="0"/>
          <w:szCs w:val="24"/>
          <w:lang w:val="en-GB"/>
        </w:rPr>
        <w:t xml:space="preserve">assay </w:t>
      </w:r>
      <w:r w:rsidR="00966254" w:rsidRPr="00F413DB">
        <w:rPr>
          <w:rFonts w:ascii="Times New Roman" w:hAnsi="Times New Roman" w:cs="Times New Roman"/>
          <w:bCs w:val="0"/>
          <w:szCs w:val="24"/>
          <w:lang w:val="en-GB"/>
        </w:rPr>
        <w:t xml:space="preserve">with </w:t>
      </w:r>
      <w:r w:rsidR="00A5485E" w:rsidRPr="00F413DB">
        <w:rPr>
          <w:rFonts w:ascii="Times New Roman" w:hAnsi="Times New Roman" w:cs="Times New Roman"/>
          <w:bCs w:val="0"/>
          <w:szCs w:val="24"/>
          <w:lang w:val="en-GB"/>
        </w:rPr>
        <w:t xml:space="preserve">collection of </w:t>
      </w:r>
      <w:r w:rsidR="00BF792B" w:rsidRPr="00F413DB">
        <w:rPr>
          <w:rFonts w:ascii="Times New Roman" w:hAnsi="Times New Roman" w:cs="Times New Roman"/>
          <w:bCs w:val="0"/>
          <w:szCs w:val="24"/>
          <w:lang w:val="en-GB"/>
        </w:rPr>
        <w:t>urine</w:t>
      </w:r>
      <w:r w:rsidR="00B71A2A" w:rsidRPr="00F413DB">
        <w:rPr>
          <w:rFonts w:ascii="Times New Roman" w:hAnsi="Times New Roman" w:cs="Times New Roman"/>
          <w:bCs w:val="0"/>
          <w:szCs w:val="24"/>
          <w:lang w:val="en-GB"/>
        </w:rPr>
        <w:t xml:space="preserve"> for assessment of urine </w:t>
      </w:r>
      <w:r w:rsidR="00BF792B" w:rsidRPr="00F413DB">
        <w:rPr>
          <w:rFonts w:ascii="Times New Roman" w:hAnsi="Times New Roman" w:cs="Times New Roman"/>
          <w:bCs w:val="0"/>
          <w:szCs w:val="24"/>
          <w:lang w:val="en-GB"/>
        </w:rPr>
        <w:t>C-peptide</w:t>
      </w:r>
      <w:r w:rsidR="00286B8C">
        <w:rPr>
          <w:rFonts w:ascii="Times New Roman" w:hAnsi="Times New Roman" w:cs="Times New Roman"/>
          <w:bCs w:val="0"/>
          <w:szCs w:val="24"/>
          <w:lang w:val="en-GB"/>
        </w:rPr>
        <w:t>-to-</w:t>
      </w:r>
      <w:r w:rsidR="00BF792B" w:rsidRPr="00F413DB">
        <w:rPr>
          <w:rFonts w:ascii="Times New Roman" w:hAnsi="Times New Roman" w:cs="Times New Roman"/>
          <w:bCs w:val="0"/>
          <w:szCs w:val="24"/>
          <w:lang w:val="en-GB"/>
        </w:rPr>
        <w:t>creatinine ratio at 0 and 120 min.</w:t>
      </w:r>
      <w:r w:rsidR="00B71A2A" w:rsidRPr="00F413DB">
        <w:rPr>
          <w:rFonts w:ascii="Times New Roman" w:hAnsi="Times New Roman" w:cs="Times New Roman"/>
          <w:bCs w:val="0"/>
          <w:szCs w:val="24"/>
          <w:lang w:val="en-GB"/>
        </w:rPr>
        <w:t xml:space="preserve"> </w:t>
      </w:r>
      <w:r w:rsidR="00A5485E" w:rsidRPr="00F413DB">
        <w:rPr>
          <w:rFonts w:ascii="Times New Roman" w:hAnsi="Times New Roman" w:cs="Times New Roman"/>
          <w:bCs w:val="0"/>
          <w:szCs w:val="24"/>
          <w:lang w:val="en-GB"/>
        </w:rPr>
        <w:t>All s</w:t>
      </w:r>
      <w:r w:rsidR="00B71A2A" w:rsidRPr="00F413DB">
        <w:rPr>
          <w:rFonts w:ascii="Times New Roman" w:hAnsi="Times New Roman" w:cs="Times New Roman"/>
          <w:bCs w:val="0"/>
          <w:szCs w:val="24"/>
          <w:lang w:val="en-GB"/>
        </w:rPr>
        <w:t xml:space="preserve">amples were </w:t>
      </w:r>
      <w:proofErr w:type="spellStart"/>
      <w:r w:rsidR="00B71A2A" w:rsidRPr="00F413DB">
        <w:rPr>
          <w:rFonts w:ascii="Times New Roman" w:hAnsi="Times New Roman" w:cs="Times New Roman"/>
          <w:bCs w:val="0"/>
          <w:szCs w:val="24"/>
          <w:lang w:val="en-GB"/>
        </w:rPr>
        <w:t>aliquoted</w:t>
      </w:r>
      <w:proofErr w:type="spellEnd"/>
      <w:r w:rsidR="00B71A2A" w:rsidRPr="00F413DB">
        <w:rPr>
          <w:rFonts w:ascii="Times New Roman" w:hAnsi="Times New Roman" w:cs="Times New Roman"/>
          <w:bCs w:val="0"/>
          <w:szCs w:val="24"/>
          <w:lang w:val="en-GB"/>
        </w:rPr>
        <w:t xml:space="preserve"> and stored at -80</w:t>
      </w:r>
      <w:r w:rsidR="001A7EEF">
        <w:rPr>
          <w:rFonts w:ascii="Times New Roman" w:hAnsi="Times New Roman" w:cs="Times New Roman"/>
          <w:bCs w:val="0"/>
          <w:szCs w:val="24"/>
          <w:lang w:val="en-GB"/>
        </w:rPr>
        <w:t xml:space="preserve"> </w:t>
      </w:r>
      <w:r w:rsidR="00B71A2A" w:rsidRPr="00F413DB">
        <w:rPr>
          <w:rFonts w:ascii="Times New Roman" w:hAnsi="Times New Roman" w:cs="Times New Roman"/>
          <w:bCs w:val="0"/>
          <w:szCs w:val="24"/>
          <w:lang w:val="en-GB"/>
        </w:rPr>
        <w:t>°C before shipme</w:t>
      </w:r>
      <w:r w:rsidR="002D190A" w:rsidRPr="00F413DB">
        <w:rPr>
          <w:rFonts w:ascii="Times New Roman" w:hAnsi="Times New Roman" w:cs="Times New Roman"/>
          <w:bCs w:val="0"/>
          <w:szCs w:val="24"/>
          <w:lang w:val="en-GB"/>
        </w:rPr>
        <w:t>nt</w:t>
      </w:r>
      <w:r w:rsidR="00966254" w:rsidRPr="00F413DB">
        <w:rPr>
          <w:rFonts w:ascii="Times New Roman" w:hAnsi="Times New Roman" w:cs="Times New Roman"/>
          <w:bCs w:val="0"/>
          <w:szCs w:val="24"/>
          <w:lang w:val="en-GB"/>
        </w:rPr>
        <w:t xml:space="preserve"> </w:t>
      </w:r>
      <w:r w:rsidR="002D190A" w:rsidRPr="00F413DB">
        <w:rPr>
          <w:rFonts w:ascii="Times New Roman" w:hAnsi="Times New Roman" w:cs="Times New Roman"/>
          <w:bCs w:val="0"/>
          <w:szCs w:val="24"/>
          <w:lang w:val="en-GB"/>
        </w:rPr>
        <w:t>to Exeter Central Laboratory for analysis. C-peptide samples were ana</w:t>
      </w:r>
      <w:r w:rsidR="00286B8C">
        <w:rPr>
          <w:rFonts w:ascii="Times New Roman" w:hAnsi="Times New Roman" w:cs="Times New Roman"/>
          <w:bCs w:val="0"/>
          <w:szCs w:val="24"/>
          <w:lang w:val="en-GB"/>
        </w:rPr>
        <w:t>lysed using the automated E170 I</w:t>
      </w:r>
      <w:r w:rsidR="002D190A" w:rsidRPr="00F413DB">
        <w:rPr>
          <w:rFonts w:ascii="Times New Roman" w:hAnsi="Times New Roman" w:cs="Times New Roman"/>
          <w:bCs w:val="0"/>
          <w:szCs w:val="24"/>
          <w:lang w:val="en-GB"/>
        </w:rPr>
        <w:t>mmuno</w:t>
      </w:r>
      <w:r w:rsidR="00286B8C">
        <w:rPr>
          <w:rFonts w:ascii="Times New Roman" w:hAnsi="Times New Roman" w:cs="Times New Roman"/>
          <w:bCs w:val="0"/>
          <w:szCs w:val="24"/>
          <w:lang w:val="en-GB"/>
        </w:rPr>
        <w:t xml:space="preserve">logy </w:t>
      </w:r>
      <w:proofErr w:type="spellStart"/>
      <w:r w:rsidR="00286B8C">
        <w:rPr>
          <w:rFonts w:ascii="Times New Roman" w:hAnsi="Times New Roman" w:cs="Times New Roman"/>
          <w:bCs w:val="0"/>
          <w:szCs w:val="24"/>
          <w:lang w:val="en-GB"/>
        </w:rPr>
        <w:t>A</w:t>
      </w:r>
      <w:r w:rsidR="002D190A" w:rsidRPr="00F413DB">
        <w:rPr>
          <w:rFonts w:ascii="Times New Roman" w:hAnsi="Times New Roman" w:cs="Times New Roman"/>
          <w:bCs w:val="0"/>
          <w:szCs w:val="24"/>
          <w:lang w:val="en-GB"/>
        </w:rPr>
        <w:t>nal</w:t>
      </w:r>
      <w:r w:rsidR="00595839">
        <w:rPr>
          <w:rFonts w:ascii="Times New Roman" w:hAnsi="Times New Roman" w:cs="Times New Roman"/>
          <w:bCs w:val="0"/>
          <w:szCs w:val="24"/>
          <w:lang w:val="en-GB"/>
        </w:rPr>
        <w:t>yz</w:t>
      </w:r>
      <w:r w:rsidR="00181266" w:rsidRPr="00F413DB">
        <w:rPr>
          <w:rFonts w:ascii="Times New Roman" w:hAnsi="Times New Roman" w:cs="Times New Roman"/>
          <w:bCs w:val="0"/>
          <w:szCs w:val="24"/>
          <w:lang w:val="en-GB"/>
        </w:rPr>
        <w:t>er</w:t>
      </w:r>
      <w:proofErr w:type="spellEnd"/>
      <w:r w:rsidR="00181266" w:rsidRPr="00F413DB">
        <w:rPr>
          <w:rFonts w:ascii="Times New Roman" w:hAnsi="Times New Roman" w:cs="Times New Roman"/>
          <w:bCs w:val="0"/>
          <w:szCs w:val="24"/>
          <w:lang w:val="en-GB"/>
        </w:rPr>
        <w:t xml:space="preserve"> </w:t>
      </w:r>
      <w:r w:rsidR="00286B8C">
        <w:rPr>
          <w:rFonts w:ascii="Times New Roman" w:hAnsi="Times New Roman" w:cs="Times New Roman"/>
          <w:bCs w:val="0"/>
          <w:szCs w:val="24"/>
          <w:lang w:val="en-GB"/>
        </w:rPr>
        <w:t xml:space="preserve">(Roche Diagnostics, </w:t>
      </w:r>
      <w:r w:rsidR="00181266" w:rsidRPr="00F413DB">
        <w:rPr>
          <w:rFonts w:ascii="Times New Roman" w:hAnsi="Times New Roman" w:cs="Times New Roman"/>
          <w:bCs w:val="0"/>
          <w:szCs w:val="24"/>
          <w:lang w:val="en-GB"/>
        </w:rPr>
        <w:t>Mannheim</w:t>
      </w:r>
      <w:r w:rsidR="002D190A" w:rsidRPr="00F413DB">
        <w:rPr>
          <w:rFonts w:ascii="Times New Roman" w:hAnsi="Times New Roman" w:cs="Times New Roman"/>
          <w:bCs w:val="0"/>
          <w:szCs w:val="24"/>
          <w:lang w:val="en-GB"/>
        </w:rPr>
        <w:t xml:space="preserve">, Germany) </w:t>
      </w:r>
      <w:r w:rsidR="00B2081B" w:rsidRPr="00F413DB">
        <w:rPr>
          <w:rFonts w:ascii="Times New Roman" w:hAnsi="Times New Roman" w:cs="Times New Roman"/>
          <w:bCs w:val="0"/>
          <w:szCs w:val="24"/>
          <w:lang w:val="en-GB"/>
        </w:rPr>
        <w:t xml:space="preserve">with </w:t>
      </w:r>
      <w:r w:rsidR="002D190A" w:rsidRPr="00F413DB">
        <w:rPr>
          <w:rFonts w:ascii="Times New Roman" w:hAnsi="Times New Roman" w:cs="Times New Roman"/>
          <w:bCs w:val="0"/>
          <w:szCs w:val="24"/>
          <w:lang w:val="en-GB"/>
        </w:rPr>
        <w:t>a serum detection</w:t>
      </w:r>
      <w:r w:rsidR="00AA1805" w:rsidRPr="00F413DB">
        <w:rPr>
          <w:rFonts w:ascii="Times New Roman" w:hAnsi="Times New Roman" w:cs="Times New Roman"/>
          <w:bCs w:val="0"/>
          <w:szCs w:val="24"/>
          <w:lang w:val="en-GB"/>
        </w:rPr>
        <w:t xml:space="preserve"> limit</w:t>
      </w:r>
      <w:r w:rsidR="002D190A" w:rsidRPr="00F413DB">
        <w:rPr>
          <w:rFonts w:ascii="Times New Roman" w:hAnsi="Times New Roman" w:cs="Times New Roman"/>
          <w:bCs w:val="0"/>
          <w:szCs w:val="24"/>
          <w:lang w:val="en-GB"/>
        </w:rPr>
        <w:t xml:space="preserve"> of 3 </w:t>
      </w:r>
      <w:proofErr w:type="spellStart"/>
      <w:r w:rsidR="002D190A" w:rsidRPr="00F413DB">
        <w:rPr>
          <w:rFonts w:ascii="Times New Roman" w:hAnsi="Times New Roman" w:cs="Times New Roman"/>
          <w:bCs w:val="0"/>
          <w:szCs w:val="24"/>
          <w:lang w:val="en-GB"/>
        </w:rPr>
        <w:t>pmol</w:t>
      </w:r>
      <w:proofErr w:type="spellEnd"/>
      <w:r w:rsidR="002D190A" w:rsidRPr="00F413DB">
        <w:rPr>
          <w:rFonts w:ascii="Times New Roman" w:hAnsi="Times New Roman" w:cs="Times New Roman"/>
          <w:bCs w:val="0"/>
          <w:szCs w:val="24"/>
          <w:lang w:val="en-GB"/>
        </w:rPr>
        <w:t>/</w:t>
      </w:r>
      <w:r w:rsidR="00286B8C">
        <w:rPr>
          <w:rFonts w:ascii="Times New Roman" w:hAnsi="Times New Roman" w:cs="Times New Roman"/>
          <w:bCs w:val="0"/>
          <w:szCs w:val="24"/>
          <w:lang w:val="en-GB"/>
        </w:rPr>
        <w:t>L</w:t>
      </w:r>
      <w:r w:rsidR="002D190A" w:rsidRPr="00F413DB">
        <w:rPr>
          <w:rFonts w:ascii="Times New Roman" w:hAnsi="Times New Roman" w:cs="Times New Roman"/>
          <w:bCs w:val="0"/>
          <w:szCs w:val="24"/>
          <w:lang w:val="en-GB"/>
        </w:rPr>
        <w:t xml:space="preserve"> and u</w:t>
      </w:r>
      <w:r w:rsidR="00AA1805" w:rsidRPr="00F413DB">
        <w:rPr>
          <w:rFonts w:ascii="Times New Roman" w:hAnsi="Times New Roman" w:cs="Times New Roman"/>
          <w:bCs w:val="0"/>
          <w:szCs w:val="24"/>
          <w:lang w:val="en-GB"/>
        </w:rPr>
        <w:t xml:space="preserve">rine </w:t>
      </w:r>
      <w:r w:rsidR="00286B8C">
        <w:rPr>
          <w:rFonts w:ascii="Times New Roman" w:hAnsi="Times New Roman" w:cs="Times New Roman"/>
          <w:bCs w:val="0"/>
          <w:szCs w:val="24"/>
          <w:lang w:val="en-GB"/>
        </w:rPr>
        <w:t xml:space="preserve">detection limit </w:t>
      </w:r>
      <w:r w:rsidR="002D190A" w:rsidRPr="00F413DB">
        <w:rPr>
          <w:rFonts w:ascii="Times New Roman" w:hAnsi="Times New Roman" w:cs="Times New Roman"/>
          <w:bCs w:val="0"/>
          <w:szCs w:val="24"/>
          <w:lang w:val="en-GB"/>
        </w:rPr>
        <w:t xml:space="preserve">of </w:t>
      </w:r>
      <w:r w:rsidR="00AA1805" w:rsidRPr="00F413DB">
        <w:rPr>
          <w:rFonts w:ascii="Times New Roman" w:hAnsi="Times New Roman" w:cs="Times New Roman"/>
          <w:bCs w:val="0"/>
          <w:szCs w:val="24"/>
          <w:lang w:val="en-GB"/>
        </w:rPr>
        <w:t xml:space="preserve">0.03 </w:t>
      </w:r>
      <w:proofErr w:type="spellStart"/>
      <w:r w:rsidR="00AA1805" w:rsidRPr="00F413DB">
        <w:rPr>
          <w:rFonts w:ascii="Times New Roman" w:hAnsi="Times New Roman" w:cs="Times New Roman"/>
          <w:bCs w:val="0"/>
          <w:szCs w:val="24"/>
          <w:lang w:val="en-GB"/>
        </w:rPr>
        <w:t>nmol</w:t>
      </w:r>
      <w:proofErr w:type="spellEnd"/>
      <w:r w:rsidR="00AA1805" w:rsidRPr="00F413DB">
        <w:rPr>
          <w:rFonts w:ascii="Times New Roman" w:hAnsi="Times New Roman" w:cs="Times New Roman"/>
          <w:bCs w:val="0"/>
          <w:szCs w:val="24"/>
          <w:lang w:val="en-GB"/>
        </w:rPr>
        <w:t>/</w:t>
      </w:r>
      <w:r w:rsidR="00286B8C">
        <w:rPr>
          <w:rFonts w:ascii="Times New Roman" w:hAnsi="Times New Roman" w:cs="Times New Roman"/>
          <w:bCs w:val="0"/>
          <w:szCs w:val="24"/>
          <w:lang w:val="en-GB"/>
        </w:rPr>
        <w:t>L</w:t>
      </w:r>
      <w:r w:rsidR="002D190A" w:rsidRPr="00F413DB">
        <w:rPr>
          <w:rFonts w:ascii="Times New Roman" w:hAnsi="Times New Roman" w:cs="Times New Roman"/>
          <w:bCs w:val="0"/>
          <w:szCs w:val="24"/>
          <w:lang w:val="en-GB"/>
        </w:rPr>
        <w:t>.</w:t>
      </w:r>
    </w:p>
    <w:p w14:paraId="4BCD30AE" w14:textId="77777777" w:rsidR="00D35C1F" w:rsidRPr="00F413DB" w:rsidRDefault="00D35C1F" w:rsidP="004E73A0">
      <w:pPr>
        <w:spacing w:line="480" w:lineRule="auto"/>
        <w:jc w:val="both"/>
        <w:rPr>
          <w:rFonts w:ascii="Times New Roman" w:hAnsi="Times New Roman" w:cs="Times New Roman"/>
          <w:bCs w:val="0"/>
          <w:szCs w:val="24"/>
          <w:lang w:val="en-GB"/>
        </w:rPr>
      </w:pPr>
    </w:p>
    <w:p w14:paraId="70333583" w14:textId="1A0AB084" w:rsidR="004E73A0" w:rsidRPr="00F413DB" w:rsidRDefault="00BA0BEA" w:rsidP="004E73A0">
      <w:pPr>
        <w:spacing w:line="480" w:lineRule="auto"/>
        <w:jc w:val="both"/>
        <w:rPr>
          <w:rFonts w:ascii="Times New Roman" w:hAnsi="Times New Roman" w:cs="Times New Roman"/>
          <w:bCs w:val="0"/>
          <w:szCs w:val="24"/>
          <w:lang w:val="en-GB"/>
        </w:rPr>
      </w:pPr>
      <w:r>
        <w:rPr>
          <w:rFonts w:ascii="Times New Roman" w:hAnsi="Times New Roman" w:cs="Times New Roman"/>
          <w:bCs w:val="0"/>
          <w:szCs w:val="24"/>
          <w:lang w:val="en-GB"/>
        </w:rPr>
        <w:t>Following</w:t>
      </w:r>
      <w:r w:rsidR="004E73A0" w:rsidRPr="00F413DB">
        <w:rPr>
          <w:rFonts w:ascii="Times New Roman" w:hAnsi="Times New Roman" w:cs="Times New Roman"/>
          <w:bCs w:val="0"/>
          <w:szCs w:val="24"/>
          <w:lang w:val="en-GB"/>
        </w:rPr>
        <w:t xml:space="preserve"> completion of </w:t>
      </w:r>
      <w:r>
        <w:rPr>
          <w:rFonts w:ascii="Times New Roman" w:hAnsi="Times New Roman" w:cs="Times New Roman"/>
          <w:bCs w:val="0"/>
          <w:szCs w:val="24"/>
          <w:lang w:val="en-GB"/>
        </w:rPr>
        <w:t xml:space="preserve">study follow-up, </w:t>
      </w:r>
      <w:r w:rsidR="004E73A0" w:rsidRPr="00F413DB">
        <w:rPr>
          <w:rFonts w:ascii="Times New Roman" w:hAnsi="Times New Roman" w:cs="Times New Roman"/>
          <w:bCs w:val="0"/>
          <w:szCs w:val="24"/>
          <w:lang w:val="en-GB"/>
        </w:rPr>
        <w:t xml:space="preserve">three </w:t>
      </w:r>
      <w:r>
        <w:rPr>
          <w:rFonts w:ascii="Times New Roman" w:hAnsi="Times New Roman" w:cs="Times New Roman"/>
          <w:bCs w:val="0"/>
          <w:szCs w:val="24"/>
          <w:lang w:val="en-GB"/>
        </w:rPr>
        <w:t>incomplete responders</w:t>
      </w:r>
      <w:r w:rsidR="004E73A0" w:rsidRPr="00F413DB">
        <w:rPr>
          <w:rFonts w:ascii="Times New Roman" w:hAnsi="Times New Roman" w:cs="Times New Roman"/>
          <w:bCs w:val="0"/>
          <w:szCs w:val="24"/>
          <w:lang w:val="en-GB"/>
        </w:rPr>
        <w:t xml:space="preserve"> received an allogeneic islet transplant for recurrent life-threatening severe </w:t>
      </w:r>
      <w:proofErr w:type="spellStart"/>
      <w:r w:rsidR="004E73A0" w:rsidRPr="00F413DB">
        <w:rPr>
          <w:rFonts w:ascii="Times New Roman" w:hAnsi="Times New Roman" w:cs="Times New Roman"/>
          <w:bCs w:val="0"/>
          <w:szCs w:val="24"/>
          <w:lang w:val="en-GB"/>
        </w:rPr>
        <w:t>hypoglycemia</w:t>
      </w:r>
      <w:proofErr w:type="spellEnd"/>
      <w:r w:rsidR="004E73A0" w:rsidRPr="00F413DB">
        <w:rPr>
          <w:rFonts w:ascii="Times New Roman" w:hAnsi="Times New Roman" w:cs="Times New Roman"/>
          <w:bCs w:val="0"/>
          <w:szCs w:val="24"/>
          <w:lang w:val="en-GB"/>
        </w:rPr>
        <w:t xml:space="preserve"> despite optimized medical management. All were from a single </w:t>
      </w:r>
      <w:proofErr w:type="spellStart"/>
      <w:r w:rsidR="004E73A0" w:rsidRPr="00F413DB">
        <w:rPr>
          <w:rFonts w:ascii="Times New Roman" w:hAnsi="Times New Roman" w:cs="Times New Roman"/>
          <w:bCs w:val="0"/>
          <w:szCs w:val="24"/>
          <w:lang w:val="en-GB"/>
        </w:rPr>
        <w:t>center</w:t>
      </w:r>
      <w:proofErr w:type="spellEnd"/>
      <w:r w:rsidR="004E73A0" w:rsidRPr="00F413DB">
        <w:rPr>
          <w:rFonts w:ascii="Times New Roman" w:hAnsi="Times New Roman" w:cs="Times New Roman"/>
          <w:bCs w:val="0"/>
          <w:szCs w:val="24"/>
          <w:lang w:val="en-GB"/>
        </w:rPr>
        <w:t xml:space="preserve"> and </w:t>
      </w:r>
      <w:r w:rsidR="00411495">
        <w:rPr>
          <w:rFonts w:ascii="Times New Roman" w:hAnsi="Times New Roman" w:cs="Times New Roman"/>
          <w:bCs w:val="0"/>
          <w:szCs w:val="24"/>
          <w:lang w:val="en-GB"/>
        </w:rPr>
        <w:t xml:space="preserve">underwent </w:t>
      </w:r>
      <w:r w:rsidR="004E73A0" w:rsidRPr="00F413DB">
        <w:rPr>
          <w:rFonts w:ascii="Times New Roman" w:hAnsi="Times New Roman" w:cs="Times New Roman"/>
          <w:bCs w:val="0"/>
          <w:szCs w:val="24"/>
          <w:lang w:val="en-GB"/>
        </w:rPr>
        <w:t xml:space="preserve">a mixed-meal tolerance test pre-transplant </w:t>
      </w:r>
      <w:proofErr w:type="gramStart"/>
      <w:r w:rsidR="001A7EEF" w:rsidRPr="00F413DB">
        <w:rPr>
          <w:rFonts w:ascii="Times New Roman" w:hAnsi="Times New Roman" w:cs="Times New Roman"/>
          <w:bCs w:val="0"/>
          <w:szCs w:val="24"/>
          <w:lang w:val="en-GB"/>
        </w:rPr>
        <w:t>between 2011-2013</w:t>
      </w:r>
      <w:r w:rsidR="005A2259">
        <w:rPr>
          <w:rFonts w:ascii="Times New Roman" w:hAnsi="Times New Roman" w:cs="Times New Roman"/>
          <w:bCs w:val="0"/>
          <w:szCs w:val="24"/>
          <w:lang w:val="en-GB"/>
        </w:rPr>
        <w:t xml:space="preserve"> </w:t>
      </w:r>
      <w:r w:rsidR="004E73A0" w:rsidRPr="00F413DB">
        <w:rPr>
          <w:rFonts w:ascii="Times New Roman" w:hAnsi="Times New Roman" w:cs="Times New Roman"/>
          <w:bCs w:val="0"/>
          <w:szCs w:val="24"/>
          <w:lang w:val="en-GB"/>
        </w:rPr>
        <w:t>as part of the assessment for listing</w:t>
      </w:r>
      <w:proofErr w:type="gramEnd"/>
      <w:r w:rsidR="004E73A0" w:rsidRPr="00F413DB">
        <w:rPr>
          <w:rFonts w:ascii="Times New Roman" w:hAnsi="Times New Roman" w:cs="Times New Roman"/>
          <w:bCs w:val="0"/>
          <w:szCs w:val="24"/>
          <w:lang w:val="en-GB"/>
        </w:rPr>
        <w:t xml:space="preserve">. </w:t>
      </w:r>
      <w:r w:rsidR="005A2259">
        <w:rPr>
          <w:rFonts w:ascii="Times New Roman" w:hAnsi="Times New Roman" w:cs="Times New Roman"/>
          <w:bCs w:val="0"/>
          <w:szCs w:val="24"/>
          <w:lang w:val="en-GB"/>
        </w:rPr>
        <w:t>All</w:t>
      </w:r>
      <w:r w:rsidR="004E73A0" w:rsidRPr="00F413DB">
        <w:rPr>
          <w:rFonts w:ascii="Times New Roman" w:hAnsi="Times New Roman" w:cs="Times New Roman"/>
          <w:bCs w:val="0"/>
          <w:szCs w:val="24"/>
          <w:lang w:val="en-GB"/>
        </w:rPr>
        <w:t xml:space="preserve"> had undetectable stimulated </w:t>
      </w:r>
      <w:r w:rsidR="00411495">
        <w:rPr>
          <w:rFonts w:ascii="Times New Roman" w:hAnsi="Times New Roman" w:cs="Times New Roman"/>
          <w:bCs w:val="0"/>
          <w:szCs w:val="24"/>
          <w:lang w:val="en-GB"/>
        </w:rPr>
        <w:t xml:space="preserve">serum </w:t>
      </w:r>
      <w:r w:rsidR="004E73A0" w:rsidRPr="00F413DB">
        <w:rPr>
          <w:rFonts w:ascii="Times New Roman" w:hAnsi="Times New Roman" w:cs="Times New Roman"/>
          <w:bCs w:val="0"/>
          <w:szCs w:val="24"/>
          <w:lang w:val="en-GB"/>
        </w:rPr>
        <w:t xml:space="preserve">C-peptide </w:t>
      </w:r>
      <w:r w:rsidR="00411495">
        <w:rPr>
          <w:rFonts w:ascii="Times New Roman" w:hAnsi="Times New Roman" w:cs="Times New Roman"/>
          <w:bCs w:val="0"/>
          <w:szCs w:val="24"/>
          <w:lang w:val="en-GB"/>
        </w:rPr>
        <w:t xml:space="preserve">with </w:t>
      </w:r>
      <w:r w:rsidR="004E73A0" w:rsidRPr="00F413DB">
        <w:rPr>
          <w:rFonts w:ascii="Times New Roman" w:hAnsi="Times New Roman" w:cs="Times New Roman"/>
          <w:bCs w:val="0"/>
          <w:szCs w:val="24"/>
          <w:lang w:val="en-GB"/>
        </w:rPr>
        <w:t xml:space="preserve">assay </w:t>
      </w:r>
      <w:r w:rsidR="00411495">
        <w:rPr>
          <w:rFonts w:ascii="Times New Roman" w:hAnsi="Times New Roman" w:cs="Times New Roman"/>
          <w:bCs w:val="0"/>
          <w:szCs w:val="24"/>
          <w:lang w:val="en-GB"/>
        </w:rPr>
        <w:t xml:space="preserve">limit of </w:t>
      </w:r>
      <w:r w:rsidR="004E73A0" w:rsidRPr="00F413DB">
        <w:rPr>
          <w:rFonts w:ascii="Times New Roman" w:hAnsi="Times New Roman" w:cs="Times New Roman"/>
          <w:bCs w:val="0"/>
          <w:szCs w:val="24"/>
          <w:lang w:val="en-GB"/>
        </w:rPr>
        <w:t>detection</w:t>
      </w:r>
      <w:r w:rsidR="00411495">
        <w:rPr>
          <w:rFonts w:ascii="Times New Roman" w:hAnsi="Times New Roman" w:cs="Times New Roman"/>
          <w:bCs w:val="0"/>
          <w:szCs w:val="24"/>
          <w:lang w:val="en-GB"/>
        </w:rPr>
        <w:t xml:space="preserve"> </w:t>
      </w:r>
      <w:r w:rsidR="00610141">
        <w:rPr>
          <w:rFonts w:ascii="Times New Roman" w:hAnsi="Times New Roman" w:cs="Times New Roman"/>
          <w:bCs w:val="0"/>
          <w:szCs w:val="24"/>
          <w:lang w:val="en-GB"/>
        </w:rPr>
        <w:t xml:space="preserve">&lt;30 </w:t>
      </w:r>
      <w:proofErr w:type="spellStart"/>
      <w:r w:rsidR="00610141">
        <w:rPr>
          <w:rFonts w:ascii="Times New Roman" w:hAnsi="Times New Roman" w:cs="Times New Roman"/>
          <w:bCs w:val="0"/>
          <w:szCs w:val="24"/>
          <w:lang w:val="en-GB"/>
        </w:rPr>
        <w:t>pmol</w:t>
      </w:r>
      <w:proofErr w:type="spellEnd"/>
      <w:r w:rsidR="00610141">
        <w:rPr>
          <w:rFonts w:ascii="Times New Roman" w:hAnsi="Times New Roman" w:cs="Times New Roman"/>
          <w:bCs w:val="0"/>
          <w:szCs w:val="24"/>
          <w:lang w:val="en-GB"/>
        </w:rPr>
        <w:t>/L</w:t>
      </w:r>
      <w:r w:rsidR="004E73A0" w:rsidRPr="00F413DB">
        <w:rPr>
          <w:rFonts w:ascii="Times New Roman" w:hAnsi="Times New Roman" w:cs="Times New Roman"/>
          <w:bCs w:val="0"/>
          <w:szCs w:val="24"/>
          <w:lang w:val="en-GB"/>
        </w:rPr>
        <w:t xml:space="preserve">. </w:t>
      </w:r>
    </w:p>
    <w:p w14:paraId="47D210D2" w14:textId="77777777" w:rsidR="002E150D" w:rsidRPr="00F413DB" w:rsidRDefault="002E150D" w:rsidP="00991E9B">
      <w:pPr>
        <w:spacing w:line="480" w:lineRule="auto"/>
        <w:jc w:val="both"/>
        <w:rPr>
          <w:rFonts w:ascii="Times New Roman" w:hAnsi="Times New Roman" w:cs="Times New Roman"/>
          <w:bCs w:val="0"/>
          <w:szCs w:val="24"/>
          <w:lang w:val="en-GB"/>
        </w:rPr>
      </w:pPr>
    </w:p>
    <w:p w14:paraId="1B73935D" w14:textId="77777777" w:rsidR="00B301BE" w:rsidRPr="00F413DB" w:rsidRDefault="00ED02EE" w:rsidP="002A3372">
      <w:pPr>
        <w:spacing w:line="480" w:lineRule="auto"/>
        <w:jc w:val="both"/>
        <w:outlineLvl w:val="0"/>
        <w:rPr>
          <w:rFonts w:ascii="Times New Roman" w:hAnsi="Times New Roman" w:cs="Times New Roman"/>
          <w:b/>
          <w:bCs w:val="0"/>
          <w:szCs w:val="24"/>
          <w:lang w:val="en-GB"/>
        </w:rPr>
      </w:pPr>
      <w:r w:rsidRPr="00F413DB">
        <w:rPr>
          <w:rFonts w:ascii="Times New Roman" w:hAnsi="Times New Roman" w:cs="Times New Roman"/>
          <w:b/>
          <w:bCs w:val="0"/>
          <w:szCs w:val="24"/>
          <w:lang w:val="en-GB"/>
        </w:rPr>
        <w:t>Outcomes</w:t>
      </w:r>
      <w:r w:rsidR="00C65B54" w:rsidRPr="00F413DB">
        <w:rPr>
          <w:rFonts w:ascii="Times New Roman" w:hAnsi="Times New Roman" w:cs="Times New Roman"/>
          <w:b/>
          <w:bCs w:val="0"/>
          <w:szCs w:val="24"/>
          <w:lang w:val="en-GB"/>
        </w:rPr>
        <w:t xml:space="preserve"> </w:t>
      </w:r>
    </w:p>
    <w:p w14:paraId="40AEC5A1" w14:textId="7D819DBA" w:rsidR="008117B7" w:rsidRDefault="0099391E" w:rsidP="00991E9B">
      <w:pPr>
        <w:spacing w:line="480" w:lineRule="auto"/>
        <w:jc w:val="both"/>
        <w:rPr>
          <w:rFonts w:ascii="Times New Roman" w:hAnsi="Times New Roman" w:cs="Times New Roman"/>
          <w:bCs w:val="0"/>
          <w:szCs w:val="24"/>
          <w:lang w:val="en-GB"/>
        </w:rPr>
      </w:pPr>
      <w:r>
        <w:rPr>
          <w:rFonts w:ascii="Times New Roman" w:hAnsi="Times New Roman" w:cs="Times New Roman"/>
          <w:bCs w:val="0"/>
          <w:szCs w:val="24"/>
          <w:lang w:val="en-GB"/>
        </w:rPr>
        <w:t>Twenty-four</w:t>
      </w:r>
      <w:r w:rsidR="0081286A" w:rsidRPr="00F413DB">
        <w:rPr>
          <w:rFonts w:ascii="Times New Roman" w:hAnsi="Times New Roman" w:cs="Times New Roman"/>
          <w:bCs w:val="0"/>
          <w:szCs w:val="24"/>
          <w:lang w:val="en-GB"/>
        </w:rPr>
        <w:t xml:space="preserve">-week </w:t>
      </w:r>
      <w:r w:rsidR="00C65B54" w:rsidRPr="00F413DB">
        <w:rPr>
          <w:rFonts w:ascii="Times New Roman" w:hAnsi="Times New Roman" w:cs="Times New Roman"/>
          <w:bCs w:val="0"/>
          <w:szCs w:val="24"/>
          <w:lang w:val="en-GB"/>
        </w:rPr>
        <w:t xml:space="preserve">RCT and 24-month outcomes have </w:t>
      </w:r>
      <w:r w:rsidR="0081286A" w:rsidRPr="00F413DB">
        <w:rPr>
          <w:rFonts w:ascii="Times New Roman" w:hAnsi="Times New Roman" w:cs="Times New Roman"/>
          <w:bCs w:val="0"/>
          <w:szCs w:val="24"/>
          <w:lang w:val="en-GB"/>
        </w:rPr>
        <w:t>previously</w:t>
      </w:r>
      <w:r w:rsidR="0088794A" w:rsidRPr="00F413DB">
        <w:rPr>
          <w:rFonts w:ascii="Times New Roman" w:hAnsi="Times New Roman" w:cs="Times New Roman"/>
          <w:bCs w:val="0"/>
          <w:szCs w:val="24"/>
          <w:lang w:val="en-GB"/>
        </w:rPr>
        <w:t xml:space="preserve"> </w:t>
      </w:r>
      <w:r>
        <w:rPr>
          <w:rFonts w:ascii="Times New Roman" w:hAnsi="Times New Roman" w:cs="Times New Roman"/>
          <w:bCs w:val="0"/>
          <w:szCs w:val="24"/>
          <w:lang w:val="en-GB"/>
        </w:rPr>
        <w:t xml:space="preserve">been reported </w:t>
      </w:r>
      <w:r w:rsidR="0088794A" w:rsidRPr="00F413DB">
        <w:rPr>
          <w:rFonts w:ascii="Times New Roman" w:hAnsi="Times New Roman" w:cs="Times New Roman"/>
          <w:bCs w:val="0"/>
          <w:szCs w:val="24"/>
          <w:lang w:val="en-GB"/>
        </w:rPr>
        <w:t>(8</w:t>
      </w:r>
      <w:proofErr w:type="gramStart"/>
      <w:r w:rsidR="0088794A" w:rsidRPr="00F413DB">
        <w:rPr>
          <w:rFonts w:ascii="Times New Roman" w:hAnsi="Times New Roman" w:cs="Times New Roman"/>
          <w:bCs w:val="0"/>
          <w:szCs w:val="24"/>
          <w:lang w:val="en-GB"/>
        </w:rPr>
        <w:t>,</w:t>
      </w:r>
      <w:r w:rsidR="00C713BB">
        <w:rPr>
          <w:rFonts w:ascii="Times New Roman" w:hAnsi="Times New Roman" w:cs="Times New Roman"/>
          <w:bCs w:val="0"/>
          <w:szCs w:val="24"/>
          <w:lang w:val="en-GB"/>
        </w:rPr>
        <w:t>20</w:t>
      </w:r>
      <w:proofErr w:type="gramEnd"/>
      <w:r w:rsidR="0088794A" w:rsidRPr="00F413DB">
        <w:rPr>
          <w:rFonts w:ascii="Times New Roman" w:hAnsi="Times New Roman" w:cs="Times New Roman"/>
          <w:bCs w:val="0"/>
          <w:szCs w:val="24"/>
          <w:lang w:val="en-GB"/>
        </w:rPr>
        <w:t>)</w:t>
      </w:r>
      <w:r w:rsidR="00C65B54" w:rsidRPr="00F413DB">
        <w:rPr>
          <w:rFonts w:ascii="Times New Roman" w:hAnsi="Times New Roman" w:cs="Times New Roman"/>
          <w:bCs w:val="0"/>
          <w:szCs w:val="24"/>
          <w:lang w:val="en-GB"/>
        </w:rPr>
        <w:t xml:space="preserve">. </w:t>
      </w:r>
      <w:r w:rsidR="00CE4D72">
        <w:rPr>
          <w:rFonts w:ascii="Times New Roman" w:hAnsi="Times New Roman" w:cs="Times New Roman"/>
          <w:bCs w:val="0"/>
          <w:szCs w:val="24"/>
          <w:lang w:val="en-GB"/>
        </w:rPr>
        <w:t>The current analysis was planned before study commencement</w:t>
      </w:r>
      <w:r>
        <w:rPr>
          <w:rFonts w:ascii="Times New Roman" w:hAnsi="Times New Roman" w:cs="Times New Roman"/>
          <w:bCs w:val="0"/>
          <w:szCs w:val="24"/>
          <w:lang w:val="en-GB"/>
        </w:rPr>
        <w:t>,</w:t>
      </w:r>
      <w:r w:rsidR="00CE4D72">
        <w:rPr>
          <w:rFonts w:ascii="Times New Roman" w:hAnsi="Times New Roman" w:cs="Times New Roman"/>
          <w:bCs w:val="0"/>
          <w:szCs w:val="24"/>
          <w:lang w:val="en-GB"/>
        </w:rPr>
        <w:t xml:space="preserve"> with d</w:t>
      </w:r>
      <w:r w:rsidR="00813756" w:rsidRPr="00F413DB">
        <w:rPr>
          <w:rFonts w:ascii="Times New Roman" w:hAnsi="Times New Roman" w:cs="Times New Roman"/>
          <w:bCs w:val="0"/>
          <w:szCs w:val="24"/>
          <w:lang w:val="en-GB"/>
        </w:rPr>
        <w:t xml:space="preserve">efinitions of complete </w:t>
      </w:r>
      <w:r>
        <w:rPr>
          <w:rFonts w:ascii="Times New Roman" w:hAnsi="Times New Roman" w:cs="Times New Roman"/>
          <w:bCs w:val="0"/>
          <w:szCs w:val="24"/>
          <w:lang w:val="en-GB"/>
        </w:rPr>
        <w:t>and incomplete response formaliz</w:t>
      </w:r>
      <w:r w:rsidR="00813756" w:rsidRPr="00F413DB">
        <w:rPr>
          <w:rFonts w:ascii="Times New Roman" w:hAnsi="Times New Roman" w:cs="Times New Roman"/>
          <w:bCs w:val="0"/>
          <w:szCs w:val="24"/>
          <w:lang w:val="en-GB"/>
        </w:rPr>
        <w:t>ed post-RCT and 24-month analysis but before consideration of data. O</w:t>
      </w:r>
      <w:r w:rsidR="002D7575" w:rsidRPr="00F413DB">
        <w:rPr>
          <w:rFonts w:ascii="Times New Roman" w:hAnsi="Times New Roman" w:cs="Times New Roman"/>
          <w:bCs w:val="0"/>
          <w:szCs w:val="24"/>
          <w:lang w:val="en-GB"/>
        </w:rPr>
        <w:t>nly participants</w:t>
      </w:r>
      <w:r w:rsidR="00EF031A" w:rsidRPr="00F413DB">
        <w:rPr>
          <w:rFonts w:ascii="Times New Roman" w:hAnsi="Times New Roman" w:cs="Times New Roman"/>
          <w:bCs w:val="0"/>
          <w:szCs w:val="24"/>
          <w:lang w:val="en-GB"/>
        </w:rPr>
        <w:t xml:space="preserve"> who reported </w:t>
      </w:r>
      <w:r w:rsidR="00411495">
        <w:rPr>
          <w:rFonts w:ascii="Times New Roman" w:hAnsi="Times New Roman" w:cs="Times New Roman"/>
          <w:bCs w:val="0"/>
          <w:szCs w:val="24"/>
          <w:lang w:val="en-GB"/>
        </w:rPr>
        <w:t>one or more</w:t>
      </w:r>
      <w:r w:rsidR="00EF031A" w:rsidRPr="00F413DB">
        <w:rPr>
          <w:rFonts w:ascii="Times New Roman" w:hAnsi="Times New Roman" w:cs="Times New Roman"/>
          <w:bCs w:val="0"/>
          <w:szCs w:val="24"/>
          <w:lang w:val="en-GB"/>
        </w:rPr>
        <w:t xml:space="preserve"> severe </w:t>
      </w:r>
      <w:proofErr w:type="spellStart"/>
      <w:r w:rsidR="00EF031A" w:rsidRPr="00F413DB">
        <w:rPr>
          <w:rFonts w:ascii="Times New Roman" w:hAnsi="Times New Roman" w:cs="Times New Roman"/>
          <w:bCs w:val="0"/>
          <w:szCs w:val="24"/>
          <w:lang w:val="en-GB"/>
        </w:rPr>
        <w:t>hypoglyc</w:t>
      </w:r>
      <w:r w:rsidR="002D7575" w:rsidRPr="00F413DB">
        <w:rPr>
          <w:rFonts w:ascii="Times New Roman" w:hAnsi="Times New Roman" w:cs="Times New Roman"/>
          <w:bCs w:val="0"/>
          <w:szCs w:val="24"/>
          <w:lang w:val="en-GB"/>
        </w:rPr>
        <w:t>emi</w:t>
      </w:r>
      <w:r w:rsidR="00C27E90" w:rsidRPr="00F413DB">
        <w:rPr>
          <w:rFonts w:ascii="Times New Roman" w:hAnsi="Times New Roman" w:cs="Times New Roman"/>
          <w:bCs w:val="0"/>
          <w:szCs w:val="24"/>
          <w:lang w:val="en-GB"/>
        </w:rPr>
        <w:t>a</w:t>
      </w:r>
      <w:proofErr w:type="spellEnd"/>
      <w:r w:rsidR="002D7575" w:rsidRPr="00F413DB">
        <w:rPr>
          <w:rFonts w:ascii="Times New Roman" w:hAnsi="Times New Roman" w:cs="Times New Roman"/>
          <w:bCs w:val="0"/>
          <w:szCs w:val="24"/>
          <w:lang w:val="en-GB"/>
        </w:rPr>
        <w:t xml:space="preserve"> event</w:t>
      </w:r>
      <w:r w:rsidR="00411495">
        <w:rPr>
          <w:rFonts w:ascii="Times New Roman" w:hAnsi="Times New Roman" w:cs="Times New Roman"/>
          <w:bCs w:val="0"/>
          <w:szCs w:val="24"/>
          <w:lang w:val="en-GB"/>
        </w:rPr>
        <w:t>s</w:t>
      </w:r>
      <w:r w:rsidR="002D7575" w:rsidRPr="00F413DB">
        <w:rPr>
          <w:rFonts w:ascii="Times New Roman" w:hAnsi="Times New Roman" w:cs="Times New Roman"/>
          <w:bCs w:val="0"/>
          <w:szCs w:val="24"/>
          <w:lang w:val="en-GB"/>
        </w:rPr>
        <w:t xml:space="preserve"> </w:t>
      </w:r>
      <w:r w:rsidR="00411495">
        <w:rPr>
          <w:rFonts w:ascii="Times New Roman" w:hAnsi="Times New Roman" w:cs="Times New Roman"/>
          <w:bCs w:val="0"/>
          <w:szCs w:val="24"/>
          <w:lang w:val="en-GB"/>
        </w:rPr>
        <w:t>over</w:t>
      </w:r>
      <w:r w:rsidR="002D7575" w:rsidRPr="00F413DB">
        <w:rPr>
          <w:rFonts w:ascii="Times New Roman" w:hAnsi="Times New Roman" w:cs="Times New Roman"/>
          <w:bCs w:val="0"/>
          <w:szCs w:val="24"/>
          <w:lang w:val="en-GB"/>
        </w:rPr>
        <w:t xml:space="preserve"> the 12</w:t>
      </w:r>
      <w:r w:rsidR="00944C32" w:rsidRPr="00F413DB">
        <w:rPr>
          <w:rFonts w:ascii="Times New Roman" w:hAnsi="Times New Roman" w:cs="Times New Roman"/>
          <w:bCs w:val="0"/>
          <w:szCs w:val="24"/>
          <w:lang w:val="en-GB"/>
        </w:rPr>
        <w:t xml:space="preserve"> </w:t>
      </w:r>
      <w:r w:rsidR="002D7575" w:rsidRPr="00F413DB">
        <w:rPr>
          <w:rFonts w:ascii="Times New Roman" w:hAnsi="Times New Roman" w:cs="Times New Roman"/>
          <w:bCs w:val="0"/>
          <w:szCs w:val="24"/>
          <w:lang w:val="en-GB"/>
        </w:rPr>
        <w:t>months before baseline</w:t>
      </w:r>
      <w:r w:rsidR="00181266" w:rsidRPr="00F413DB">
        <w:rPr>
          <w:rFonts w:ascii="Times New Roman" w:hAnsi="Times New Roman" w:cs="Times New Roman"/>
          <w:bCs w:val="0"/>
          <w:szCs w:val="24"/>
          <w:lang w:val="en-GB"/>
        </w:rPr>
        <w:t xml:space="preserve"> visit</w:t>
      </w:r>
      <w:r w:rsidR="002D7575" w:rsidRPr="00F413DB">
        <w:rPr>
          <w:rFonts w:ascii="Times New Roman" w:hAnsi="Times New Roman" w:cs="Times New Roman"/>
          <w:bCs w:val="0"/>
          <w:szCs w:val="24"/>
          <w:lang w:val="en-GB"/>
        </w:rPr>
        <w:t xml:space="preserve"> were included in the analysis. </w:t>
      </w:r>
      <w:r w:rsidR="00D54E68" w:rsidRPr="00F413DB">
        <w:rPr>
          <w:rFonts w:ascii="Times New Roman" w:hAnsi="Times New Roman" w:cs="Times New Roman"/>
          <w:bCs w:val="0"/>
          <w:szCs w:val="24"/>
          <w:lang w:val="en-GB"/>
        </w:rPr>
        <w:t xml:space="preserve">Complete response </w:t>
      </w:r>
      <w:r w:rsidR="006F7423" w:rsidRPr="00F413DB">
        <w:rPr>
          <w:rFonts w:ascii="Times New Roman" w:hAnsi="Times New Roman" w:cs="Times New Roman"/>
          <w:bCs w:val="0"/>
          <w:szCs w:val="24"/>
          <w:lang w:val="en-GB"/>
        </w:rPr>
        <w:t>r</w:t>
      </w:r>
      <w:r w:rsidR="00AC4578" w:rsidRPr="00F413DB">
        <w:rPr>
          <w:rFonts w:ascii="Times New Roman" w:hAnsi="Times New Roman" w:cs="Times New Roman"/>
          <w:bCs w:val="0"/>
          <w:szCs w:val="24"/>
          <w:lang w:val="en-GB"/>
        </w:rPr>
        <w:t xml:space="preserve">equired </w:t>
      </w:r>
      <w:r w:rsidR="006F7423" w:rsidRPr="00F413DB">
        <w:rPr>
          <w:rFonts w:ascii="Times New Roman" w:hAnsi="Times New Roman" w:cs="Times New Roman"/>
          <w:bCs w:val="0"/>
          <w:szCs w:val="24"/>
          <w:lang w:val="en-GB"/>
        </w:rPr>
        <w:t>full 24-month pro</w:t>
      </w:r>
      <w:r w:rsidR="00866B9D" w:rsidRPr="00F413DB">
        <w:rPr>
          <w:rFonts w:ascii="Times New Roman" w:hAnsi="Times New Roman" w:cs="Times New Roman"/>
          <w:bCs w:val="0"/>
          <w:szCs w:val="24"/>
          <w:lang w:val="en-GB"/>
        </w:rPr>
        <w:t>spective severe</w:t>
      </w:r>
      <w:r w:rsidR="00EF031A" w:rsidRPr="00F413DB">
        <w:rPr>
          <w:rFonts w:ascii="Times New Roman" w:hAnsi="Times New Roman" w:cs="Times New Roman"/>
          <w:bCs w:val="0"/>
          <w:szCs w:val="24"/>
          <w:lang w:val="en-GB"/>
        </w:rPr>
        <w:t xml:space="preserve"> </w:t>
      </w:r>
      <w:proofErr w:type="spellStart"/>
      <w:r w:rsidR="00EF031A" w:rsidRPr="00F413DB">
        <w:rPr>
          <w:rFonts w:ascii="Times New Roman" w:hAnsi="Times New Roman" w:cs="Times New Roman"/>
          <w:bCs w:val="0"/>
          <w:szCs w:val="24"/>
          <w:lang w:val="en-GB"/>
        </w:rPr>
        <w:t>hypoglyc</w:t>
      </w:r>
      <w:r w:rsidR="006F7423" w:rsidRPr="00F413DB">
        <w:rPr>
          <w:rFonts w:ascii="Times New Roman" w:hAnsi="Times New Roman" w:cs="Times New Roman"/>
          <w:bCs w:val="0"/>
          <w:szCs w:val="24"/>
          <w:lang w:val="en-GB"/>
        </w:rPr>
        <w:t>emia</w:t>
      </w:r>
      <w:proofErr w:type="spellEnd"/>
      <w:r w:rsidR="00AC4578" w:rsidRPr="00F413DB">
        <w:rPr>
          <w:rFonts w:ascii="Times New Roman" w:hAnsi="Times New Roman" w:cs="Times New Roman"/>
          <w:bCs w:val="0"/>
          <w:szCs w:val="24"/>
          <w:lang w:val="en-GB"/>
        </w:rPr>
        <w:t xml:space="preserve"> </w:t>
      </w:r>
      <w:r w:rsidR="00D54E68" w:rsidRPr="00F413DB">
        <w:rPr>
          <w:rFonts w:ascii="Times New Roman" w:hAnsi="Times New Roman" w:cs="Times New Roman"/>
          <w:bCs w:val="0"/>
          <w:szCs w:val="24"/>
          <w:lang w:val="en-GB"/>
        </w:rPr>
        <w:t>data</w:t>
      </w:r>
      <w:r w:rsidR="00866B9D" w:rsidRPr="00F413DB">
        <w:rPr>
          <w:rFonts w:ascii="Times New Roman" w:hAnsi="Times New Roman" w:cs="Times New Roman"/>
          <w:bCs w:val="0"/>
          <w:szCs w:val="24"/>
          <w:lang w:val="en-GB"/>
        </w:rPr>
        <w:t>. Incomplete responders</w:t>
      </w:r>
      <w:r w:rsidR="00D54E68" w:rsidRPr="00F413DB">
        <w:rPr>
          <w:rFonts w:ascii="Times New Roman" w:hAnsi="Times New Roman" w:cs="Times New Roman"/>
          <w:bCs w:val="0"/>
          <w:szCs w:val="24"/>
          <w:lang w:val="en-GB"/>
        </w:rPr>
        <w:t xml:space="preserve"> required </w:t>
      </w:r>
      <w:r w:rsidR="00AC4578" w:rsidRPr="00F413DB">
        <w:rPr>
          <w:rFonts w:ascii="Times New Roman" w:hAnsi="Times New Roman" w:cs="Times New Roman"/>
          <w:bCs w:val="0"/>
          <w:szCs w:val="24"/>
          <w:lang w:val="en-GB"/>
        </w:rPr>
        <w:t xml:space="preserve">data </w:t>
      </w:r>
      <w:r w:rsidR="00813756" w:rsidRPr="00F413DB">
        <w:rPr>
          <w:rFonts w:ascii="Times New Roman" w:hAnsi="Times New Roman" w:cs="Times New Roman"/>
          <w:bCs w:val="0"/>
          <w:szCs w:val="24"/>
          <w:lang w:val="en-GB"/>
        </w:rPr>
        <w:t>verifying</w:t>
      </w:r>
      <w:r w:rsidR="00AC4578" w:rsidRPr="00F413DB">
        <w:rPr>
          <w:rFonts w:ascii="Times New Roman" w:hAnsi="Times New Roman" w:cs="Times New Roman"/>
          <w:bCs w:val="0"/>
          <w:szCs w:val="24"/>
          <w:lang w:val="en-GB"/>
        </w:rPr>
        <w:t xml:space="preserve"> at least</w:t>
      </w:r>
      <w:r w:rsidR="00D54E68" w:rsidRPr="00F413DB">
        <w:rPr>
          <w:rFonts w:ascii="Times New Roman" w:hAnsi="Times New Roman" w:cs="Times New Roman"/>
          <w:bCs w:val="0"/>
          <w:szCs w:val="24"/>
          <w:lang w:val="en-GB"/>
        </w:rPr>
        <w:t xml:space="preserve"> one </w:t>
      </w:r>
      <w:r w:rsidR="00FE12A1" w:rsidRPr="00F413DB">
        <w:rPr>
          <w:rFonts w:ascii="Times New Roman" w:hAnsi="Times New Roman" w:cs="Times New Roman"/>
          <w:bCs w:val="0"/>
          <w:szCs w:val="24"/>
          <w:lang w:val="en-GB"/>
        </w:rPr>
        <w:t xml:space="preserve">severe </w:t>
      </w:r>
      <w:proofErr w:type="spellStart"/>
      <w:r w:rsidR="00FE12A1" w:rsidRPr="00F413DB">
        <w:rPr>
          <w:rFonts w:ascii="Times New Roman" w:hAnsi="Times New Roman" w:cs="Times New Roman"/>
          <w:bCs w:val="0"/>
          <w:szCs w:val="24"/>
          <w:lang w:val="en-GB"/>
        </w:rPr>
        <w:t>hypoglycemia</w:t>
      </w:r>
      <w:proofErr w:type="spellEnd"/>
      <w:r w:rsidR="002A3372" w:rsidRPr="00F413DB">
        <w:rPr>
          <w:rFonts w:ascii="Times New Roman" w:hAnsi="Times New Roman" w:cs="Times New Roman"/>
          <w:bCs w:val="0"/>
          <w:szCs w:val="24"/>
          <w:lang w:val="en-GB"/>
        </w:rPr>
        <w:t xml:space="preserve"> </w:t>
      </w:r>
      <w:r w:rsidR="00D54E68" w:rsidRPr="00F413DB">
        <w:rPr>
          <w:rFonts w:ascii="Times New Roman" w:hAnsi="Times New Roman" w:cs="Times New Roman"/>
          <w:bCs w:val="0"/>
          <w:szCs w:val="24"/>
          <w:lang w:val="en-GB"/>
        </w:rPr>
        <w:lastRenderedPageBreak/>
        <w:t>event dur</w:t>
      </w:r>
      <w:r w:rsidR="0011513E" w:rsidRPr="00F413DB">
        <w:rPr>
          <w:rFonts w:ascii="Times New Roman" w:hAnsi="Times New Roman" w:cs="Times New Roman"/>
          <w:bCs w:val="0"/>
          <w:szCs w:val="24"/>
          <w:lang w:val="en-GB"/>
        </w:rPr>
        <w:t xml:space="preserve">ing </w:t>
      </w:r>
      <w:r w:rsidR="00866B9D" w:rsidRPr="00F413DB">
        <w:rPr>
          <w:rFonts w:ascii="Times New Roman" w:hAnsi="Times New Roman" w:cs="Times New Roman"/>
          <w:bCs w:val="0"/>
          <w:szCs w:val="24"/>
          <w:lang w:val="en-GB"/>
        </w:rPr>
        <w:t xml:space="preserve">the </w:t>
      </w:r>
      <w:r w:rsidR="002A3372" w:rsidRPr="00F413DB">
        <w:rPr>
          <w:rFonts w:ascii="Times New Roman" w:hAnsi="Times New Roman" w:cs="Times New Roman"/>
          <w:bCs w:val="0"/>
          <w:szCs w:val="24"/>
          <w:lang w:val="en-GB"/>
        </w:rPr>
        <w:t xml:space="preserve">RCT </w:t>
      </w:r>
      <w:r w:rsidR="00953F1F" w:rsidRPr="00F413DB">
        <w:rPr>
          <w:rFonts w:ascii="Times New Roman" w:hAnsi="Times New Roman" w:cs="Times New Roman"/>
          <w:bCs w:val="0"/>
          <w:szCs w:val="24"/>
          <w:lang w:val="en-GB"/>
        </w:rPr>
        <w:t>or overall</w:t>
      </w:r>
      <w:r w:rsidR="002A3372" w:rsidRPr="00F413DB">
        <w:rPr>
          <w:rFonts w:ascii="Times New Roman" w:hAnsi="Times New Roman" w:cs="Times New Roman"/>
          <w:bCs w:val="0"/>
          <w:szCs w:val="24"/>
          <w:lang w:val="en-GB"/>
        </w:rPr>
        <w:t xml:space="preserve"> 24-month </w:t>
      </w:r>
      <w:r w:rsidR="00953F1F" w:rsidRPr="00F413DB">
        <w:rPr>
          <w:rFonts w:ascii="Times New Roman" w:hAnsi="Times New Roman" w:cs="Times New Roman"/>
          <w:bCs w:val="0"/>
          <w:szCs w:val="24"/>
          <w:lang w:val="en-GB"/>
        </w:rPr>
        <w:t xml:space="preserve">study </w:t>
      </w:r>
      <w:r w:rsidR="002A3372" w:rsidRPr="00F413DB">
        <w:rPr>
          <w:rFonts w:ascii="Times New Roman" w:hAnsi="Times New Roman" w:cs="Times New Roman"/>
          <w:bCs w:val="0"/>
          <w:szCs w:val="24"/>
          <w:lang w:val="en-GB"/>
        </w:rPr>
        <w:t>period and could be allocated</w:t>
      </w:r>
      <w:r w:rsidR="00866B9D" w:rsidRPr="00F413DB">
        <w:rPr>
          <w:rFonts w:ascii="Times New Roman" w:hAnsi="Times New Roman" w:cs="Times New Roman"/>
          <w:bCs w:val="0"/>
          <w:szCs w:val="24"/>
          <w:lang w:val="en-GB"/>
        </w:rPr>
        <w:t xml:space="preserve"> </w:t>
      </w:r>
      <w:r w:rsidR="0011513E" w:rsidRPr="00F413DB">
        <w:rPr>
          <w:rFonts w:ascii="Times New Roman" w:hAnsi="Times New Roman" w:cs="Times New Roman"/>
          <w:bCs w:val="0"/>
          <w:szCs w:val="24"/>
          <w:lang w:val="en-GB"/>
        </w:rPr>
        <w:t xml:space="preserve">without full follow-up data. </w:t>
      </w:r>
    </w:p>
    <w:p w14:paraId="314C3984" w14:textId="77777777" w:rsidR="00D35C1F" w:rsidRPr="00F413DB" w:rsidRDefault="00D35C1F" w:rsidP="00991E9B">
      <w:pPr>
        <w:spacing w:line="480" w:lineRule="auto"/>
        <w:jc w:val="both"/>
        <w:rPr>
          <w:rFonts w:ascii="Times New Roman" w:hAnsi="Times New Roman" w:cs="Times New Roman"/>
          <w:bCs w:val="0"/>
          <w:szCs w:val="24"/>
          <w:lang w:val="en-GB"/>
        </w:rPr>
      </w:pPr>
    </w:p>
    <w:p w14:paraId="2BCE84A6" w14:textId="739D47CD" w:rsidR="00C36C99" w:rsidRPr="00F413DB" w:rsidRDefault="00866B9D" w:rsidP="00991E9B">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Predefined end</w:t>
      </w:r>
      <w:r w:rsidR="00C07958">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points were difference</w:t>
      </w:r>
      <w:r w:rsidR="0053434E">
        <w:rPr>
          <w:rFonts w:ascii="Times New Roman" w:hAnsi="Times New Roman" w:cs="Times New Roman"/>
          <w:bCs w:val="0"/>
          <w:szCs w:val="24"/>
          <w:lang w:val="en-GB"/>
        </w:rPr>
        <w:t>s</w:t>
      </w:r>
      <w:r w:rsidRPr="00F413DB">
        <w:rPr>
          <w:rFonts w:ascii="Times New Roman" w:hAnsi="Times New Roman" w:cs="Times New Roman"/>
          <w:bCs w:val="0"/>
          <w:szCs w:val="24"/>
          <w:lang w:val="en-GB"/>
        </w:rPr>
        <w:t xml:space="preserve"> </w:t>
      </w:r>
      <w:r w:rsidR="0053434E">
        <w:rPr>
          <w:rFonts w:ascii="Times New Roman" w:hAnsi="Times New Roman" w:cs="Times New Roman"/>
          <w:bCs w:val="0"/>
          <w:szCs w:val="24"/>
          <w:lang w:val="en-GB"/>
        </w:rPr>
        <w:t>between</w:t>
      </w:r>
      <w:r w:rsidRPr="00F413DB">
        <w:rPr>
          <w:rFonts w:ascii="Times New Roman" w:hAnsi="Times New Roman" w:cs="Times New Roman"/>
          <w:bCs w:val="0"/>
          <w:szCs w:val="24"/>
          <w:lang w:val="en-GB"/>
        </w:rPr>
        <w:t xml:space="preserve"> complete and incomplete responder groups at baseline and 24</w:t>
      </w:r>
      <w:r w:rsidR="00944C32" w:rsidRPr="00F413DB">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 xml:space="preserve">months in </w:t>
      </w:r>
      <w:r w:rsidR="00953F1F" w:rsidRPr="00F413DB">
        <w:rPr>
          <w:rFonts w:ascii="Times New Roman" w:hAnsi="Times New Roman" w:cs="Times New Roman"/>
          <w:bCs w:val="0"/>
          <w:szCs w:val="24"/>
          <w:lang w:val="en-GB"/>
        </w:rPr>
        <w:t xml:space="preserve">severe </w:t>
      </w:r>
      <w:proofErr w:type="spellStart"/>
      <w:r w:rsidR="00953F1F"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ra</w:t>
      </w:r>
      <w:r w:rsidR="00EF02CF" w:rsidRPr="00F413DB">
        <w:rPr>
          <w:rFonts w:ascii="Times New Roman" w:hAnsi="Times New Roman" w:cs="Times New Roman"/>
          <w:bCs w:val="0"/>
          <w:szCs w:val="24"/>
          <w:lang w:val="en-GB"/>
        </w:rPr>
        <w:t>te (annualiz</w:t>
      </w:r>
      <w:r w:rsidRPr="00F413DB">
        <w:rPr>
          <w:rFonts w:ascii="Times New Roman" w:hAnsi="Times New Roman" w:cs="Times New Roman"/>
          <w:bCs w:val="0"/>
          <w:szCs w:val="24"/>
          <w:lang w:val="en-GB"/>
        </w:rPr>
        <w:t>ed) and proportion affected;</w:t>
      </w:r>
      <w:r w:rsidR="00EF02CF" w:rsidRPr="00F413DB">
        <w:rPr>
          <w:rFonts w:ascii="Times New Roman" w:hAnsi="Times New Roman" w:cs="Times New Roman"/>
          <w:bCs w:val="0"/>
          <w:szCs w:val="24"/>
          <w:lang w:val="en-GB"/>
        </w:rPr>
        <w:t xml:space="preserve"> impaired awareness of </w:t>
      </w:r>
      <w:r w:rsidR="0069254A">
        <w:rPr>
          <w:rFonts w:ascii="Times New Roman" w:hAnsi="Times New Roman" w:cs="Times New Roman"/>
          <w:bCs w:val="0"/>
          <w:szCs w:val="24"/>
          <w:lang w:val="en-GB"/>
        </w:rPr>
        <w:t>hypoglycaemia,</w:t>
      </w:r>
      <w:r w:rsidRPr="00F413DB">
        <w:rPr>
          <w:rFonts w:ascii="Times New Roman" w:hAnsi="Times New Roman" w:cs="Times New Roman"/>
          <w:bCs w:val="0"/>
          <w:szCs w:val="24"/>
          <w:lang w:val="en-GB"/>
        </w:rPr>
        <w:t xml:space="preserve"> assessed by Gold, Clarke and </w:t>
      </w:r>
      <w:proofErr w:type="spellStart"/>
      <w:r w:rsidRPr="00F413DB">
        <w:rPr>
          <w:rFonts w:ascii="Times New Roman" w:hAnsi="Times New Roman" w:cs="Times New Roman"/>
          <w:bCs w:val="0"/>
          <w:szCs w:val="24"/>
          <w:lang w:val="en-GB"/>
        </w:rPr>
        <w:t>HypoA</w:t>
      </w:r>
      <w:proofErr w:type="spellEnd"/>
      <w:r w:rsidR="00EF02CF" w:rsidRPr="00F413DB">
        <w:rPr>
          <w:rFonts w:ascii="Times New Roman" w:hAnsi="Times New Roman" w:cs="Times New Roman"/>
          <w:bCs w:val="0"/>
          <w:szCs w:val="24"/>
          <w:lang w:val="en-GB"/>
        </w:rPr>
        <w:t xml:space="preserve">-Q scores; biochemical </w:t>
      </w:r>
      <w:proofErr w:type="spellStart"/>
      <w:r w:rsidR="00EF02CF" w:rsidRPr="00F413DB">
        <w:rPr>
          <w:rFonts w:ascii="Times New Roman" w:hAnsi="Times New Roman" w:cs="Times New Roman"/>
          <w:bCs w:val="0"/>
          <w:szCs w:val="24"/>
          <w:lang w:val="en-GB"/>
        </w:rPr>
        <w:t>hypoglyc</w:t>
      </w:r>
      <w:r w:rsidRPr="00F413DB">
        <w:rPr>
          <w:rFonts w:ascii="Times New Roman" w:hAnsi="Times New Roman" w:cs="Times New Roman"/>
          <w:bCs w:val="0"/>
          <w:szCs w:val="24"/>
          <w:lang w:val="en-GB"/>
        </w:rPr>
        <w:t>emia</w:t>
      </w:r>
      <w:proofErr w:type="spellEnd"/>
      <w:r w:rsidRPr="00F413DB">
        <w:rPr>
          <w:rFonts w:ascii="Times New Roman" w:hAnsi="Times New Roman" w:cs="Times New Roman"/>
          <w:bCs w:val="0"/>
          <w:szCs w:val="24"/>
          <w:lang w:val="en-GB"/>
        </w:rPr>
        <w:t xml:space="preserve">, </w:t>
      </w:r>
      <w:r w:rsidR="0069254A">
        <w:rPr>
          <w:rFonts w:ascii="Times New Roman" w:hAnsi="Times New Roman" w:cs="Times New Roman"/>
          <w:bCs w:val="0"/>
          <w:szCs w:val="24"/>
          <w:lang w:val="en-GB"/>
        </w:rPr>
        <w:t xml:space="preserve">glucose </w:t>
      </w:r>
      <w:r w:rsidRPr="00F413DB">
        <w:rPr>
          <w:rFonts w:ascii="Times New Roman" w:hAnsi="Times New Roman" w:cs="Times New Roman"/>
          <w:bCs w:val="0"/>
          <w:szCs w:val="24"/>
          <w:lang w:val="en-GB"/>
        </w:rPr>
        <w:t xml:space="preserve">time in range, </w:t>
      </w:r>
      <w:r w:rsidR="0069254A">
        <w:rPr>
          <w:rFonts w:ascii="Times New Roman" w:hAnsi="Times New Roman" w:cs="Times New Roman"/>
          <w:bCs w:val="0"/>
          <w:szCs w:val="24"/>
          <w:lang w:val="en-GB"/>
        </w:rPr>
        <w:t xml:space="preserve">mean </w:t>
      </w:r>
      <w:r w:rsidRPr="00F413DB">
        <w:rPr>
          <w:rFonts w:ascii="Times New Roman" w:hAnsi="Times New Roman" w:cs="Times New Roman"/>
          <w:bCs w:val="0"/>
          <w:szCs w:val="24"/>
          <w:lang w:val="en-GB"/>
        </w:rPr>
        <w:t xml:space="preserve">glucose </w:t>
      </w:r>
      <w:r w:rsidR="0069254A">
        <w:rPr>
          <w:rFonts w:ascii="Times New Roman" w:hAnsi="Times New Roman" w:cs="Times New Roman"/>
          <w:bCs w:val="0"/>
          <w:szCs w:val="24"/>
          <w:lang w:val="en-GB"/>
        </w:rPr>
        <w:t xml:space="preserve">and </w:t>
      </w:r>
      <w:r w:rsidRPr="00F413DB">
        <w:rPr>
          <w:rFonts w:ascii="Times New Roman" w:hAnsi="Times New Roman" w:cs="Times New Roman"/>
          <w:bCs w:val="0"/>
          <w:szCs w:val="24"/>
          <w:lang w:val="en-GB"/>
        </w:rPr>
        <w:t>SD (assesse</w:t>
      </w:r>
      <w:r w:rsidR="00EF02CF" w:rsidRPr="00F413DB">
        <w:rPr>
          <w:rFonts w:ascii="Times New Roman" w:hAnsi="Times New Roman" w:cs="Times New Roman"/>
          <w:bCs w:val="0"/>
          <w:szCs w:val="24"/>
          <w:lang w:val="en-GB"/>
        </w:rPr>
        <w:t xml:space="preserve">d by blinded CGM); overall </w:t>
      </w:r>
      <w:proofErr w:type="spellStart"/>
      <w:r w:rsidR="00EF02CF" w:rsidRPr="00F413DB">
        <w:rPr>
          <w:rFonts w:ascii="Times New Roman" w:hAnsi="Times New Roman" w:cs="Times New Roman"/>
          <w:bCs w:val="0"/>
          <w:szCs w:val="24"/>
          <w:lang w:val="en-GB"/>
        </w:rPr>
        <w:t>glyc</w:t>
      </w:r>
      <w:r w:rsidRPr="00F413DB">
        <w:rPr>
          <w:rFonts w:ascii="Times New Roman" w:hAnsi="Times New Roman" w:cs="Times New Roman"/>
          <w:bCs w:val="0"/>
          <w:szCs w:val="24"/>
          <w:lang w:val="en-GB"/>
        </w:rPr>
        <w:t>emic</w:t>
      </w:r>
      <w:proofErr w:type="spellEnd"/>
      <w:r w:rsidRPr="00F413DB">
        <w:rPr>
          <w:rFonts w:ascii="Times New Roman" w:hAnsi="Times New Roman" w:cs="Times New Roman"/>
          <w:bCs w:val="0"/>
          <w:szCs w:val="24"/>
          <w:lang w:val="en-GB"/>
        </w:rPr>
        <w:t xml:space="preserve"> control (HbA1c); total daily insulin dose; body weight; and patient</w:t>
      </w:r>
      <w:r w:rsidR="00CC5870">
        <w:rPr>
          <w:rFonts w:ascii="Times New Roman" w:hAnsi="Times New Roman" w:cs="Times New Roman"/>
          <w:bCs w:val="0"/>
          <w:szCs w:val="24"/>
          <w:lang w:val="en-GB"/>
        </w:rPr>
        <w:t>-</w:t>
      </w:r>
      <w:r w:rsidRPr="00F413DB">
        <w:rPr>
          <w:rFonts w:ascii="Times New Roman" w:hAnsi="Times New Roman" w:cs="Times New Roman"/>
          <w:bCs w:val="0"/>
          <w:szCs w:val="24"/>
          <w:lang w:val="en-GB"/>
        </w:rPr>
        <w:t>reported outcome measu</w:t>
      </w:r>
      <w:r w:rsidR="00EF02CF" w:rsidRPr="00F413DB">
        <w:rPr>
          <w:rFonts w:ascii="Times New Roman" w:hAnsi="Times New Roman" w:cs="Times New Roman"/>
          <w:bCs w:val="0"/>
          <w:szCs w:val="24"/>
          <w:lang w:val="en-GB"/>
        </w:rPr>
        <w:t>res</w:t>
      </w:r>
      <w:r w:rsidR="0069254A">
        <w:rPr>
          <w:rFonts w:ascii="Times New Roman" w:hAnsi="Times New Roman" w:cs="Times New Roman"/>
          <w:bCs w:val="0"/>
          <w:szCs w:val="24"/>
          <w:lang w:val="en-GB"/>
        </w:rPr>
        <w:t>, including</w:t>
      </w:r>
      <w:r w:rsidR="00EF02CF" w:rsidRPr="00F413DB">
        <w:rPr>
          <w:rFonts w:ascii="Times New Roman" w:hAnsi="Times New Roman" w:cs="Times New Roman"/>
          <w:bCs w:val="0"/>
          <w:szCs w:val="24"/>
          <w:lang w:val="en-GB"/>
        </w:rPr>
        <w:t xml:space="preserve"> fear of </w:t>
      </w:r>
      <w:proofErr w:type="spellStart"/>
      <w:r w:rsidR="00EF02CF" w:rsidRPr="00F413DB">
        <w:rPr>
          <w:rFonts w:ascii="Times New Roman" w:hAnsi="Times New Roman" w:cs="Times New Roman"/>
          <w:bCs w:val="0"/>
          <w:szCs w:val="24"/>
          <w:lang w:val="en-GB"/>
        </w:rPr>
        <w:t>hypoglycemia</w:t>
      </w:r>
      <w:proofErr w:type="spellEnd"/>
      <w:r w:rsidR="00EF02CF" w:rsidRPr="00F413DB">
        <w:rPr>
          <w:rFonts w:ascii="Times New Roman" w:hAnsi="Times New Roman" w:cs="Times New Roman"/>
          <w:bCs w:val="0"/>
          <w:szCs w:val="24"/>
          <w:lang w:val="en-GB"/>
        </w:rPr>
        <w:t xml:space="preserve"> (</w:t>
      </w:r>
      <w:r w:rsidR="0069254A">
        <w:rPr>
          <w:rFonts w:ascii="Times New Roman" w:hAnsi="Times New Roman" w:cs="Times New Roman"/>
          <w:bCs w:val="0"/>
          <w:szCs w:val="24"/>
          <w:lang w:val="en-GB"/>
        </w:rPr>
        <w:t>HFS-II),</w:t>
      </w:r>
      <w:r w:rsidRPr="00F413DB">
        <w:rPr>
          <w:rFonts w:ascii="Times New Roman" w:hAnsi="Times New Roman" w:cs="Times New Roman"/>
          <w:bCs w:val="0"/>
          <w:szCs w:val="24"/>
          <w:lang w:val="en-GB"/>
        </w:rPr>
        <w:t xml:space="preserve"> diabetes treatment satisfaction (DTSQ)</w:t>
      </w:r>
      <w:r w:rsidR="0069254A">
        <w:rPr>
          <w:rFonts w:ascii="Times New Roman" w:hAnsi="Times New Roman" w:cs="Times New Roman"/>
          <w:bCs w:val="0"/>
          <w:szCs w:val="24"/>
          <w:lang w:val="en-GB"/>
        </w:rPr>
        <w:t>,</w:t>
      </w:r>
      <w:r w:rsidR="00772D6E" w:rsidRPr="00F413DB">
        <w:rPr>
          <w:rFonts w:ascii="Times New Roman" w:hAnsi="Times New Roman" w:cs="Times New Roman"/>
          <w:bCs w:val="0"/>
          <w:szCs w:val="24"/>
          <w:lang w:val="en-GB"/>
        </w:rPr>
        <w:t xml:space="preserve"> and </w:t>
      </w:r>
      <w:proofErr w:type="spellStart"/>
      <w:r w:rsidR="00772D6E" w:rsidRPr="00F413DB">
        <w:rPr>
          <w:rFonts w:ascii="Times New Roman" w:hAnsi="Times New Roman" w:cs="Times New Roman"/>
          <w:bCs w:val="0"/>
          <w:szCs w:val="24"/>
          <w:lang w:val="en-GB"/>
        </w:rPr>
        <w:t>hypergly</w:t>
      </w:r>
      <w:r w:rsidR="00EF02CF" w:rsidRPr="00F413DB">
        <w:rPr>
          <w:rFonts w:ascii="Times New Roman" w:hAnsi="Times New Roman" w:cs="Times New Roman"/>
          <w:bCs w:val="0"/>
          <w:szCs w:val="24"/>
          <w:lang w:val="en-GB"/>
        </w:rPr>
        <w:t>c</w:t>
      </w:r>
      <w:r w:rsidR="00772D6E" w:rsidRPr="00F413DB">
        <w:rPr>
          <w:rFonts w:ascii="Times New Roman" w:hAnsi="Times New Roman" w:cs="Times New Roman"/>
          <w:bCs w:val="0"/>
          <w:szCs w:val="24"/>
          <w:lang w:val="en-GB"/>
        </w:rPr>
        <w:t>emia</w:t>
      </w:r>
      <w:proofErr w:type="spellEnd"/>
      <w:r w:rsidR="00772D6E" w:rsidRPr="00F413DB">
        <w:rPr>
          <w:rFonts w:ascii="Times New Roman" w:hAnsi="Times New Roman" w:cs="Times New Roman"/>
          <w:bCs w:val="0"/>
          <w:szCs w:val="24"/>
          <w:lang w:val="en-GB"/>
        </w:rPr>
        <w:t xml:space="preserve"> avoidance (HAS).</w:t>
      </w:r>
    </w:p>
    <w:p w14:paraId="10BC5A6F" w14:textId="77777777" w:rsidR="008117B7" w:rsidRPr="00F413DB" w:rsidRDefault="008117B7" w:rsidP="00991E9B">
      <w:pPr>
        <w:spacing w:line="480" w:lineRule="auto"/>
        <w:jc w:val="both"/>
        <w:rPr>
          <w:rFonts w:ascii="Times New Roman" w:hAnsi="Times New Roman" w:cs="Times New Roman"/>
          <w:bCs w:val="0"/>
          <w:szCs w:val="24"/>
          <w:lang w:val="en-GB"/>
        </w:rPr>
      </w:pPr>
    </w:p>
    <w:p w14:paraId="5BD6FB72" w14:textId="48BE8D6A" w:rsidR="00D30F81" w:rsidRPr="00F413DB" w:rsidRDefault="00D30F81" w:rsidP="00991E9B">
      <w:pPr>
        <w:spacing w:line="480" w:lineRule="auto"/>
        <w:jc w:val="both"/>
        <w:outlineLvl w:val="0"/>
        <w:rPr>
          <w:rFonts w:ascii="Times New Roman" w:hAnsi="Times New Roman" w:cs="Times New Roman"/>
          <w:b/>
          <w:bCs w:val="0"/>
          <w:szCs w:val="24"/>
          <w:lang w:val="en-GB"/>
        </w:rPr>
      </w:pPr>
      <w:r w:rsidRPr="00F413DB">
        <w:rPr>
          <w:rFonts w:ascii="Times New Roman" w:hAnsi="Times New Roman" w:cs="Times New Roman"/>
          <w:b/>
          <w:bCs w:val="0"/>
          <w:szCs w:val="24"/>
          <w:lang w:val="en-GB"/>
        </w:rPr>
        <w:t xml:space="preserve">Statistical </w:t>
      </w:r>
      <w:r w:rsidR="00405E46">
        <w:rPr>
          <w:rFonts w:ascii="Times New Roman" w:hAnsi="Times New Roman" w:cs="Times New Roman"/>
          <w:b/>
          <w:bCs w:val="0"/>
          <w:szCs w:val="24"/>
          <w:lang w:val="en-GB"/>
        </w:rPr>
        <w:t>A</w:t>
      </w:r>
      <w:r w:rsidRPr="00F413DB">
        <w:rPr>
          <w:rFonts w:ascii="Times New Roman" w:hAnsi="Times New Roman" w:cs="Times New Roman"/>
          <w:b/>
          <w:bCs w:val="0"/>
          <w:szCs w:val="24"/>
          <w:lang w:val="en-GB"/>
        </w:rPr>
        <w:t>nalysis</w:t>
      </w:r>
    </w:p>
    <w:p w14:paraId="5F23C8ED" w14:textId="157A43EA" w:rsidR="00BA0FD9" w:rsidRPr="00F413DB" w:rsidRDefault="00772D6E" w:rsidP="00991E9B">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Analysis </w:t>
      </w:r>
      <w:r w:rsidR="00BC57C7" w:rsidRPr="00F413DB">
        <w:rPr>
          <w:rFonts w:ascii="Times New Roman" w:hAnsi="Times New Roman" w:cs="Times New Roman"/>
          <w:bCs w:val="0"/>
          <w:szCs w:val="24"/>
          <w:lang w:val="en-GB"/>
        </w:rPr>
        <w:t>was undertaken using simple tabulations (mean</w:t>
      </w:r>
      <w:r w:rsidR="00864E26">
        <w:rPr>
          <w:rFonts w:ascii="Times New Roman" w:hAnsi="Times New Roman" w:cs="Times New Roman"/>
          <w:bCs w:val="0"/>
          <w:szCs w:val="24"/>
          <w:lang w:val="en-GB"/>
        </w:rPr>
        <w:t xml:space="preserve"> ±</w:t>
      </w:r>
      <w:r w:rsidR="00BC57C7" w:rsidRPr="00F413DB">
        <w:rPr>
          <w:rFonts w:ascii="Times New Roman" w:hAnsi="Times New Roman" w:cs="Times New Roman"/>
          <w:bCs w:val="0"/>
          <w:szCs w:val="24"/>
          <w:lang w:val="en-GB"/>
        </w:rPr>
        <w:t xml:space="preserve"> SD</w:t>
      </w:r>
      <w:r w:rsidR="00864E26">
        <w:rPr>
          <w:rFonts w:ascii="Times New Roman" w:hAnsi="Times New Roman" w:cs="Times New Roman"/>
          <w:bCs w:val="0"/>
          <w:szCs w:val="24"/>
          <w:lang w:val="en-GB"/>
        </w:rPr>
        <w:t>, median [</w:t>
      </w:r>
      <w:r w:rsidR="000A09DE" w:rsidRPr="00F413DB">
        <w:rPr>
          <w:rFonts w:ascii="Times New Roman" w:hAnsi="Times New Roman" w:cs="Times New Roman"/>
          <w:bCs w:val="0"/>
          <w:szCs w:val="24"/>
          <w:lang w:val="en-GB"/>
        </w:rPr>
        <w:t>interquartile range</w:t>
      </w:r>
      <w:r w:rsidR="00864E26">
        <w:rPr>
          <w:rFonts w:ascii="Times New Roman" w:hAnsi="Times New Roman" w:cs="Times New Roman"/>
          <w:bCs w:val="0"/>
          <w:szCs w:val="24"/>
          <w:lang w:val="en-GB"/>
        </w:rPr>
        <w:t>]</w:t>
      </w:r>
      <w:r w:rsidR="00BC57C7" w:rsidRPr="00F413DB">
        <w:rPr>
          <w:rFonts w:ascii="Times New Roman" w:hAnsi="Times New Roman" w:cs="Times New Roman"/>
          <w:bCs w:val="0"/>
          <w:szCs w:val="24"/>
          <w:lang w:val="en-GB"/>
        </w:rPr>
        <w:t>,</w:t>
      </w:r>
      <w:r w:rsidR="00864E26">
        <w:rPr>
          <w:rFonts w:ascii="Times New Roman" w:hAnsi="Times New Roman" w:cs="Times New Roman"/>
          <w:bCs w:val="0"/>
          <w:szCs w:val="24"/>
          <w:lang w:val="en-GB"/>
        </w:rPr>
        <w:t xml:space="preserve"> and proportions) with </w:t>
      </w:r>
      <w:r w:rsidR="00864E26" w:rsidRPr="00864E26">
        <w:rPr>
          <w:rFonts w:ascii="Times New Roman" w:hAnsi="Times New Roman" w:cs="Times New Roman"/>
          <w:bCs w:val="0"/>
          <w:i/>
          <w:szCs w:val="24"/>
          <w:lang w:val="en-GB"/>
        </w:rPr>
        <w:t>t</w:t>
      </w:r>
      <w:r w:rsidR="00864E26">
        <w:rPr>
          <w:rFonts w:ascii="Times New Roman" w:hAnsi="Times New Roman" w:cs="Times New Roman"/>
          <w:bCs w:val="0"/>
          <w:szCs w:val="24"/>
          <w:lang w:val="en-GB"/>
        </w:rPr>
        <w:t xml:space="preserve"> </w:t>
      </w:r>
      <w:r w:rsidR="00BC57C7" w:rsidRPr="00F413DB">
        <w:rPr>
          <w:rFonts w:ascii="Times New Roman" w:hAnsi="Times New Roman" w:cs="Times New Roman"/>
          <w:bCs w:val="0"/>
          <w:szCs w:val="24"/>
          <w:lang w:val="en-GB"/>
        </w:rPr>
        <w:t xml:space="preserve">test </w:t>
      </w:r>
      <w:r w:rsidR="000501D9" w:rsidRPr="00F413DB">
        <w:rPr>
          <w:rFonts w:ascii="Times New Roman" w:hAnsi="Times New Roman" w:cs="Times New Roman"/>
          <w:bCs w:val="0"/>
          <w:szCs w:val="24"/>
          <w:lang w:val="en-GB"/>
        </w:rPr>
        <w:t>or</w:t>
      </w:r>
      <w:r w:rsidR="00BC57C7" w:rsidRPr="00F413DB">
        <w:rPr>
          <w:rFonts w:ascii="Times New Roman" w:hAnsi="Times New Roman" w:cs="Times New Roman"/>
          <w:bCs w:val="0"/>
          <w:szCs w:val="24"/>
          <w:lang w:val="en-GB"/>
        </w:rPr>
        <w:t xml:space="preserve"> </w:t>
      </w:r>
      <w:r w:rsidR="00864E26">
        <w:rPr>
          <w:rFonts w:ascii="Times New Roman" w:hAnsi="Times New Roman" w:cs="Times New Roman"/>
          <w:bCs w:val="0"/>
          <w:szCs w:val="24"/>
          <w:lang w:val="en-GB"/>
        </w:rPr>
        <w:t>χ</w:t>
      </w:r>
      <w:r w:rsidR="00864E26" w:rsidRPr="00864E26">
        <w:rPr>
          <w:rFonts w:ascii="Times New Roman" w:hAnsi="Times New Roman" w:cs="Times New Roman"/>
          <w:bCs w:val="0"/>
          <w:szCs w:val="24"/>
          <w:vertAlign w:val="superscript"/>
          <w:lang w:val="en-GB"/>
        </w:rPr>
        <w:t>2</w:t>
      </w:r>
      <w:r w:rsidR="00864E26">
        <w:rPr>
          <w:rFonts w:ascii="Times New Roman" w:hAnsi="Times New Roman" w:cs="Times New Roman"/>
          <w:bCs w:val="0"/>
          <w:szCs w:val="24"/>
          <w:vertAlign w:val="superscript"/>
          <w:lang w:val="en-GB"/>
        </w:rPr>
        <w:t xml:space="preserve"> </w:t>
      </w:r>
      <w:r w:rsidR="00BC57C7" w:rsidRPr="00F413DB">
        <w:rPr>
          <w:rFonts w:ascii="Times New Roman" w:hAnsi="Times New Roman" w:cs="Times New Roman"/>
          <w:bCs w:val="0"/>
          <w:szCs w:val="24"/>
          <w:lang w:val="en-GB"/>
        </w:rPr>
        <w:t>test comparisons</w:t>
      </w:r>
      <w:r w:rsidR="00DC7DF8" w:rsidRPr="00F413DB">
        <w:rPr>
          <w:rFonts w:ascii="Times New Roman" w:hAnsi="Times New Roman" w:cs="Times New Roman"/>
          <w:bCs w:val="0"/>
          <w:szCs w:val="24"/>
          <w:lang w:val="en-GB"/>
        </w:rPr>
        <w:t xml:space="preserve"> between groups at baseline and 24</w:t>
      </w:r>
      <w:r w:rsidR="008A56DE" w:rsidRPr="00F413DB">
        <w:rPr>
          <w:rFonts w:ascii="Times New Roman" w:hAnsi="Times New Roman" w:cs="Times New Roman"/>
          <w:bCs w:val="0"/>
          <w:szCs w:val="24"/>
          <w:lang w:val="en-GB"/>
        </w:rPr>
        <w:t xml:space="preserve"> </w:t>
      </w:r>
      <w:r w:rsidR="00DC7DF8" w:rsidRPr="00F413DB">
        <w:rPr>
          <w:rFonts w:ascii="Times New Roman" w:hAnsi="Times New Roman" w:cs="Times New Roman"/>
          <w:bCs w:val="0"/>
          <w:szCs w:val="24"/>
          <w:lang w:val="en-GB"/>
        </w:rPr>
        <w:t>months</w:t>
      </w:r>
      <w:r w:rsidR="000501D9" w:rsidRPr="00F413DB">
        <w:rPr>
          <w:rFonts w:ascii="Times New Roman" w:hAnsi="Times New Roman" w:cs="Times New Roman"/>
          <w:bCs w:val="0"/>
          <w:szCs w:val="24"/>
          <w:lang w:val="en-GB"/>
        </w:rPr>
        <w:t xml:space="preserve"> as appropriate</w:t>
      </w:r>
      <w:r w:rsidR="00BC57C7" w:rsidRPr="00F413DB">
        <w:rPr>
          <w:rFonts w:ascii="Times New Roman" w:hAnsi="Times New Roman" w:cs="Times New Roman"/>
          <w:bCs w:val="0"/>
          <w:szCs w:val="24"/>
          <w:lang w:val="en-GB"/>
        </w:rPr>
        <w:t xml:space="preserve">. </w:t>
      </w:r>
      <w:r w:rsidR="00DC7DF8" w:rsidRPr="00F413DB">
        <w:rPr>
          <w:rFonts w:ascii="Times New Roman" w:hAnsi="Times New Roman" w:cs="Times New Roman"/>
          <w:bCs w:val="0"/>
          <w:szCs w:val="24"/>
          <w:lang w:val="en-GB"/>
        </w:rPr>
        <w:t>No m</w:t>
      </w:r>
      <w:r w:rsidR="00EF02CF" w:rsidRPr="00F413DB">
        <w:rPr>
          <w:rFonts w:ascii="Times New Roman" w:hAnsi="Times New Roman" w:cs="Times New Roman"/>
          <w:bCs w:val="0"/>
          <w:szCs w:val="24"/>
          <w:lang w:val="en-GB"/>
        </w:rPr>
        <w:t>odell</w:t>
      </w:r>
      <w:r w:rsidR="00BC57C7" w:rsidRPr="00F413DB">
        <w:rPr>
          <w:rFonts w:ascii="Times New Roman" w:hAnsi="Times New Roman" w:cs="Times New Roman"/>
          <w:bCs w:val="0"/>
          <w:szCs w:val="24"/>
          <w:lang w:val="en-GB"/>
        </w:rPr>
        <w:t xml:space="preserve">ing </w:t>
      </w:r>
      <w:r w:rsidR="00DC7DF8" w:rsidRPr="00F413DB">
        <w:rPr>
          <w:rFonts w:ascii="Times New Roman" w:hAnsi="Times New Roman" w:cs="Times New Roman"/>
          <w:bCs w:val="0"/>
          <w:szCs w:val="24"/>
          <w:lang w:val="en-GB"/>
        </w:rPr>
        <w:t xml:space="preserve">of change from baseline to 24 months was </w:t>
      </w:r>
      <w:r w:rsidR="00BC57C7" w:rsidRPr="00F413DB">
        <w:rPr>
          <w:rFonts w:ascii="Times New Roman" w:hAnsi="Times New Roman" w:cs="Times New Roman"/>
          <w:bCs w:val="0"/>
          <w:szCs w:val="24"/>
          <w:lang w:val="en-GB"/>
        </w:rPr>
        <w:t xml:space="preserve">undertaken </w:t>
      </w:r>
      <w:r w:rsidR="00DC7DF8" w:rsidRPr="00F413DB">
        <w:rPr>
          <w:rFonts w:ascii="Times New Roman" w:hAnsi="Times New Roman" w:cs="Times New Roman"/>
          <w:bCs w:val="0"/>
          <w:szCs w:val="24"/>
          <w:lang w:val="en-GB"/>
        </w:rPr>
        <w:t>due to the small sample size in the incomplete responder group for outcome measures at 24</w:t>
      </w:r>
      <w:r w:rsidR="008A56DE" w:rsidRPr="00F413DB">
        <w:rPr>
          <w:rFonts w:ascii="Times New Roman" w:hAnsi="Times New Roman" w:cs="Times New Roman"/>
          <w:bCs w:val="0"/>
          <w:szCs w:val="24"/>
          <w:lang w:val="en-GB"/>
        </w:rPr>
        <w:t xml:space="preserve"> </w:t>
      </w:r>
      <w:r w:rsidR="00DC7DF8" w:rsidRPr="00F413DB">
        <w:rPr>
          <w:rFonts w:ascii="Times New Roman" w:hAnsi="Times New Roman" w:cs="Times New Roman"/>
          <w:bCs w:val="0"/>
          <w:szCs w:val="24"/>
          <w:lang w:val="en-GB"/>
        </w:rPr>
        <w:t xml:space="preserve">months. </w:t>
      </w:r>
      <w:r w:rsidR="00D30F81" w:rsidRPr="00F413DB">
        <w:rPr>
          <w:rFonts w:ascii="Times New Roman" w:hAnsi="Times New Roman" w:cs="Times New Roman"/>
          <w:bCs w:val="0"/>
          <w:szCs w:val="24"/>
          <w:lang w:val="en-GB"/>
        </w:rPr>
        <w:t>Significance level</w:t>
      </w:r>
      <w:r w:rsidR="00D266CB" w:rsidRPr="00F413DB">
        <w:rPr>
          <w:rFonts w:ascii="Times New Roman" w:hAnsi="Times New Roman" w:cs="Times New Roman"/>
          <w:bCs w:val="0"/>
          <w:szCs w:val="24"/>
          <w:lang w:val="en-GB"/>
        </w:rPr>
        <w:t xml:space="preserve">s were set at </w:t>
      </w:r>
      <w:r w:rsidR="00184C1F" w:rsidRPr="00F413DB">
        <w:rPr>
          <w:rFonts w:ascii="Times New Roman" w:hAnsi="Times New Roman" w:cs="Times New Roman"/>
          <w:bCs w:val="0"/>
          <w:szCs w:val="24"/>
          <w:lang w:val="en-GB"/>
        </w:rPr>
        <w:t>α</w:t>
      </w:r>
      <w:r w:rsidR="00864E26">
        <w:rPr>
          <w:rFonts w:ascii="Times New Roman" w:hAnsi="Times New Roman" w:cs="Times New Roman"/>
          <w:bCs w:val="0"/>
          <w:szCs w:val="24"/>
          <w:lang w:val="en-GB"/>
        </w:rPr>
        <w:t xml:space="preserve"> </w:t>
      </w:r>
      <w:r w:rsidR="00D266CB" w:rsidRPr="00F413DB">
        <w:rPr>
          <w:rFonts w:ascii="Times New Roman" w:hAnsi="Times New Roman" w:cs="Times New Roman"/>
          <w:bCs w:val="0"/>
          <w:szCs w:val="24"/>
          <w:lang w:val="en-GB"/>
        </w:rPr>
        <w:t>=</w:t>
      </w:r>
      <w:r w:rsidR="00864E26">
        <w:rPr>
          <w:rFonts w:ascii="Times New Roman" w:hAnsi="Times New Roman" w:cs="Times New Roman"/>
          <w:bCs w:val="0"/>
          <w:szCs w:val="24"/>
          <w:lang w:val="en-GB"/>
        </w:rPr>
        <w:t xml:space="preserve"> </w:t>
      </w:r>
      <w:r w:rsidR="00D30F81" w:rsidRPr="00F413DB">
        <w:rPr>
          <w:rFonts w:ascii="Times New Roman" w:hAnsi="Times New Roman" w:cs="Times New Roman"/>
          <w:bCs w:val="0"/>
          <w:szCs w:val="24"/>
          <w:lang w:val="en-GB"/>
        </w:rPr>
        <w:t>0.05</w:t>
      </w:r>
      <w:r w:rsidR="00D266CB" w:rsidRPr="00F413DB">
        <w:rPr>
          <w:rFonts w:ascii="Times New Roman" w:hAnsi="Times New Roman" w:cs="Times New Roman"/>
          <w:bCs w:val="0"/>
          <w:szCs w:val="24"/>
          <w:lang w:val="en-GB"/>
        </w:rPr>
        <w:t xml:space="preserve"> throughout</w:t>
      </w:r>
      <w:r w:rsidR="00121FC9" w:rsidRPr="00F413DB">
        <w:rPr>
          <w:rFonts w:ascii="Times New Roman" w:hAnsi="Times New Roman" w:cs="Times New Roman"/>
          <w:bCs w:val="0"/>
          <w:szCs w:val="24"/>
          <w:lang w:val="en-GB"/>
        </w:rPr>
        <w:t>.</w:t>
      </w:r>
      <w:r w:rsidR="00DC7DF8" w:rsidRPr="00F413DB">
        <w:rPr>
          <w:rFonts w:ascii="Times New Roman" w:hAnsi="Times New Roman" w:cs="Times New Roman"/>
          <w:bCs w:val="0"/>
          <w:szCs w:val="24"/>
          <w:lang w:val="en-GB"/>
        </w:rPr>
        <w:t xml:space="preserve"> </w:t>
      </w:r>
      <w:r w:rsidR="00121FC9" w:rsidRPr="00F413DB">
        <w:rPr>
          <w:rFonts w:ascii="Times New Roman" w:hAnsi="Times New Roman" w:cs="Times New Roman"/>
          <w:bCs w:val="0"/>
          <w:szCs w:val="24"/>
          <w:lang w:val="en-GB"/>
        </w:rPr>
        <w:t>No formal correction for multiple testing has been applied during the analysis. Significant results should therefore be treated with caution.</w:t>
      </w:r>
    </w:p>
    <w:p w14:paraId="2B811CA7" w14:textId="77777777" w:rsidR="00A5485E" w:rsidRPr="00F413DB" w:rsidRDefault="00A5485E" w:rsidP="00991E9B">
      <w:pPr>
        <w:spacing w:line="480" w:lineRule="auto"/>
        <w:jc w:val="both"/>
        <w:rPr>
          <w:rFonts w:ascii="Times New Roman" w:hAnsi="Times New Roman" w:cs="Times New Roman"/>
          <w:bCs w:val="0"/>
          <w:szCs w:val="24"/>
          <w:lang w:val="en-GB"/>
        </w:rPr>
      </w:pPr>
    </w:p>
    <w:p w14:paraId="7774AA16" w14:textId="7AE026E7" w:rsidR="00453E8F" w:rsidRPr="00F413DB" w:rsidRDefault="00286A79" w:rsidP="00991E9B">
      <w:pPr>
        <w:spacing w:line="480" w:lineRule="auto"/>
        <w:jc w:val="both"/>
        <w:outlineLvl w:val="0"/>
        <w:rPr>
          <w:rFonts w:ascii="Times New Roman" w:hAnsi="Times New Roman" w:cs="Times New Roman"/>
          <w:b/>
          <w:bCs w:val="0"/>
          <w:szCs w:val="24"/>
          <w:lang w:val="en-GB"/>
        </w:rPr>
      </w:pPr>
      <w:r w:rsidRPr="00F413DB">
        <w:rPr>
          <w:rFonts w:ascii="Times New Roman" w:hAnsi="Times New Roman" w:cs="Times New Roman"/>
          <w:b/>
          <w:bCs w:val="0"/>
          <w:szCs w:val="24"/>
          <w:lang w:val="en-GB"/>
        </w:rPr>
        <w:t>Results</w:t>
      </w:r>
    </w:p>
    <w:p w14:paraId="0BE083D7" w14:textId="3E353DC2" w:rsidR="008117B7" w:rsidRDefault="00FC2F65" w:rsidP="00ED34FE">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Seventy</w:t>
      </w:r>
      <w:r w:rsidR="00A5485E" w:rsidRPr="00F413DB">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one (81%)</w:t>
      </w:r>
      <w:r w:rsidR="00C86881" w:rsidRPr="00F413DB">
        <w:rPr>
          <w:rFonts w:ascii="Times New Roman" w:hAnsi="Times New Roman" w:cs="Times New Roman"/>
          <w:bCs w:val="0"/>
          <w:szCs w:val="24"/>
          <w:lang w:val="en-GB"/>
        </w:rPr>
        <w:t xml:space="preserve"> </w:t>
      </w:r>
      <w:proofErr w:type="spellStart"/>
      <w:r w:rsidRPr="00F413DB">
        <w:rPr>
          <w:rFonts w:ascii="Times New Roman" w:hAnsi="Times New Roman" w:cs="Times New Roman"/>
          <w:bCs w:val="0"/>
          <w:szCs w:val="24"/>
          <w:lang w:val="en-GB"/>
        </w:rPr>
        <w:t>HypoCOMPaSS</w:t>
      </w:r>
      <w:proofErr w:type="spellEnd"/>
      <w:r w:rsidRPr="00F413DB">
        <w:rPr>
          <w:rFonts w:ascii="Times New Roman" w:hAnsi="Times New Roman" w:cs="Times New Roman"/>
          <w:bCs w:val="0"/>
          <w:szCs w:val="24"/>
          <w:lang w:val="en-GB"/>
        </w:rPr>
        <w:t xml:space="preserve"> participants</w:t>
      </w:r>
      <w:r w:rsidR="00FE54DB" w:rsidRPr="00F413DB">
        <w:rPr>
          <w:rFonts w:ascii="Times New Roman" w:hAnsi="Times New Roman" w:cs="Times New Roman"/>
          <w:bCs w:val="0"/>
          <w:szCs w:val="24"/>
          <w:lang w:val="en-GB"/>
        </w:rPr>
        <w:t xml:space="preserve"> </w:t>
      </w:r>
      <w:r w:rsidR="00D04306" w:rsidRPr="00F413DB">
        <w:rPr>
          <w:rFonts w:ascii="Times New Roman" w:hAnsi="Times New Roman" w:cs="Times New Roman"/>
          <w:bCs w:val="0"/>
          <w:szCs w:val="24"/>
          <w:lang w:val="en-GB"/>
        </w:rPr>
        <w:t>who e</w:t>
      </w:r>
      <w:r w:rsidR="00FE54DB" w:rsidRPr="00F413DB">
        <w:rPr>
          <w:rFonts w:ascii="Times New Roman" w:hAnsi="Times New Roman" w:cs="Times New Roman"/>
          <w:bCs w:val="0"/>
          <w:szCs w:val="24"/>
          <w:lang w:val="en-GB"/>
        </w:rPr>
        <w:t xml:space="preserve">xperienced at least one </w:t>
      </w:r>
      <w:r w:rsidR="00B301BE" w:rsidRPr="00F413DB">
        <w:rPr>
          <w:rFonts w:ascii="Times New Roman" w:hAnsi="Times New Roman" w:cs="Times New Roman"/>
          <w:bCs w:val="0"/>
          <w:szCs w:val="24"/>
          <w:lang w:val="en-GB"/>
        </w:rPr>
        <w:t xml:space="preserve">severe </w:t>
      </w:r>
      <w:proofErr w:type="spellStart"/>
      <w:r w:rsidR="00B301BE" w:rsidRPr="00F413DB">
        <w:rPr>
          <w:rFonts w:ascii="Times New Roman" w:hAnsi="Times New Roman" w:cs="Times New Roman"/>
          <w:bCs w:val="0"/>
          <w:szCs w:val="24"/>
          <w:lang w:val="en-GB"/>
        </w:rPr>
        <w:t>hypoglycemic</w:t>
      </w:r>
      <w:proofErr w:type="spellEnd"/>
      <w:r w:rsidR="00B301BE" w:rsidRPr="00F413DB">
        <w:rPr>
          <w:rFonts w:ascii="Times New Roman" w:hAnsi="Times New Roman" w:cs="Times New Roman"/>
          <w:bCs w:val="0"/>
          <w:szCs w:val="24"/>
          <w:lang w:val="en-GB"/>
        </w:rPr>
        <w:t xml:space="preserve"> </w:t>
      </w:r>
      <w:r w:rsidR="0025207E" w:rsidRPr="00F413DB">
        <w:rPr>
          <w:rFonts w:ascii="Times New Roman" w:hAnsi="Times New Roman" w:cs="Times New Roman"/>
          <w:bCs w:val="0"/>
          <w:szCs w:val="24"/>
          <w:lang w:val="en-GB"/>
        </w:rPr>
        <w:t xml:space="preserve">event </w:t>
      </w:r>
      <w:r w:rsidR="00FE54DB" w:rsidRPr="00F413DB">
        <w:rPr>
          <w:rFonts w:ascii="Times New Roman" w:hAnsi="Times New Roman" w:cs="Times New Roman"/>
          <w:bCs w:val="0"/>
          <w:szCs w:val="24"/>
          <w:lang w:val="en-GB"/>
        </w:rPr>
        <w:t>in the 12 months pre-study</w:t>
      </w:r>
      <w:r w:rsidRPr="00F413DB">
        <w:rPr>
          <w:rFonts w:ascii="Times New Roman" w:hAnsi="Times New Roman" w:cs="Times New Roman"/>
          <w:bCs w:val="0"/>
          <w:szCs w:val="24"/>
          <w:lang w:val="en-GB"/>
        </w:rPr>
        <w:t xml:space="preserve"> were included in th</w:t>
      </w:r>
      <w:r w:rsidR="00AB3DD8" w:rsidRPr="00F413DB">
        <w:rPr>
          <w:rFonts w:ascii="Times New Roman" w:hAnsi="Times New Roman" w:cs="Times New Roman"/>
          <w:bCs w:val="0"/>
          <w:szCs w:val="24"/>
          <w:lang w:val="en-GB"/>
        </w:rPr>
        <w:t>e</w:t>
      </w:r>
      <w:r w:rsidRPr="00F413DB">
        <w:rPr>
          <w:rFonts w:ascii="Times New Roman" w:hAnsi="Times New Roman" w:cs="Times New Roman"/>
          <w:bCs w:val="0"/>
          <w:szCs w:val="24"/>
          <w:lang w:val="en-GB"/>
        </w:rPr>
        <w:t xml:space="preserve"> analysis.</w:t>
      </w:r>
      <w:r w:rsidR="005C39C2" w:rsidRPr="00F413DB">
        <w:rPr>
          <w:rFonts w:ascii="Times New Roman" w:hAnsi="Times New Roman" w:cs="Times New Roman"/>
          <w:bCs w:val="0"/>
          <w:szCs w:val="24"/>
          <w:lang w:val="en-GB"/>
        </w:rPr>
        <w:t xml:space="preserve"> </w:t>
      </w:r>
      <w:r w:rsidR="00EF02CF" w:rsidRPr="00F413DB">
        <w:rPr>
          <w:rFonts w:ascii="Times New Roman" w:hAnsi="Times New Roman" w:cs="Times New Roman"/>
          <w:bCs w:val="0"/>
          <w:szCs w:val="24"/>
          <w:lang w:val="en-GB"/>
        </w:rPr>
        <w:t>Forty</w:t>
      </w:r>
      <w:r w:rsidR="0031416F">
        <w:rPr>
          <w:rFonts w:ascii="Times New Roman" w:hAnsi="Times New Roman" w:cs="Times New Roman"/>
          <w:bCs w:val="0"/>
          <w:szCs w:val="24"/>
          <w:lang w:val="en-GB"/>
        </w:rPr>
        <w:t xml:space="preserve"> </w:t>
      </w:r>
      <w:r w:rsidR="00AB3DD8" w:rsidRPr="00F413DB">
        <w:rPr>
          <w:rFonts w:ascii="Times New Roman" w:hAnsi="Times New Roman" w:cs="Times New Roman"/>
          <w:bCs w:val="0"/>
          <w:szCs w:val="24"/>
          <w:lang w:val="en-GB"/>
        </w:rPr>
        <w:t>three</w:t>
      </w:r>
      <w:r w:rsidR="00413F10" w:rsidRPr="00F413DB">
        <w:rPr>
          <w:rFonts w:ascii="Times New Roman" w:hAnsi="Times New Roman" w:cs="Times New Roman"/>
          <w:bCs w:val="0"/>
          <w:szCs w:val="24"/>
          <w:lang w:val="en-GB"/>
        </w:rPr>
        <w:t xml:space="preserve"> (61%) participant</w:t>
      </w:r>
      <w:r w:rsidR="00EF02CF" w:rsidRPr="00F413DB">
        <w:rPr>
          <w:rFonts w:ascii="Times New Roman" w:hAnsi="Times New Roman" w:cs="Times New Roman"/>
          <w:bCs w:val="0"/>
          <w:szCs w:val="24"/>
          <w:lang w:val="en-GB"/>
        </w:rPr>
        <w:t xml:space="preserve">s were complete responders </w:t>
      </w:r>
      <w:r w:rsidR="007628FF" w:rsidRPr="00F413DB">
        <w:rPr>
          <w:rFonts w:ascii="Times New Roman" w:hAnsi="Times New Roman" w:cs="Times New Roman"/>
          <w:bCs w:val="0"/>
          <w:szCs w:val="24"/>
          <w:lang w:val="en-GB"/>
        </w:rPr>
        <w:t>with data at all study time</w:t>
      </w:r>
      <w:r w:rsidR="00807B9F">
        <w:rPr>
          <w:rFonts w:ascii="Times New Roman" w:hAnsi="Times New Roman" w:cs="Times New Roman"/>
          <w:bCs w:val="0"/>
          <w:szCs w:val="24"/>
          <w:lang w:val="en-GB"/>
        </w:rPr>
        <w:t>-</w:t>
      </w:r>
      <w:r w:rsidR="007628FF" w:rsidRPr="00F413DB">
        <w:rPr>
          <w:rFonts w:ascii="Times New Roman" w:hAnsi="Times New Roman" w:cs="Times New Roman"/>
          <w:bCs w:val="0"/>
          <w:szCs w:val="24"/>
          <w:lang w:val="en-GB"/>
        </w:rPr>
        <w:t>points confir</w:t>
      </w:r>
      <w:r w:rsidR="00330528" w:rsidRPr="00F413DB">
        <w:rPr>
          <w:rFonts w:ascii="Times New Roman" w:hAnsi="Times New Roman" w:cs="Times New Roman"/>
          <w:bCs w:val="0"/>
          <w:szCs w:val="24"/>
          <w:lang w:val="en-GB"/>
        </w:rPr>
        <w:t xml:space="preserve">ming absence of severe </w:t>
      </w:r>
      <w:proofErr w:type="spellStart"/>
      <w:r w:rsidR="00330528" w:rsidRPr="00F413DB">
        <w:rPr>
          <w:rFonts w:ascii="Times New Roman" w:hAnsi="Times New Roman" w:cs="Times New Roman"/>
          <w:bCs w:val="0"/>
          <w:szCs w:val="24"/>
          <w:lang w:val="en-GB"/>
        </w:rPr>
        <w:t>hypoglyc</w:t>
      </w:r>
      <w:r w:rsidR="007628FF" w:rsidRPr="00F413DB">
        <w:rPr>
          <w:rFonts w:ascii="Times New Roman" w:hAnsi="Times New Roman" w:cs="Times New Roman"/>
          <w:bCs w:val="0"/>
          <w:szCs w:val="24"/>
          <w:lang w:val="en-GB"/>
        </w:rPr>
        <w:t>emia</w:t>
      </w:r>
      <w:proofErr w:type="spellEnd"/>
      <w:r w:rsidR="007628FF" w:rsidRPr="00F413DB">
        <w:rPr>
          <w:rFonts w:ascii="Times New Roman" w:hAnsi="Times New Roman" w:cs="Times New Roman"/>
          <w:bCs w:val="0"/>
          <w:szCs w:val="24"/>
          <w:lang w:val="en-GB"/>
        </w:rPr>
        <w:t xml:space="preserve"> throughout the 24</w:t>
      </w:r>
      <w:r w:rsidR="00CC5870">
        <w:rPr>
          <w:rFonts w:ascii="Times New Roman" w:hAnsi="Times New Roman" w:cs="Times New Roman"/>
          <w:bCs w:val="0"/>
          <w:szCs w:val="24"/>
          <w:lang w:val="en-GB"/>
        </w:rPr>
        <w:t>-</w:t>
      </w:r>
      <w:r w:rsidR="007628FF" w:rsidRPr="00F413DB">
        <w:rPr>
          <w:rFonts w:ascii="Times New Roman" w:hAnsi="Times New Roman" w:cs="Times New Roman"/>
          <w:bCs w:val="0"/>
          <w:szCs w:val="24"/>
          <w:lang w:val="en-GB"/>
        </w:rPr>
        <w:t>month follow-up period. T</w:t>
      </w:r>
      <w:r w:rsidR="00EF02CF" w:rsidRPr="00F413DB">
        <w:rPr>
          <w:rFonts w:ascii="Times New Roman" w:hAnsi="Times New Roman" w:cs="Times New Roman"/>
          <w:bCs w:val="0"/>
          <w:szCs w:val="24"/>
          <w:lang w:val="en-GB"/>
        </w:rPr>
        <w:t>wenty</w:t>
      </w:r>
      <w:r w:rsidR="007628FF" w:rsidRPr="00F413DB">
        <w:rPr>
          <w:rFonts w:ascii="Times New Roman" w:hAnsi="Times New Roman" w:cs="Times New Roman"/>
          <w:bCs w:val="0"/>
          <w:szCs w:val="24"/>
          <w:lang w:val="en-GB"/>
        </w:rPr>
        <w:t xml:space="preserve"> </w:t>
      </w:r>
      <w:r w:rsidR="00EF02CF" w:rsidRPr="00F413DB">
        <w:rPr>
          <w:rFonts w:ascii="Times New Roman" w:hAnsi="Times New Roman" w:cs="Times New Roman"/>
          <w:bCs w:val="0"/>
          <w:szCs w:val="24"/>
          <w:lang w:val="en-GB"/>
        </w:rPr>
        <w:t>eight</w:t>
      </w:r>
      <w:r w:rsidR="00413F10" w:rsidRPr="00F413DB">
        <w:rPr>
          <w:rFonts w:ascii="Times New Roman" w:hAnsi="Times New Roman" w:cs="Times New Roman"/>
          <w:bCs w:val="0"/>
          <w:szCs w:val="24"/>
          <w:lang w:val="en-GB"/>
        </w:rPr>
        <w:t xml:space="preserve"> (39%) </w:t>
      </w:r>
      <w:r w:rsidR="007628FF" w:rsidRPr="00F413DB">
        <w:rPr>
          <w:rFonts w:ascii="Times New Roman" w:hAnsi="Times New Roman" w:cs="Times New Roman"/>
          <w:bCs w:val="0"/>
          <w:szCs w:val="24"/>
          <w:lang w:val="en-GB"/>
        </w:rPr>
        <w:t xml:space="preserve">participants were </w:t>
      </w:r>
      <w:r w:rsidR="00413F10" w:rsidRPr="00F413DB">
        <w:rPr>
          <w:rFonts w:ascii="Times New Roman" w:hAnsi="Times New Roman" w:cs="Times New Roman"/>
          <w:bCs w:val="0"/>
          <w:szCs w:val="24"/>
          <w:lang w:val="en-GB"/>
        </w:rPr>
        <w:t>incomplete responders with eviden</w:t>
      </w:r>
      <w:r w:rsidR="00EF02CF" w:rsidRPr="00F413DB">
        <w:rPr>
          <w:rFonts w:ascii="Times New Roman" w:hAnsi="Times New Roman" w:cs="Times New Roman"/>
          <w:bCs w:val="0"/>
          <w:szCs w:val="24"/>
          <w:lang w:val="en-GB"/>
        </w:rPr>
        <w:t>ce</w:t>
      </w:r>
      <w:r w:rsidR="00D03AFA" w:rsidRPr="00F413DB">
        <w:rPr>
          <w:rFonts w:ascii="Times New Roman" w:hAnsi="Times New Roman" w:cs="Times New Roman"/>
          <w:bCs w:val="0"/>
          <w:szCs w:val="24"/>
          <w:lang w:val="en-GB"/>
        </w:rPr>
        <w:t xml:space="preserve"> of</w:t>
      </w:r>
      <w:r w:rsidR="00EF02CF" w:rsidRPr="00F413DB">
        <w:rPr>
          <w:rFonts w:ascii="Times New Roman" w:hAnsi="Times New Roman" w:cs="Times New Roman"/>
          <w:bCs w:val="0"/>
          <w:szCs w:val="24"/>
          <w:lang w:val="en-GB"/>
        </w:rPr>
        <w:t xml:space="preserve"> at least one severe </w:t>
      </w:r>
      <w:proofErr w:type="spellStart"/>
      <w:r w:rsidR="00EF02CF" w:rsidRPr="00F413DB">
        <w:rPr>
          <w:rFonts w:ascii="Times New Roman" w:hAnsi="Times New Roman" w:cs="Times New Roman"/>
          <w:bCs w:val="0"/>
          <w:szCs w:val="24"/>
          <w:lang w:val="en-GB"/>
        </w:rPr>
        <w:t>hypoglyc</w:t>
      </w:r>
      <w:r w:rsidR="00413F10" w:rsidRPr="00F413DB">
        <w:rPr>
          <w:rFonts w:ascii="Times New Roman" w:hAnsi="Times New Roman" w:cs="Times New Roman"/>
          <w:bCs w:val="0"/>
          <w:szCs w:val="24"/>
          <w:lang w:val="en-GB"/>
        </w:rPr>
        <w:t>emia</w:t>
      </w:r>
      <w:proofErr w:type="spellEnd"/>
      <w:r w:rsidR="00413F10" w:rsidRPr="00F413DB">
        <w:rPr>
          <w:rFonts w:ascii="Times New Roman" w:hAnsi="Times New Roman" w:cs="Times New Roman"/>
          <w:bCs w:val="0"/>
          <w:szCs w:val="24"/>
          <w:lang w:val="en-GB"/>
        </w:rPr>
        <w:t xml:space="preserve"> event over the </w:t>
      </w:r>
      <w:r w:rsidR="00CC5870">
        <w:rPr>
          <w:rFonts w:ascii="Times New Roman" w:hAnsi="Times New Roman" w:cs="Times New Roman"/>
          <w:bCs w:val="0"/>
          <w:szCs w:val="24"/>
          <w:lang w:val="en-GB"/>
        </w:rPr>
        <w:t>RCT</w:t>
      </w:r>
      <w:r w:rsidR="00CC5870" w:rsidRPr="00F413DB">
        <w:rPr>
          <w:rFonts w:ascii="Times New Roman" w:hAnsi="Times New Roman" w:cs="Times New Roman"/>
          <w:bCs w:val="0"/>
          <w:szCs w:val="24"/>
          <w:lang w:val="en-GB"/>
        </w:rPr>
        <w:t xml:space="preserve"> </w:t>
      </w:r>
      <w:r w:rsidR="00413F10" w:rsidRPr="00F413DB">
        <w:rPr>
          <w:rFonts w:ascii="Times New Roman" w:hAnsi="Times New Roman" w:cs="Times New Roman"/>
          <w:bCs w:val="0"/>
          <w:szCs w:val="24"/>
          <w:lang w:val="en-GB"/>
        </w:rPr>
        <w:t>and follow-up.</w:t>
      </w:r>
      <w:r w:rsidR="0025207E" w:rsidRPr="00F413DB">
        <w:rPr>
          <w:rFonts w:ascii="Times New Roman" w:hAnsi="Times New Roman" w:cs="Times New Roman"/>
          <w:bCs w:val="0"/>
          <w:szCs w:val="24"/>
          <w:lang w:val="en-GB"/>
        </w:rPr>
        <w:t xml:space="preserve"> </w:t>
      </w:r>
      <w:r w:rsidR="005279DC" w:rsidRPr="00F413DB">
        <w:rPr>
          <w:rFonts w:ascii="Times New Roman" w:hAnsi="Times New Roman" w:cs="Times New Roman"/>
          <w:bCs w:val="0"/>
          <w:szCs w:val="24"/>
          <w:lang w:val="en-GB"/>
        </w:rPr>
        <w:t xml:space="preserve">There was no difference in intervention arm allocation or switch between groups over the RCT and </w:t>
      </w:r>
      <w:r w:rsidR="005279DC" w:rsidRPr="00F413DB">
        <w:rPr>
          <w:rFonts w:ascii="Times New Roman" w:hAnsi="Times New Roman" w:cs="Times New Roman"/>
          <w:bCs w:val="0"/>
          <w:szCs w:val="24"/>
          <w:lang w:val="en-GB"/>
        </w:rPr>
        <w:lastRenderedPageBreak/>
        <w:t xml:space="preserve">follow-up period. </w:t>
      </w:r>
      <w:r w:rsidR="00CC5870">
        <w:rPr>
          <w:rFonts w:ascii="Times New Roman" w:hAnsi="Times New Roman" w:cs="Times New Roman"/>
          <w:bCs w:val="0"/>
          <w:szCs w:val="24"/>
          <w:lang w:val="en-GB"/>
        </w:rPr>
        <w:t>Twenty</w:t>
      </w:r>
      <w:r w:rsidR="00807B9F">
        <w:rPr>
          <w:rFonts w:ascii="Times New Roman" w:hAnsi="Times New Roman" w:cs="Times New Roman"/>
          <w:bCs w:val="0"/>
          <w:szCs w:val="24"/>
          <w:lang w:val="en-GB"/>
        </w:rPr>
        <w:t xml:space="preserve"> </w:t>
      </w:r>
      <w:r w:rsidR="00CC5870">
        <w:rPr>
          <w:rFonts w:ascii="Times New Roman" w:hAnsi="Times New Roman" w:cs="Times New Roman"/>
          <w:bCs w:val="0"/>
          <w:szCs w:val="24"/>
          <w:lang w:val="en-GB"/>
        </w:rPr>
        <w:t>two</w:t>
      </w:r>
      <w:r w:rsidR="00CC5870" w:rsidRPr="00F413DB">
        <w:rPr>
          <w:rFonts w:ascii="Times New Roman" w:hAnsi="Times New Roman" w:cs="Times New Roman"/>
          <w:bCs w:val="0"/>
          <w:szCs w:val="24"/>
          <w:lang w:val="en-GB"/>
        </w:rPr>
        <w:t xml:space="preserve"> </w:t>
      </w:r>
      <w:r w:rsidR="00236FBB" w:rsidRPr="00F413DB">
        <w:rPr>
          <w:rFonts w:ascii="Times New Roman" w:hAnsi="Times New Roman" w:cs="Times New Roman"/>
          <w:bCs w:val="0"/>
          <w:szCs w:val="24"/>
          <w:lang w:val="en-GB"/>
        </w:rPr>
        <w:t>(51%) complete responders and 12 (43%) incomplete responders were initially randomized to CSII</w:t>
      </w:r>
      <w:r w:rsidR="00710C1C">
        <w:rPr>
          <w:rFonts w:ascii="Times New Roman" w:hAnsi="Times New Roman" w:cs="Times New Roman"/>
          <w:bCs w:val="0"/>
          <w:szCs w:val="24"/>
          <w:lang w:val="en-GB"/>
        </w:rPr>
        <w:t xml:space="preserve">. </w:t>
      </w:r>
      <w:r w:rsidR="000A7534">
        <w:rPr>
          <w:rFonts w:ascii="Times New Roman" w:hAnsi="Times New Roman" w:cs="Times New Roman"/>
          <w:bCs w:val="0"/>
          <w:szCs w:val="24"/>
          <w:lang w:val="en-GB"/>
        </w:rPr>
        <w:t>Thirteen (31% from n</w:t>
      </w:r>
      <w:r w:rsidR="00E165B7">
        <w:rPr>
          <w:rFonts w:ascii="Times New Roman" w:hAnsi="Times New Roman" w:cs="Times New Roman"/>
          <w:bCs w:val="0"/>
          <w:szCs w:val="24"/>
          <w:lang w:val="en-GB"/>
        </w:rPr>
        <w:t xml:space="preserve"> </w:t>
      </w:r>
      <w:r w:rsidR="000A7534">
        <w:rPr>
          <w:rFonts w:ascii="Times New Roman" w:hAnsi="Times New Roman" w:cs="Times New Roman"/>
          <w:bCs w:val="0"/>
          <w:szCs w:val="24"/>
          <w:lang w:val="en-GB"/>
        </w:rPr>
        <w:t>=</w:t>
      </w:r>
      <w:r w:rsidR="00E165B7">
        <w:rPr>
          <w:rFonts w:ascii="Times New Roman" w:hAnsi="Times New Roman" w:cs="Times New Roman"/>
          <w:bCs w:val="0"/>
          <w:szCs w:val="24"/>
          <w:lang w:val="en-GB"/>
        </w:rPr>
        <w:t xml:space="preserve"> </w:t>
      </w:r>
      <w:r w:rsidR="000A7534">
        <w:rPr>
          <w:rFonts w:ascii="Times New Roman" w:hAnsi="Times New Roman" w:cs="Times New Roman"/>
          <w:bCs w:val="0"/>
          <w:szCs w:val="24"/>
          <w:lang w:val="en-GB"/>
        </w:rPr>
        <w:t>42)</w:t>
      </w:r>
      <w:r w:rsidR="00710C1C">
        <w:rPr>
          <w:rFonts w:ascii="Times New Roman" w:hAnsi="Times New Roman" w:cs="Times New Roman"/>
          <w:bCs w:val="0"/>
          <w:szCs w:val="24"/>
          <w:lang w:val="en-GB"/>
        </w:rPr>
        <w:t xml:space="preserve"> complete responders</w:t>
      </w:r>
      <w:r w:rsidR="000A7534">
        <w:rPr>
          <w:rFonts w:ascii="Times New Roman" w:hAnsi="Times New Roman" w:cs="Times New Roman"/>
          <w:bCs w:val="0"/>
          <w:szCs w:val="24"/>
          <w:lang w:val="en-GB"/>
        </w:rPr>
        <w:t xml:space="preserve"> comple</w:t>
      </w:r>
      <w:r w:rsidR="00E165B7">
        <w:rPr>
          <w:rFonts w:ascii="Times New Roman" w:hAnsi="Times New Roman" w:cs="Times New Roman"/>
          <w:bCs w:val="0"/>
          <w:szCs w:val="24"/>
          <w:lang w:val="en-GB"/>
        </w:rPr>
        <w:t>ted 24 month</w:t>
      </w:r>
      <w:r w:rsidR="000A7534">
        <w:rPr>
          <w:rFonts w:ascii="Times New Roman" w:hAnsi="Times New Roman" w:cs="Times New Roman"/>
          <w:bCs w:val="0"/>
          <w:szCs w:val="24"/>
          <w:lang w:val="en-GB"/>
        </w:rPr>
        <w:t xml:space="preserve"> follow-up </w:t>
      </w:r>
      <w:r w:rsidR="00E165B7">
        <w:rPr>
          <w:rFonts w:ascii="Times New Roman" w:hAnsi="Times New Roman" w:cs="Times New Roman"/>
          <w:bCs w:val="0"/>
          <w:szCs w:val="24"/>
          <w:lang w:val="en-GB"/>
        </w:rPr>
        <w:t xml:space="preserve">who were </w:t>
      </w:r>
      <w:r w:rsidR="000A7534">
        <w:rPr>
          <w:rFonts w:ascii="Times New Roman" w:hAnsi="Times New Roman" w:cs="Times New Roman"/>
          <w:bCs w:val="0"/>
          <w:szCs w:val="24"/>
          <w:lang w:val="en-GB"/>
        </w:rPr>
        <w:t>randomized to CSI</w:t>
      </w:r>
      <w:r w:rsidR="00E165B7">
        <w:rPr>
          <w:rFonts w:ascii="Times New Roman" w:hAnsi="Times New Roman" w:cs="Times New Roman"/>
          <w:bCs w:val="0"/>
          <w:szCs w:val="24"/>
          <w:lang w:val="en-GB"/>
        </w:rPr>
        <w:t xml:space="preserve">I, 7 (17%) completed follow-up </w:t>
      </w:r>
      <w:r w:rsidR="000A7534">
        <w:rPr>
          <w:rFonts w:ascii="Times New Roman" w:hAnsi="Times New Roman" w:cs="Times New Roman"/>
          <w:bCs w:val="0"/>
          <w:szCs w:val="24"/>
          <w:lang w:val="en-GB"/>
        </w:rPr>
        <w:t>randomized to MDI</w:t>
      </w:r>
      <w:r w:rsidR="00E165B7">
        <w:rPr>
          <w:rFonts w:ascii="Times New Roman" w:hAnsi="Times New Roman" w:cs="Times New Roman"/>
          <w:bCs w:val="0"/>
          <w:szCs w:val="24"/>
          <w:lang w:val="en-GB"/>
        </w:rPr>
        <w:t>,</w:t>
      </w:r>
      <w:r w:rsidR="000A7534">
        <w:rPr>
          <w:rFonts w:ascii="Times New Roman" w:hAnsi="Times New Roman" w:cs="Times New Roman"/>
          <w:bCs w:val="0"/>
          <w:szCs w:val="24"/>
          <w:lang w:val="en-GB"/>
        </w:rPr>
        <w:t xml:space="preserve"> and 22 (52%)</w:t>
      </w:r>
      <w:r w:rsidR="00236FBB" w:rsidRPr="00F413DB">
        <w:rPr>
          <w:rFonts w:ascii="Times New Roman" w:hAnsi="Times New Roman" w:cs="Times New Roman"/>
          <w:bCs w:val="0"/>
          <w:szCs w:val="24"/>
          <w:lang w:val="en-GB"/>
        </w:rPr>
        <w:t xml:space="preserve"> </w:t>
      </w:r>
      <w:r w:rsidR="000A7534">
        <w:rPr>
          <w:rFonts w:ascii="Times New Roman" w:hAnsi="Times New Roman" w:cs="Times New Roman"/>
          <w:bCs w:val="0"/>
          <w:szCs w:val="24"/>
          <w:lang w:val="en-GB"/>
        </w:rPr>
        <w:t>switched insulin delivery modality after 24 weeks. Eight (32% from n</w:t>
      </w:r>
      <w:r w:rsidR="00E165B7">
        <w:rPr>
          <w:rFonts w:ascii="Times New Roman" w:hAnsi="Times New Roman" w:cs="Times New Roman"/>
          <w:bCs w:val="0"/>
          <w:szCs w:val="24"/>
          <w:lang w:val="en-GB"/>
        </w:rPr>
        <w:t xml:space="preserve"> </w:t>
      </w:r>
      <w:r w:rsidR="000A7534">
        <w:rPr>
          <w:rFonts w:ascii="Times New Roman" w:hAnsi="Times New Roman" w:cs="Times New Roman"/>
          <w:bCs w:val="0"/>
          <w:szCs w:val="24"/>
          <w:lang w:val="en-GB"/>
        </w:rPr>
        <w:t>=</w:t>
      </w:r>
      <w:r w:rsidR="00E165B7">
        <w:rPr>
          <w:rFonts w:ascii="Times New Roman" w:hAnsi="Times New Roman" w:cs="Times New Roman"/>
          <w:bCs w:val="0"/>
          <w:szCs w:val="24"/>
          <w:lang w:val="en-GB"/>
        </w:rPr>
        <w:t xml:space="preserve"> </w:t>
      </w:r>
      <w:r w:rsidR="000A7534">
        <w:rPr>
          <w:rFonts w:ascii="Times New Roman" w:hAnsi="Times New Roman" w:cs="Times New Roman"/>
          <w:bCs w:val="0"/>
          <w:szCs w:val="24"/>
          <w:lang w:val="en-GB"/>
        </w:rPr>
        <w:t xml:space="preserve">25) incomplete responders completed follow-up </w:t>
      </w:r>
      <w:r w:rsidR="00E165B7">
        <w:rPr>
          <w:rFonts w:ascii="Times New Roman" w:hAnsi="Times New Roman" w:cs="Times New Roman"/>
          <w:bCs w:val="0"/>
          <w:szCs w:val="24"/>
          <w:lang w:val="en-GB"/>
        </w:rPr>
        <w:t>who were</w:t>
      </w:r>
      <w:r w:rsidR="000A7534">
        <w:rPr>
          <w:rFonts w:ascii="Times New Roman" w:hAnsi="Times New Roman" w:cs="Times New Roman"/>
          <w:bCs w:val="0"/>
          <w:szCs w:val="24"/>
          <w:lang w:val="en-GB"/>
        </w:rPr>
        <w:t xml:space="preserve"> randomized to CSII, 3 (12%) as randomized to MDI</w:t>
      </w:r>
      <w:r w:rsidR="00E165B7">
        <w:rPr>
          <w:rFonts w:ascii="Times New Roman" w:hAnsi="Times New Roman" w:cs="Times New Roman"/>
          <w:bCs w:val="0"/>
          <w:szCs w:val="24"/>
          <w:lang w:val="en-GB"/>
        </w:rPr>
        <w:t>,</w:t>
      </w:r>
      <w:r w:rsidR="000A7534">
        <w:rPr>
          <w:rFonts w:ascii="Times New Roman" w:hAnsi="Times New Roman" w:cs="Times New Roman"/>
          <w:bCs w:val="0"/>
          <w:szCs w:val="24"/>
          <w:lang w:val="en-GB"/>
        </w:rPr>
        <w:t xml:space="preserve"> and 14 (56%)</w:t>
      </w:r>
      <w:r w:rsidR="000A7534" w:rsidRPr="00F413DB">
        <w:rPr>
          <w:rFonts w:ascii="Times New Roman" w:hAnsi="Times New Roman" w:cs="Times New Roman"/>
          <w:bCs w:val="0"/>
          <w:szCs w:val="24"/>
          <w:lang w:val="en-GB"/>
        </w:rPr>
        <w:t xml:space="preserve"> </w:t>
      </w:r>
      <w:r w:rsidR="00E165B7">
        <w:rPr>
          <w:rFonts w:ascii="Times New Roman" w:hAnsi="Times New Roman" w:cs="Times New Roman"/>
          <w:bCs w:val="0"/>
          <w:szCs w:val="24"/>
          <w:lang w:val="en-GB"/>
        </w:rPr>
        <w:t xml:space="preserve">who </w:t>
      </w:r>
      <w:r w:rsidR="000A7534">
        <w:rPr>
          <w:rFonts w:ascii="Times New Roman" w:hAnsi="Times New Roman" w:cs="Times New Roman"/>
          <w:bCs w:val="0"/>
          <w:szCs w:val="24"/>
          <w:lang w:val="en-GB"/>
        </w:rPr>
        <w:t xml:space="preserve">switched insulin delivery modality after 24 weeks. </w:t>
      </w:r>
      <w:r w:rsidR="00CC5870">
        <w:rPr>
          <w:rFonts w:ascii="Times New Roman" w:hAnsi="Times New Roman" w:cs="Times New Roman"/>
          <w:bCs w:val="0"/>
          <w:szCs w:val="24"/>
          <w:lang w:val="en-GB"/>
        </w:rPr>
        <w:t>Nineteen</w:t>
      </w:r>
      <w:r w:rsidR="0065599A" w:rsidRPr="00F413DB">
        <w:rPr>
          <w:rFonts w:ascii="Times New Roman" w:hAnsi="Times New Roman" w:cs="Times New Roman"/>
          <w:bCs w:val="0"/>
          <w:szCs w:val="24"/>
          <w:lang w:val="en-GB"/>
        </w:rPr>
        <w:t xml:space="preserve"> (44%) complete responders and 16 (57%) incomplete responders were randomised to RT</w:t>
      </w:r>
      <w:r w:rsidR="00E165B7">
        <w:rPr>
          <w:rFonts w:ascii="Times New Roman" w:hAnsi="Times New Roman" w:cs="Times New Roman"/>
          <w:bCs w:val="0"/>
          <w:szCs w:val="24"/>
          <w:lang w:val="en-GB"/>
        </w:rPr>
        <w:t>-CGM</w:t>
      </w:r>
      <w:r w:rsidR="003F018A">
        <w:rPr>
          <w:rFonts w:ascii="Times New Roman" w:hAnsi="Times New Roman" w:cs="Times New Roman"/>
          <w:bCs w:val="0"/>
          <w:szCs w:val="24"/>
          <w:lang w:val="en-GB"/>
        </w:rPr>
        <w:t xml:space="preserve">. </w:t>
      </w:r>
      <w:r w:rsidR="00392333">
        <w:rPr>
          <w:rFonts w:ascii="Times New Roman" w:hAnsi="Times New Roman" w:cs="Times New Roman"/>
          <w:bCs w:val="0"/>
          <w:szCs w:val="24"/>
          <w:lang w:val="en-GB"/>
        </w:rPr>
        <w:t xml:space="preserve">Despite uninterrupted provision of sensors, only </w:t>
      </w:r>
      <w:r w:rsidR="00E165B7">
        <w:rPr>
          <w:rFonts w:ascii="Times New Roman" w:hAnsi="Times New Roman" w:cs="Times New Roman"/>
          <w:bCs w:val="0"/>
          <w:szCs w:val="24"/>
          <w:lang w:val="en-GB"/>
        </w:rPr>
        <w:t>six</w:t>
      </w:r>
      <w:r w:rsidR="003F018A">
        <w:rPr>
          <w:rFonts w:ascii="Times New Roman" w:hAnsi="Times New Roman" w:cs="Times New Roman"/>
          <w:bCs w:val="0"/>
          <w:szCs w:val="24"/>
          <w:lang w:val="en-GB"/>
        </w:rPr>
        <w:t xml:space="preserve"> (</w:t>
      </w:r>
      <w:r w:rsidR="00392333">
        <w:rPr>
          <w:rFonts w:ascii="Times New Roman" w:hAnsi="Times New Roman" w:cs="Times New Roman"/>
          <w:bCs w:val="0"/>
          <w:szCs w:val="24"/>
          <w:lang w:val="en-GB"/>
        </w:rPr>
        <w:t>32</w:t>
      </w:r>
      <w:r w:rsidR="003F018A">
        <w:rPr>
          <w:rFonts w:ascii="Times New Roman" w:hAnsi="Times New Roman" w:cs="Times New Roman"/>
          <w:bCs w:val="0"/>
          <w:szCs w:val="24"/>
          <w:lang w:val="en-GB"/>
        </w:rPr>
        <w:t>% from n</w:t>
      </w:r>
      <w:r w:rsidR="00E165B7">
        <w:rPr>
          <w:rFonts w:ascii="Times New Roman" w:hAnsi="Times New Roman" w:cs="Times New Roman"/>
          <w:bCs w:val="0"/>
          <w:szCs w:val="24"/>
          <w:lang w:val="en-GB"/>
        </w:rPr>
        <w:t xml:space="preserve"> </w:t>
      </w:r>
      <w:r w:rsidR="003F018A">
        <w:rPr>
          <w:rFonts w:ascii="Times New Roman" w:hAnsi="Times New Roman" w:cs="Times New Roman"/>
          <w:bCs w:val="0"/>
          <w:szCs w:val="24"/>
          <w:lang w:val="en-GB"/>
        </w:rPr>
        <w:t>=</w:t>
      </w:r>
      <w:r w:rsidR="00E165B7">
        <w:rPr>
          <w:rFonts w:ascii="Times New Roman" w:hAnsi="Times New Roman" w:cs="Times New Roman"/>
          <w:bCs w:val="0"/>
          <w:szCs w:val="24"/>
          <w:lang w:val="en-GB"/>
        </w:rPr>
        <w:t xml:space="preserve"> </w:t>
      </w:r>
      <w:r w:rsidR="003F018A">
        <w:rPr>
          <w:rFonts w:ascii="Times New Roman" w:hAnsi="Times New Roman" w:cs="Times New Roman"/>
          <w:bCs w:val="0"/>
          <w:szCs w:val="24"/>
          <w:lang w:val="en-GB"/>
        </w:rPr>
        <w:t xml:space="preserve">19) complete responders </w:t>
      </w:r>
      <w:r w:rsidR="00E165B7">
        <w:rPr>
          <w:rFonts w:ascii="Times New Roman" w:hAnsi="Times New Roman" w:cs="Times New Roman"/>
          <w:bCs w:val="0"/>
          <w:szCs w:val="24"/>
          <w:lang w:val="en-GB"/>
        </w:rPr>
        <w:t>and three</w:t>
      </w:r>
      <w:r w:rsidR="00392333">
        <w:rPr>
          <w:rFonts w:ascii="Times New Roman" w:hAnsi="Times New Roman" w:cs="Times New Roman"/>
          <w:bCs w:val="0"/>
          <w:szCs w:val="24"/>
          <w:lang w:val="en-GB"/>
        </w:rPr>
        <w:t xml:space="preserve"> (21% from n</w:t>
      </w:r>
      <w:r w:rsidR="00E165B7">
        <w:rPr>
          <w:rFonts w:ascii="Times New Roman" w:hAnsi="Times New Roman" w:cs="Times New Roman"/>
          <w:bCs w:val="0"/>
          <w:szCs w:val="24"/>
          <w:lang w:val="en-GB"/>
        </w:rPr>
        <w:t xml:space="preserve"> </w:t>
      </w:r>
      <w:r w:rsidR="00392333">
        <w:rPr>
          <w:rFonts w:ascii="Times New Roman" w:hAnsi="Times New Roman" w:cs="Times New Roman"/>
          <w:bCs w:val="0"/>
          <w:szCs w:val="24"/>
          <w:lang w:val="en-GB"/>
        </w:rPr>
        <w:t>=</w:t>
      </w:r>
      <w:r w:rsidR="00E165B7">
        <w:rPr>
          <w:rFonts w:ascii="Times New Roman" w:hAnsi="Times New Roman" w:cs="Times New Roman"/>
          <w:bCs w:val="0"/>
          <w:szCs w:val="24"/>
          <w:lang w:val="en-GB"/>
        </w:rPr>
        <w:t xml:space="preserve"> </w:t>
      </w:r>
      <w:r w:rsidR="00392333">
        <w:rPr>
          <w:rFonts w:ascii="Times New Roman" w:hAnsi="Times New Roman" w:cs="Times New Roman"/>
          <w:bCs w:val="0"/>
          <w:szCs w:val="24"/>
          <w:lang w:val="en-GB"/>
        </w:rPr>
        <w:t xml:space="preserve">14) incomplete responders </w:t>
      </w:r>
      <w:r w:rsidR="003F018A">
        <w:rPr>
          <w:rFonts w:ascii="Times New Roman" w:hAnsi="Times New Roman" w:cs="Times New Roman"/>
          <w:bCs w:val="0"/>
          <w:szCs w:val="24"/>
          <w:lang w:val="en-GB"/>
        </w:rPr>
        <w:t>randomized to RT</w:t>
      </w:r>
      <w:r w:rsidR="00E165B7">
        <w:rPr>
          <w:rFonts w:ascii="Times New Roman" w:hAnsi="Times New Roman" w:cs="Times New Roman"/>
          <w:bCs w:val="0"/>
          <w:szCs w:val="24"/>
          <w:lang w:val="en-GB"/>
        </w:rPr>
        <w:t>-CGM</w:t>
      </w:r>
      <w:r w:rsidR="003F018A">
        <w:rPr>
          <w:rFonts w:ascii="Times New Roman" w:hAnsi="Times New Roman" w:cs="Times New Roman"/>
          <w:bCs w:val="0"/>
          <w:szCs w:val="24"/>
          <w:lang w:val="en-GB"/>
        </w:rPr>
        <w:t xml:space="preserve"> </w:t>
      </w:r>
      <w:r w:rsidR="00392333">
        <w:rPr>
          <w:rFonts w:ascii="Times New Roman" w:hAnsi="Times New Roman" w:cs="Times New Roman"/>
          <w:bCs w:val="0"/>
          <w:szCs w:val="24"/>
          <w:lang w:val="en-GB"/>
        </w:rPr>
        <w:t xml:space="preserve">were still using this at 24 months. </w:t>
      </w:r>
      <w:r w:rsidR="003F018A">
        <w:rPr>
          <w:rFonts w:ascii="Times New Roman" w:hAnsi="Times New Roman" w:cs="Times New Roman"/>
          <w:bCs w:val="0"/>
          <w:szCs w:val="24"/>
          <w:lang w:val="en-GB"/>
        </w:rPr>
        <w:t>Switching from SMBG to RT</w:t>
      </w:r>
      <w:r w:rsidR="00E165B7">
        <w:rPr>
          <w:rFonts w:ascii="Times New Roman" w:hAnsi="Times New Roman" w:cs="Times New Roman"/>
          <w:bCs w:val="0"/>
          <w:szCs w:val="24"/>
          <w:lang w:val="en-GB"/>
        </w:rPr>
        <w:t>-CGM</w:t>
      </w:r>
      <w:r w:rsidR="003F018A">
        <w:rPr>
          <w:rFonts w:ascii="Times New Roman" w:hAnsi="Times New Roman" w:cs="Times New Roman"/>
          <w:bCs w:val="0"/>
          <w:szCs w:val="24"/>
          <w:lang w:val="en-GB"/>
        </w:rPr>
        <w:t xml:space="preserve"> was not permitted within the study design and did not occur.</w:t>
      </w:r>
    </w:p>
    <w:p w14:paraId="586AF726" w14:textId="77777777" w:rsidR="00D35C1F" w:rsidRPr="00F413DB" w:rsidRDefault="00D35C1F" w:rsidP="00ED34FE">
      <w:pPr>
        <w:spacing w:line="480" w:lineRule="auto"/>
        <w:jc w:val="both"/>
        <w:rPr>
          <w:rFonts w:ascii="Times New Roman" w:hAnsi="Times New Roman" w:cs="Times New Roman"/>
          <w:bCs w:val="0"/>
          <w:szCs w:val="24"/>
          <w:lang w:val="en-GB"/>
        </w:rPr>
      </w:pPr>
    </w:p>
    <w:p w14:paraId="3F2E741F" w14:textId="2E1D95C9" w:rsidR="008117B7" w:rsidRDefault="005C5863" w:rsidP="00ED34FE">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The number of severe </w:t>
      </w:r>
      <w:proofErr w:type="spellStart"/>
      <w:r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events experienced by incomplete responders </w:t>
      </w:r>
      <w:r w:rsidR="007628FF" w:rsidRPr="00F413DB">
        <w:rPr>
          <w:rFonts w:ascii="Times New Roman" w:hAnsi="Times New Roman" w:cs="Times New Roman"/>
          <w:bCs w:val="0"/>
          <w:szCs w:val="24"/>
          <w:lang w:val="en-GB"/>
        </w:rPr>
        <w:t xml:space="preserve">was </w:t>
      </w:r>
      <w:r w:rsidRPr="00F413DB">
        <w:rPr>
          <w:rFonts w:ascii="Times New Roman" w:hAnsi="Times New Roman" w:cs="Times New Roman"/>
          <w:bCs w:val="0"/>
          <w:szCs w:val="24"/>
          <w:lang w:val="en-GB"/>
        </w:rPr>
        <w:t>reduced by 91% over 24</w:t>
      </w:r>
      <w:r w:rsidR="00944C32" w:rsidRPr="00F413DB">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months</w:t>
      </w:r>
      <w:r w:rsidR="00411495">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follow-up </w:t>
      </w:r>
      <w:r w:rsidR="007628FF" w:rsidRPr="00F413DB">
        <w:rPr>
          <w:rFonts w:ascii="Times New Roman" w:hAnsi="Times New Roman" w:cs="Times New Roman"/>
          <w:bCs w:val="0"/>
          <w:szCs w:val="24"/>
          <w:lang w:val="en-GB"/>
        </w:rPr>
        <w:t>from 16.9</w:t>
      </w:r>
      <w:r w:rsidR="003A5DB9">
        <w:rPr>
          <w:rFonts w:ascii="Times New Roman" w:hAnsi="Times New Roman" w:cs="Times New Roman"/>
          <w:bCs w:val="0"/>
          <w:szCs w:val="24"/>
          <w:lang w:val="en-GB"/>
        </w:rPr>
        <w:t xml:space="preserve"> </w:t>
      </w:r>
      <w:r w:rsidR="007628FF" w:rsidRPr="00F413DB">
        <w:rPr>
          <w:rFonts w:ascii="Times New Roman" w:hAnsi="Times New Roman" w:cs="Times New Roman"/>
          <w:bCs w:val="0"/>
          <w:szCs w:val="24"/>
          <w:lang w:val="en-GB"/>
        </w:rPr>
        <w:t>±</w:t>
      </w:r>
      <w:r w:rsidR="003A5DB9">
        <w:rPr>
          <w:rFonts w:ascii="Times New Roman" w:hAnsi="Times New Roman" w:cs="Times New Roman"/>
          <w:bCs w:val="0"/>
          <w:szCs w:val="24"/>
          <w:lang w:val="en-GB"/>
        </w:rPr>
        <w:t xml:space="preserve"> </w:t>
      </w:r>
      <w:r w:rsidR="007628FF" w:rsidRPr="00F413DB">
        <w:rPr>
          <w:rFonts w:ascii="Times New Roman" w:hAnsi="Times New Roman" w:cs="Times New Roman"/>
          <w:bCs w:val="0"/>
          <w:szCs w:val="24"/>
          <w:lang w:val="en-GB"/>
        </w:rPr>
        <w:t xml:space="preserve">16.3 </w:t>
      </w:r>
      <w:r w:rsidR="00AA6854" w:rsidRPr="00F413DB">
        <w:rPr>
          <w:rFonts w:ascii="Times New Roman" w:hAnsi="Times New Roman" w:cs="Times New Roman"/>
          <w:bCs w:val="0"/>
          <w:szCs w:val="24"/>
          <w:lang w:val="en-GB"/>
        </w:rPr>
        <w:t xml:space="preserve">to </w:t>
      </w:r>
      <w:r w:rsidR="00D1730D" w:rsidRPr="00F413DB">
        <w:rPr>
          <w:rFonts w:ascii="Times New Roman" w:hAnsi="Times New Roman" w:cs="Times New Roman"/>
          <w:bCs w:val="0"/>
          <w:szCs w:val="24"/>
          <w:lang w:val="en-GB"/>
        </w:rPr>
        <w:t>1.5</w:t>
      </w:r>
      <w:r w:rsidR="003A5DB9">
        <w:rPr>
          <w:rFonts w:ascii="Times New Roman" w:hAnsi="Times New Roman" w:cs="Times New Roman"/>
          <w:bCs w:val="0"/>
          <w:szCs w:val="24"/>
          <w:lang w:val="en-GB"/>
        </w:rPr>
        <w:t xml:space="preserve"> </w:t>
      </w:r>
      <w:r w:rsidR="00D1730D" w:rsidRPr="00F413DB">
        <w:rPr>
          <w:rFonts w:ascii="Times New Roman" w:hAnsi="Times New Roman" w:cs="Times New Roman"/>
          <w:bCs w:val="0"/>
          <w:szCs w:val="24"/>
          <w:lang w:val="en-GB"/>
        </w:rPr>
        <w:t>±</w:t>
      </w:r>
      <w:r w:rsidR="003A5DB9">
        <w:rPr>
          <w:rFonts w:ascii="Times New Roman" w:hAnsi="Times New Roman" w:cs="Times New Roman"/>
          <w:bCs w:val="0"/>
          <w:szCs w:val="24"/>
          <w:lang w:val="en-GB"/>
        </w:rPr>
        <w:t xml:space="preserve"> </w:t>
      </w:r>
      <w:r w:rsidR="00D1730D" w:rsidRPr="00F413DB">
        <w:rPr>
          <w:rFonts w:ascii="Times New Roman" w:hAnsi="Times New Roman" w:cs="Times New Roman"/>
          <w:bCs w:val="0"/>
          <w:szCs w:val="24"/>
          <w:lang w:val="en-GB"/>
        </w:rPr>
        <w:t>1.0 events/person</w:t>
      </w:r>
      <w:r w:rsidR="00944C32" w:rsidRPr="00F413DB">
        <w:rPr>
          <w:rFonts w:ascii="Times New Roman" w:hAnsi="Times New Roman" w:cs="Times New Roman"/>
          <w:bCs w:val="0"/>
          <w:szCs w:val="24"/>
          <w:lang w:val="en-GB"/>
        </w:rPr>
        <w:t>-</w:t>
      </w:r>
      <w:r w:rsidR="00D1730D" w:rsidRPr="00F413DB">
        <w:rPr>
          <w:rFonts w:ascii="Times New Roman" w:hAnsi="Times New Roman" w:cs="Times New Roman"/>
          <w:bCs w:val="0"/>
          <w:szCs w:val="24"/>
          <w:lang w:val="en-GB"/>
        </w:rPr>
        <w:t xml:space="preserve">year </w:t>
      </w:r>
      <w:r w:rsidR="006D419B" w:rsidRPr="00F413DB">
        <w:rPr>
          <w:rFonts w:ascii="Times New Roman" w:hAnsi="Times New Roman" w:cs="Times New Roman"/>
          <w:bCs w:val="0"/>
          <w:szCs w:val="24"/>
          <w:lang w:val="en-GB"/>
        </w:rPr>
        <w:t>(Table 1)</w:t>
      </w:r>
      <w:r w:rsidR="003A5DB9">
        <w:rPr>
          <w:rFonts w:ascii="Times New Roman" w:hAnsi="Times New Roman" w:cs="Times New Roman"/>
          <w:bCs w:val="0"/>
          <w:szCs w:val="24"/>
          <w:lang w:val="en-GB"/>
        </w:rPr>
        <w:t>,</w:t>
      </w:r>
      <w:r w:rsidR="006D419B" w:rsidRPr="00F413DB">
        <w:rPr>
          <w:rFonts w:ascii="Times New Roman" w:hAnsi="Times New Roman" w:cs="Times New Roman"/>
          <w:bCs w:val="0"/>
          <w:szCs w:val="24"/>
          <w:lang w:val="en-GB"/>
        </w:rPr>
        <w:t xml:space="preserve"> and only 5 </w:t>
      </w:r>
      <w:r w:rsidR="00B301BE" w:rsidRPr="00F413DB">
        <w:rPr>
          <w:rFonts w:ascii="Times New Roman" w:hAnsi="Times New Roman" w:cs="Times New Roman"/>
          <w:bCs w:val="0"/>
          <w:szCs w:val="24"/>
          <w:lang w:val="en-GB"/>
        </w:rPr>
        <w:t xml:space="preserve">(18%) </w:t>
      </w:r>
      <w:r w:rsidR="007628FF" w:rsidRPr="00F413DB">
        <w:rPr>
          <w:rFonts w:ascii="Times New Roman" w:hAnsi="Times New Roman" w:cs="Times New Roman"/>
          <w:bCs w:val="0"/>
          <w:szCs w:val="24"/>
          <w:lang w:val="en-GB"/>
        </w:rPr>
        <w:t>individuals</w:t>
      </w:r>
      <w:r w:rsidRPr="00F413DB">
        <w:rPr>
          <w:rFonts w:ascii="Times New Roman" w:hAnsi="Times New Roman" w:cs="Times New Roman"/>
          <w:bCs w:val="0"/>
          <w:szCs w:val="24"/>
          <w:lang w:val="en-GB"/>
        </w:rPr>
        <w:t xml:space="preserve"> experienced</w:t>
      </w:r>
      <w:r w:rsidR="006D419B" w:rsidRPr="00F413DB">
        <w:rPr>
          <w:rFonts w:ascii="Times New Roman" w:hAnsi="Times New Roman" w:cs="Times New Roman"/>
          <w:bCs w:val="0"/>
          <w:szCs w:val="24"/>
          <w:lang w:val="en-GB"/>
        </w:rPr>
        <w:t xml:space="preserve"> more than two</w:t>
      </w:r>
      <w:r w:rsidR="00ED34FE" w:rsidRPr="00F413DB">
        <w:rPr>
          <w:rFonts w:ascii="Times New Roman" w:hAnsi="Times New Roman" w:cs="Times New Roman"/>
          <w:bCs w:val="0"/>
          <w:szCs w:val="24"/>
          <w:lang w:val="en-GB"/>
        </w:rPr>
        <w:t xml:space="preserve"> </w:t>
      </w:r>
      <w:r w:rsidR="00D1730D" w:rsidRPr="00F413DB">
        <w:rPr>
          <w:rFonts w:ascii="Times New Roman" w:hAnsi="Times New Roman" w:cs="Times New Roman"/>
          <w:bCs w:val="0"/>
          <w:szCs w:val="24"/>
          <w:lang w:val="en-GB"/>
        </w:rPr>
        <w:t>events.</w:t>
      </w:r>
      <w:r w:rsidR="003E7DFB" w:rsidRPr="00F413DB">
        <w:rPr>
          <w:rFonts w:ascii="Times New Roman" w:hAnsi="Times New Roman" w:cs="Times New Roman"/>
          <w:bCs w:val="0"/>
          <w:szCs w:val="24"/>
          <w:lang w:val="en-GB"/>
        </w:rPr>
        <w:t xml:space="preserve"> By definition</w:t>
      </w:r>
      <w:r w:rsidR="00EF02CF" w:rsidRPr="00F413DB">
        <w:rPr>
          <w:rFonts w:ascii="Times New Roman" w:hAnsi="Times New Roman" w:cs="Times New Roman"/>
          <w:bCs w:val="0"/>
          <w:szCs w:val="24"/>
          <w:lang w:val="en-GB"/>
        </w:rPr>
        <w:t xml:space="preserve">, resolution of severe </w:t>
      </w:r>
      <w:proofErr w:type="spellStart"/>
      <w:r w:rsidR="00EF02CF" w:rsidRPr="00F413DB">
        <w:rPr>
          <w:rFonts w:ascii="Times New Roman" w:hAnsi="Times New Roman" w:cs="Times New Roman"/>
          <w:bCs w:val="0"/>
          <w:szCs w:val="24"/>
          <w:lang w:val="en-GB"/>
        </w:rPr>
        <w:t>hypoglyc</w:t>
      </w:r>
      <w:r w:rsidR="003E7DFB" w:rsidRPr="00F413DB">
        <w:rPr>
          <w:rFonts w:ascii="Times New Roman" w:hAnsi="Times New Roman" w:cs="Times New Roman"/>
          <w:bCs w:val="0"/>
          <w:szCs w:val="24"/>
          <w:lang w:val="en-GB"/>
        </w:rPr>
        <w:t>emia</w:t>
      </w:r>
      <w:proofErr w:type="spellEnd"/>
      <w:r w:rsidR="003E7DFB" w:rsidRPr="00F413DB">
        <w:rPr>
          <w:rFonts w:ascii="Times New Roman" w:hAnsi="Times New Roman" w:cs="Times New Roman"/>
          <w:bCs w:val="0"/>
          <w:szCs w:val="24"/>
          <w:lang w:val="en-GB"/>
        </w:rPr>
        <w:t xml:space="preserve"> occurred in all 43 complete responders.</w:t>
      </w:r>
    </w:p>
    <w:p w14:paraId="6E7312FE" w14:textId="77777777" w:rsidR="00D35C1F" w:rsidRPr="00F413DB" w:rsidRDefault="00D35C1F" w:rsidP="00ED34FE">
      <w:pPr>
        <w:spacing w:line="480" w:lineRule="auto"/>
        <w:jc w:val="both"/>
        <w:rPr>
          <w:rFonts w:ascii="Times New Roman" w:hAnsi="Times New Roman" w:cs="Times New Roman"/>
          <w:bCs w:val="0"/>
          <w:szCs w:val="24"/>
          <w:lang w:val="en-GB"/>
        </w:rPr>
      </w:pPr>
    </w:p>
    <w:p w14:paraId="742998C2" w14:textId="535F4B10" w:rsidR="008117B7" w:rsidRDefault="00B301BE" w:rsidP="00ED34FE">
      <w:pPr>
        <w:spacing w:line="480" w:lineRule="auto"/>
        <w:jc w:val="both"/>
        <w:rPr>
          <w:rFonts w:ascii="Times New Roman" w:hAnsi="Times New Roman" w:cs="Times New Roman"/>
          <w:bCs w:val="0"/>
          <w:szCs w:val="24"/>
          <w:lang w:val="en-GB"/>
        </w:rPr>
      </w:pPr>
      <w:proofErr w:type="spellStart"/>
      <w:r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awareness at 24 months a</w:t>
      </w:r>
      <w:r w:rsidR="00140630" w:rsidRPr="00F413DB">
        <w:rPr>
          <w:rFonts w:ascii="Times New Roman" w:hAnsi="Times New Roman" w:cs="Times New Roman"/>
          <w:bCs w:val="0"/>
          <w:szCs w:val="24"/>
          <w:lang w:val="en-GB"/>
        </w:rPr>
        <w:t xml:space="preserve">ssessed by the Clarke score was </w:t>
      </w:r>
      <w:r w:rsidRPr="00F413DB">
        <w:rPr>
          <w:rFonts w:ascii="Times New Roman" w:hAnsi="Times New Roman" w:cs="Times New Roman"/>
          <w:bCs w:val="0"/>
          <w:szCs w:val="24"/>
          <w:lang w:val="en-GB"/>
        </w:rPr>
        <w:t xml:space="preserve">worse </w:t>
      </w:r>
      <w:r w:rsidR="00140630" w:rsidRPr="00F413DB">
        <w:rPr>
          <w:rFonts w:ascii="Times New Roman" w:hAnsi="Times New Roman" w:cs="Times New Roman"/>
          <w:bCs w:val="0"/>
          <w:szCs w:val="24"/>
          <w:lang w:val="en-GB"/>
        </w:rPr>
        <w:t xml:space="preserve">in </w:t>
      </w:r>
      <w:r w:rsidR="006D5D5C" w:rsidRPr="00F413DB">
        <w:rPr>
          <w:rFonts w:ascii="Times New Roman" w:hAnsi="Times New Roman" w:cs="Times New Roman"/>
          <w:bCs w:val="0"/>
          <w:szCs w:val="24"/>
          <w:lang w:val="en-GB"/>
        </w:rPr>
        <w:t xml:space="preserve">the </w:t>
      </w:r>
      <w:r w:rsidR="00140630" w:rsidRPr="00F413DB">
        <w:rPr>
          <w:rFonts w:ascii="Times New Roman" w:hAnsi="Times New Roman" w:cs="Times New Roman"/>
          <w:bCs w:val="0"/>
          <w:szCs w:val="24"/>
          <w:lang w:val="en-GB"/>
        </w:rPr>
        <w:t xml:space="preserve">incomplete response group </w:t>
      </w:r>
      <w:r w:rsidR="007628FF" w:rsidRPr="00F413DB">
        <w:rPr>
          <w:rFonts w:ascii="Times New Roman" w:hAnsi="Times New Roman" w:cs="Times New Roman"/>
          <w:bCs w:val="0"/>
          <w:szCs w:val="24"/>
          <w:lang w:val="en-GB"/>
        </w:rPr>
        <w:t>(Table 2)</w:t>
      </w:r>
      <w:r w:rsidR="00ED49DD">
        <w:rPr>
          <w:rFonts w:ascii="Times New Roman" w:hAnsi="Times New Roman" w:cs="Times New Roman"/>
          <w:bCs w:val="0"/>
          <w:szCs w:val="24"/>
          <w:lang w:val="en-GB"/>
        </w:rPr>
        <w:t>,</w:t>
      </w:r>
      <w:r w:rsidR="007628FF" w:rsidRPr="00F413DB">
        <w:rPr>
          <w:rFonts w:ascii="Times New Roman" w:hAnsi="Times New Roman" w:cs="Times New Roman"/>
          <w:bCs w:val="0"/>
          <w:szCs w:val="24"/>
          <w:lang w:val="en-GB"/>
        </w:rPr>
        <w:t xml:space="preserve"> </w:t>
      </w:r>
      <w:r w:rsidR="00140630" w:rsidRPr="00F413DB">
        <w:rPr>
          <w:rFonts w:ascii="Times New Roman" w:hAnsi="Times New Roman" w:cs="Times New Roman"/>
          <w:bCs w:val="0"/>
          <w:szCs w:val="24"/>
          <w:lang w:val="en-GB"/>
        </w:rPr>
        <w:t xml:space="preserve">with </w:t>
      </w:r>
      <w:r w:rsidRPr="00F413DB">
        <w:rPr>
          <w:rFonts w:ascii="Times New Roman" w:hAnsi="Times New Roman" w:cs="Times New Roman"/>
          <w:bCs w:val="0"/>
          <w:szCs w:val="24"/>
          <w:lang w:val="en-GB"/>
        </w:rPr>
        <w:t xml:space="preserve">unresolved impaired awareness </w:t>
      </w:r>
      <w:r w:rsidR="00140630" w:rsidRPr="00F413DB">
        <w:rPr>
          <w:rFonts w:ascii="Times New Roman" w:hAnsi="Times New Roman" w:cs="Times New Roman"/>
          <w:bCs w:val="0"/>
          <w:szCs w:val="24"/>
          <w:lang w:val="en-GB"/>
        </w:rPr>
        <w:t>(Clarke ≥4)</w:t>
      </w:r>
      <w:r w:rsidR="003E7DFB" w:rsidRPr="00F413DB">
        <w:rPr>
          <w:rFonts w:ascii="Times New Roman" w:hAnsi="Times New Roman" w:cs="Times New Roman"/>
          <w:bCs w:val="0"/>
          <w:szCs w:val="24"/>
          <w:lang w:val="en-GB"/>
        </w:rPr>
        <w:t xml:space="preserve"> reported in </w:t>
      </w:r>
      <w:r w:rsidR="00ED49DD">
        <w:rPr>
          <w:rFonts w:ascii="Times New Roman" w:hAnsi="Times New Roman" w:cs="Times New Roman"/>
          <w:bCs w:val="0"/>
          <w:szCs w:val="24"/>
          <w:lang w:val="en-GB"/>
        </w:rPr>
        <w:t>eight</w:t>
      </w:r>
      <w:r w:rsidR="00FC2A51" w:rsidRPr="00F413DB">
        <w:rPr>
          <w:rFonts w:ascii="Times New Roman" w:hAnsi="Times New Roman" w:cs="Times New Roman"/>
          <w:bCs w:val="0"/>
          <w:szCs w:val="24"/>
          <w:lang w:val="en-GB"/>
        </w:rPr>
        <w:t xml:space="preserve"> (62%</w:t>
      </w:r>
      <w:r w:rsidR="003E7DFB" w:rsidRPr="00F413DB">
        <w:rPr>
          <w:rFonts w:ascii="Times New Roman" w:hAnsi="Times New Roman" w:cs="Times New Roman"/>
          <w:bCs w:val="0"/>
          <w:szCs w:val="24"/>
          <w:lang w:val="en-GB"/>
        </w:rPr>
        <w:t xml:space="preserve">) incomplete responders versus </w:t>
      </w:r>
      <w:r w:rsidR="00ED49DD">
        <w:rPr>
          <w:rFonts w:ascii="Times New Roman" w:hAnsi="Times New Roman" w:cs="Times New Roman"/>
          <w:bCs w:val="0"/>
          <w:szCs w:val="24"/>
          <w:lang w:val="en-GB"/>
        </w:rPr>
        <w:t>nine</w:t>
      </w:r>
      <w:r w:rsidR="00FC2A51" w:rsidRPr="00F413DB">
        <w:rPr>
          <w:rFonts w:ascii="Times New Roman" w:hAnsi="Times New Roman" w:cs="Times New Roman"/>
          <w:bCs w:val="0"/>
          <w:szCs w:val="24"/>
          <w:lang w:val="en-GB"/>
        </w:rPr>
        <w:t xml:space="preserve"> </w:t>
      </w:r>
      <w:r w:rsidR="00140630" w:rsidRPr="00F413DB">
        <w:rPr>
          <w:rFonts w:ascii="Times New Roman" w:hAnsi="Times New Roman" w:cs="Times New Roman"/>
          <w:bCs w:val="0"/>
          <w:szCs w:val="24"/>
          <w:lang w:val="en-GB"/>
        </w:rPr>
        <w:t>(</w:t>
      </w:r>
      <w:r w:rsidR="00FC2A51" w:rsidRPr="00F413DB">
        <w:rPr>
          <w:rFonts w:ascii="Times New Roman" w:hAnsi="Times New Roman" w:cs="Times New Roman"/>
          <w:bCs w:val="0"/>
          <w:szCs w:val="24"/>
          <w:lang w:val="en-GB"/>
        </w:rPr>
        <w:t>29</w:t>
      </w:r>
      <w:r w:rsidR="00140630" w:rsidRPr="00F413DB">
        <w:rPr>
          <w:rFonts w:ascii="Times New Roman" w:hAnsi="Times New Roman" w:cs="Times New Roman"/>
          <w:bCs w:val="0"/>
          <w:szCs w:val="24"/>
          <w:lang w:val="en-GB"/>
        </w:rPr>
        <w:t>%) complete responders.</w:t>
      </w:r>
    </w:p>
    <w:p w14:paraId="388594DF" w14:textId="77777777" w:rsidR="0000343D" w:rsidRPr="00F413DB" w:rsidRDefault="0000343D" w:rsidP="00ED34FE">
      <w:pPr>
        <w:spacing w:line="480" w:lineRule="auto"/>
        <w:jc w:val="both"/>
        <w:rPr>
          <w:rFonts w:ascii="Times New Roman" w:hAnsi="Times New Roman" w:cs="Times New Roman"/>
          <w:bCs w:val="0"/>
          <w:szCs w:val="24"/>
          <w:lang w:val="en-GB"/>
        </w:rPr>
      </w:pPr>
    </w:p>
    <w:p w14:paraId="7AD63FF6" w14:textId="3C71DD72" w:rsidR="008117B7" w:rsidRDefault="00C57FF1" w:rsidP="00991E9B">
      <w:pPr>
        <w:spacing w:line="480" w:lineRule="auto"/>
        <w:jc w:val="both"/>
        <w:rPr>
          <w:rFonts w:ascii="Times New Roman" w:hAnsi="Times New Roman" w:cs="Times New Roman"/>
          <w:bCs w:val="0"/>
          <w:szCs w:val="24"/>
          <w:lang w:val="en-GB"/>
        </w:rPr>
      </w:pPr>
      <w:r>
        <w:rPr>
          <w:rFonts w:ascii="Times New Roman" w:hAnsi="Times New Roman" w:cs="Times New Roman"/>
          <w:bCs w:val="0"/>
          <w:szCs w:val="24"/>
          <w:lang w:val="en-GB"/>
        </w:rPr>
        <w:t xml:space="preserve">Seven-day blinded CGM profile </w:t>
      </w:r>
      <w:r w:rsidR="00327032" w:rsidRPr="00F413DB">
        <w:rPr>
          <w:rFonts w:ascii="Times New Roman" w:hAnsi="Times New Roman" w:cs="Times New Roman"/>
          <w:bCs w:val="0"/>
          <w:szCs w:val="24"/>
          <w:lang w:val="en-GB"/>
        </w:rPr>
        <w:t xml:space="preserve">before the 24-month visit showed </w:t>
      </w:r>
      <w:r w:rsidR="00B301BE" w:rsidRPr="00F413DB">
        <w:rPr>
          <w:rFonts w:ascii="Times New Roman" w:hAnsi="Times New Roman" w:cs="Times New Roman"/>
          <w:bCs w:val="0"/>
          <w:szCs w:val="24"/>
          <w:lang w:val="en-GB"/>
        </w:rPr>
        <w:t xml:space="preserve">50% </w:t>
      </w:r>
      <w:r w:rsidR="00036293" w:rsidRPr="00F413DB">
        <w:rPr>
          <w:rFonts w:ascii="Times New Roman" w:hAnsi="Times New Roman" w:cs="Times New Roman"/>
          <w:bCs w:val="0"/>
          <w:szCs w:val="24"/>
          <w:lang w:val="en-GB"/>
        </w:rPr>
        <w:t>less</w:t>
      </w:r>
      <w:r w:rsidR="00327032" w:rsidRPr="00F413DB">
        <w:rPr>
          <w:rFonts w:ascii="Times New Roman" w:hAnsi="Times New Roman" w:cs="Times New Roman"/>
          <w:bCs w:val="0"/>
          <w:szCs w:val="24"/>
          <w:lang w:val="en-GB"/>
        </w:rPr>
        <w:t xml:space="preserve"> time spent </w:t>
      </w:r>
      <w:r w:rsidR="007628FF" w:rsidRPr="00F413DB">
        <w:rPr>
          <w:rFonts w:ascii="Times New Roman" w:hAnsi="Times New Roman" w:cs="Times New Roman"/>
          <w:bCs w:val="0"/>
          <w:szCs w:val="24"/>
          <w:lang w:val="en-GB"/>
        </w:rPr>
        <w:t xml:space="preserve">with glucose </w:t>
      </w:r>
      <w:r w:rsidR="00795BC7" w:rsidRPr="00F413DB">
        <w:rPr>
          <w:rFonts w:ascii="Times New Roman" w:hAnsi="Times New Roman" w:cs="Times New Roman"/>
          <w:bCs w:val="0"/>
          <w:szCs w:val="24"/>
          <w:lang w:val="en-GB"/>
        </w:rPr>
        <w:t>≤</w:t>
      </w:r>
      <w:r w:rsidR="00327032" w:rsidRPr="00F413DB">
        <w:rPr>
          <w:rFonts w:ascii="Times New Roman" w:hAnsi="Times New Roman" w:cs="Times New Roman"/>
          <w:bCs w:val="0"/>
          <w:szCs w:val="24"/>
          <w:lang w:val="en-GB"/>
        </w:rPr>
        <w:t>3</w:t>
      </w:r>
      <w:r w:rsidR="00FA1E03" w:rsidRPr="00F413DB">
        <w:rPr>
          <w:rFonts w:ascii="Times New Roman" w:hAnsi="Times New Roman" w:cs="Times New Roman"/>
          <w:bCs w:val="0"/>
          <w:szCs w:val="24"/>
          <w:lang w:val="en-GB"/>
        </w:rPr>
        <w:t xml:space="preserve"> </w:t>
      </w:r>
      <w:proofErr w:type="spellStart"/>
      <w:r w:rsidR="00A12ADA">
        <w:rPr>
          <w:rFonts w:ascii="Times New Roman" w:hAnsi="Times New Roman" w:cs="Times New Roman"/>
          <w:bCs w:val="0"/>
          <w:szCs w:val="24"/>
          <w:lang w:val="en-GB"/>
        </w:rPr>
        <w:t>mmol</w:t>
      </w:r>
      <w:proofErr w:type="spellEnd"/>
      <w:r w:rsidR="00A12ADA">
        <w:rPr>
          <w:rFonts w:ascii="Times New Roman" w:hAnsi="Times New Roman" w:cs="Times New Roman"/>
          <w:bCs w:val="0"/>
          <w:szCs w:val="24"/>
          <w:lang w:val="en-GB"/>
        </w:rPr>
        <w:t>/L</w:t>
      </w:r>
      <w:r w:rsidR="00327032" w:rsidRPr="00F413DB">
        <w:rPr>
          <w:rFonts w:ascii="Times New Roman" w:hAnsi="Times New Roman" w:cs="Times New Roman"/>
          <w:bCs w:val="0"/>
          <w:szCs w:val="24"/>
          <w:lang w:val="en-GB"/>
        </w:rPr>
        <w:t xml:space="preserve"> </w:t>
      </w:r>
      <w:r w:rsidR="00F1238B" w:rsidRPr="00F413DB">
        <w:rPr>
          <w:rFonts w:ascii="Times New Roman" w:hAnsi="Times New Roman" w:cs="Times New Roman"/>
          <w:bCs w:val="0"/>
          <w:szCs w:val="24"/>
          <w:lang w:val="en-GB"/>
        </w:rPr>
        <w:t>in the incomplete response group</w:t>
      </w:r>
      <w:r w:rsidR="00A12ADA">
        <w:rPr>
          <w:rFonts w:ascii="Times New Roman" w:hAnsi="Times New Roman" w:cs="Times New Roman"/>
          <w:bCs w:val="0"/>
          <w:szCs w:val="24"/>
          <w:lang w:val="en-GB"/>
        </w:rPr>
        <w:t>,</w:t>
      </w:r>
      <w:r w:rsidR="00B301BE" w:rsidRPr="00F413DB">
        <w:rPr>
          <w:rFonts w:ascii="Times New Roman" w:hAnsi="Times New Roman" w:cs="Times New Roman"/>
          <w:bCs w:val="0"/>
          <w:szCs w:val="24"/>
          <w:lang w:val="en-GB"/>
        </w:rPr>
        <w:t xml:space="preserve"> although this </w:t>
      </w:r>
      <w:r w:rsidR="00327032" w:rsidRPr="00F413DB">
        <w:rPr>
          <w:rFonts w:ascii="Times New Roman" w:hAnsi="Times New Roman" w:cs="Times New Roman"/>
          <w:bCs w:val="0"/>
          <w:szCs w:val="24"/>
          <w:lang w:val="en-GB"/>
        </w:rPr>
        <w:t>did n</w:t>
      </w:r>
      <w:r w:rsidR="00FA1E03" w:rsidRPr="00F413DB">
        <w:rPr>
          <w:rFonts w:ascii="Times New Roman" w:hAnsi="Times New Roman" w:cs="Times New Roman"/>
          <w:bCs w:val="0"/>
          <w:szCs w:val="24"/>
          <w:lang w:val="en-GB"/>
        </w:rPr>
        <w:t>ot reach statistical significance</w:t>
      </w:r>
      <w:r>
        <w:rPr>
          <w:rFonts w:ascii="Times New Roman" w:hAnsi="Times New Roman" w:cs="Times New Roman"/>
          <w:bCs w:val="0"/>
          <w:szCs w:val="24"/>
          <w:lang w:val="en-GB"/>
        </w:rPr>
        <w:t xml:space="preserve"> (Table 1)</w:t>
      </w:r>
      <w:r w:rsidR="00327032" w:rsidRPr="00F413DB">
        <w:rPr>
          <w:rFonts w:ascii="Times New Roman" w:hAnsi="Times New Roman" w:cs="Times New Roman"/>
          <w:bCs w:val="0"/>
          <w:szCs w:val="24"/>
          <w:lang w:val="en-GB"/>
        </w:rPr>
        <w:t xml:space="preserve">. </w:t>
      </w:r>
      <w:r w:rsidR="00107017" w:rsidRPr="00F413DB">
        <w:rPr>
          <w:rFonts w:ascii="Times New Roman" w:hAnsi="Times New Roman" w:cs="Times New Roman"/>
          <w:bCs w:val="0"/>
          <w:szCs w:val="24"/>
          <w:lang w:val="en-GB"/>
        </w:rPr>
        <w:t xml:space="preserve">A </w:t>
      </w:r>
      <w:r>
        <w:rPr>
          <w:rFonts w:ascii="Times New Roman" w:hAnsi="Times New Roman" w:cs="Times New Roman"/>
          <w:bCs w:val="0"/>
          <w:szCs w:val="24"/>
          <w:lang w:val="en-GB"/>
        </w:rPr>
        <w:t xml:space="preserve">non-significant </w:t>
      </w:r>
      <w:r w:rsidR="00107017" w:rsidRPr="00F413DB">
        <w:rPr>
          <w:rFonts w:ascii="Times New Roman" w:hAnsi="Times New Roman" w:cs="Times New Roman"/>
          <w:bCs w:val="0"/>
          <w:szCs w:val="24"/>
          <w:lang w:val="en-GB"/>
        </w:rPr>
        <w:t xml:space="preserve">trend toward reduced glucose variability determined by </w:t>
      </w:r>
      <w:r w:rsidR="00A12ADA">
        <w:rPr>
          <w:rFonts w:ascii="Times New Roman" w:hAnsi="Times New Roman" w:cs="Times New Roman"/>
          <w:bCs w:val="0"/>
          <w:szCs w:val="24"/>
          <w:lang w:val="en-GB"/>
        </w:rPr>
        <w:t>SD</w:t>
      </w:r>
      <w:r w:rsidR="00107017" w:rsidRPr="00F413DB">
        <w:rPr>
          <w:rFonts w:ascii="Times New Roman" w:hAnsi="Times New Roman" w:cs="Times New Roman"/>
          <w:bCs w:val="0"/>
          <w:szCs w:val="24"/>
          <w:lang w:val="en-GB"/>
        </w:rPr>
        <w:t xml:space="preserve"> was seen in in</w:t>
      </w:r>
      <w:r w:rsidR="00FA3596" w:rsidRPr="00F413DB">
        <w:rPr>
          <w:rFonts w:ascii="Times New Roman" w:hAnsi="Times New Roman" w:cs="Times New Roman"/>
          <w:bCs w:val="0"/>
          <w:szCs w:val="24"/>
          <w:lang w:val="en-GB"/>
        </w:rPr>
        <w:t>complete responders</w:t>
      </w:r>
      <w:r w:rsidR="00107017" w:rsidRPr="00F413DB">
        <w:rPr>
          <w:rFonts w:ascii="Times New Roman" w:hAnsi="Times New Roman" w:cs="Times New Roman"/>
          <w:bCs w:val="0"/>
          <w:szCs w:val="24"/>
          <w:lang w:val="en-GB"/>
        </w:rPr>
        <w:t>. Other</w:t>
      </w:r>
      <w:r w:rsidR="00FA3596" w:rsidRPr="00F413DB">
        <w:rPr>
          <w:rFonts w:ascii="Times New Roman" w:hAnsi="Times New Roman" w:cs="Times New Roman"/>
          <w:bCs w:val="0"/>
          <w:szCs w:val="24"/>
          <w:lang w:val="en-GB"/>
        </w:rPr>
        <w:t xml:space="preserve"> CGM parameters including </w:t>
      </w:r>
      <w:r w:rsidR="003E7DFB" w:rsidRPr="00F413DB">
        <w:rPr>
          <w:rFonts w:ascii="Times New Roman" w:hAnsi="Times New Roman" w:cs="Times New Roman"/>
          <w:bCs w:val="0"/>
          <w:szCs w:val="24"/>
          <w:lang w:val="en-GB"/>
        </w:rPr>
        <w:t>ti</w:t>
      </w:r>
      <w:r w:rsidR="00F1238B" w:rsidRPr="00F413DB">
        <w:rPr>
          <w:rFonts w:ascii="Times New Roman" w:hAnsi="Times New Roman" w:cs="Times New Roman"/>
          <w:bCs w:val="0"/>
          <w:szCs w:val="24"/>
          <w:lang w:val="en-GB"/>
        </w:rPr>
        <w:t xml:space="preserve">me in range and time ≥10 </w:t>
      </w:r>
      <w:proofErr w:type="spellStart"/>
      <w:r w:rsidR="00F1238B" w:rsidRPr="00F413DB">
        <w:rPr>
          <w:rFonts w:ascii="Times New Roman" w:hAnsi="Times New Roman" w:cs="Times New Roman"/>
          <w:bCs w:val="0"/>
          <w:szCs w:val="24"/>
          <w:lang w:val="en-GB"/>
        </w:rPr>
        <w:t>mmol</w:t>
      </w:r>
      <w:proofErr w:type="spellEnd"/>
      <w:r w:rsidR="00F1238B" w:rsidRPr="00F413DB">
        <w:rPr>
          <w:rFonts w:ascii="Times New Roman" w:hAnsi="Times New Roman" w:cs="Times New Roman"/>
          <w:bCs w:val="0"/>
          <w:szCs w:val="24"/>
          <w:lang w:val="en-GB"/>
        </w:rPr>
        <w:t>/</w:t>
      </w:r>
      <w:r w:rsidR="00A12ADA">
        <w:rPr>
          <w:rFonts w:ascii="Times New Roman" w:hAnsi="Times New Roman" w:cs="Times New Roman"/>
          <w:bCs w:val="0"/>
          <w:szCs w:val="24"/>
          <w:lang w:val="en-GB"/>
        </w:rPr>
        <w:t>L</w:t>
      </w:r>
      <w:r w:rsidR="00FA3596" w:rsidRPr="00F413DB">
        <w:rPr>
          <w:rFonts w:ascii="Times New Roman" w:hAnsi="Times New Roman" w:cs="Times New Roman"/>
          <w:bCs w:val="0"/>
          <w:szCs w:val="24"/>
          <w:lang w:val="en-GB"/>
        </w:rPr>
        <w:t xml:space="preserve"> were comparable</w:t>
      </w:r>
      <w:r w:rsidR="00F1238B" w:rsidRPr="00F413DB">
        <w:rPr>
          <w:rFonts w:ascii="Times New Roman" w:hAnsi="Times New Roman" w:cs="Times New Roman"/>
          <w:bCs w:val="0"/>
          <w:szCs w:val="24"/>
          <w:lang w:val="en-GB"/>
        </w:rPr>
        <w:t>.</w:t>
      </w:r>
      <w:r w:rsidR="00FA1E03" w:rsidRPr="00F413DB">
        <w:rPr>
          <w:rFonts w:ascii="Times New Roman" w:hAnsi="Times New Roman" w:cs="Times New Roman"/>
          <w:bCs w:val="0"/>
          <w:szCs w:val="24"/>
          <w:lang w:val="en-GB"/>
        </w:rPr>
        <w:t xml:space="preserve"> HbA1c was </w:t>
      </w:r>
      <w:r w:rsidR="00FA3596" w:rsidRPr="00F413DB">
        <w:rPr>
          <w:rFonts w:ascii="Times New Roman" w:hAnsi="Times New Roman" w:cs="Times New Roman"/>
          <w:bCs w:val="0"/>
          <w:szCs w:val="24"/>
          <w:lang w:val="en-GB"/>
        </w:rPr>
        <w:t>similar</w:t>
      </w:r>
      <w:r w:rsidR="00FA1E03" w:rsidRPr="00F413DB">
        <w:rPr>
          <w:rFonts w:ascii="Times New Roman" w:hAnsi="Times New Roman" w:cs="Times New Roman"/>
          <w:bCs w:val="0"/>
          <w:szCs w:val="24"/>
          <w:lang w:val="en-GB"/>
        </w:rPr>
        <w:t xml:space="preserve"> between groups despite incomplete responders </w:t>
      </w:r>
      <w:r w:rsidR="00D1730D" w:rsidRPr="00F413DB">
        <w:rPr>
          <w:rFonts w:ascii="Times New Roman" w:hAnsi="Times New Roman" w:cs="Times New Roman"/>
          <w:bCs w:val="0"/>
          <w:szCs w:val="24"/>
          <w:lang w:val="en-GB"/>
        </w:rPr>
        <w:t>taking</w:t>
      </w:r>
      <w:r w:rsidR="00FD0F69" w:rsidRPr="00F413DB">
        <w:rPr>
          <w:rFonts w:ascii="Times New Roman" w:hAnsi="Times New Roman" w:cs="Times New Roman"/>
          <w:bCs w:val="0"/>
          <w:szCs w:val="24"/>
          <w:lang w:val="en-GB"/>
        </w:rPr>
        <w:t xml:space="preserve"> </w:t>
      </w:r>
      <w:r w:rsidR="00D1730D" w:rsidRPr="00F413DB">
        <w:rPr>
          <w:rFonts w:ascii="Times New Roman" w:hAnsi="Times New Roman" w:cs="Times New Roman"/>
          <w:bCs w:val="0"/>
          <w:szCs w:val="24"/>
          <w:lang w:val="en-GB"/>
        </w:rPr>
        <w:t>l</w:t>
      </w:r>
      <w:r w:rsidR="00FD0F69" w:rsidRPr="00F413DB">
        <w:rPr>
          <w:rFonts w:ascii="Times New Roman" w:hAnsi="Times New Roman" w:cs="Times New Roman"/>
          <w:bCs w:val="0"/>
          <w:szCs w:val="24"/>
          <w:lang w:val="en-GB"/>
        </w:rPr>
        <w:t>ess</w:t>
      </w:r>
      <w:r w:rsidR="00D1730D" w:rsidRPr="00F413DB">
        <w:rPr>
          <w:rFonts w:ascii="Times New Roman" w:hAnsi="Times New Roman" w:cs="Times New Roman"/>
          <w:bCs w:val="0"/>
          <w:szCs w:val="24"/>
          <w:lang w:val="en-GB"/>
        </w:rPr>
        <w:t xml:space="preserve"> </w:t>
      </w:r>
      <w:r w:rsidR="00FA1E03" w:rsidRPr="00F413DB">
        <w:rPr>
          <w:rFonts w:ascii="Times New Roman" w:hAnsi="Times New Roman" w:cs="Times New Roman"/>
          <w:bCs w:val="0"/>
          <w:szCs w:val="24"/>
          <w:lang w:val="en-GB"/>
        </w:rPr>
        <w:t xml:space="preserve">insulin. </w:t>
      </w:r>
    </w:p>
    <w:p w14:paraId="23E7FE84" w14:textId="77777777" w:rsidR="00D35C1F" w:rsidRPr="00F413DB" w:rsidRDefault="00D35C1F" w:rsidP="00991E9B">
      <w:pPr>
        <w:spacing w:line="480" w:lineRule="auto"/>
        <w:jc w:val="both"/>
        <w:rPr>
          <w:rFonts w:ascii="Times New Roman" w:hAnsi="Times New Roman" w:cs="Times New Roman"/>
          <w:bCs w:val="0"/>
          <w:szCs w:val="24"/>
          <w:lang w:val="en-GB"/>
        </w:rPr>
      </w:pPr>
    </w:p>
    <w:p w14:paraId="437F654E" w14:textId="688A13F5" w:rsidR="008117B7" w:rsidRPr="00F413DB" w:rsidRDefault="00107017" w:rsidP="00991E9B">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lastRenderedPageBreak/>
        <w:t>There was g</w:t>
      </w:r>
      <w:r w:rsidR="00D1730D" w:rsidRPr="00F413DB">
        <w:rPr>
          <w:rFonts w:ascii="Times New Roman" w:hAnsi="Times New Roman" w:cs="Times New Roman"/>
          <w:bCs w:val="0"/>
          <w:szCs w:val="24"/>
          <w:lang w:val="en-GB"/>
        </w:rPr>
        <w:t>reater</w:t>
      </w:r>
      <w:r w:rsidR="00330528" w:rsidRPr="00F413DB">
        <w:rPr>
          <w:rFonts w:ascii="Times New Roman" w:hAnsi="Times New Roman" w:cs="Times New Roman"/>
          <w:bCs w:val="0"/>
          <w:szCs w:val="24"/>
          <w:lang w:val="en-GB"/>
        </w:rPr>
        <w:t xml:space="preserve"> fear of </w:t>
      </w:r>
      <w:proofErr w:type="spellStart"/>
      <w:r w:rsidR="00330528" w:rsidRPr="00F413DB">
        <w:rPr>
          <w:rFonts w:ascii="Times New Roman" w:hAnsi="Times New Roman" w:cs="Times New Roman"/>
          <w:bCs w:val="0"/>
          <w:szCs w:val="24"/>
          <w:lang w:val="en-GB"/>
        </w:rPr>
        <w:t>hypoglyc</w:t>
      </w:r>
      <w:r w:rsidR="00ED34FE" w:rsidRPr="00F413DB">
        <w:rPr>
          <w:rFonts w:ascii="Times New Roman" w:hAnsi="Times New Roman" w:cs="Times New Roman"/>
          <w:bCs w:val="0"/>
          <w:szCs w:val="24"/>
          <w:lang w:val="en-GB"/>
        </w:rPr>
        <w:t>emia</w:t>
      </w:r>
      <w:proofErr w:type="spellEnd"/>
      <w:r w:rsidR="00ED34FE" w:rsidRPr="00F413DB">
        <w:rPr>
          <w:rFonts w:ascii="Times New Roman" w:hAnsi="Times New Roman" w:cs="Times New Roman"/>
          <w:bCs w:val="0"/>
          <w:szCs w:val="24"/>
          <w:lang w:val="en-GB"/>
        </w:rPr>
        <w:t xml:space="preserve"> </w:t>
      </w:r>
      <w:r w:rsidR="00D1730D" w:rsidRPr="00F413DB">
        <w:rPr>
          <w:rFonts w:ascii="Times New Roman" w:hAnsi="Times New Roman" w:cs="Times New Roman"/>
          <w:bCs w:val="0"/>
          <w:szCs w:val="24"/>
          <w:lang w:val="en-GB"/>
        </w:rPr>
        <w:t xml:space="preserve">in the incomplete response group </w:t>
      </w:r>
      <w:r w:rsidR="00ED34FE" w:rsidRPr="00F413DB">
        <w:rPr>
          <w:rFonts w:ascii="Times New Roman" w:hAnsi="Times New Roman" w:cs="Times New Roman"/>
          <w:bCs w:val="0"/>
          <w:szCs w:val="24"/>
          <w:lang w:val="en-GB"/>
        </w:rPr>
        <w:t>at 24 months</w:t>
      </w:r>
      <w:r w:rsidR="005E25EE" w:rsidRPr="00F413DB">
        <w:rPr>
          <w:rFonts w:ascii="Times New Roman" w:hAnsi="Times New Roman" w:cs="Times New Roman"/>
          <w:bCs w:val="0"/>
          <w:szCs w:val="24"/>
          <w:lang w:val="en-GB"/>
        </w:rPr>
        <w:t xml:space="preserve"> (Table 2)</w:t>
      </w:r>
      <w:r w:rsidR="00501269" w:rsidRPr="00F413DB">
        <w:rPr>
          <w:rFonts w:ascii="Times New Roman" w:hAnsi="Times New Roman" w:cs="Times New Roman"/>
          <w:bCs w:val="0"/>
          <w:szCs w:val="24"/>
          <w:lang w:val="en-GB"/>
        </w:rPr>
        <w:t xml:space="preserve">. </w:t>
      </w:r>
      <w:r w:rsidR="009608A3" w:rsidRPr="00F413DB">
        <w:rPr>
          <w:rFonts w:ascii="Times New Roman" w:hAnsi="Times New Roman" w:cs="Times New Roman"/>
          <w:bCs w:val="0"/>
          <w:szCs w:val="24"/>
          <w:lang w:val="en-GB"/>
        </w:rPr>
        <w:t>No difference</w:t>
      </w:r>
      <w:r w:rsidR="00193DA7">
        <w:rPr>
          <w:rFonts w:ascii="Times New Roman" w:hAnsi="Times New Roman" w:cs="Times New Roman"/>
          <w:bCs w:val="0"/>
          <w:szCs w:val="24"/>
          <w:lang w:val="en-GB"/>
        </w:rPr>
        <w:t>s</w:t>
      </w:r>
      <w:r w:rsidR="009608A3" w:rsidRPr="00F413DB">
        <w:rPr>
          <w:rFonts w:ascii="Times New Roman" w:hAnsi="Times New Roman" w:cs="Times New Roman"/>
          <w:bCs w:val="0"/>
          <w:szCs w:val="24"/>
          <w:lang w:val="en-GB"/>
        </w:rPr>
        <w:t xml:space="preserve"> w</w:t>
      </w:r>
      <w:r w:rsidR="00193DA7">
        <w:rPr>
          <w:rFonts w:ascii="Times New Roman" w:hAnsi="Times New Roman" w:cs="Times New Roman"/>
          <w:bCs w:val="0"/>
          <w:szCs w:val="24"/>
          <w:lang w:val="en-GB"/>
        </w:rPr>
        <w:t>ere</w:t>
      </w:r>
      <w:r w:rsidR="009608A3" w:rsidRPr="00F413DB">
        <w:rPr>
          <w:rFonts w:ascii="Times New Roman" w:hAnsi="Times New Roman" w:cs="Times New Roman"/>
          <w:bCs w:val="0"/>
          <w:szCs w:val="24"/>
          <w:lang w:val="en-GB"/>
        </w:rPr>
        <w:t xml:space="preserve"> observed </w:t>
      </w:r>
      <w:r w:rsidR="00193DA7">
        <w:rPr>
          <w:rFonts w:ascii="Times New Roman" w:hAnsi="Times New Roman" w:cs="Times New Roman"/>
          <w:bCs w:val="0"/>
          <w:szCs w:val="24"/>
          <w:lang w:val="en-GB"/>
        </w:rPr>
        <w:t xml:space="preserve">between groups </w:t>
      </w:r>
      <w:r w:rsidR="00534DE1" w:rsidRPr="00F413DB">
        <w:rPr>
          <w:rFonts w:ascii="Times New Roman" w:hAnsi="Times New Roman" w:cs="Times New Roman"/>
          <w:bCs w:val="0"/>
          <w:szCs w:val="24"/>
          <w:lang w:val="en-GB"/>
        </w:rPr>
        <w:t>in</w:t>
      </w:r>
      <w:r w:rsidR="009608A3" w:rsidRPr="00F413DB">
        <w:rPr>
          <w:rFonts w:ascii="Times New Roman" w:hAnsi="Times New Roman" w:cs="Times New Roman"/>
          <w:bCs w:val="0"/>
          <w:szCs w:val="24"/>
          <w:lang w:val="en-GB"/>
        </w:rPr>
        <w:t xml:space="preserve"> </w:t>
      </w:r>
      <w:r w:rsidR="00193DA7">
        <w:rPr>
          <w:rFonts w:ascii="Times New Roman" w:hAnsi="Times New Roman" w:cs="Times New Roman"/>
          <w:bCs w:val="0"/>
          <w:szCs w:val="24"/>
          <w:lang w:val="en-GB"/>
        </w:rPr>
        <w:t xml:space="preserve">the </w:t>
      </w:r>
      <w:proofErr w:type="spellStart"/>
      <w:r w:rsidR="009608A3" w:rsidRPr="00F413DB">
        <w:rPr>
          <w:rFonts w:ascii="Times New Roman" w:hAnsi="Times New Roman" w:cs="Times New Roman"/>
          <w:bCs w:val="0"/>
          <w:szCs w:val="24"/>
          <w:lang w:val="en-GB"/>
        </w:rPr>
        <w:t>h</w:t>
      </w:r>
      <w:r w:rsidR="00EF02CF" w:rsidRPr="00F413DB">
        <w:rPr>
          <w:rFonts w:ascii="Times New Roman" w:hAnsi="Times New Roman" w:cs="Times New Roman"/>
          <w:bCs w:val="0"/>
          <w:szCs w:val="24"/>
          <w:lang w:val="en-GB"/>
        </w:rPr>
        <w:t>yperglyc</w:t>
      </w:r>
      <w:r w:rsidR="00501269" w:rsidRPr="00F413DB">
        <w:rPr>
          <w:rFonts w:ascii="Times New Roman" w:hAnsi="Times New Roman" w:cs="Times New Roman"/>
          <w:bCs w:val="0"/>
          <w:szCs w:val="24"/>
          <w:lang w:val="en-GB"/>
        </w:rPr>
        <w:t>emia</w:t>
      </w:r>
      <w:proofErr w:type="spellEnd"/>
      <w:r w:rsidR="00501269" w:rsidRPr="00F413DB">
        <w:rPr>
          <w:rFonts w:ascii="Times New Roman" w:hAnsi="Times New Roman" w:cs="Times New Roman"/>
          <w:bCs w:val="0"/>
          <w:szCs w:val="24"/>
          <w:lang w:val="en-GB"/>
        </w:rPr>
        <w:t xml:space="preserve"> avoidance and</w:t>
      </w:r>
      <w:r w:rsidR="00FA1E03" w:rsidRPr="00F413DB">
        <w:rPr>
          <w:rFonts w:ascii="Times New Roman" w:hAnsi="Times New Roman" w:cs="Times New Roman"/>
          <w:bCs w:val="0"/>
          <w:szCs w:val="24"/>
          <w:lang w:val="en-GB"/>
        </w:rPr>
        <w:t xml:space="preserve"> </w:t>
      </w:r>
      <w:r w:rsidR="00193DA7">
        <w:rPr>
          <w:rFonts w:ascii="Times New Roman" w:hAnsi="Times New Roman" w:cs="Times New Roman"/>
          <w:bCs w:val="0"/>
          <w:szCs w:val="24"/>
          <w:lang w:val="en-GB"/>
        </w:rPr>
        <w:t xml:space="preserve">diabetes </w:t>
      </w:r>
      <w:r w:rsidR="00FA1E03" w:rsidRPr="00F413DB">
        <w:rPr>
          <w:rFonts w:ascii="Times New Roman" w:hAnsi="Times New Roman" w:cs="Times New Roman"/>
          <w:bCs w:val="0"/>
          <w:szCs w:val="24"/>
          <w:lang w:val="en-GB"/>
        </w:rPr>
        <w:t xml:space="preserve">treatment satisfaction </w:t>
      </w:r>
      <w:r w:rsidR="00193DA7">
        <w:rPr>
          <w:rFonts w:ascii="Times New Roman" w:hAnsi="Times New Roman" w:cs="Times New Roman"/>
          <w:bCs w:val="0"/>
          <w:szCs w:val="24"/>
          <w:lang w:val="en-GB"/>
        </w:rPr>
        <w:t>score</w:t>
      </w:r>
      <w:r w:rsidR="00FA1E03" w:rsidRPr="00F413DB">
        <w:rPr>
          <w:rFonts w:ascii="Times New Roman" w:hAnsi="Times New Roman" w:cs="Times New Roman"/>
          <w:bCs w:val="0"/>
          <w:szCs w:val="24"/>
          <w:lang w:val="en-GB"/>
        </w:rPr>
        <w:t>s</w:t>
      </w:r>
      <w:r w:rsidR="00534DE1" w:rsidRPr="00F413DB">
        <w:rPr>
          <w:rFonts w:ascii="Times New Roman" w:hAnsi="Times New Roman" w:cs="Times New Roman"/>
          <w:bCs w:val="0"/>
          <w:szCs w:val="24"/>
          <w:lang w:val="en-GB"/>
        </w:rPr>
        <w:t>.</w:t>
      </w:r>
    </w:p>
    <w:p w14:paraId="29910460" w14:textId="77777777" w:rsidR="00411495" w:rsidRDefault="00411495" w:rsidP="00991E9B">
      <w:pPr>
        <w:spacing w:line="480" w:lineRule="auto"/>
        <w:jc w:val="both"/>
        <w:outlineLvl w:val="0"/>
        <w:rPr>
          <w:rFonts w:ascii="Times New Roman" w:hAnsi="Times New Roman" w:cs="Times New Roman"/>
          <w:bCs w:val="0"/>
          <w:szCs w:val="24"/>
          <w:lang w:val="en-GB"/>
        </w:rPr>
      </w:pPr>
    </w:p>
    <w:p w14:paraId="588A0665" w14:textId="0B3074DD" w:rsidR="002D7575" w:rsidRPr="00411495" w:rsidRDefault="006F5838" w:rsidP="00991E9B">
      <w:pPr>
        <w:spacing w:line="480" w:lineRule="auto"/>
        <w:jc w:val="both"/>
        <w:outlineLvl w:val="0"/>
        <w:rPr>
          <w:rFonts w:ascii="Times New Roman" w:hAnsi="Times New Roman" w:cs="Times New Roman"/>
          <w:b/>
          <w:bCs w:val="0"/>
          <w:szCs w:val="24"/>
          <w:lang w:val="en-GB"/>
        </w:rPr>
      </w:pPr>
      <w:r w:rsidRPr="00411495">
        <w:rPr>
          <w:rFonts w:ascii="Times New Roman" w:hAnsi="Times New Roman" w:cs="Times New Roman"/>
          <w:b/>
          <w:bCs w:val="0"/>
          <w:szCs w:val="24"/>
          <w:lang w:val="en-GB"/>
        </w:rPr>
        <w:t>C</w:t>
      </w:r>
      <w:r w:rsidR="004F3FF2" w:rsidRPr="00411495">
        <w:rPr>
          <w:rFonts w:ascii="Times New Roman" w:hAnsi="Times New Roman" w:cs="Times New Roman"/>
          <w:b/>
          <w:bCs w:val="0"/>
          <w:szCs w:val="24"/>
          <w:lang w:val="en-GB"/>
        </w:rPr>
        <w:t>omparison</w:t>
      </w:r>
      <w:r w:rsidR="003B2756">
        <w:rPr>
          <w:rFonts w:ascii="Times New Roman" w:hAnsi="Times New Roman" w:cs="Times New Roman"/>
          <w:b/>
          <w:bCs w:val="0"/>
          <w:szCs w:val="24"/>
          <w:lang w:val="en-GB"/>
        </w:rPr>
        <w:t xml:space="preserve"> of B</w:t>
      </w:r>
      <w:r w:rsidRPr="00411495">
        <w:rPr>
          <w:rFonts w:ascii="Times New Roman" w:hAnsi="Times New Roman" w:cs="Times New Roman"/>
          <w:b/>
          <w:bCs w:val="0"/>
          <w:szCs w:val="24"/>
          <w:lang w:val="en-GB"/>
        </w:rPr>
        <w:t xml:space="preserve">aseline </w:t>
      </w:r>
      <w:r w:rsidR="003B2756">
        <w:rPr>
          <w:rFonts w:ascii="Times New Roman" w:hAnsi="Times New Roman" w:cs="Times New Roman"/>
          <w:b/>
          <w:bCs w:val="0"/>
          <w:szCs w:val="24"/>
          <w:lang w:val="en-GB"/>
        </w:rPr>
        <w:t>M</w:t>
      </w:r>
      <w:r w:rsidRPr="00411495">
        <w:rPr>
          <w:rFonts w:ascii="Times New Roman" w:hAnsi="Times New Roman" w:cs="Times New Roman"/>
          <w:b/>
          <w:bCs w:val="0"/>
          <w:szCs w:val="24"/>
          <w:lang w:val="en-GB"/>
        </w:rPr>
        <w:t xml:space="preserve">etabolic </w:t>
      </w:r>
      <w:r w:rsidR="003B2756">
        <w:rPr>
          <w:rFonts w:ascii="Times New Roman" w:hAnsi="Times New Roman" w:cs="Times New Roman"/>
          <w:b/>
          <w:bCs w:val="0"/>
          <w:szCs w:val="24"/>
          <w:lang w:val="en-GB"/>
        </w:rPr>
        <w:t>P</w:t>
      </w:r>
      <w:r w:rsidR="00B301BE" w:rsidRPr="00411495">
        <w:rPr>
          <w:rFonts w:ascii="Times New Roman" w:hAnsi="Times New Roman" w:cs="Times New Roman"/>
          <w:b/>
          <w:bCs w:val="0"/>
          <w:szCs w:val="24"/>
          <w:lang w:val="en-GB"/>
        </w:rPr>
        <w:t>arameters</w:t>
      </w:r>
      <w:r w:rsidR="004D6272">
        <w:rPr>
          <w:rFonts w:ascii="Times New Roman" w:hAnsi="Times New Roman" w:cs="Times New Roman"/>
          <w:b/>
          <w:bCs w:val="0"/>
          <w:szCs w:val="24"/>
          <w:lang w:val="en-GB"/>
        </w:rPr>
        <w:t xml:space="preserve"> </w:t>
      </w:r>
      <w:r w:rsidR="00035A83">
        <w:rPr>
          <w:rFonts w:ascii="Times New Roman" w:hAnsi="Times New Roman" w:cs="Times New Roman"/>
          <w:b/>
          <w:bCs w:val="0"/>
          <w:szCs w:val="24"/>
          <w:lang w:val="en-GB"/>
        </w:rPr>
        <w:t xml:space="preserve">and </w:t>
      </w:r>
      <w:proofErr w:type="spellStart"/>
      <w:r w:rsidR="003B2756">
        <w:rPr>
          <w:rFonts w:ascii="Times New Roman" w:hAnsi="Times New Roman" w:cs="Times New Roman"/>
          <w:b/>
          <w:bCs w:val="0"/>
          <w:szCs w:val="24"/>
          <w:lang w:val="en-GB"/>
        </w:rPr>
        <w:t>H</w:t>
      </w:r>
      <w:r w:rsidR="004D6272">
        <w:rPr>
          <w:rFonts w:ascii="Times New Roman" w:hAnsi="Times New Roman" w:cs="Times New Roman"/>
          <w:b/>
          <w:bCs w:val="0"/>
          <w:szCs w:val="24"/>
          <w:lang w:val="en-GB"/>
        </w:rPr>
        <w:t>ypoglycemia</w:t>
      </w:r>
      <w:proofErr w:type="spellEnd"/>
      <w:r w:rsidR="004D6272">
        <w:rPr>
          <w:rFonts w:ascii="Times New Roman" w:hAnsi="Times New Roman" w:cs="Times New Roman"/>
          <w:b/>
          <w:bCs w:val="0"/>
          <w:szCs w:val="24"/>
          <w:lang w:val="en-GB"/>
        </w:rPr>
        <w:t xml:space="preserve"> / </w:t>
      </w:r>
      <w:proofErr w:type="spellStart"/>
      <w:r w:rsidR="003B2756">
        <w:rPr>
          <w:rFonts w:ascii="Times New Roman" w:hAnsi="Times New Roman" w:cs="Times New Roman"/>
          <w:b/>
          <w:bCs w:val="0"/>
          <w:szCs w:val="24"/>
          <w:lang w:val="en-GB"/>
        </w:rPr>
        <w:t>H</w:t>
      </w:r>
      <w:r w:rsidR="004D6272">
        <w:rPr>
          <w:rFonts w:ascii="Times New Roman" w:hAnsi="Times New Roman" w:cs="Times New Roman"/>
          <w:b/>
          <w:bCs w:val="0"/>
          <w:szCs w:val="24"/>
          <w:lang w:val="en-GB"/>
        </w:rPr>
        <w:t>yperglycemia</w:t>
      </w:r>
      <w:proofErr w:type="spellEnd"/>
      <w:r w:rsidR="004D6272">
        <w:rPr>
          <w:rFonts w:ascii="Times New Roman" w:hAnsi="Times New Roman" w:cs="Times New Roman"/>
          <w:b/>
          <w:bCs w:val="0"/>
          <w:szCs w:val="24"/>
          <w:lang w:val="en-GB"/>
        </w:rPr>
        <w:t xml:space="preserve"> / </w:t>
      </w:r>
      <w:r w:rsidR="003B2756">
        <w:rPr>
          <w:rFonts w:ascii="Times New Roman" w:hAnsi="Times New Roman" w:cs="Times New Roman"/>
          <w:b/>
          <w:bCs w:val="0"/>
          <w:szCs w:val="24"/>
          <w:lang w:val="en-GB"/>
        </w:rPr>
        <w:t>Treatment Satisfaction Q</w:t>
      </w:r>
      <w:r w:rsidR="004D6272">
        <w:rPr>
          <w:rFonts w:ascii="Times New Roman" w:hAnsi="Times New Roman" w:cs="Times New Roman"/>
          <w:b/>
          <w:bCs w:val="0"/>
          <w:szCs w:val="24"/>
          <w:lang w:val="en-GB"/>
        </w:rPr>
        <w:t xml:space="preserve">uestionnaires </w:t>
      </w:r>
      <w:r w:rsidR="003B2756">
        <w:rPr>
          <w:rFonts w:ascii="Times New Roman" w:hAnsi="Times New Roman" w:cs="Times New Roman"/>
          <w:b/>
          <w:bCs w:val="0"/>
          <w:szCs w:val="24"/>
          <w:lang w:val="en-GB"/>
        </w:rPr>
        <w:t>as Potential P</w:t>
      </w:r>
      <w:r w:rsidR="002248E5" w:rsidRPr="00411495">
        <w:rPr>
          <w:rFonts w:ascii="Times New Roman" w:hAnsi="Times New Roman" w:cs="Times New Roman"/>
          <w:b/>
          <w:bCs w:val="0"/>
          <w:szCs w:val="24"/>
          <w:lang w:val="en-GB"/>
        </w:rPr>
        <w:t>r</w:t>
      </w:r>
      <w:r w:rsidR="00B2484C" w:rsidRPr="00411495">
        <w:rPr>
          <w:rFonts w:ascii="Times New Roman" w:hAnsi="Times New Roman" w:cs="Times New Roman"/>
          <w:b/>
          <w:bCs w:val="0"/>
          <w:szCs w:val="24"/>
          <w:lang w:val="en-GB"/>
        </w:rPr>
        <w:t>e</w:t>
      </w:r>
      <w:r w:rsidR="002248E5" w:rsidRPr="00411495">
        <w:rPr>
          <w:rFonts w:ascii="Times New Roman" w:hAnsi="Times New Roman" w:cs="Times New Roman"/>
          <w:b/>
          <w:bCs w:val="0"/>
          <w:szCs w:val="24"/>
          <w:lang w:val="en-GB"/>
        </w:rPr>
        <w:t xml:space="preserve">dictors of </w:t>
      </w:r>
      <w:r w:rsidR="003B2756">
        <w:rPr>
          <w:rFonts w:ascii="Times New Roman" w:hAnsi="Times New Roman" w:cs="Times New Roman"/>
          <w:b/>
          <w:bCs w:val="0"/>
          <w:szCs w:val="24"/>
          <w:lang w:val="en-GB"/>
        </w:rPr>
        <w:t>Incomplete and Complete R</w:t>
      </w:r>
      <w:r w:rsidR="00B301BE" w:rsidRPr="00411495">
        <w:rPr>
          <w:rFonts w:ascii="Times New Roman" w:hAnsi="Times New Roman" w:cs="Times New Roman"/>
          <w:b/>
          <w:bCs w:val="0"/>
          <w:szCs w:val="24"/>
          <w:lang w:val="en-GB"/>
        </w:rPr>
        <w:t>espon</w:t>
      </w:r>
      <w:r w:rsidR="002248E5" w:rsidRPr="00411495">
        <w:rPr>
          <w:rFonts w:ascii="Times New Roman" w:hAnsi="Times New Roman" w:cs="Times New Roman"/>
          <w:b/>
          <w:bCs w:val="0"/>
          <w:szCs w:val="24"/>
          <w:lang w:val="en-GB"/>
        </w:rPr>
        <w:t>se</w:t>
      </w:r>
      <w:r w:rsidRPr="00411495">
        <w:rPr>
          <w:rFonts w:ascii="Times New Roman" w:hAnsi="Times New Roman" w:cs="Times New Roman"/>
          <w:b/>
          <w:bCs w:val="0"/>
          <w:szCs w:val="24"/>
          <w:lang w:val="en-GB"/>
        </w:rPr>
        <w:t xml:space="preserve"> </w:t>
      </w:r>
    </w:p>
    <w:p w14:paraId="6E76C953" w14:textId="59C59644" w:rsidR="00BA0FD9" w:rsidRPr="00F413DB" w:rsidRDefault="00BA0FD9" w:rsidP="00BA0FD9">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All participants in th</w:t>
      </w:r>
      <w:r w:rsidR="002248E5" w:rsidRPr="00F413DB">
        <w:rPr>
          <w:rFonts w:ascii="Times New Roman" w:hAnsi="Times New Roman" w:cs="Times New Roman"/>
          <w:bCs w:val="0"/>
          <w:szCs w:val="24"/>
          <w:lang w:val="en-GB"/>
        </w:rPr>
        <w:t xml:space="preserve">is </w:t>
      </w:r>
      <w:r w:rsidRPr="00F413DB">
        <w:rPr>
          <w:rFonts w:ascii="Times New Roman" w:hAnsi="Times New Roman" w:cs="Times New Roman"/>
          <w:bCs w:val="0"/>
          <w:szCs w:val="24"/>
          <w:lang w:val="en-GB"/>
        </w:rPr>
        <w:t xml:space="preserve">analysis </w:t>
      </w:r>
      <w:r w:rsidR="005C5863" w:rsidRPr="00F413DB">
        <w:rPr>
          <w:rFonts w:ascii="Times New Roman" w:hAnsi="Times New Roman" w:cs="Times New Roman"/>
          <w:bCs w:val="0"/>
          <w:szCs w:val="24"/>
          <w:lang w:val="en-GB"/>
        </w:rPr>
        <w:t>had</w:t>
      </w:r>
      <w:r w:rsidR="00EF02CF" w:rsidRPr="00F413DB">
        <w:rPr>
          <w:rFonts w:ascii="Times New Roman" w:hAnsi="Times New Roman" w:cs="Times New Roman"/>
          <w:bCs w:val="0"/>
          <w:szCs w:val="24"/>
          <w:lang w:val="en-GB"/>
        </w:rPr>
        <w:t xml:space="preserve"> at least one severe </w:t>
      </w:r>
      <w:proofErr w:type="spellStart"/>
      <w:r w:rsidR="00EF02CF"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event </w:t>
      </w:r>
      <w:r w:rsidR="002248E5" w:rsidRPr="00F413DB">
        <w:rPr>
          <w:rFonts w:ascii="Times New Roman" w:hAnsi="Times New Roman" w:cs="Times New Roman"/>
          <w:bCs w:val="0"/>
          <w:szCs w:val="24"/>
          <w:lang w:val="en-GB"/>
        </w:rPr>
        <w:t xml:space="preserve">over the 12 months </w:t>
      </w:r>
      <w:r w:rsidRPr="00F413DB">
        <w:rPr>
          <w:rFonts w:ascii="Times New Roman" w:hAnsi="Times New Roman" w:cs="Times New Roman"/>
          <w:bCs w:val="0"/>
          <w:szCs w:val="24"/>
          <w:lang w:val="en-GB"/>
        </w:rPr>
        <w:t>preceding the RCT</w:t>
      </w:r>
      <w:r w:rsidR="00303521" w:rsidRPr="00F413DB">
        <w:rPr>
          <w:rFonts w:ascii="Times New Roman" w:hAnsi="Times New Roman" w:cs="Times New Roman"/>
          <w:bCs w:val="0"/>
          <w:szCs w:val="24"/>
          <w:lang w:val="en-GB"/>
        </w:rPr>
        <w:t>.</w:t>
      </w:r>
      <w:r w:rsidR="002248E5" w:rsidRPr="00F413DB">
        <w:rPr>
          <w:rFonts w:ascii="Times New Roman" w:hAnsi="Times New Roman" w:cs="Times New Roman"/>
          <w:bCs w:val="0"/>
          <w:szCs w:val="24"/>
          <w:lang w:val="en-GB"/>
        </w:rPr>
        <w:t xml:space="preserve"> H</w:t>
      </w:r>
      <w:r w:rsidRPr="00F413DB">
        <w:rPr>
          <w:rFonts w:ascii="Times New Roman" w:hAnsi="Times New Roman" w:cs="Times New Roman"/>
          <w:bCs w:val="0"/>
          <w:szCs w:val="24"/>
          <w:lang w:val="en-GB"/>
        </w:rPr>
        <w:t>owever</w:t>
      </w:r>
      <w:r w:rsidR="002248E5" w:rsidRPr="00F413DB">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incomplete responders experienced a </w:t>
      </w:r>
      <w:r w:rsidR="00EF02CF" w:rsidRPr="00F413DB">
        <w:rPr>
          <w:rFonts w:ascii="Times New Roman" w:hAnsi="Times New Roman" w:cs="Times New Roman"/>
          <w:bCs w:val="0"/>
          <w:szCs w:val="24"/>
          <w:lang w:val="en-GB"/>
        </w:rPr>
        <w:t>higher number of</w:t>
      </w:r>
      <w:r w:rsidRPr="00F413DB">
        <w:rPr>
          <w:rFonts w:ascii="Times New Roman" w:hAnsi="Times New Roman" w:cs="Times New Roman"/>
          <w:bCs w:val="0"/>
          <w:szCs w:val="24"/>
          <w:lang w:val="en-GB"/>
        </w:rPr>
        <w:t xml:space="preserve"> events</w:t>
      </w:r>
      <w:r w:rsidR="002007AB">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with 16.9</w:t>
      </w:r>
      <w:r w:rsidR="002007AB">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w:t>
      </w:r>
      <w:r w:rsidR="002007AB">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 xml:space="preserve">16.3 </w:t>
      </w:r>
      <w:r w:rsidR="002007AB">
        <w:rPr>
          <w:rFonts w:ascii="Times New Roman" w:hAnsi="Times New Roman" w:cs="Times New Roman"/>
          <w:bCs w:val="0"/>
          <w:szCs w:val="24"/>
          <w:lang w:val="en-GB"/>
        </w:rPr>
        <w:t>vs.</w:t>
      </w:r>
      <w:r w:rsidRPr="00F413DB">
        <w:rPr>
          <w:rFonts w:ascii="Times New Roman" w:hAnsi="Times New Roman" w:cs="Times New Roman"/>
          <w:bCs w:val="0"/>
          <w:szCs w:val="24"/>
          <w:lang w:val="en-GB"/>
        </w:rPr>
        <w:t xml:space="preserve"> 6.4</w:t>
      </w:r>
      <w:r w:rsidR="002007AB">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w:t>
      </w:r>
      <w:r w:rsidR="002007AB">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10.8 events/p</w:t>
      </w:r>
      <w:r w:rsidR="00944C32" w:rsidRPr="00F413DB">
        <w:rPr>
          <w:rFonts w:ascii="Times New Roman" w:hAnsi="Times New Roman" w:cs="Times New Roman"/>
          <w:bCs w:val="0"/>
          <w:szCs w:val="24"/>
          <w:lang w:val="en-GB"/>
        </w:rPr>
        <w:t>erson-</w:t>
      </w:r>
      <w:r w:rsidRPr="00F413DB">
        <w:rPr>
          <w:rFonts w:ascii="Times New Roman" w:hAnsi="Times New Roman" w:cs="Times New Roman"/>
          <w:bCs w:val="0"/>
          <w:szCs w:val="24"/>
          <w:lang w:val="en-GB"/>
        </w:rPr>
        <w:t xml:space="preserve">year </w:t>
      </w:r>
      <w:r w:rsidR="002007AB">
        <w:rPr>
          <w:rFonts w:ascii="Times New Roman" w:hAnsi="Times New Roman" w:cs="Times New Roman"/>
          <w:bCs w:val="0"/>
          <w:szCs w:val="24"/>
          <w:lang w:val="en-GB"/>
        </w:rPr>
        <w:t xml:space="preserve">for complete responders </w:t>
      </w:r>
      <w:r w:rsidR="005E25EE" w:rsidRPr="00F413DB">
        <w:rPr>
          <w:rFonts w:ascii="Times New Roman" w:hAnsi="Times New Roman" w:cs="Times New Roman"/>
          <w:bCs w:val="0"/>
          <w:szCs w:val="24"/>
          <w:lang w:val="en-GB"/>
        </w:rPr>
        <w:t>(Table 1</w:t>
      </w:r>
      <w:r w:rsidR="00EF02CF" w:rsidRPr="00F413DB">
        <w:rPr>
          <w:rFonts w:ascii="Times New Roman" w:hAnsi="Times New Roman" w:cs="Times New Roman"/>
          <w:bCs w:val="0"/>
          <w:szCs w:val="24"/>
          <w:lang w:val="en-GB"/>
        </w:rPr>
        <w:t xml:space="preserve">). </w:t>
      </w:r>
      <w:r w:rsidR="00402D0C" w:rsidRPr="00F413DB">
        <w:rPr>
          <w:rFonts w:ascii="Times New Roman" w:hAnsi="Times New Roman" w:cs="Times New Roman"/>
          <w:bCs w:val="0"/>
          <w:szCs w:val="24"/>
          <w:lang w:val="en-GB"/>
        </w:rPr>
        <w:t>Substantial and comparable proportions of participant</w:t>
      </w:r>
      <w:r w:rsidR="002007AB">
        <w:rPr>
          <w:rFonts w:ascii="Times New Roman" w:hAnsi="Times New Roman" w:cs="Times New Roman"/>
          <w:bCs w:val="0"/>
          <w:szCs w:val="24"/>
          <w:lang w:val="en-GB"/>
        </w:rPr>
        <w:t>s in both groups reported third-</w:t>
      </w:r>
      <w:r w:rsidR="00402D0C" w:rsidRPr="00F413DB">
        <w:rPr>
          <w:rFonts w:ascii="Times New Roman" w:hAnsi="Times New Roman" w:cs="Times New Roman"/>
          <w:bCs w:val="0"/>
          <w:szCs w:val="24"/>
          <w:lang w:val="en-GB"/>
        </w:rPr>
        <w:t>party glucagon administration, paramedic attendance</w:t>
      </w:r>
      <w:r w:rsidR="002007AB">
        <w:rPr>
          <w:rFonts w:ascii="Times New Roman" w:hAnsi="Times New Roman" w:cs="Times New Roman"/>
          <w:bCs w:val="0"/>
          <w:szCs w:val="24"/>
          <w:lang w:val="en-GB"/>
        </w:rPr>
        <w:t>,</w:t>
      </w:r>
      <w:r w:rsidR="00402D0C" w:rsidRPr="00F413DB">
        <w:rPr>
          <w:rFonts w:ascii="Times New Roman" w:hAnsi="Times New Roman" w:cs="Times New Roman"/>
          <w:bCs w:val="0"/>
          <w:szCs w:val="24"/>
          <w:lang w:val="en-GB"/>
        </w:rPr>
        <w:t xml:space="preserve"> and hospital attendance (Table 3). </w:t>
      </w:r>
      <w:r w:rsidR="00EF02CF" w:rsidRPr="00F413DB">
        <w:rPr>
          <w:rFonts w:ascii="Times New Roman" w:hAnsi="Times New Roman" w:cs="Times New Roman"/>
          <w:bCs w:val="0"/>
          <w:szCs w:val="24"/>
          <w:lang w:val="en-GB"/>
        </w:rPr>
        <w:t xml:space="preserve">Impaired awareness of </w:t>
      </w:r>
      <w:proofErr w:type="spellStart"/>
      <w:r w:rsidR="00EF02CF"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was an RCT inclusion criteri</w:t>
      </w:r>
      <w:r w:rsidR="0065599A" w:rsidRPr="00F413DB">
        <w:rPr>
          <w:rFonts w:ascii="Times New Roman" w:hAnsi="Times New Roman" w:cs="Times New Roman"/>
          <w:bCs w:val="0"/>
          <w:szCs w:val="24"/>
          <w:lang w:val="en-GB"/>
        </w:rPr>
        <w:t>on</w:t>
      </w:r>
      <w:r w:rsidR="002007AB">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with no statistical difference between groups at baseline</w:t>
      </w:r>
      <w:r w:rsidR="00402D0C" w:rsidRPr="00F413DB">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w:t>
      </w:r>
    </w:p>
    <w:p w14:paraId="5E165822" w14:textId="77777777" w:rsidR="00BA0FD9" w:rsidRPr="00F413DB" w:rsidRDefault="00BA0FD9" w:rsidP="00BA0FD9">
      <w:pPr>
        <w:spacing w:line="480" w:lineRule="auto"/>
        <w:jc w:val="both"/>
        <w:rPr>
          <w:rFonts w:ascii="Times New Roman" w:hAnsi="Times New Roman" w:cs="Times New Roman"/>
          <w:bCs w:val="0"/>
          <w:szCs w:val="24"/>
          <w:lang w:val="en-GB"/>
        </w:rPr>
      </w:pPr>
    </w:p>
    <w:p w14:paraId="1A3FE83F" w14:textId="0F7FB5AD" w:rsidR="00BA0FD9" w:rsidRPr="00F413DB" w:rsidRDefault="00BA0FD9" w:rsidP="00BA0FD9">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CGM parameters obtained from the 7-day period of blinded CGM preceding the baseline visit were comparable </w:t>
      </w:r>
      <w:r w:rsidR="007553EC" w:rsidRPr="00F413DB">
        <w:rPr>
          <w:rFonts w:ascii="Times New Roman" w:hAnsi="Times New Roman" w:cs="Times New Roman"/>
          <w:bCs w:val="0"/>
          <w:szCs w:val="24"/>
          <w:lang w:val="en-GB"/>
        </w:rPr>
        <w:t xml:space="preserve">in incomplete and complete responders.  </w:t>
      </w:r>
      <w:r w:rsidR="00B70C25" w:rsidRPr="00F413DB">
        <w:rPr>
          <w:rFonts w:ascii="Times New Roman" w:hAnsi="Times New Roman" w:cs="Times New Roman"/>
          <w:bCs w:val="0"/>
          <w:szCs w:val="24"/>
          <w:lang w:val="en-GB"/>
        </w:rPr>
        <w:t>HbA1c and insulin doses wer</w:t>
      </w:r>
      <w:r w:rsidR="00FC2A51" w:rsidRPr="00F413DB">
        <w:rPr>
          <w:rFonts w:ascii="Times New Roman" w:hAnsi="Times New Roman" w:cs="Times New Roman"/>
          <w:bCs w:val="0"/>
          <w:szCs w:val="24"/>
          <w:lang w:val="en-GB"/>
        </w:rPr>
        <w:t>e similar</w:t>
      </w:r>
      <w:r w:rsidR="007553EC" w:rsidRPr="00F413DB">
        <w:rPr>
          <w:rFonts w:ascii="Times New Roman" w:hAnsi="Times New Roman" w:cs="Times New Roman"/>
          <w:bCs w:val="0"/>
          <w:szCs w:val="24"/>
          <w:lang w:val="en-GB"/>
        </w:rPr>
        <w:t xml:space="preserve"> at study commencement</w:t>
      </w:r>
      <w:r w:rsidR="001D3BA6">
        <w:rPr>
          <w:rFonts w:ascii="Times New Roman" w:hAnsi="Times New Roman" w:cs="Times New Roman"/>
          <w:bCs w:val="0"/>
          <w:szCs w:val="24"/>
          <w:lang w:val="en-GB"/>
        </w:rPr>
        <w:t>,</w:t>
      </w:r>
      <w:r w:rsidR="007553EC" w:rsidRPr="00F413DB">
        <w:rPr>
          <w:rFonts w:ascii="Times New Roman" w:hAnsi="Times New Roman" w:cs="Times New Roman"/>
          <w:bCs w:val="0"/>
          <w:szCs w:val="24"/>
          <w:lang w:val="en-GB"/>
        </w:rPr>
        <w:t xml:space="preserve"> with baseline HbA1c &lt;8% in 1</w:t>
      </w:r>
      <w:r w:rsidR="000E77AB" w:rsidRPr="00F413DB">
        <w:rPr>
          <w:rFonts w:ascii="Times New Roman" w:hAnsi="Times New Roman" w:cs="Times New Roman"/>
          <w:bCs w:val="0"/>
          <w:szCs w:val="24"/>
          <w:lang w:val="en-GB"/>
        </w:rPr>
        <w:t>2</w:t>
      </w:r>
      <w:r w:rsidR="007553EC" w:rsidRPr="00F413DB">
        <w:rPr>
          <w:rFonts w:ascii="Times New Roman" w:hAnsi="Times New Roman" w:cs="Times New Roman"/>
          <w:bCs w:val="0"/>
          <w:szCs w:val="24"/>
          <w:lang w:val="en-GB"/>
        </w:rPr>
        <w:t xml:space="preserve"> (4</w:t>
      </w:r>
      <w:r w:rsidR="000E77AB" w:rsidRPr="00F413DB">
        <w:rPr>
          <w:rFonts w:ascii="Times New Roman" w:hAnsi="Times New Roman" w:cs="Times New Roman"/>
          <w:bCs w:val="0"/>
          <w:szCs w:val="24"/>
          <w:lang w:val="en-GB"/>
        </w:rPr>
        <w:t>3</w:t>
      </w:r>
      <w:r w:rsidR="007553EC" w:rsidRPr="00F413DB">
        <w:rPr>
          <w:rFonts w:ascii="Times New Roman" w:hAnsi="Times New Roman" w:cs="Times New Roman"/>
          <w:bCs w:val="0"/>
          <w:szCs w:val="24"/>
          <w:lang w:val="en-GB"/>
        </w:rPr>
        <w:t>%) incomplete responders and 2</w:t>
      </w:r>
      <w:r w:rsidR="000E77AB" w:rsidRPr="00F413DB">
        <w:rPr>
          <w:rFonts w:ascii="Times New Roman" w:hAnsi="Times New Roman" w:cs="Times New Roman"/>
          <w:bCs w:val="0"/>
          <w:szCs w:val="24"/>
          <w:lang w:val="en-GB"/>
        </w:rPr>
        <w:t>0</w:t>
      </w:r>
      <w:r w:rsidR="007553EC" w:rsidRPr="00F413DB">
        <w:rPr>
          <w:rFonts w:ascii="Times New Roman" w:hAnsi="Times New Roman" w:cs="Times New Roman"/>
          <w:bCs w:val="0"/>
          <w:szCs w:val="24"/>
          <w:lang w:val="en-GB"/>
        </w:rPr>
        <w:t xml:space="preserve"> (</w:t>
      </w:r>
      <w:r w:rsidR="0000343D">
        <w:rPr>
          <w:rFonts w:ascii="Times New Roman" w:hAnsi="Times New Roman" w:cs="Times New Roman"/>
          <w:bCs w:val="0"/>
          <w:szCs w:val="24"/>
          <w:lang w:val="en-GB"/>
        </w:rPr>
        <w:t>47</w:t>
      </w:r>
      <w:r w:rsidR="007553EC" w:rsidRPr="00F413DB">
        <w:rPr>
          <w:rFonts w:ascii="Times New Roman" w:hAnsi="Times New Roman" w:cs="Times New Roman"/>
          <w:bCs w:val="0"/>
          <w:szCs w:val="24"/>
          <w:lang w:val="en-GB"/>
        </w:rPr>
        <w:t>%) complete responders</w:t>
      </w:r>
      <w:r w:rsidR="000C774B" w:rsidRPr="00F413DB">
        <w:rPr>
          <w:rFonts w:ascii="Times New Roman" w:hAnsi="Times New Roman" w:cs="Times New Roman"/>
          <w:bCs w:val="0"/>
          <w:szCs w:val="24"/>
          <w:lang w:val="en-GB"/>
        </w:rPr>
        <w:t>.</w:t>
      </w:r>
    </w:p>
    <w:p w14:paraId="20BD6ED6" w14:textId="77777777" w:rsidR="00BA0FD9" w:rsidRPr="00F413DB" w:rsidRDefault="00BA0FD9" w:rsidP="00BA0FD9">
      <w:pPr>
        <w:spacing w:line="480" w:lineRule="auto"/>
        <w:jc w:val="both"/>
        <w:rPr>
          <w:rFonts w:ascii="Times New Roman" w:hAnsi="Times New Roman" w:cs="Times New Roman"/>
          <w:bCs w:val="0"/>
          <w:szCs w:val="24"/>
          <w:lang w:val="en-GB"/>
        </w:rPr>
      </w:pPr>
    </w:p>
    <w:p w14:paraId="1E51D931" w14:textId="5AADF5CF" w:rsidR="00BA0FD9" w:rsidRPr="00F413DB" w:rsidRDefault="00B301BE" w:rsidP="00BA0FD9">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B</w:t>
      </w:r>
      <w:r w:rsidR="00FF7221" w:rsidRPr="00F413DB">
        <w:rPr>
          <w:rFonts w:ascii="Times New Roman" w:hAnsi="Times New Roman" w:cs="Times New Roman"/>
          <w:bCs w:val="0"/>
          <w:szCs w:val="24"/>
          <w:lang w:val="en-GB"/>
        </w:rPr>
        <w:t>aseline f</w:t>
      </w:r>
      <w:r w:rsidR="00EF02CF" w:rsidRPr="00F413DB">
        <w:rPr>
          <w:rFonts w:ascii="Times New Roman" w:hAnsi="Times New Roman" w:cs="Times New Roman"/>
          <w:bCs w:val="0"/>
          <w:szCs w:val="24"/>
          <w:lang w:val="en-GB"/>
        </w:rPr>
        <w:t xml:space="preserve">ear of </w:t>
      </w:r>
      <w:proofErr w:type="spellStart"/>
      <w:r w:rsidR="00EF02CF" w:rsidRPr="00F413DB">
        <w:rPr>
          <w:rFonts w:ascii="Times New Roman" w:hAnsi="Times New Roman" w:cs="Times New Roman"/>
          <w:bCs w:val="0"/>
          <w:szCs w:val="24"/>
          <w:lang w:val="en-GB"/>
        </w:rPr>
        <w:t>hypoglyc</w:t>
      </w:r>
      <w:r w:rsidR="00BA0FD9" w:rsidRPr="00F413DB">
        <w:rPr>
          <w:rFonts w:ascii="Times New Roman" w:hAnsi="Times New Roman" w:cs="Times New Roman"/>
          <w:bCs w:val="0"/>
          <w:szCs w:val="24"/>
          <w:lang w:val="en-GB"/>
        </w:rPr>
        <w:t>emia</w:t>
      </w:r>
      <w:proofErr w:type="spellEnd"/>
      <w:r w:rsidR="00BA0FD9" w:rsidRPr="00F413DB">
        <w:rPr>
          <w:rFonts w:ascii="Times New Roman" w:hAnsi="Times New Roman" w:cs="Times New Roman"/>
          <w:bCs w:val="0"/>
          <w:szCs w:val="24"/>
          <w:lang w:val="en-GB"/>
        </w:rPr>
        <w:t xml:space="preserve"> was </w:t>
      </w:r>
      <w:r w:rsidR="00FF7221" w:rsidRPr="00F413DB">
        <w:rPr>
          <w:rFonts w:ascii="Times New Roman" w:hAnsi="Times New Roman" w:cs="Times New Roman"/>
          <w:bCs w:val="0"/>
          <w:szCs w:val="24"/>
          <w:lang w:val="en-GB"/>
        </w:rPr>
        <w:t>greater in incomplete responders</w:t>
      </w:r>
      <w:r w:rsidR="00BA0FD9" w:rsidRPr="00F413DB">
        <w:rPr>
          <w:rFonts w:ascii="Times New Roman" w:hAnsi="Times New Roman" w:cs="Times New Roman"/>
          <w:bCs w:val="0"/>
          <w:szCs w:val="24"/>
          <w:lang w:val="en-GB"/>
        </w:rPr>
        <w:t xml:space="preserve"> across both</w:t>
      </w:r>
      <w:r w:rsidR="00FF7221" w:rsidRPr="00F413DB">
        <w:rPr>
          <w:rFonts w:ascii="Times New Roman" w:hAnsi="Times New Roman" w:cs="Times New Roman"/>
          <w:bCs w:val="0"/>
          <w:szCs w:val="24"/>
          <w:lang w:val="en-GB"/>
        </w:rPr>
        <w:t xml:space="preserve"> </w:t>
      </w:r>
      <w:proofErr w:type="spellStart"/>
      <w:r w:rsidR="00FF7221" w:rsidRPr="00F413DB">
        <w:rPr>
          <w:rFonts w:ascii="Times New Roman" w:hAnsi="Times New Roman" w:cs="Times New Roman"/>
          <w:bCs w:val="0"/>
          <w:szCs w:val="24"/>
          <w:lang w:val="en-GB"/>
        </w:rPr>
        <w:t>behavior</w:t>
      </w:r>
      <w:proofErr w:type="spellEnd"/>
      <w:r w:rsidR="00FF7221" w:rsidRPr="00F413DB">
        <w:rPr>
          <w:rFonts w:ascii="Times New Roman" w:hAnsi="Times New Roman" w:cs="Times New Roman"/>
          <w:bCs w:val="0"/>
          <w:szCs w:val="24"/>
          <w:lang w:val="en-GB"/>
        </w:rPr>
        <w:t xml:space="preserve"> and worry subscales</w:t>
      </w:r>
      <w:r w:rsidR="005E25EE" w:rsidRPr="00F413DB">
        <w:rPr>
          <w:rFonts w:ascii="Times New Roman" w:hAnsi="Times New Roman" w:cs="Times New Roman"/>
          <w:bCs w:val="0"/>
          <w:szCs w:val="24"/>
          <w:lang w:val="en-GB"/>
        </w:rPr>
        <w:t xml:space="preserve"> (Table 2)</w:t>
      </w:r>
      <w:r w:rsidR="00BA0FD9" w:rsidRPr="00F413DB">
        <w:rPr>
          <w:rFonts w:ascii="Times New Roman" w:hAnsi="Times New Roman" w:cs="Times New Roman"/>
          <w:bCs w:val="0"/>
          <w:szCs w:val="24"/>
          <w:lang w:val="en-GB"/>
        </w:rPr>
        <w:t xml:space="preserve">. </w:t>
      </w:r>
      <w:proofErr w:type="spellStart"/>
      <w:r w:rsidR="007553EC" w:rsidRPr="00F413DB">
        <w:rPr>
          <w:rFonts w:ascii="Times New Roman" w:hAnsi="Times New Roman" w:cs="Times New Roman"/>
          <w:bCs w:val="0"/>
          <w:szCs w:val="24"/>
          <w:lang w:val="en-GB"/>
        </w:rPr>
        <w:t>H</w:t>
      </w:r>
      <w:r w:rsidR="00EF02CF" w:rsidRPr="00F413DB">
        <w:rPr>
          <w:rFonts w:ascii="Times New Roman" w:hAnsi="Times New Roman" w:cs="Times New Roman"/>
          <w:bCs w:val="0"/>
          <w:szCs w:val="24"/>
          <w:lang w:val="en-GB"/>
        </w:rPr>
        <w:t>yperglyc</w:t>
      </w:r>
      <w:r w:rsidR="00BA0FD9" w:rsidRPr="00F413DB">
        <w:rPr>
          <w:rFonts w:ascii="Times New Roman" w:hAnsi="Times New Roman" w:cs="Times New Roman"/>
          <w:bCs w:val="0"/>
          <w:szCs w:val="24"/>
          <w:lang w:val="en-GB"/>
        </w:rPr>
        <w:t>emia</w:t>
      </w:r>
      <w:proofErr w:type="spellEnd"/>
      <w:r w:rsidR="00BA0FD9" w:rsidRPr="00F413DB">
        <w:rPr>
          <w:rFonts w:ascii="Times New Roman" w:hAnsi="Times New Roman" w:cs="Times New Roman"/>
          <w:bCs w:val="0"/>
          <w:szCs w:val="24"/>
          <w:lang w:val="en-GB"/>
        </w:rPr>
        <w:t xml:space="preserve"> avoidance </w:t>
      </w:r>
      <w:r w:rsidR="00FF7221" w:rsidRPr="00F413DB">
        <w:rPr>
          <w:rFonts w:ascii="Times New Roman" w:hAnsi="Times New Roman" w:cs="Times New Roman"/>
          <w:bCs w:val="0"/>
          <w:szCs w:val="24"/>
          <w:lang w:val="en-GB"/>
        </w:rPr>
        <w:t xml:space="preserve">and </w:t>
      </w:r>
      <w:r w:rsidR="00193DA7">
        <w:rPr>
          <w:rFonts w:ascii="Times New Roman" w:hAnsi="Times New Roman" w:cs="Times New Roman"/>
          <w:bCs w:val="0"/>
          <w:szCs w:val="24"/>
          <w:lang w:val="en-GB"/>
        </w:rPr>
        <w:t xml:space="preserve">diabetes </w:t>
      </w:r>
      <w:r w:rsidR="00FF7221" w:rsidRPr="00F413DB">
        <w:rPr>
          <w:rFonts w:ascii="Times New Roman" w:hAnsi="Times New Roman" w:cs="Times New Roman"/>
          <w:bCs w:val="0"/>
          <w:szCs w:val="24"/>
          <w:lang w:val="en-GB"/>
        </w:rPr>
        <w:t xml:space="preserve">treatment satisfaction </w:t>
      </w:r>
      <w:r w:rsidR="007553EC" w:rsidRPr="00F413DB">
        <w:rPr>
          <w:rFonts w:ascii="Times New Roman" w:hAnsi="Times New Roman" w:cs="Times New Roman"/>
          <w:bCs w:val="0"/>
          <w:szCs w:val="24"/>
          <w:lang w:val="en-GB"/>
        </w:rPr>
        <w:t xml:space="preserve">scores </w:t>
      </w:r>
      <w:r w:rsidR="00FF7221" w:rsidRPr="00F413DB">
        <w:rPr>
          <w:rFonts w:ascii="Times New Roman" w:hAnsi="Times New Roman" w:cs="Times New Roman"/>
          <w:bCs w:val="0"/>
          <w:szCs w:val="24"/>
          <w:lang w:val="en-GB"/>
        </w:rPr>
        <w:t>were comparable</w:t>
      </w:r>
      <w:r w:rsidR="007553EC" w:rsidRPr="00F413DB">
        <w:rPr>
          <w:rFonts w:ascii="Times New Roman" w:hAnsi="Times New Roman" w:cs="Times New Roman"/>
          <w:bCs w:val="0"/>
          <w:szCs w:val="24"/>
          <w:lang w:val="en-GB"/>
        </w:rPr>
        <w:t xml:space="preserve"> prior to stud</w:t>
      </w:r>
      <w:r w:rsidR="00A66B78" w:rsidRPr="00F413DB">
        <w:rPr>
          <w:rFonts w:ascii="Times New Roman" w:hAnsi="Times New Roman" w:cs="Times New Roman"/>
          <w:bCs w:val="0"/>
          <w:szCs w:val="24"/>
          <w:lang w:val="en-GB"/>
        </w:rPr>
        <w:t>y</w:t>
      </w:r>
      <w:r w:rsidR="007553EC" w:rsidRPr="00F413DB">
        <w:rPr>
          <w:rFonts w:ascii="Times New Roman" w:hAnsi="Times New Roman" w:cs="Times New Roman"/>
          <w:bCs w:val="0"/>
          <w:szCs w:val="24"/>
          <w:lang w:val="en-GB"/>
        </w:rPr>
        <w:t xml:space="preserve"> commencement in those with incomplete and complete </w:t>
      </w:r>
      <w:r w:rsidR="00A66B78" w:rsidRPr="00F413DB">
        <w:rPr>
          <w:rFonts w:ascii="Times New Roman" w:hAnsi="Times New Roman" w:cs="Times New Roman"/>
          <w:bCs w:val="0"/>
          <w:szCs w:val="24"/>
          <w:lang w:val="en-GB"/>
        </w:rPr>
        <w:t xml:space="preserve">avoidance </w:t>
      </w:r>
      <w:r w:rsidR="00330528" w:rsidRPr="00F413DB">
        <w:rPr>
          <w:rFonts w:ascii="Times New Roman" w:hAnsi="Times New Roman" w:cs="Times New Roman"/>
          <w:bCs w:val="0"/>
          <w:szCs w:val="24"/>
          <w:lang w:val="en-GB"/>
        </w:rPr>
        <w:t xml:space="preserve">of severe </w:t>
      </w:r>
      <w:proofErr w:type="spellStart"/>
      <w:r w:rsidR="00330528" w:rsidRPr="00F413DB">
        <w:rPr>
          <w:rFonts w:ascii="Times New Roman" w:hAnsi="Times New Roman" w:cs="Times New Roman"/>
          <w:bCs w:val="0"/>
          <w:szCs w:val="24"/>
          <w:lang w:val="en-GB"/>
        </w:rPr>
        <w:t>hypoglyc</w:t>
      </w:r>
      <w:r w:rsidR="007553EC" w:rsidRPr="00F413DB">
        <w:rPr>
          <w:rFonts w:ascii="Times New Roman" w:hAnsi="Times New Roman" w:cs="Times New Roman"/>
          <w:bCs w:val="0"/>
          <w:szCs w:val="24"/>
          <w:lang w:val="en-GB"/>
        </w:rPr>
        <w:t>emia</w:t>
      </w:r>
      <w:proofErr w:type="spellEnd"/>
      <w:r w:rsidR="007553EC" w:rsidRPr="00F413DB">
        <w:rPr>
          <w:rFonts w:ascii="Times New Roman" w:hAnsi="Times New Roman" w:cs="Times New Roman"/>
          <w:bCs w:val="0"/>
          <w:szCs w:val="24"/>
          <w:lang w:val="en-GB"/>
        </w:rPr>
        <w:t xml:space="preserve"> during the RCT</w:t>
      </w:r>
      <w:r w:rsidR="00A66B78" w:rsidRPr="00F413DB">
        <w:rPr>
          <w:rFonts w:ascii="Times New Roman" w:hAnsi="Times New Roman" w:cs="Times New Roman"/>
          <w:bCs w:val="0"/>
          <w:szCs w:val="24"/>
          <w:lang w:val="en-GB"/>
        </w:rPr>
        <w:t xml:space="preserve"> </w:t>
      </w:r>
      <w:r w:rsidR="007553EC" w:rsidRPr="00F413DB">
        <w:rPr>
          <w:rFonts w:ascii="Times New Roman" w:hAnsi="Times New Roman" w:cs="Times New Roman"/>
          <w:bCs w:val="0"/>
          <w:szCs w:val="24"/>
          <w:lang w:val="en-GB"/>
        </w:rPr>
        <w:t xml:space="preserve">and </w:t>
      </w:r>
      <w:r w:rsidR="00A66B78" w:rsidRPr="00F413DB">
        <w:rPr>
          <w:rFonts w:ascii="Times New Roman" w:hAnsi="Times New Roman" w:cs="Times New Roman"/>
          <w:bCs w:val="0"/>
          <w:szCs w:val="24"/>
          <w:lang w:val="en-GB"/>
        </w:rPr>
        <w:t>follow-up</w:t>
      </w:r>
      <w:r w:rsidR="00953F1F" w:rsidRPr="00F413DB">
        <w:rPr>
          <w:rFonts w:ascii="Times New Roman" w:hAnsi="Times New Roman" w:cs="Times New Roman"/>
          <w:bCs w:val="0"/>
          <w:szCs w:val="24"/>
          <w:lang w:val="en-GB"/>
        </w:rPr>
        <w:t xml:space="preserve"> (Table 2)</w:t>
      </w:r>
      <w:r w:rsidR="00A66B78" w:rsidRPr="00F413DB">
        <w:rPr>
          <w:rFonts w:ascii="Times New Roman" w:hAnsi="Times New Roman" w:cs="Times New Roman"/>
          <w:bCs w:val="0"/>
          <w:szCs w:val="24"/>
          <w:lang w:val="en-GB"/>
        </w:rPr>
        <w:t>.</w:t>
      </w:r>
      <w:r w:rsidR="00FF7221" w:rsidRPr="00F413DB">
        <w:rPr>
          <w:rFonts w:ascii="Times New Roman" w:hAnsi="Times New Roman" w:cs="Times New Roman"/>
          <w:bCs w:val="0"/>
          <w:szCs w:val="24"/>
          <w:lang w:val="en-GB"/>
        </w:rPr>
        <w:t xml:space="preserve"> </w:t>
      </w:r>
      <w:r w:rsidR="00BA0FD9" w:rsidRPr="00F413DB">
        <w:rPr>
          <w:rFonts w:ascii="Times New Roman" w:hAnsi="Times New Roman" w:cs="Times New Roman"/>
          <w:bCs w:val="0"/>
          <w:szCs w:val="24"/>
          <w:lang w:val="en-GB"/>
        </w:rPr>
        <w:t xml:space="preserve">  </w:t>
      </w:r>
    </w:p>
    <w:p w14:paraId="5647ED01" w14:textId="77777777" w:rsidR="00AE48D3" w:rsidRPr="00F413DB" w:rsidRDefault="00AE48D3" w:rsidP="00273CFC">
      <w:pPr>
        <w:spacing w:line="480" w:lineRule="auto"/>
        <w:jc w:val="both"/>
        <w:rPr>
          <w:rFonts w:ascii="Times New Roman" w:hAnsi="Times New Roman" w:cs="Times New Roman"/>
          <w:bCs w:val="0"/>
          <w:szCs w:val="24"/>
          <w:lang w:val="en-GB"/>
        </w:rPr>
      </w:pPr>
    </w:p>
    <w:p w14:paraId="34155CC7" w14:textId="5A28827F" w:rsidR="00AE48D3" w:rsidRPr="00F413DB" w:rsidRDefault="006F5838" w:rsidP="00AE48D3">
      <w:pPr>
        <w:spacing w:line="480" w:lineRule="auto"/>
        <w:jc w:val="both"/>
        <w:outlineLvl w:val="0"/>
        <w:rPr>
          <w:rFonts w:ascii="Times New Roman" w:hAnsi="Times New Roman" w:cs="Times New Roman"/>
          <w:b/>
          <w:bCs w:val="0"/>
          <w:szCs w:val="24"/>
          <w:lang w:val="en-GB"/>
        </w:rPr>
      </w:pPr>
      <w:r w:rsidRPr="00F413DB">
        <w:rPr>
          <w:rFonts w:ascii="Times New Roman" w:hAnsi="Times New Roman" w:cs="Times New Roman"/>
          <w:b/>
          <w:bCs w:val="0"/>
          <w:szCs w:val="24"/>
          <w:lang w:val="en-GB"/>
        </w:rPr>
        <w:t xml:space="preserve">Comparison of </w:t>
      </w:r>
      <w:r w:rsidR="001E7E03">
        <w:rPr>
          <w:rFonts w:ascii="Times New Roman" w:hAnsi="Times New Roman" w:cs="Times New Roman"/>
          <w:b/>
          <w:bCs w:val="0"/>
          <w:szCs w:val="24"/>
          <w:lang w:val="en-GB"/>
        </w:rPr>
        <w:t>Other Baseline P</w:t>
      </w:r>
      <w:r w:rsidR="00AE48D3" w:rsidRPr="00F413DB">
        <w:rPr>
          <w:rFonts w:ascii="Times New Roman" w:hAnsi="Times New Roman" w:cs="Times New Roman"/>
          <w:b/>
          <w:bCs w:val="0"/>
          <w:szCs w:val="24"/>
          <w:lang w:val="en-GB"/>
        </w:rPr>
        <w:t xml:space="preserve">arameters </w:t>
      </w:r>
      <w:r w:rsidR="001E7E03">
        <w:rPr>
          <w:rFonts w:ascii="Times New Roman" w:hAnsi="Times New Roman" w:cs="Times New Roman"/>
          <w:b/>
          <w:bCs w:val="0"/>
          <w:szCs w:val="24"/>
          <w:lang w:val="en-GB"/>
        </w:rPr>
        <w:t xml:space="preserve">Including Micro- / </w:t>
      </w:r>
      <w:proofErr w:type="spellStart"/>
      <w:r w:rsidR="001E7E03">
        <w:rPr>
          <w:rFonts w:ascii="Times New Roman" w:hAnsi="Times New Roman" w:cs="Times New Roman"/>
          <w:b/>
          <w:bCs w:val="0"/>
          <w:szCs w:val="24"/>
          <w:lang w:val="en-GB"/>
        </w:rPr>
        <w:t>Macrovascular</w:t>
      </w:r>
      <w:proofErr w:type="spellEnd"/>
      <w:r w:rsidR="001E7E03">
        <w:rPr>
          <w:rFonts w:ascii="Times New Roman" w:hAnsi="Times New Roman" w:cs="Times New Roman"/>
          <w:b/>
          <w:bCs w:val="0"/>
          <w:szCs w:val="24"/>
          <w:lang w:val="en-GB"/>
        </w:rPr>
        <w:t xml:space="preserve"> Complication S</w:t>
      </w:r>
      <w:r w:rsidR="004D6272">
        <w:rPr>
          <w:rFonts w:ascii="Times New Roman" w:hAnsi="Times New Roman" w:cs="Times New Roman"/>
          <w:b/>
          <w:bCs w:val="0"/>
          <w:szCs w:val="24"/>
          <w:lang w:val="en-GB"/>
        </w:rPr>
        <w:t xml:space="preserve">tatus </w:t>
      </w:r>
      <w:r w:rsidR="001E7E03">
        <w:rPr>
          <w:rFonts w:ascii="Times New Roman" w:hAnsi="Times New Roman" w:cs="Times New Roman"/>
          <w:b/>
          <w:bCs w:val="0"/>
          <w:szCs w:val="24"/>
          <w:lang w:val="en-GB"/>
        </w:rPr>
        <w:t>in Incomplete and Complete R</w:t>
      </w:r>
      <w:r w:rsidR="00AE48D3" w:rsidRPr="00F413DB">
        <w:rPr>
          <w:rFonts w:ascii="Times New Roman" w:hAnsi="Times New Roman" w:cs="Times New Roman"/>
          <w:b/>
          <w:bCs w:val="0"/>
          <w:szCs w:val="24"/>
          <w:lang w:val="en-GB"/>
        </w:rPr>
        <w:t xml:space="preserve">esponders </w:t>
      </w:r>
    </w:p>
    <w:p w14:paraId="1EC8B9F1" w14:textId="7972CB39" w:rsidR="0042603B" w:rsidRPr="00F413DB" w:rsidRDefault="00736D0B" w:rsidP="00736D0B">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lastRenderedPageBreak/>
        <w:t>Participant a</w:t>
      </w:r>
      <w:r w:rsidR="00B85D7D" w:rsidRPr="00F413DB">
        <w:rPr>
          <w:rFonts w:ascii="Times New Roman" w:hAnsi="Times New Roman" w:cs="Times New Roman"/>
          <w:bCs w:val="0"/>
          <w:szCs w:val="24"/>
          <w:lang w:val="en-GB"/>
        </w:rPr>
        <w:t xml:space="preserve">ge, </w:t>
      </w:r>
      <w:r w:rsidR="0001538F" w:rsidRPr="00F413DB">
        <w:rPr>
          <w:rFonts w:ascii="Times New Roman" w:hAnsi="Times New Roman" w:cs="Times New Roman"/>
          <w:bCs w:val="0"/>
          <w:szCs w:val="24"/>
          <w:lang w:val="en-GB"/>
        </w:rPr>
        <w:t>weight</w:t>
      </w:r>
      <w:r w:rsidR="00474EE3">
        <w:rPr>
          <w:rFonts w:ascii="Times New Roman" w:hAnsi="Times New Roman" w:cs="Times New Roman"/>
          <w:bCs w:val="0"/>
          <w:szCs w:val="24"/>
          <w:lang w:val="en-GB"/>
        </w:rPr>
        <w:t>,</w:t>
      </w:r>
      <w:r w:rsidR="0001538F" w:rsidRPr="00F413DB">
        <w:rPr>
          <w:rFonts w:ascii="Times New Roman" w:hAnsi="Times New Roman" w:cs="Times New Roman"/>
          <w:bCs w:val="0"/>
          <w:szCs w:val="24"/>
          <w:lang w:val="en-GB"/>
        </w:rPr>
        <w:t xml:space="preserve"> </w:t>
      </w:r>
      <w:r w:rsidR="00B85D7D" w:rsidRPr="00F413DB">
        <w:rPr>
          <w:rFonts w:ascii="Times New Roman" w:hAnsi="Times New Roman" w:cs="Times New Roman"/>
          <w:bCs w:val="0"/>
          <w:szCs w:val="24"/>
          <w:lang w:val="en-GB"/>
        </w:rPr>
        <w:t xml:space="preserve">and </w:t>
      </w:r>
      <w:r w:rsidRPr="00F413DB">
        <w:rPr>
          <w:rFonts w:ascii="Times New Roman" w:hAnsi="Times New Roman" w:cs="Times New Roman"/>
          <w:bCs w:val="0"/>
          <w:szCs w:val="24"/>
          <w:lang w:val="en-GB"/>
        </w:rPr>
        <w:t xml:space="preserve">duration of </w:t>
      </w:r>
      <w:r w:rsidR="00B85D7D" w:rsidRPr="00F413DB">
        <w:rPr>
          <w:rFonts w:ascii="Times New Roman" w:hAnsi="Times New Roman" w:cs="Times New Roman"/>
          <w:bCs w:val="0"/>
          <w:szCs w:val="24"/>
          <w:lang w:val="en-GB"/>
        </w:rPr>
        <w:t xml:space="preserve">diabetes were </w:t>
      </w:r>
      <w:r w:rsidR="0001538F" w:rsidRPr="00F413DB">
        <w:rPr>
          <w:rFonts w:ascii="Times New Roman" w:hAnsi="Times New Roman" w:cs="Times New Roman"/>
          <w:bCs w:val="0"/>
          <w:szCs w:val="24"/>
          <w:lang w:val="en-GB"/>
        </w:rPr>
        <w:t xml:space="preserve">comparable </w:t>
      </w:r>
      <w:r w:rsidR="00B85D7D" w:rsidRPr="00F413DB">
        <w:rPr>
          <w:rFonts w:ascii="Times New Roman" w:hAnsi="Times New Roman" w:cs="Times New Roman"/>
          <w:bCs w:val="0"/>
          <w:szCs w:val="24"/>
          <w:lang w:val="en-GB"/>
        </w:rPr>
        <w:t>between complete and incomplete</w:t>
      </w:r>
      <w:r w:rsidRPr="00F413DB">
        <w:rPr>
          <w:rFonts w:ascii="Times New Roman" w:hAnsi="Times New Roman" w:cs="Times New Roman"/>
          <w:bCs w:val="0"/>
          <w:szCs w:val="24"/>
          <w:lang w:val="en-GB"/>
        </w:rPr>
        <w:t xml:space="preserve"> response groups</w:t>
      </w:r>
      <w:r w:rsidR="00953F1F" w:rsidRPr="00F413DB">
        <w:rPr>
          <w:rFonts w:ascii="Times New Roman" w:hAnsi="Times New Roman" w:cs="Times New Roman"/>
          <w:bCs w:val="0"/>
          <w:szCs w:val="24"/>
          <w:lang w:val="en-GB"/>
        </w:rPr>
        <w:t xml:space="preserve"> (Table 3)</w:t>
      </w:r>
      <w:r w:rsidRPr="00F413DB">
        <w:rPr>
          <w:rFonts w:ascii="Times New Roman" w:hAnsi="Times New Roman" w:cs="Times New Roman"/>
          <w:bCs w:val="0"/>
          <w:szCs w:val="24"/>
          <w:lang w:val="en-GB"/>
        </w:rPr>
        <w:t xml:space="preserve">. A greater proportion of participants were </w:t>
      </w:r>
      <w:r w:rsidR="00193DA7">
        <w:rPr>
          <w:rFonts w:ascii="Times New Roman" w:hAnsi="Times New Roman" w:cs="Times New Roman"/>
          <w:bCs w:val="0"/>
          <w:szCs w:val="24"/>
          <w:lang w:val="en-GB"/>
        </w:rPr>
        <w:t>women</w:t>
      </w:r>
      <w:r w:rsidR="00474EE3">
        <w:rPr>
          <w:rFonts w:ascii="Times New Roman" w:hAnsi="Times New Roman" w:cs="Times New Roman"/>
          <w:bCs w:val="0"/>
          <w:szCs w:val="24"/>
          <w:lang w:val="en-GB"/>
        </w:rPr>
        <w:t>,</w:t>
      </w:r>
      <w:r w:rsidR="00193DA7" w:rsidRPr="00F413DB">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 xml:space="preserve">with no difference across </w:t>
      </w:r>
      <w:r w:rsidR="00193DA7">
        <w:rPr>
          <w:rFonts w:ascii="Times New Roman" w:hAnsi="Times New Roman" w:cs="Times New Roman"/>
          <w:bCs w:val="0"/>
          <w:szCs w:val="24"/>
          <w:lang w:val="en-GB"/>
        </w:rPr>
        <w:t xml:space="preserve">response </w:t>
      </w:r>
      <w:r w:rsidRPr="00F413DB">
        <w:rPr>
          <w:rFonts w:ascii="Times New Roman" w:hAnsi="Times New Roman" w:cs="Times New Roman"/>
          <w:bCs w:val="0"/>
          <w:szCs w:val="24"/>
          <w:lang w:val="en-GB"/>
        </w:rPr>
        <w:t xml:space="preserve">groups. </w:t>
      </w:r>
      <w:r w:rsidR="00474EE3">
        <w:rPr>
          <w:rFonts w:ascii="Times New Roman" w:hAnsi="Times New Roman" w:cs="Times New Roman"/>
          <w:bCs w:val="0"/>
          <w:szCs w:val="24"/>
          <w:lang w:val="en-GB"/>
        </w:rPr>
        <w:t>Forty-five percent</w:t>
      </w:r>
      <w:r w:rsidRPr="00F413DB">
        <w:rPr>
          <w:rFonts w:ascii="Times New Roman" w:hAnsi="Times New Roman" w:cs="Times New Roman"/>
          <w:bCs w:val="0"/>
          <w:szCs w:val="24"/>
          <w:lang w:val="en-GB"/>
        </w:rPr>
        <w:t xml:space="preserve"> of participants had a history of current or past smoking</w:t>
      </w:r>
      <w:r w:rsidR="00474EE3">
        <w:rPr>
          <w:rFonts w:ascii="Times New Roman" w:hAnsi="Times New Roman" w:cs="Times New Roman"/>
          <w:bCs w:val="0"/>
          <w:szCs w:val="24"/>
          <w:lang w:val="en-GB"/>
        </w:rPr>
        <w:t>,</w:t>
      </w:r>
      <w:r w:rsidR="0042603B" w:rsidRPr="00F413DB">
        <w:rPr>
          <w:rFonts w:ascii="Times New Roman" w:hAnsi="Times New Roman" w:cs="Times New Roman"/>
          <w:bCs w:val="0"/>
          <w:szCs w:val="24"/>
          <w:lang w:val="en-GB"/>
        </w:rPr>
        <w:t xml:space="preserve"> with two-thirds reporting alcohol intake.  </w:t>
      </w:r>
      <w:r w:rsidR="00474EE3">
        <w:rPr>
          <w:rFonts w:ascii="Times New Roman" w:hAnsi="Times New Roman" w:cs="Times New Roman"/>
          <w:bCs w:val="0"/>
          <w:szCs w:val="24"/>
          <w:lang w:val="en-GB"/>
        </w:rPr>
        <w:t>Fifty percent</w:t>
      </w:r>
      <w:r w:rsidR="0042603B" w:rsidRPr="00F413DB">
        <w:rPr>
          <w:rFonts w:ascii="Times New Roman" w:hAnsi="Times New Roman" w:cs="Times New Roman"/>
          <w:bCs w:val="0"/>
          <w:szCs w:val="24"/>
          <w:lang w:val="en-GB"/>
        </w:rPr>
        <w:t xml:space="preserve"> of incomplete responders and 65% complete responders had someone else at home with them during the day, increasing to 82% of incomplete responders and 93% of complete responders at night.  </w:t>
      </w:r>
    </w:p>
    <w:p w14:paraId="1F3A3DFE" w14:textId="77777777" w:rsidR="0042603B" w:rsidRPr="00F413DB" w:rsidRDefault="0042603B" w:rsidP="00736D0B">
      <w:pPr>
        <w:spacing w:line="480" w:lineRule="auto"/>
        <w:jc w:val="both"/>
        <w:rPr>
          <w:rFonts w:ascii="Times New Roman" w:hAnsi="Times New Roman" w:cs="Times New Roman"/>
          <w:bCs w:val="0"/>
          <w:szCs w:val="24"/>
          <w:lang w:val="en-GB"/>
        </w:rPr>
      </w:pPr>
    </w:p>
    <w:p w14:paraId="09EA1A88" w14:textId="49BB2B73" w:rsidR="0001538F" w:rsidRPr="00F413DB" w:rsidRDefault="00736D0B" w:rsidP="00736D0B">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In this cohort with long</w:t>
      </w:r>
      <w:r w:rsidR="00894B59">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duration </w:t>
      </w:r>
      <w:r w:rsidR="00193DA7">
        <w:rPr>
          <w:rFonts w:ascii="Times New Roman" w:hAnsi="Times New Roman" w:cs="Times New Roman"/>
          <w:bCs w:val="0"/>
          <w:szCs w:val="24"/>
          <w:lang w:val="en-GB"/>
        </w:rPr>
        <w:t xml:space="preserve">type 1 </w:t>
      </w:r>
      <w:r w:rsidRPr="00F413DB">
        <w:rPr>
          <w:rFonts w:ascii="Times New Roman" w:hAnsi="Times New Roman" w:cs="Times New Roman"/>
          <w:bCs w:val="0"/>
          <w:szCs w:val="24"/>
          <w:lang w:val="en-GB"/>
        </w:rPr>
        <w:t>diabetes</w:t>
      </w:r>
      <w:r w:rsidR="00193DA7">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a high percentage had </w:t>
      </w:r>
      <w:proofErr w:type="spellStart"/>
      <w:r w:rsidRPr="00F413DB">
        <w:rPr>
          <w:rFonts w:ascii="Times New Roman" w:hAnsi="Times New Roman" w:cs="Times New Roman"/>
          <w:bCs w:val="0"/>
          <w:szCs w:val="24"/>
          <w:lang w:val="en-GB"/>
        </w:rPr>
        <w:t>lipohypertrophy</w:t>
      </w:r>
      <w:proofErr w:type="spellEnd"/>
      <w:r w:rsidRPr="00F413DB">
        <w:rPr>
          <w:rFonts w:ascii="Times New Roman" w:hAnsi="Times New Roman" w:cs="Times New Roman"/>
          <w:bCs w:val="0"/>
          <w:szCs w:val="24"/>
          <w:lang w:val="en-GB"/>
        </w:rPr>
        <w:t xml:space="preserve">, </w:t>
      </w:r>
      <w:r w:rsidR="00411495">
        <w:rPr>
          <w:rFonts w:ascii="Times New Roman" w:hAnsi="Times New Roman" w:cs="Times New Roman"/>
          <w:bCs w:val="0"/>
          <w:szCs w:val="24"/>
          <w:lang w:val="en-GB"/>
        </w:rPr>
        <w:t>although</w:t>
      </w:r>
      <w:r w:rsidRPr="00F413DB">
        <w:rPr>
          <w:rFonts w:ascii="Times New Roman" w:hAnsi="Times New Roman" w:cs="Times New Roman"/>
          <w:bCs w:val="0"/>
          <w:szCs w:val="24"/>
          <w:lang w:val="en-GB"/>
        </w:rPr>
        <w:t xml:space="preserve"> this was not more common in either response group. All participants were screened for secondary autoimmune disease before RCT recruitment</w:t>
      </w:r>
      <w:r w:rsidR="00894B59">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with no difference in treated hypothyroidism across responder status. </w:t>
      </w:r>
      <w:r w:rsidR="00953F1F" w:rsidRPr="00F413DB">
        <w:rPr>
          <w:rFonts w:ascii="Times New Roman" w:hAnsi="Times New Roman" w:cs="Times New Roman"/>
          <w:bCs w:val="0"/>
          <w:szCs w:val="24"/>
          <w:lang w:val="en-GB"/>
        </w:rPr>
        <w:t>Three</w:t>
      </w:r>
      <w:r w:rsidRPr="00F413DB">
        <w:rPr>
          <w:rFonts w:ascii="Times New Roman" w:hAnsi="Times New Roman" w:cs="Times New Roman"/>
          <w:bCs w:val="0"/>
          <w:szCs w:val="24"/>
          <w:lang w:val="en-GB"/>
        </w:rPr>
        <w:t xml:space="preserve"> participants had celiac disease</w:t>
      </w:r>
      <w:r w:rsidR="00894B59">
        <w:rPr>
          <w:rFonts w:ascii="Times New Roman" w:hAnsi="Times New Roman" w:cs="Times New Roman"/>
          <w:bCs w:val="0"/>
          <w:szCs w:val="24"/>
          <w:lang w:val="en-GB"/>
        </w:rPr>
        <w:t xml:space="preserve"> (one</w:t>
      </w:r>
      <w:r w:rsidR="00FC2A51" w:rsidRPr="00F413DB">
        <w:rPr>
          <w:rFonts w:ascii="Times New Roman" w:hAnsi="Times New Roman" w:cs="Times New Roman"/>
          <w:bCs w:val="0"/>
          <w:szCs w:val="24"/>
          <w:lang w:val="en-GB"/>
        </w:rPr>
        <w:t xml:space="preserve"> incomplete and </w:t>
      </w:r>
      <w:r w:rsidR="00894B59">
        <w:rPr>
          <w:rFonts w:ascii="Times New Roman" w:hAnsi="Times New Roman" w:cs="Times New Roman"/>
          <w:bCs w:val="0"/>
          <w:szCs w:val="24"/>
          <w:lang w:val="en-GB"/>
        </w:rPr>
        <w:t>two</w:t>
      </w:r>
      <w:r w:rsidR="00FC2A51" w:rsidRPr="00F413DB">
        <w:rPr>
          <w:rFonts w:ascii="Times New Roman" w:hAnsi="Times New Roman" w:cs="Times New Roman"/>
          <w:bCs w:val="0"/>
          <w:szCs w:val="24"/>
          <w:lang w:val="en-GB"/>
        </w:rPr>
        <w:t xml:space="preserve"> complete responders)</w:t>
      </w:r>
      <w:r w:rsidR="00894B59">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with primary adrenal insufficiency in </w:t>
      </w:r>
      <w:r w:rsidR="00894B59">
        <w:rPr>
          <w:rFonts w:ascii="Times New Roman" w:hAnsi="Times New Roman" w:cs="Times New Roman"/>
          <w:bCs w:val="0"/>
          <w:szCs w:val="24"/>
          <w:lang w:val="en-GB"/>
        </w:rPr>
        <w:t>one</w:t>
      </w:r>
      <w:r w:rsidRPr="00F413DB">
        <w:rPr>
          <w:rFonts w:ascii="Times New Roman" w:hAnsi="Times New Roman" w:cs="Times New Roman"/>
          <w:bCs w:val="0"/>
          <w:szCs w:val="24"/>
          <w:lang w:val="en-GB"/>
        </w:rPr>
        <w:t xml:space="preserve"> participant (incomplete responder).</w:t>
      </w:r>
    </w:p>
    <w:p w14:paraId="0FCFF670" w14:textId="77777777" w:rsidR="00736D0B" w:rsidRPr="00F413DB" w:rsidRDefault="00736D0B" w:rsidP="00273CFC">
      <w:pPr>
        <w:spacing w:line="480" w:lineRule="auto"/>
        <w:jc w:val="both"/>
        <w:rPr>
          <w:rFonts w:ascii="Times New Roman" w:hAnsi="Times New Roman" w:cs="Times New Roman"/>
          <w:bCs w:val="0"/>
          <w:szCs w:val="24"/>
          <w:lang w:val="en-GB"/>
        </w:rPr>
      </w:pPr>
    </w:p>
    <w:p w14:paraId="773B169A" w14:textId="57EE37D7" w:rsidR="00C3068E" w:rsidRPr="00F413DB" w:rsidRDefault="00EA2293" w:rsidP="0065345F">
      <w:pPr>
        <w:spacing w:line="480" w:lineRule="auto"/>
        <w:jc w:val="both"/>
        <w:rPr>
          <w:rFonts w:ascii="Times New Roman" w:hAnsi="Times New Roman" w:cs="Times New Roman"/>
          <w:bCs w:val="0"/>
          <w:szCs w:val="24"/>
          <w:lang w:val="en-GB"/>
        </w:rPr>
      </w:pPr>
      <w:proofErr w:type="spellStart"/>
      <w:r w:rsidRPr="00F413DB">
        <w:rPr>
          <w:rFonts w:ascii="Times New Roman" w:hAnsi="Times New Roman" w:cs="Times New Roman"/>
          <w:bCs w:val="0"/>
          <w:szCs w:val="24"/>
          <w:lang w:val="en-GB"/>
        </w:rPr>
        <w:t>Macrovascular</w:t>
      </w:r>
      <w:proofErr w:type="spellEnd"/>
      <w:r w:rsidRPr="00F413DB">
        <w:rPr>
          <w:rFonts w:ascii="Times New Roman" w:hAnsi="Times New Roman" w:cs="Times New Roman"/>
          <w:bCs w:val="0"/>
          <w:szCs w:val="24"/>
          <w:lang w:val="en-GB"/>
        </w:rPr>
        <w:t xml:space="preserve"> and microvascular</w:t>
      </w:r>
      <w:r w:rsidR="00CB6AD8" w:rsidRPr="00F413DB">
        <w:rPr>
          <w:rFonts w:ascii="Times New Roman" w:hAnsi="Times New Roman" w:cs="Times New Roman"/>
          <w:bCs w:val="0"/>
          <w:szCs w:val="24"/>
          <w:lang w:val="en-GB"/>
        </w:rPr>
        <w:t xml:space="preserve"> disease complication status</w:t>
      </w:r>
      <w:r w:rsidR="005659AC">
        <w:rPr>
          <w:rFonts w:ascii="Times New Roman" w:hAnsi="Times New Roman" w:cs="Times New Roman"/>
          <w:bCs w:val="0"/>
          <w:szCs w:val="24"/>
          <w:lang w:val="en-GB"/>
        </w:rPr>
        <w:t>es</w:t>
      </w:r>
      <w:r w:rsidR="00CB6AD8" w:rsidRPr="00F413DB">
        <w:rPr>
          <w:rFonts w:ascii="Times New Roman" w:hAnsi="Times New Roman" w:cs="Times New Roman"/>
          <w:bCs w:val="0"/>
          <w:szCs w:val="24"/>
          <w:lang w:val="en-GB"/>
        </w:rPr>
        <w:t xml:space="preserve"> were</w:t>
      </w:r>
      <w:r w:rsidRPr="00F413DB">
        <w:rPr>
          <w:rFonts w:ascii="Times New Roman" w:hAnsi="Times New Roman" w:cs="Times New Roman"/>
          <w:bCs w:val="0"/>
          <w:szCs w:val="24"/>
          <w:lang w:val="en-GB"/>
        </w:rPr>
        <w:t xml:space="preserve"> </w:t>
      </w:r>
      <w:r w:rsidR="00CB6AD8" w:rsidRPr="00F413DB">
        <w:rPr>
          <w:rFonts w:ascii="Times New Roman" w:hAnsi="Times New Roman" w:cs="Times New Roman"/>
          <w:bCs w:val="0"/>
          <w:szCs w:val="24"/>
          <w:lang w:val="en-GB"/>
        </w:rPr>
        <w:t>comparable</w:t>
      </w:r>
      <w:r w:rsidR="00953F1F" w:rsidRPr="00F413DB">
        <w:rPr>
          <w:rFonts w:ascii="Times New Roman" w:hAnsi="Times New Roman" w:cs="Times New Roman"/>
          <w:bCs w:val="0"/>
          <w:szCs w:val="24"/>
          <w:lang w:val="en-GB"/>
        </w:rPr>
        <w:t>,</w:t>
      </w:r>
      <w:r w:rsidR="005659AC">
        <w:rPr>
          <w:rFonts w:ascii="Times New Roman" w:hAnsi="Times New Roman" w:cs="Times New Roman"/>
          <w:bCs w:val="0"/>
          <w:szCs w:val="24"/>
          <w:lang w:val="en-GB"/>
        </w:rPr>
        <w:t xml:space="preserve"> with retinopathy in two-</w:t>
      </w:r>
      <w:r w:rsidRPr="00F413DB">
        <w:rPr>
          <w:rFonts w:ascii="Times New Roman" w:hAnsi="Times New Roman" w:cs="Times New Roman"/>
          <w:bCs w:val="0"/>
          <w:szCs w:val="24"/>
          <w:lang w:val="en-GB"/>
        </w:rPr>
        <w:t>third</w:t>
      </w:r>
      <w:r w:rsidR="00953F1F" w:rsidRPr="00F413DB">
        <w:rPr>
          <w:rFonts w:ascii="Times New Roman" w:hAnsi="Times New Roman" w:cs="Times New Roman"/>
          <w:bCs w:val="0"/>
          <w:szCs w:val="24"/>
          <w:lang w:val="en-GB"/>
        </w:rPr>
        <w:t>s</w:t>
      </w:r>
      <w:r w:rsidRPr="00F413DB">
        <w:rPr>
          <w:rFonts w:ascii="Times New Roman" w:hAnsi="Times New Roman" w:cs="Times New Roman"/>
          <w:bCs w:val="0"/>
          <w:szCs w:val="24"/>
          <w:lang w:val="en-GB"/>
        </w:rPr>
        <w:t xml:space="preserve"> of participants and microalbuminuria observed in </w:t>
      </w:r>
      <w:r w:rsidR="005659AC">
        <w:rPr>
          <w:rFonts w:ascii="Times New Roman" w:hAnsi="Times New Roman" w:cs="Times New Roman"/>
          <w:bCs w:val="0"/>
          <w:szCs w:val="24"/>
          <w:lang w:val="en-GB"/>
        </w:rPr>
        <w:t>one in four</w:t>
      </w:r>
      <w:r w:rsidR="00CB6AD8" w:rsidRPr="00F413DB">
        <w:rPr>
          <w:rFonts w:ascii="Times New Roman" w:hAnsi="Times New Roman" w:cs="Times New Roman"/>
          <w:bCs w:val="0"/>
          <w:szCs w:val="24"/>
          <w:lang w:val="en-GB"/>
        </w:rPr>
        <w:t xml:space="preserve"> participants. </w:t>
      </w:r>
      <w:r w:rsidR="002B0C94" w:rsidRPr="00F413DB">
        <w:rPr>
          <w:rFonts w:ascii="Times New Roman" w:hAnsi="Times New Roman" w:cs="Times New Roman"/>
          <w:bCs w:val="0"/>
          <w:szCs w:val="24"/>
          <w:lang w:val="en-GB"/>
        </w:rPr>
        <w:t>P</w:t>
      </w:r>
      <w:r w:rsidRPr="00F413DB">
        <w:rPr>
          <w:rFonts w:ascii="Times New Roman" w:hAnsi="Times New Roman" w:cs="Times New Roman"/>
          <w:bCs w:val="0"/>
          <w:szCs w:val="24"/>
          <w:lang w:val="en-GB"/>
        </w:rPr>
        <w:t xml:space="preserve">eripheral neuropathy was </w:t>
      </w:r>
      <w:r w:rsidR="005659AC">
        <w:rPr>
          <w:rFonts w:ascii="Times New Roman" w:hAnsi="Times New Roman" w:cs="Times New Roman"/>
          <w:bCs w:val="0"/>
          <w:szCs w:val="24"/>
          <w:lang w:val="en-GB"/>
        </w:rPr>
        <w:t>more than eight</w:t>
      </w:r>
      <w:r w:rsidR="002B0C94" w:rsidRPr="00F413DB">
        <w:rPr>
          <w:rFonts w:ascii="Times New Roman" w:hAnsi="Times New Roman" w:cs="Times New Roman"/>
          <w:bCs w:val="0"/>
          <w:szCs w:val="24"/>
          <w:lang w:val="en-GB"/>
        </w:rPr>
        <w:t>fold more common in incomplete responders (39.3% vs 4.7% affected)</w:t>
      </w:r>
      <w:r w:rsidRPr="00F413DB">
        <w:rPr>
          <w:rFonts w:ascii="Times New Roman" w:hAnsi="Times New Roman" w:cs="Times New Roman"/>
          <w:bCs w:val="0"/>
          <w:szCs w:val="24"/>
          <w:lang w:val="en-GB"/>
        </w:rPr>
        <w:t>.</w:t>
      </w:r>
      <w:r w:rsidR="00273CFC" w:rsidRPr="00F413DB">
        <w:rPr>
          <w:rFonts w:ascii="Times New Roman" w:hAnsi="Times New Roman" w:cs="Times New Roman"/>
          <w:bCs w:val="0"/>
          <w:szCs w:val="24"/>
          <w:lang w:val="en-GB"/>
        </w:rPr>
        <w:t xml:space="preserve"> </w:t>
      </w:r>
      <w:r w:rsidR="00B2484C" w:rsidRPr="00F413DB">
        <w:rPr>
          <w:rFonts w:ascii="Times New Roman" w:hAnsi="Times New Roman" w:cs="Times New Roman"/>
          <w:bCs w:val="0"/>
          <w:szCs w:val="24"/>
          <w:lang w:val="en-GB"/>
        </w:rPr>
        <w:t>Autonomic neuropathy symptoms were also more commonly reported in incomplete responders</w:t>
      </w:r>
      <w:r w:rsidR="005659AC">
        <w:rPr>
          <w:rFonts w:ascii="Times New Roman" w:hAnsi="Times New Roman" w:cs="Times New Roman"/>
          <w:bCs w:val="0"/>
          <w:szCs w:val="24"/>
          <w:lang w:val="en-GB"/>
        </w:rPr>
        <w:t>,</w:t>
      </w:r>
      <w:r w:rsidR="00B2484C" w:rsidRPr="00F413DB">
        <w:rPr>
          <w:rFonts w:ascii="Times New Roman" w:hAnsi="Times New Roman" w:cs="Times New Roman"/>
          <w:bCs w:val="0"/>
          <w:szCs w:val="24"/>
          <w:lang w:val="en-GB"/>
        </w:rPr>
        <w:t xml:space="preserve"> without statistically significant differences between groups</w:t>
      </w:r>
      <w:r w:rsidR="00273CFC" w:rsidRPr="00F413DB">
        <w:rPr>
          <w:rFonts w:ascii="Times New Roman" w:hAnsi="Times New Roman" w:cs="Times New Roman"/>
          <w:bCs w:val="0"/>
          <w:szCs w:val="24"/>
          <w:lang w:val="en-GB"/>
        </w:rPr>
        <w:t xml:space="preserve">. </w:t>
      </w:r>
      <w:r w:rsidR="005659AC">
        <w:rPr>
          <w:rFonts w:ascii="Times New Roman" w:hAnsi="Times New Roman" w:cs="Times New Roman"/>
          <w:bCs w:val="0"/>
          <w:szCs w:val="24"/>
          <w:lang w:val="en-GB"/>
        </w:rPr>
        <w:t>COMPASS</w:t>
      </w:r>
      <w:r w:rsidR="00B2484C" w:rsidRPr="00F413DB">
        <w:rPr>
          <w:rFonts w:ascii="Times New Roman" w:hAnsi="Times New Roman" w:cs="Times New Roman"/>
          <w:bCs w:val="0"/>
          <w:szCs w:val="24"/>
          <w:lang w:val="en-GB"/>
        </w:rPr>
        <w:t xml:space="preserve"> was higher (borderline significance) in incomplete responders</w:t>
      </w:r>
      <w:r w:rsidR="00543A27" w:rsidRPr="00F413DB">
        <w:rPr>
          <w:rFonts w:ascii="Times New Roman" w:hAnsi="Times New Roman" w:cs="Times New Roman"/>
          <w:bCs w:val="0"/>
          <w:szCs w:val="24"/>
          <w:lang w:val="en-GB"/>
        </w:rPr>
        <w:t>.</w:t>
      </w:r>
    </w:p>
    <w:p w14:paraId="77639D96" w14:textId="77777777" w:rsidR="00C3068E" w:rsidRPr="00F413DB" w:rsidRDefault="00C3068E" w:rsidP="0065345F">
      <w:pPr>
        <w:spacing w:line="480" w:lineRule="auto"/>
        <w:jc w:val="both"/>
        <w:rPr>
          <w:rFonts w:ascii="Times New Roman" w:hAnsi="Times New Roman" w:cs="Times New Roman"/>
          <w:bCs w:val="0"/>
          <w:szCs w:val="24"/>
          <w:lang w:val="en-GB"/>
        </w:rPr>
      </w:pPr>
    </w:p>
    <w:p w14:paraId="0C4C0CFD" w14:textId="30896B23" w:rsidR="0065345F" w:rsidRPr="00F413DB" w:rsidRDefault="0065345F" w:rsidP="0065345F">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The ID polymorphism of the ACE genotype was the most commonly observed </w:t>
      </w:r>
      <w:r w:rsidR="00402D0C" w:rsidRPr="00F413DB">
        <w:rPr>
          <w:rFonts w:ascii="Times New Roman" w:hAnsi="Times New Roman" w:cs="Times New Roman"/>
          <w:bCs w:val="0"/>
          <w:szCs w:val="24"/>
          <w:lang w:val="en-GB"/>
        </w:rPr>
        <w:t>in both responder groups</w:t>
      </w:r>
      <w:r w:rsidR="007745F6">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with no difference in</w:t>
      </w:r>
      <w:r w:rsidR="00CB6AD8" w:rsidRPr="00F413DB">
        <w:rPr>
          <w:rFonts w:ascii="Times New Roman" w:hAnsi="Times New Roman" w:cs="Times New Roman"/>
          <w:bCs w:val="0"/>
          <w:szCs w:val="24"/>
          <w:lang w:val="en-GB"/>
        </w:rPr>
        <w:t xml:space="preserve"> the</w:t>
      </w:r>
      <w:r w:rsidRPr="00F413DB">
        <w:rPr>
          <w:rFonts w:ascii="Times New Roman" w:hAnsi="Times New Roman" w:cs="Times New Roman"/>
          <w:bCs w:val="0"/>
          <w:szCs w:val="24"/>
          <w:lang w:val="en-GB"/>
        </w:rPr>
        <w:t xml:space="preserve"> DD polymorphism. </w:t>
      </w:r>
    </w:p>
    <w:p w14:paraId="0150E620" w14:textId="77777777" w:rsidR="00AE48D3" w:rsidRPr="00F413DB" w:rsidRDefault="00AE48D3" w:rsidP="00AE48D3">
      <w:pPr>
        <w:spacing w:line="480" w:lineRule="auto"/>
        <w:jc w:val="both"/>
        <w:outlineLvl w:val="0"/>
        <w:rPr>
          <w:rFonts w:ascii="Times New Roman" w:hAnsi="Times New Roman" w:cs="Times New Roman"/>
          <w:bCs w:val="0"/>
          <w:szCs w:val="24"/>
          <w:lang w:val="en-GB"/>
        </w:rPr>
      </w:pPr>
    </w:p>
    <w:p w14:paraId="2C563F46" w14:textId="3DA4D4BB" w:rsidR="00AE48D3" w:rsidRPr="00F413DB" w:rsidRDefault="00AE48D3" w:rsidP="00AE48D3">
      <w:pPr>
        <w:spacing w:line="480" w:lineRule="auto"/>
        <w:jc w:val="both"/>
        <w:outlineLvl w:val="0"/>
        <w:rPr>
          <w:rFonts w:ascii="Times New Roman" w:hAnsi="Times New Roman" w:cs="Times New Roman"/>
          <w:b/>
          <w:bCs w:val="0"/>
          <w:szCs w:val="24"/>
          <w:lang w:val="en-GB"/>
        </w:rPr>
      </w:pPr>
      <w:r w:rsidRPr="00F413DB">
        <w:rPr>
          <w:rFonts w:ascii="Times New Roman" w:hAnsi="Times New Roman" w:cs="Times New Roman"/>
          <w:b/>
          <w:bCs w:val="0"/>
          <w:szCs w:val="24"/>
          <w:lang w:val="en-GB"/>
        </w:rPr>
        <w:t>Mixed-</w:t>
      </w:r>
      <w:r w:rsidR="00062C3C">
        <w:rPr>
          <w:rFonts w:ascii="Times New Roman" w:hAnsi="Times New Roman" w:cs="Times New Roman"/>
          <w:b/>
          <w:bCs w:val="0"/>
          <w:szCs w:val="24"/>
          <w:lang w:val="en-GB"/>
        </w:rPr>
        <w:t>Meal Tolerance Test Subgroup A</w:t>
      </w:r>
      <w:r w:rsidRPr="00F413DB">
        <w:rPr>
          <w:rFonts w:ascii="Times New Roman" w:hAnsi="Times New Roman" w:cs="Times New Roman"/>
          <w:b/>
          <w:bCs w:val="0"/>
          <w:szCs w:val="24"/>
          <w:lang w:val="en-GB"/>
        </w:rPr>
        <w:t>nalysis</w:t>
      </w:r>
    </w:p>
    <w:p w14:paraId="719C2E43" w14:textId="0011C751" w:rsidR="00AE48D3" w:rsidRPr="00F413DB" w:rsidRDefault="00511187" w:rsidP="00AE48D3">
      <w:pPr>
        <w:spacing w:line="480" w:lineRule="auto"/>
        <w:jc w:val="both"/>
        <w:rPr>
          <w:rFonts w:ascii="Times New Roman" w:hAnsi="Times New Roman" w:cs="Times New Roman"/>
          <w:bCs w:val="0"/>
          <w:szCs w:val="24"/>
          <w:lang w:val="en-GB"/>
        </w:rPr>
      </w:pPr>
      <w:proofErr w:type="spellStart"/>
      <w:r>
        <w:rPr>
          <w:rFonts w:ascii="Times New Roman" w:hAnsi="Times New Roman" w:cs="Times New Roman"/>
          <w:bCs w:val="0"/>
          <w:szCs w:val="24"/>
          <w:lang w:val="en-GB"/>
        </w:rPr>
        <w:t>Re</w:t>
      </w:r>
      <w:r w:rsidR="00AE48D3" w:rsidRPr="00F413DB">
        <w:rPr>
          <w:rFonts w:ascii="Times New Roman" w:hAnsi="Times New Roman" w:cs="Times New Roman"/>
          <w:bCs w:val="0"/>
          <w:szCs w:val="24"/>
          <w:lang w:val="en-GB"/>
        </w:rPr>
        <w:t>recruitment</w:t>
      </w:r>
      <w:proofErr w:type="spellEnd"/>
      <w:r w:rsidR="00AE48D3" w:rsidRPr="00F413DB">
        <w:rPr>
          <w:rFonts w:ascii="Times New Roman" w:hAnsi="Times New Roman" w:cs="Times New Roman"/>
          <w:bCs w:val="0"/>
          <w:szCs w:val="24"/>
          <w:lang w:val="en-GB"/>
        </w:rPr>
        <w:t xml:space="preserve"> </w:t>
      </w:r>
      <w:r w:rsidR="002E150D" w:rsidRPr="00F413DB">
        <w:rPr>
          <w:rFonts w:ascii="Times New Roman" w:hAnsi="Times New Roman" w:cs="Times New Roman"/>
          <w:bCs w:val="0"/>
          <w:szCs w:val="24"/>
          <w:lang w:val="en-GB"/>
        </w:rPr>
        <w:t xml:space="preserve">to the </w:t>
      </w:r>
      <w:proofErr w:type="spellStart"/>
      <w:r w:rsidR="002E150D" w:rsidRPr="00F413DB">
        <w:rPr>
          <w:rFonts w:ascii="Times New Roman" w:hAnsi="Times New Roman" w:cs="Times New Roman"/>
          <w:bCs w:val="0"/>
          <w:szCs w:val="24"/>
          <w:lang w:val="en-GB"/>
        </w:rPr>
        <w:t>substudy</w:t>
      </w:r>
      <w:proofErr w:type="spellEnd"/>
      <w:r w:rsidR="002E150D" w:rsidRPr="00F413DB">
        <w:rPr>
          <w:rFonts w:ascii="Times New Roman" w:hAnsi="Times New Roman" w:cs="Times New Roman"/>
          <w:bCs w:val="0"/>
          <w:szCs w:val="24"/>
          <w:lang w:val="en-GB"/>
        </w:rPr>
        <w:t xml:space="preserve"> </w:t>
      </w:r>
      <w:r w:rsidR="00AE48D3" w:rsidRPr="00F413DB">
        <w:rPr>
          <w:rFonts w:ascii="Times New Roman" w:hAnsi="Times New Roman" w:cs="Times New Roman"/>
          <w:bCs w:val="0"/>
          <w:szCs w:val="24"/>
          <w:lang w:val="en-GB"/>
        </w:rPr>
        <w:t>was compar</w:t>
      </w:r>
      <w:r w:rsidR="002E150D" w:rsidRPr="00F413DB">
        <w:rPr>
          <w:rFonts w:ascii="Times New Roman" w:hAnsi="Times New Roman" w:cs="Times New Roman"/>
          <w:bCs w:val="0"/>
          <w:szCs w:val="24"/>
          <w:lang w:val="en-GB"/>
        </w:rPr>
        <w:t xml:space="preserve">able </w:t>
      </w:r>
      <w:r w:rsidR="00402D0C" w:rsidRPr="00F413DB">
        <w:rPr>
          <w:rFonts w:ascii="Times New Roman" w:hAnsi="Times New Roman" w:cs="Times New Roman"/>
          <w:bCs w:val="0"/>
          <w:szCs w:val="24"/>
          <w:lang w:val="en-GB"/>
        </w:rPr>
        <w:t>in both</w:t>
      </w:r>
      <w:r w:rsidR="002E150D" w:rsidRPr="00F413DB">
        <w:rPr>
          <w:rFonts w:ascii="Times New Roman" w:hAnsi="Times New Roman" w:cs="Times New Roman"/>
          <w:bCs w:val="0"/>
          <w:szCs w:val="24"/>
          <w:lang w:val="en-GB"/>
        </w:rPr>
        <w:t xml:space="preserve"> group</w:t>
      </w:r>
      <w:r w:rsidR="00402D0C" w:rsidRPr="00F413DB">
        <w:rPr>
          <w:rFonts w:ascii="Times New Roman" w:hAnsi="Times New Roman" w:cs="Times New Roman"/>
          <w:bCs w:val="0"/>
          <w:szCs w:val="24"/>
          <w:lang w:val="en-GB"/>
        </w:rPr>
        <w:t>s</w:t>
      </w:r>
      <w:r w:rsidR="002E150D" w:rsidRPr="00F413DB">
        <w:rPr>
          <w:rFonts w:ascii="Times New Roman" w:hAnsi="Times New Roman" w:cs="Times New Roman"/>
          <w:bCs w:val="0"/>
          <w:szCs w:val="24"/>
          <w:lang w:val="en-GB"/>
        </w:rPr>
        <w:t xml:space="preserve"> with</w:t>
      </w:r>
      <w:r w:rsidR="00AE48D3" w:rsidRPr="00F413DB">
        <w:rPr>
          <w:rFonts w:ascii="Times New Roman" w:hAnsi="Times New Roman" w:cs="Times New Roman"/>
          <w:bCs w:val="0"/>
          <w:szCs w:val="24"/>
          <w:lang w:val="en-GB"/>
        </w:rPr>
        <w:t xml:space="preserve"> 25 (58%) comple</w:t>
      </w:r>
      <w:r w:rsidR="002E150D" w:rsidRPr="00F413DB">
        <w:rPr>
          <w:rFonts w:ascii="Times New Roman" w:hAnsi="Times New Roman" w:cs="Times New Roman"/>
          <w:bCs w:val="0"/>
          <w:szCs w:val="24"/>
          <w:lang w:val="en-GB"/>
        </w:rPr>
        <w:t xml:space="preserve">te responders and </w:t>
      </w:r>
      <w:r w:rsidR="00AE48D3" w:rsidRPr="00F413DB">
        <w:rPr>
          <w:rFonts w:ascii="Times New Roman" w:hAnsi="Times New Roman" w:cs="Times New Roman"/>
          <w:bCs w:val="0"/>
          <w:szCs w:val="24"/>
          <w:lang w:val="en-GB"/>
        </w:rPr>
        <w:t>1</w:t>
      </w:r>
      <w:r w:rsidR="00563F53" w:rsidRPr="00F413DB">
        <w:rPr>
          <w:rFonts w:ascii="Times New Roman" w:hAnsi="Times New Roman" w:cs="Times New Roman"/>
          <w:bCs w:val="0"/>
          <w:szCs w:val="24"/>
          <w:lang w:val="en-GB"/>
        </w:rPr>
        <w:t>3</w:t>
      </w:r>
      <w:r w:rsidR="00AE48D3" w:rsidRPr="00F413DB">
        <w:rPr>
          <w:rFonts w:ascii="Times New Roman" w:hAnsi="Times New Roman" w:cs="Times New Roman"/>
          <w:bCs w:val="0"/>
          <w:szCs w:val="24"/>
          <w:lang w:val="en-GB"/>
        </w:rPr>
        <w:t xml:space="preserve"> </w:t>
      </w:r>
      <w:r w:rsidR="00563F53" w:rsidRPr="00F413DB">
        <w:rPr>
          <w:rFonts w:ascii="Times New Roman" w:hAnsi="Times New Roman" w:cs="Times New Roman"/>
          <w:bCs w:val="0"/>
          <w:szCs w:val="24"/>
          <w:lang w:val="en-GB"/>
        </w:rPr>
        <w:t xml:space="preserve">(46%) </w:t>
      </w:r>
      <w:r w:rsidR="00EF02CF" w:rsidRPr="00F413DB">
        <w:rPr>
          <w:rFonts w:ascii="Times New Roman" w:hAnsi="Times New Roman" w:cs="Times New Roman"/>
          <w:bCs w:val="0"/>
          <w:szCs w:val="24"/>
          <w:lang w:val="en-GB"/>
        </w:rPr>
        <w:t xml:space="preserve">incomplete responders </w:t>
      </w:r>
      <w:r w:rsidR="00AE48D3" w:rsidRPr="00F413DB">
        <w:rPr>
          <w:rFonts w:ascii="Times New Roman" w:hAnsi="Times New Roman" w:cs="Times New Roman"/>
          <w:bCs w:val="0"/>
          <w:szCs w:val="24"/>
          <w:lang w:val="en-GB"/>
        </w:rPr>
        <w:t xml:space="preserve">taking part. </w:t>
      </w:r>
      <w:r w:rsidR="00781DE6" w:rsidRPr="00F413DB">
        <w:rPr>
          <w:rFonts w:ascii="Times New Roman" w:hAnsi="Times New Roman" w:cs="Times New Roman"/>
          <w:bCs w:val="0"/>
          <w:szCs w:val="24"/>
          <w:lang w:val="en-GB"/>
        </w:rPr>
        <w:t xml:space="preserve">Stimulated serum C-peptide </w:t>
      </w:r>
      <w:proofErr w:type="spellStart"/>
      <w:r w:rsidR="00DD17CD" w:rsidRPr="00F413DB">
        <w:rPr>
          <w:rFonts w:ascii="Times New Roman" w:hAnsi="Times New Roman" w:cs="Times New Roman"/>
          <w:bCs w:val="0"/>
          <w:szCs w:val="24"/>
          <w:lang w:val="en-GB"/>
        </w:rPr>
        <w:t>microsecretion</w:t>
      </w:r>
      <w:proofErr w:type="spellEnd"/>
      <w:r w:rsidR="00DD17CD" w:rsidRPr="00F413DB">
        <w:rPr>
          <w:rFonts w:ascii="Times New Roman" w:hAnsi="Times New Roman" w:cs="Times New Roman"/>
          <w:bCs w:val="0"/>
          <w:szCs w:val="24"/>
          <w:lang w:val="en-GB"/>
        </w:rPr>
        <w:t xml:space="preserve"> </w:t>
      </w:r>
      <w:r w:rsidR="00781DE6" w:rsidRPr="00F413DB">
        <w:rPr>
          <w:rFonts w:ascii="Times New Roman" w:hAnsi="Times New Roman" w:cs="Times New Roman"/>
          <w:bCs w:val="0"/>
          <w:szCs w:val="24"/>
          <w:lang w:val="en-GB"/>
        </w:rPr>
        <w:t>wa</w:t>
      </w:r>
      <w:r w:rsidR="000C794A" w:rsidRPr="00F413DB">
        <w:rPr>
          <w:rFonts w:ascii="Times New Roman" w:hAnsi="Times New Roman" w:cs="Times New Roman"/>
          <w:bCs w:val="0"/>
          <w:szCs w:val="24"/>
          <w:lang w:val="en-GB"/>
        </w:rPr>
        <w:t>s</w:t>
      </w:r>
      <w:r w:rsidR="00DD17CD" w:rsidRPr="00F413DB">
        <w:rPr>
          <w:rFonts w:ascii="Times New Roman" w:hAnsi="Times New Roman" w:cs="Times New Roman"/>
          <w:bCs w:val="0"/>
          <w:szCs w:val="24"/>
          <w:lang w:val="en-GB"/>
        </w:rPr>
        <w:t xml:space="preserve"> </w:t>
      </w:r>
      <w:r w:rsidR="00781DE6" w:rsidRPr="00F413DB">
        <w:rPr>
          <w:rFonts w:ascii="Times New Roman" w:hAnsi="Times New Roman" w:cs="Times New Roman"/>
          <w:bCs w:val="0"/>
          <w:szCs w:val="24"/>
          <w:lang w:val="en-GB"/>
        </w:rPr>
        <w:lastRenderedPageBreak/>
        <w:t xml:space="preserve">detectable in </w:t>
      </w:r>
      <w:r>
        <w:rPr>
          <w:rFonts w:ascii="Times New Roman" w:hAnsi="Times New Roman" w:cs="Times New Roman"/>
          <w:bCs w:val="0"/>
          <w:szCs w:val="24"/>
          <w:lang w:val="en-GB"/>
        </w:rPr>
        <w:t>seven</w:t>
      </w:r>
      <w:r w:rsidR="000E77AB" w:rsidRPr="00F413DB">
        <w:rPr>
          <w:rFonts w:ascii="Times New Roman" w:hAnsi="Times New Roman" w:cs="Times New Roman"/>
          <w:bCs w:val="0"/>
          <w:szCs w:val="24"/>
          <w:lang w:val="en-GB"/>
        </w:rPr>
        <w:t xml:space="preserve"> </w:t>
      </w:r>
      <w:r w:rsidR="00781DE6" w:rsidRPr="00F413DB">
        <w:rPr>
          <w:rFonts w:ascii="Times New Roman" w:hAnsi="Times New Roman" w:cs="Times New Roman"/>
          <w:bCs w:val="0"/>
          <w:szCs w:val="24"/>
          <w:lang w:val="en-GB"/>
        </w:rPr>
        <w:t>(1</w:t>
      </w:r>
      <w:r w:rsidR="00F328DD" w:rsidRPr="00F413DB">
        <w:rPr>
          <w:rFonts w:ascii="Times New Roman" w:hAnsi="Times New Roman" w:cs="Times New Roman"/>
          <w:bCs w:val="0"/>
          <w:szCs w:val="24"/>
          <w:lang w:val="en-GB"/>
        </w:rPr>
        <w:t>8</w:t>
      </w:r>
      <w:r w:rsidR="00781DE6" w:rsidRPr="00F413DB">
        <w:rPr>
          <w:rFonts w:ascii="Times New Roman" w:hAnsi="Times New Roman" w:cs="Times New Roman"/>
          <w:bCs w:val="0"/>
          <w:szCs w:val="24"/>
          <w:lang w:val="en-GB"/>
        </w:rPr>
        <w:t>%) participants</w:t>
      </w:r>
      <w:r w:rsidR="00E73B04">
        <w:rPr>
          <w:rFonts w:ascii="Times New Roman" w:hAnsi="Times New Roman" w:cs="Times New Roman"/>
          <w:bCs w:val="0"/>
          <w:szCs w:val="24"/>
          <w:lang w:val="en-GB"/>
        </w:rPr>
        <w:t xml:space="preserve"> </w:t>
      </w:r>
      <w:r>
        <w:rPr>
          <w:rFonts w:ascii="Times New Roman" w:hAnsi="Times New Roman" w:cs="Times New Roman"/>
          <w:bCs w:val="0"/>
          <w:szCs w:val="24"/>
          <w:lang w:val="en-GB"/>
        </w:rPr>
        <w:t xml:space="preserve">(range 4-99 </w:t>
      </w:r>
      <w:proofErr w:type="spellStart"/>
      <w:r>
        <w:rPr>
          <w:rFonts w:ascii="Times New Roman" w:hAnsi="Times New Roman" w:cs="Times New Roman"/>
          <w:bCs w:val="0"/>
          <w:szCs w:val="24"/>
          <w:lang w:val="en-GB"/>
        </w:rPr>
        <w:t>pmol</w:t>
      </w:r>
      <w:proofErr w:type="spellEnd"/>
      <w:r>
        <w:rPr>
          <w:rFonts w:ascii="Times New Roman" w:hAnsi="Times New Roman" w:cs="Times New Roman"/>
          <w:bCs w:val="0"/>
          <w:szCs w:val="24"/>
          <w:lang w:val="en-GB"/>
        </w:rPr>
        <w:t>/L) (</w:t>
      </w:r>
      <w:r w:rsidR="00DD17CD" w:rsidRPr="00F413DB">
        <w:rPr>
          <w:rFonts w:ascii="Times New Roman" w:hAnsi="Times New Roman" w:cs="Times New Roman"/>
          <w:bCs w:val="0"/>
          <w:szCs w:val="24"/>
          <w:lang w:val="en-GB"/>
        </w:rPr>
        <w:t>Supplementary Table 1)</w:t>
      </w:r>
      <w:r w:rsidR="00781DE6" w:rsidRPr="00F413DB">
        <w:rPr>
          <w:rFonts w:ascii="Times New Roman" w:hAnsi="Times New Roman" w:cs="Times New Roman"/>
          <w:bCs w:val="0"/>
          <w:szCs w:val="24"/>
          <w:lang w:val="en-GB"/>
        </w:rPr>
        <w:t xml:space="preserve">. </w:t>
      </w:r>
      <w:r w:rsidR="00DD17CD" w:rsidRPr="00F413DB">
        <w:rPr>
          <w:rFonts w:ascii="Times New Roman" w:hAnsi="Times New Roman" w:cs="Times New Roman"/>
          <w:bCs w:val="0"/>
          <w:szCs w:val="24"/>
          <w:lang w:val="en-GB"/>
        </w:rPr>
        <w:t xml:space="preserve">Fasting </w:t>
      </w:r>
      <w:r w:rsidR="00781DE6" w:rsidRPr="00F413DB">
        <w:rPr>
          <w:rFonts w:ascii="Times New Roman" w:hAnsi="Times New Roman" w:cs="Times New Roman"/>
          <w:bCs w:val="0"/>
          <w:szCs w:val="24"/>
          <w:lang w:val="en-GB"/>
        </w:rPr>
        <w:t xml:space="preserve">C-peptide </w:t>
      </w:r>
      <w:proofErr w:type="spellStart"/>
      <w:r w:rsidR="00781DE6" w:rsidRPr="00F413DB">
        <w:rPr>
          <w:rFonts w:ascii="Times New Roman" w:hAnsi="Times New Roman" w:cs="Times New Roman"/>
          <w:bCs w:val="0"/>
          <w:szCs w:val="24"/>
          <w:lang w:val="en-GB"/>
        </w:rPr>
        <w:t>microsecretion</w:t>
      </w:r>
      <w:proofErr w:type="spellEnd"/>
      <w:r w:rsidR="00781DE6" w:rsidRPr="00F413DB">
        <w:rPr>
          <w:rFonts w:ascii="Times New Roman" w:hAnsi="Times New Roman" w:cs="Times New Roman"/>
          <w:bCs w:val="0"/>
          <w:szCs w:val="24"/>
          <w:lang w:val="en-GB"/>
        </w:rPr>
        <w:t xml:space="preserve"> was observed </w:t>
      </w:r>
      <w:r w:rsidR="00DD17CD" w:rsidRPr="00F413DB">
        <w:rPr>
          <w:rFonts w:ascii="Times New Roman" w:hAnsi="Times New Roman" w:cs="Times New Roman"/>
          <w:bCs w:val="0"/>
          <w:szCs w:val="24"/>
          <w:lang w:val="en-GB"/>
        </w:rPr>
        <w:t xml:space="preserve">in only </w:t>
      </w:r>
      <w:r>
        <w:rPr>
          <w:rFonts w:ascii="Times New Roman" w:hAnsi="Times New Roman" w:cs="Times New Roman"/>
          <w:bCs w:val="0"/>
          <w:szCs w:val="24"/>
          <w:lang w:val="en-GB"/>
        </w:rPr>
        <w:t>three</w:t>
      </w:r>
      <w:r w:rsidR="00DD17CD" w:rsidRPr="00F413DB">
        <w:rPr>
          <w:rFonts w:ascii="Times New Roman" w:hAnsi="Times New Roman" w:cs="Times New Roman"/>
          <w:bCs w:val="0"/>
          <w:szCs w:val="24"/>
          <w:lang w:val="en-GB"/>
        </w:rPr>
        <w:t xml:space="preserve"> participants (</w:t>
      </w:r>
      <w:r w:rsidR="00253B16" w:rsidRPr="00F413DB">
        <w:rPr>
          <w:rFonts w:ascii="Times New Roman" w:hAnsi="Times New Roman" w:cs="Times New Roman"/>
          <w:bCs w:val="0"/>
          <w:szCs w:val="24"/>
          <w:lang w:val="en-GB"/>
        </w:rPr>
        <w:t>all</w:t>
      </w:r>
      <w:r w:rsidR="000C794A" w:rsidRPr="00F413DB">
        <w:rPr>
          <w:rFonts w:ascii="Times New Roman" w:hAnsi="Times New Roman" w:cs="Times New Roman"/>
          <w:bCs w:val="0"/>
          <w:szCs w:val="24"/>
          <w:lang w:val="en-GB"/>
        </w:rPr>
        <w:t xml:space="preserve"> </w:t>
      </w:r>
      <w:r w:rsidR="00DD17CD" w:rsidRPr="00F413DB">
        <w:rPr>
          <w:rFonts w:ascii="Times New Roman" w:hAnsi="Times New Roman" w:cs="Times New Roman"/>
          <w:bCs w:val="0"/>
          <w:szCs w:val="24"/>
          <w:lang w:val="en-GB"/>
        </w:rPr>
        <w:t xml:space="preserve">complete responders). Four participants (all complete responders) had detectable urine C-peptide. </w:t>
      </w:r>
      <w:r w:rsidR="00950DA9" w:rsidRPr="00F413DB" w:rsidDel="00563F53">
        <w:rPr>
          <w:rFonts w:ascii="Times New Roman" w:hAnsi="Times New Roman" w:cs="Times New Roman"/>
          <w:bCs w:val="0"/>
          <w:szCs w:val="24"/>
          <w:lang w:val="en-GB"/>
        </w:rPr>
        <w:t>Three furthe</w:t>
      </w:r>
      <w:r>
        <w:rPr>
          <w:rFonts w:ascii="Times New Roman" w:hAnsi="Times New Roman" w:cs="Times New Roman"/>
          <w:bCs w:val="0"/>
          <w:szCs w:val="24"/>
          <w:lang w:val="en-GB"/>
        </w:rPr>
        <w:t xml:space="preserve">r incomplete responders had </w:t>
      </w:r>
      <w:proofErr w:type="spellStart"/>
      <w:r>
        <w:rPr>
          <w:rFonts w:ascii="Times New Roman" w:hAnsi="Times New Roman" w:cs="Times New Roman"/>
          <w:bCs w:val="0"/>
          <w:szCs w:val="24"/>
          <w:lang w:val="en-GB"/>
        </w:rPr>
        <w:t>non</w:t>
      </w:r>
      <w:r w:rsidR="00950DA9" w:rsidRPr="00F413DB" w:rsidDel="00563F53">
        <w:rPr>
          <w:rFonts w:ascii="Times New Roman" w:hAnsi="Times New Roman" w:cs="Times New Roman"/>
          <w:bCs w:val="0"/>
          <w:szCs w:val="24"/>
          <w:lang w:val="en-GB"/>
        </w:rPr>
        <w:t>study</w:t>
      </w:r>
      <w:proofErr w:type="spellEnd"/>
      <w:r w:rsidR="00950DA9" w:rsidRPr="00F413DB" w:rsidDel="00563F53">
        <w:rPr>
          <w:rFonts w:ascii="Times New Roman" w:hAnsi="Times New Roman" w:cs="Times New Roman"/>
          <w:bCs w:val="0"/>
          <w:szCs w:val="24"/>
          <w:lang w:val="en-GB"/>
        </w:rPr>
        <w:t xml:space="preserve"> </w:t>
      </w:r>
      <w:r w:rsidR="00411495">
        <w:rPr>
          <w:rFonts w:ascii="Times New Roman" w:hAnsi="Times New Roman" w:cs="Times New Roman"/>
          <w:bCs w:val="0"/>
          <w:szCs w:val="24"/>
          <w:lang w:val="en-GB"/>
        </w:rPr>
        <w:t>mixed-meal tolerance tests</w:t>
      </w:r>
      <w:r w:rsidR="00950DA9" w:rsidRPr="00F413DB" w:rsidDel="00563F53">
        <w:rPr>
          <w:rFonts w:ascii="Times New Roman" w:hAnsi="Times New Roman" w:cs="Times New Roman"/>
          <w:bCs w:val="0"/>
          <w:szCs w:val="24"/>
          <w:lang w:val="en-GB"/>
        </w:rPr>
        <w:t xml:space="preserve"> excluding C-peptide </w:t>
      </w:r>
      <w:proofErr w:type="spellStart"/>
      <w:r w:rsidR="00950DA9" w:rsidRPr="00F413DB" w:rsidDel="00563F53">
        <w:rPr>
          <w:rFonts w:ascii="Times New Roman" w:hAnsi="Times New Roman" w:cs="Times New Roman"/>
          <w:bCs w:val="0"/>
          <w:szCs w:val="24"/>
          <w:lang w:val="en-GB"/>
        </w:rPr>
        <w:t>microsecretion</w:t>
      </w:r>
      <w:proofErr w:type="spellEnd"/>
      <w:r w:rsidR="00950DA9" w:rsidRPr="00F413DB" w:rsidDel="00563F53">
        <w:rPr>
          <w:rFonts w:ascii="Times New Roman" w:hAnsi="Times New Roman" w:cs="Times New Roman"/>
          <w:bCs w:val="0"/>
          <w:szCs w:val="24"/>
          <w:lang w:val="en-GB"/>
        </w:rPr>
        <w:t xml:space="preserve"> prior to undergoing pancreatic islet transplantation for recu</w:t>
      </w:r>
      <w:r w:rsidR="00330528" w:rsidRPr="00F413DB">
        <w:rPr>
          <w:rFonts w:ascii="Times New Roman" w:hAnsi="Times New Roman" w:cs="Times New Roman"/>
          <w:bCs w:val="0"/>
          <w:szCs w:val="24"/>
          <w:lang w:val="en-GB"/>
        </w:rPr>
        <w:t xml:space="preserve">rrent life-threatening </w:t>
      </w:r>
      <w:proofErr w:type="spellStart"/>
      <w:r w:rsidR="00330528" w:rsidRPr="00F413DB">
        <w:rPr>
          <w:rFonts w:ascii="Times New Roman" w:hAnsi="Times New Roman" w:cs="Times New Roman"/>
          <w:bCs w:val="0"/>
          <w:szCs w:val="24"/>
          <w:lang w:val="en-GB"/>
        </w:rPr>
        <w:t>hypoglyc</w:t>
      </w:r>
      <w:r w:rsidR="00950DA9" w:rsidRPr="00F413DB" w:rsidDel="00563F53">
        <w:rPr>
          <w:rFonts w:ascii="Times New Roman" w:hAnsi="Times New Roman" w:cs="Times New Roman"/>
          <w:bCs w:val="0"/>
          <w:szCs w:val="24"/>
          <w:lang w:val="en-GB"/>
        </w:rPr>
        <w:t>emia</w:t>
      </w:r>
      <w:proofErr w:type="spellEnd"/>
      <w:r w:rsidR="00950DA9" w:rsidRPr="00F413DB" w:rsidDel="00563F53">
        <w:rPr>
          <w:rFonts w:ascii="Times New Roman" w:hAnsi="Times New Roman" w:cs="Times New Roman"/>
          <w:bCs w:val="0"/>
          <w:szCs w:val="24"/>
          <w:lang w:val="en-GB"/>
        </w:rPr>
        <w:t>.</w:t>
      </w:r>
    </w:p>
    <w:p w14:paraId="479DC752" w14:textId="77777777" w:rsidR="00AB16BD" w:rsidRPr="00F413DB" w:rsidRDefault="00AB16BD" w:rsidP="00991E9B">
      <w:pPr>
        <w:spacing w:line="480" w:lineRule="auto"/>
        <w:jc w:val="both"/>
        <w:rPr>
          <w:rFonts w:ascii="Times New Roman" w:hAnsi="Times New Roman" w:cs="Times New Roman"/>
          <w:bCs w:val="0"/>
          <w:szCs w:val="24"/>
          <w:lang w:val="en-GB"/>
        </w:rPr>
      </w:pPr>
    </w:p>
    <w:p w14:paraId="693AB97A" w14:textId="462847EC" w:rsidR="00433F81" w:rsidRPr="00F413DB" w:rsidRDefault="00CF4EDF" w:rsidP="00991E9B">
      <w:pPr>
        <w:spacing w:line="480" w:lineRule="auto"/>
        <w:jc w:val="both"/>
        <w:outlineLvl w:val="0"/>
        <w:rPr>
          <w:rFonts w:ascii="Times New Roman" w:hAnsi="Times New Roman" w:cs="Times New Roman"/>
          <w:b/>
          <w:bCs w:val="0"/>
          <w:szCs w:val="24"/>
          <w:lang w:val="en-GB"/>
        </w:rPr>
      </w:pPr>
      <w:r w:rsidRPr="00F413DB">
        <w:rPr>
          <w:rFonts w:ascii="Times New Roman" w:hAnsi="Times New Roman" w:cs="Times New Roman"/>
          <w:b/>
          <w:bCs w:val="0"/>
          <w:szCs w:val="24"/>
          <w:lang w:val="en-GB"/>
        </w:rPr>
        <w:t>Conclusion</w:t>
      </w:r>
      <w:r w:rsidR="000B031A" w:rsidRPr="00F413DB">
        <w:rPr>
          <w:rFonts w:ascii="Times New Roman" w:hAnsi="Times New Roman" w:cs="Times New Roman"/>
          <w:b/>
          <w:bCs w:val="0"/>
          <w:szCs w:val="24"/>
          <w:lang w:val="en-GB"/>
        </w:rPr>
        <w:t>s</w:t>
      </w:r>
    </w:p>
    <w:p w14:paraId="4A78DFD3" w14:textId="1ED8935B" w:rsidR="00036120" w:rsidRPr="00F413DB" w:rsidRDefault="00446387" w:rsidP="00991E9B">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In this </w:t>
      </w:r>
      <w:r w:rsidR="00CE4D72">
        <w:rPr>
          <w:rFonts w:ascii="Times New Roman" w:hAnsi="Times New Roman" w:cs="Times New Roman"/>
          <w:bCs w:val="0"/>
          <w:szCs w:val="24"/>
          <w:lang w:val="en-GB"/>
        </w:rPr>
        <w:t>analysis</w:t>
      </w:r>
      <w:r w:rsidR="00CC5996">
        <w:rPr>
          <w:rFonts w:ascii="Times New Roman" w:hAnsi="Times New Roman" w:cs="Times New Roman"/>
          <w:bCs w:val="0"/>
          <w:szCs w:val="24"/>
          <w:lang w:val="en-GB"/>
        </w:rPr>
        <w:t>,</w:t>
      </w:r>
      <w:r w:rsidR="00CE4D72">
        <w:rPr>
          <w:rFonts w:ascii="Times New Roman" w:hAnsi="Times New Roman" w:cs="Times New Roman"/>
          <w:bCs w:val="0"/>
          <w:szCs w:val="24"/>
          <w:lang w:val="en-GB"/>
        </w:rPr>
        <w:t xml:space="preserve"> planned before trial commencement</w:t>
      </w:r>
      <w:r w:rsidR="00CC5996">
        <w:rPr>
          <w:rFonts w:ascii="Times New Roman" w:hAnsi="Times New Roman" w:cs="Times New Roman"/>
          <w:bCs w:val="0"/>
          <w:szCs w:val="24"/>
          <w:lang w:val="en-GB"/>
        </w:rPr>
        <w:t>,</w:t>
      </w:r>
      <w:r w:rsidR="00CE4D72">
        <w:rPr>
          <w:rFonts w:ascii="Times New Roman" w:hAnsi="Times New Roman" w:cs="Times New Roman"/>
          <w:bCs w:val="0"/>
          <w:szCs w:val="24"/>
          <w:lang w:val="en-GB"/>
        </w:rPr>
        <w:t xml:space="preserve"> in a </w:t>
      </w:r>
      <w:r w:rsidRPr="00F413DB">
        <w:rPr>
          <w:rFonts w:ascii="Times New Roman" w:hAnsi="Times New Roman" w:cs="Times New Roman"/>
          <w:bCs w:val="0"/>
          <w:szCs w:val="24"/>
          <w:lang w:val="en-GB"/>
        </w:rPr>
        <w:t xml:space="preserve">cohort of </w:t>
      </w:r>
      <w:r w:rsidR="000A5859">
        <w:rPr>
          <w:rFonts w:ascii="Times New Roman" w:hAnsi="Times New Roman" w:cs="Times New Roman"/>
          <w:bCs w:val="0"/>
          <w:szCs w:val="24"/>
          <w:lang w:val="en-GB"/>
        </w:rPr>
        <w:t>adults</w:t>
      </w:r>
      <w:r w:rsidR="000A5859" w:rsidRPr="00F413DB">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with long-</w:t>
      </w:r>
      <w:r w:rsidR="00A50486" w:rsidRPr="00F413DB">
        <w:rPr>
          <w:rFonts w:ascii="Times New Roman" w:hAnsi="Times New Roman" w:cs="Times New Roman"/>
          <w:bCs w:val="0"/>
          <w:szCs w:val="24"/>
          <w:lang w:val="en-GB"/>
        </w:rPr>
        <w:t xml:space="preserve">standing type 1 diabetes and impaired awareness of </w:t>
      </w:r>
      <w:proofErr w:type="spellStart"/>
      <w:r w:rsidR="00A50486" w:rsidRPr="00F413DB">
        <w:rPr>
          <w:rFonts w:ascii="Times New Roman" w:hAnsi="Times New Roman" w:cs="Times New Roman"/>
          <w:bCs w:val="0"/>
          <w:szCs w:val="24"/>
          <w:lang w:val="en-GB"/>
        </w:rPr>
        <w:t>hypoglycemia</w:t>
      </w:r>
      <w:proofErr w:type="spellEnd"/>
      <w:r w:rsidR="0038095D" w:rsidRPr="00F413DB">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w:t>
      </w:r>
      <w:r w:rsidR="00623C86" w:rsidRPr="00F413DB">
        <w:rPr>
          <w:rFonts w:ascii="Times New Roman" w:hAnsi="Times New Roman" w:cs="Times New Roman"/>
          <w:bCs w:val="0"/>
          <w:szCs w:val="24"/>
          <w:lang w:val="en-GB"/>
        </w:rPr>
        <w:t>high</w:t>
      </w:r>
      <w:r w:rsidR="000A5859">
        <w:rPr>
          <w:rFonts w:ascii="Times New Roman" w:hAnsi="Times New Roman" w:cs="Times New Roman"/>
          <w:bCs w:val="0"/>
          <w:szCs w:val="24"/>
          <w:lang w:val="en-GB"/>
        </w:rPr>
        <w:t>er</w:t>
      </w:r>
      <w:r w:rsidR="00A50486" w:rsidRPr="00F413DB">
        <w:rPr>
          <w:rFonts w:ascii="Times New Roman" w:hAnsi="Times New Roman" w:cs="Times New Roman"/>
          <w:bCs w:val="0"/>
          <w:szCs w:val="24"/>
          <w:lang w:val="en-GB"/>
        </w:rPr>
        <w:t xml:space="preserve"> baseline rate of severe </w:t>
      </w:r>
      <w:proofErr w:type="spellStart"/>
      <w:r w:rsidR="00A50486" w:rsidRPr="00F413DB">
        <w:rPr>
          <w:rFonts w:ascii="Times New Roman" w:hAnsi="Times New Roman" w:cs="Times New Roman"/>
          <w:bCs w:val="0"/>
          <w:szCs w:val="24"/>
          <w:lang w:val="en-GB"/>
        </w:rPr>
        <w:t>hypoglycemia</w:t>
      </w:r>
      <w:proofErr w:type="spellEnd"/>
      <w:r w:rsidR="000A5859">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w:t>
      </w:r>
      <w:r w:rsidR="000A5859">
        <w:rPr>
          <w:rFonts w:ascii="Times New Roman" w:hAnsi="Times New Roman" w:cs="Times New Roman"/>
          <w:bCs w:val="0"/>
          <w:szCs w:val="24"/>
          <w:lang w:val="en-GB"/>
        </w:rPr>
        <w:t>fear of hypoglycaemia</w:t>
      </w:r>
      <w:r w:rsidR="00CC5996">
        <w:rPr>
          <w:rFonts w:ascii="Times New Roman" w:hAnsi="Times New Roman" w:cs="Times New Roman"/>
          <w:bCs w:val="0"/>
          <w:szCs w:val="24"/>
          <w:lang w:val="en-GB"/>
        </w:rPr>
        <w:t>,</w:t>
      </w:r>
      <w:r w:rsidR="000A5859">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 xml:space="preserve">and </w:t>
      </w:r>
      <w:r w:rsidR="00853E4A" w:rsidRPr="00F413DB">
        <w:rPr>
          <w:rFonts w:ascii="Times New Roman" w:hAnsi="Times New Roman" w:cs="Times New Roman"/>
          <w:bCs w:val="0"/>
          <w:szCs w:val="24"/>
          <w:lang w:val="en-GB"/>
        </w:rPr>
        <w:t xml:space="preserve">peripheral </w:t>
      </w:r>
      <w:r w:rsidR="000013DA" w:rsidRPr="00F413DB">
        <w:rPr>
          <w:rFonts w:ascii="Times New Roman" w:hAnsi="Times New Roman" w:cs="Times New Roman"/>
          <w:bCs w:val="0"/>
          <w:szCs w:val="24"/>
          <w:lang w:val="en-GB"/>
        </w:rPr>
        <w:t>ne</w:t>
      </w:r>
      <w:r w:rsidR="00623C86" w:rsidRPr="00F413DB">
        <w:rPr>
          <w:rFonts w:ascii="Times New Roman" w:hAnsi="Times New Roman" w:cs="Times New Roman"/>
          <w:bCs w:val="0"/>
          <w:szCs w:val="24"/>
          <w:lang w:val="en-GB"/>
        </w:rPr>
        <w:t>uropathy were predictors of</w:t>
      </w:r>
      <w:r w:rsidR="000013DA" w:rsidRPr="00F413DB">
        <w:rPr>
          <w:rFonts w:ascii="Times New Roman" w:hAnsi="Times New Roman" w:cs="Times New Roman"/>
          <w:bCs w:val="0"/>
          <w:szCs w:val="24"/>
          <w:lang w:val="en-GB"/>
        </w:rPr>
        <w:t xml:space="preserve"> </w:t>
      </w:r>
      <w:r w:rsidR="00762691" w:rsidRPr="00F413DB">
        <w:rPr>
          <w:rFonts w:ascii="Times New Roman" w:hAnsi="Times New Roman" w:cs="Times New Roman"/>
          <w:bCs w:val="0"/>
          <w:szCs w:val="24"/>
          <w:lang w:val="en-GB"/>
        </w:rPr>
        <w:t>further</w:t>
      </w:r>
      <w:r w:rsidR="000013DA" w:rsidRPr="00F413DB">
        <w:rPr>
          <w:rFonts w:ascii="Times New Roman" w:hAnsi="Times New Roman" w:cs="Times New Roman"/>
          <w:bCs w:val="0"/>
          <w:szCs w:val="24"/>
          <w:lang w:val="en-GB"/>
        </w:rPr>
        <w:t xml:space="preserve"> severe </w:t>
      </w:r>
      <w:proofErr w:type="spellStart"/>
      <w:r w:rsidR="000013DA" w:rsidRPr="00F413DB">
        <w:rPr>
          <w:rFonts w:ascii="Times New Roman" w:hAnsi="Times New Roman" w:cs="Times New Roman"/>
          <w:bCs w:val="0"/>
          <w:szCs w:val="24"/>
          <w:lang w:val="en-GB"/>
        </w:rPr>
        <w:t>hypoglyc</w:t>
      </w:r>
      <w:r w:rsidR="00152068" w:rsidRPr="00F413DB">
        <w:rPr>
          <w:rFonts w:ascii="Times New Roman" w:hAnsi="Times New Roman" w:cs="Times New Roman"/>
          <w:bCs w:val="0"/>
          <w:szCs w:val="24"/>
          <w:lang w:val="en-GB"/>
        </w:rPr>
        <w:t>emia</w:t>
      </w:r>
      <w:proofErr w:type="spellEnd"/>
      <w:r w:rsidRPr="00F413DB">
        <w:rPr>
          <w:rFonts w:ascii="Times New Roman" w:hAnsi="Times New Roman" w:cs="Times New Roman"/>
          <w:bCs w:val="0"/>
          <w:szCs w:val="24"/>
          <w:lang w:val="en-GB"/>
        </w:rPr>
        <w:t xml:space="preserve"> </w:t>
      </w:r>
      <w:r w:rsidR="00FA0447">
        <w:rPr>
          <w:rFonts w:ascii="Times New Roman" w:hAnsi="Times New Roman" w:cs="Times New Roman"/>
          <w:bCs w:val="0"/>
          <w:szCs w:val="24"/>
          <w:lang w:val="en-GB"/>
        </w:rPr>
        <w:t xml:space="preserve">during the 24-month follow-up </w:t>
      </w:r>
      <w:r w:rsidRPr="00F413DB">
        <w:rPr>
          <w:rFonts w:ascii="Times New Roman" w:hAnsi="Times New Roman" w:cs="Times New Roman"/>
          <w:bCs w:val="0"/>
          <w:szCs w:val="24"/>
          <w:lang w:val="en-GB"/>
        </w:rPr>
        <w:t xml:space="preserve">despite the </w:t>
      </w:r>
      <w:proofErr w:type="spellStart"/>
      <w:r w:rsidRPr="00F413DB">
        <w:rPr>
          <w:rFonts w:ascii="Times New Roman" w:hAnsi="Times New Roman" w:cs="Times New Roman"/>
          <w:bCs w:val="0"/>
          <w:szCs w:val="24"/>
          <w:lang w:val="en-GB"/>
        </w:rPr>
        <w:t>HypoCOMPaSS</w:t>
      </w:r>
      <w:proofErr w:type="spellEnd"/>
      <w:r w:rsidRPr="00F413DB">
        <w:rPr>
          <w:rFonts w:ascii="Times New Roman" w:hAnsi="Times New Roman" w:cs="Times New Roman"/>
          <w:bCs w:val="0"/>
          <w:szCs w:val="24"/>
          <w:lang w:val="en-GB"/>
        </w:rPr>
        <w:t xml:space="preserve"> study intervention. </w:t>
      </w:r>
    </w:p>
    <w:p w14:paraId="2F1CFA38" w14:textId="77777777" w:rsidR="000013DA" w:rsidRPr="00F413DB" w:rsidRDefault="000013DA" w:rsidP="00991E9B">
      <w:pPr>
        <w:spacing w:line="480" w:lineRule="auto"/>
        <w:jc w:val="both"/>
        <w:rPr>
          <w:rFonts w:ascii="Times New Roman" w:hAnsi="Times New Roman" w:cs="Times New Roman"/>
          <w:bCs w:val="0"/>
          <w:szCs w:val="24"/>
          <w:lang w:val="en-GB"/>
        </w:rPr>
      </w:pPr>
    </w:p>
    <w:p w14:paraId="034EA2F0" w14:textId="08D10CD6" w:rsidR="00D72644" w:rsidRPr="00F413DB" w:rsidRDefault="00783B0F" w:rsidP="00C741FE">
      <w:pPr>
        <w:spacing w:line="480" w:lineRule="auto"/>
        <w:jc w:val="both"/>
        <w:rPr>
          <w:rFonts w:ascii="Times New Roman" w:hAnsi="Times New Roman" w:cs="Times New Roman"/>
          <w:bCs w:val="0"/>
          <w:szCs w:val="24"/>
          <w:lang w:val="en-GB"/>
        </w:rPr>
      </w:pPr>
      <w:r>
        <w:rPr>
          <w:rFonts w:ascii="Times New Roman" w:hAnsi="Times New Roman" w:cs="Times New Roman"/>
          <w:bCs w:val="0"/>
          <w:szCs w:val="24"/>
          <w:lang w:val="en-GB"/>
        </w:rPr>
        <w:t>F</w:t>
      </w:r>
      <w:r w:rsidR="003C7852" w:rsidRPr="00F413DB">
        <w:rPr>
          <w:rFonts w:ascii="Times New Roman" w:hAnsi="Times New Roman" w:cs="Times New Roman"/>
          <w:bCs w:val="0"/>
          <w:szCs w:val="24"/>
          <w:lang w:val="en-GB"/>
        </w:rPr>
        <w:t xml:space="preserve">ollowing </w:t>
      </w:r>
      <w:r w:rsidR="00E60BA3">
        <w:rPr>
          <w:rFonts w:ascii="Times New Roman" w:hAnsi="Times New Roman" w:cs="Times New Roman"/>
          <w:bCs w:val="0"/>
          <w:szCs w:val="24"/>
          <w:lang w:val="en-GB"/>
        </w:rPr>
        <w:t xml:space="preserve">the </w:t>
      </w:r>
      <w:r w:rsidRPr="00783B0F">
        <w:rPr>
          <w:rFonts w:ascii="Times New Roman" w:hAnsi="Times New Roman" w:cs="Times New Roman"/>
          <w:bCs w:val="0"/>
          <w:szCs w:val="24"/>
          <w:lang w:val="en-GB"/>
        </w:rPr>
        <w:t>“</w:t>
      </w:r>
      <w:r w:rsidR="00E60BA3" w:rsidRPr="00783B0F">
        <w:rPr>
          <w:rFonts w:ascii="Times New Roman" w:hAnsi="Times New Roman" w:cs="Times New Roman"/>
          <w:bCs w:val="0"/>
          <w:szCs w:val="24"/>
          <w:lang w:val="en-GB"/>
        </w:rPr>
        <w:t>my hypo compass</w:t>
      </w:r>
      <w:r w:rsidRPr="00783B0F">
        <w:rPr>
          <w:rFonts w:ascii="Times New Roman" w:hAnsi="Times New Roman" w:cs="Times New Roman"/>
          <w:bCs w:val="0"/>
          <w:szCs w:val="24"/>
          <w:lang w:val="en-GB"/>
        </w:rPr>
        <w:t>”</w:t>
      </w:r>
      <w:r w:rsidR="003C7852" w:rsidRPr="00F413DB">
        <w:rPr>
          <w:rFonts w:ascii="Times New Roman" w:hAnsi="Times New Roman" w:cs="Times New Roman"/>
          <w:bCs w:val="0"/>
          <w:szCs w:val="24"/>
          <w:lang w:val="en-GB"/>
        </w:rPr>
        <w:t xml:space="preserve"> psycho</w:t>
      </w:r>
      <w:r w:rsidR="00433D42">
        <w:rPr>
          <w:rFonts w:ascii="Times New Roman" w:hAnsi="Times New Roman" w:cs="Times New Roman"/>
          <w:bCs w:val="0"/>
          <w:szCs w:val="24"/>
          <w:lang w:val="en-GB"/>
        </w:rPr>
        <w:t>-</w:t>
      </w:r>
      <w:r w:rsidR="000C0DB7">
        <w:rPr>
          <w:rFonts w:ascii="Times New Roman" w:hAnsi="Times New Roman" w:cs="Times New Roman"/>
          <w:bCs w:val="0"/>
          <w:szCs w:val="24"/>
          <w:lang w:val="en-GB"/>
        </w:rPr>
        <w:t>educational</w:t>
      </w:r>
      <w:r>
        <w:rPr>
          <w:rFonts w:ascii="Times New Roman" w:hAnsi="Times New Roman" w:cs="Times New Roman"/>
          <w:bCs w:val="0"/>
          <w:szCs w:val="24"/>
          <w:lang w:val="en-GB"/>
        </w:rPr>
        <w:t xml:space="preserve"> intervention, optimiz</w:t>
      </w:r>
      <w:r w:rsidR="003C7852" w:rsidRPr="00F413DB">
        <w:rPr>
          <w:rFonts w:ascii="Times New Roman" w:hAnsi="Times New Roman" w:cs="Times New Roman"/>
          <w:bCs w:val="0"/>
          <w:szCs w:val="24"/>
          <w:lang w:val="en-GB"/>
        </w:rPr>
        <w:t>ed insulin delivery</w:t>
      </w:r>
      <w:r>
        <w:rPr>
          <w:rFonts w:ascii="Times New Roman" w:hAnsi="Times New Roman" w:cs="Times New Roman"/>
          <w:bCs w:val="0"/>
          <w:szCs w:val="24"/>
          <w:lang w:val="en-GB"/>
        </w:rPr>
        <w:t>,</w:t>
      </w:r>
      <w:r w:rsidR="003C7852" w:rsidRPr="00F413DB">
        <w:rPr>
          <w:rFonts w:ascii="Times New Roman" w:hAnsi="Times New Roman" w:cs="Times New Roman"/>
          <w:bCs w:val="0"/>
          <w:szCs w:val="24"/>
          <w:lang w:val="en-GB"/>
        </w:rPr>
        <w:t xml:space="preserve"> and </w:t>
      </w:r>
      <w:r w:rsidR="007B77DB" w:rsidRPr="00F413DB">
        <w:rPr>
          <w:rFonts w:ascii="Times New Roman" w:hAnsi="Times New Roman" w:cs="Times New Roman"/>
          <w:bCs w:val="0"/>
          <w:szCs w:val="24"/>
          <w:lang w:val="en-GB"/>
        </w:rPr>
        <w:t xml:space="preserve">glucose monitoring targeting avoidance of biochemical </w:t>
      </w:r>
      <w:proofErr w:type="spellStart"/>
      <w:r w:rsidR="007B77DB" w:rsidRPr="00F413DB">
        <w:rPr>
          <w:rFonts w:ascii="Times New Roman" w:hAnsi="Times New Roman" w:cs="Times New Roman"/>
          <w:bCs w:val="0"/>
          <w:szCs w:val="24"/>
          <w:lang w:val="en-GB"/>
        </w:rPr>
        <w:t>hypoglycemia</w:t>
      </w:r>
      <w:proofErr w:type="spellEnd"/>
      <w:r w:rsidR="007B77DB" w:rsidRPr="00F413DB">
        <w:rPr>
          <w:rFonts w:ascii="Times New Roman" w:hAnsi="Times New Roman" w:cs="Times New Roman"/>
          <w:bCs w:val="0"/>
          <w:szCs w:val="24"/>
          <w:lang w:val="en-GB"/>
        </w:rPr>
        <w:t xml:space="preserve"> without relaxing overall </w:t>
      </w:r>
      <w:proofErr w:type="spellStart"/>
      <w:r w:rsidR="007B77DB" w:rsidRPr="00F413DB">
        <w:rPr>
          <w:rFonts w:ascii="Times New Roman" w:hAnsi="Times New Roman" w:cs="Times New Roman"/>
          <w:bCs w:val="0"/>
          <w:szCs w:val="24"/>
          <w:lang w:val="en-GB"/>
        </w:rPr>
        <w:t>glycemic</w:t>
      </w:r>
      <w:proofErr w:type="spellEnd"/>
      <w:r w:rsidR="007B77DB" w:rsidRPr="00F413DB">
        <w:rPr>
          <w:rFonts w:ascii="Times New Roman" w:hAnsi="Times New Roman" w:cs="Times New Roman"/>
          <w:bCs w:val="0"/>
          <w:szCs w:val="24"/>
          <w:lang w:val="en-GB"/>
        </w:rPr>
        <w:t xml:space="preserve"> control</w:t>
      </w:r>
      <w:r>
        <w:rPr>
          <w:rFonts w:ascii="Times New Roman" w:hAnsi="Times New Roman" w:cs="Times New Roman"/>
          <w:bCs w:val="0"/>
          <w:szCs w:val="24"/>
          <w:lang w:val="en-GB"/>
        </w:rPr>
        <w:t>, t</w:t>
      </w:r>
      <w:r w:rsidRPr="00F413DB">
        <w:rPr>
          <w:rFonts w:ascii="Times New Roman" w:hAnsi="Times New Roman" w:cs="Times New Roman"/>
          <w:bCs w:val="0"/>
          <w:szCs w:val="24"/>
          <w:lang w:val="en-GB"/>
        </w:rPr>
        <w:t xml:space="preserve">he </w:t>
      </w:r>
      <w:proofErr w:type="spellStart"/>
      <w:r w:rsidRPr="00F413DB">
        <w:rPr>
          <w:rFonts w:ascii="Times New Roman" w:hAnsi="Times New Roman" w:cs="Times New Roman"/>
          <w:bCs w:val="0"/>
          <w:szCs w:val="24"/>
          <w:lang w:val="en-GB"/>
        </w:rPr>
        <w:t>HypoCOMPaSS</w:t>
      </w:r>
      <w:proofErr w:type="spellEnd"/>
      <w:r w:rsidRPr="00F413DB">
        <w:rPr>
          <w:rFonts w:ascii="Times New Roman" w:hAnsi="Times New Roman" w:cs="Times New Roman"/>
          <w:bCs w:val="0"/>
          <w:szCs w:val="24"/>
          <w:lang w:val="en-GB"/>
        </w:rPr>
        <w:t xml:space="preserve"> RCT demonstrated recovery of </w:t>
      </w:r>
      <w:proofErr w:type="spellStart"/>
      <w:r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awareness and  95% reduction in severe </w:t>
      </w:r>
      <w:proofErr w:type="spellStart"/>
      <w:r w:rsidRPr="00F413DB">
        <w:rPr>
          <w:rFonts w:ascii="Times New Roman" w:hAnsi="Times New Roman" w:cs="Times New Roman"/>
          <w:bCs w:val="0"/>
          <w:szCs w:val="24"/>
          <w:lang w:val="en-GB"/>
        </w:rPr>
        <w:t>hypoglyc</w:t>
      </w:r>
      <w:r>
        <w:rPr>
          <w:rFonts w:ascii="Times New Roman" w:hAnsi="Times New Roman" w:cs="Times New Roman"/>
          <w:bCs w:val="0"/>
          <w:szCs w:val="24"/>
          <w:lang w:val="en-GB"/>
        </w:rPr>
        <w:t>emia</w:t>
      </w:r>
      <w:proofErr w:type="spellEnd"/>
      <w:r>
        <w:rPr>
          <w:rFonts w:ascii="Times New Roman" w:hAnsi="Times New Roman" w:cs="Times New Roman"/>
          <w:bCs w:val="0"/>
          <w:szCs w:val="24"/>
          <w:lang w:val="en-GB"/>
        </w:rPr>
        <w:t xml:space="preserve"> over 2-</w:t>
      </w:r>
      <w:r w:rsidRPr="00F413DB">
        <w:rPr>
          <w:rFonts w:ascii="Times New Roman" w:hAnsi="Times New Roman" w:cs="Times New Roman"/>
          <w:bCs w:val="0"/>
          <w:szCs w:val="24"/>
          <w:lang w:val="en-GB"/>
        </w:rPr>
        <w:t>year follow</w:t>
      </w:r>
      <w:r>
        <w:rPr>
          <w:rFonts w:ascii="Times New Roman" w:hAnsi="Times New Roman" w:cs="Times New Roman"/>
          <w:bCs w:val="0"/>
          <w:szCs w:val="24"/>
          <w:lang w:val="en-GB"/>
        </w:rPr>
        <w:t>-</w:t>
      </w:r>
      <w:r w:rsidRPr="00F413DB">
        <w:rPr>
          <w:rFonts w:ascii="Times New Roman" w:hAnsi="Times New Roman" w:cs="Times New Roman"/>
          <w:bCs w:val="0"/>
          <w:szCs w:val="24"/>
          <w:lang w:val="en-GB"/>
        </w:rPr>
        <w:t>up of a cohort with long-standing type 1 diabetes</w:t>
      </w:r>
      <w:r w:rsidR="0088794A" w:rsidRPr="00F413DB">
        <w:rPr>
          <w:rFonts w:ascii="Times New Roman" w:hAnsi="Times New Roman" w:cs="Times New Roman"/>
          <w:bCs w:val="0"/>
          <w:szCs w:val="24"/>
          <w:lang w:val="en-GB"/>
        </w:rPr>
        <w:t xml:space="preserve"> (</w:t>
      </w:r>
      <w:r w:rsidR="001D313F">
        <w:rPr>
          <w:rFonts w:ascii="Times New Roman" w:hAnsi="Times New Roman" w:cs="Times New Roman"/>
          <w:bCs w:val="0"/>
          <w:szCs w:val="24"/>
          <w:lang w:val="en-GB"/>
        </w:rPr>
        <w:t>20</w:t>
      </w:r>
      <w:r w:rsidR="0088794A" w:rsidRPr="00F413DB">
        <w:rPr>
          <w:rFonts w:ascii="Times New Roman" w:hAnsi="Times New Roman" w:cs="Times New Roman"/>
          <w:bCs w:val="0"/>
          <w:szCs w:val="24"/>
          <w:lang w:val="en-GB"/>
        </w:rPr>
        <w:t>)</w:t>
      </w:r>
      <w:r w:rsidR="007B77DB" w:rsidRPr="00F413DB">
        <w:rPr>
          <w:rFonts w:ascii="Times New Roman" w:hAnsi="Times New Roman" w:cs="Times New Roman"/>
          <w:bCs w:val="0"/>
          <w:szCs w:val="24"/>
          <w:lang w:val="en-GB"/>
        </w:rPr>
        <w:t xml:space="preserve">. </w:t>
      </w:r>
      <w:r w:rsidR="00950DA9" w:rsidRPr="00F413DB">
        <w:rPr>
          <w:rFonts w:ascii="Times New Roman" w:hAnsi="Times New Roman" w:cs="Times New Roman"/>
          <w:bCs w:val="0"/>
          <w:szCs w:val="24"/>
          <w:lang w:val="en-GB"/>
        </w:rPr>
        <w:t>The current analysis of</w:t>
      </w:r>
      <w:r w:rsidR="007B77DB" w:rsidRPr="00F413DB">
        <w:rPr>
          <w:rFonts w:ascii="Times New Roman" w:hAnsi="Times New Roman" w:cs="Times New Roman"/>
          <w:bCs w:val="0"/>
          <w:szCs w:val="24"/>
          <w:lang w:val="en-GB"/>
        </w:rPr>
        <w:t xml:space="preserve"> participants</w:t>
      </w:r>
      <w:r w:rsidR="003C7852" w:rsidRPr="00F413DB">
        <w:rPr>
          <w:rFonts w:ascii="Times New Roman" w:hAnsi="Times New Roman" w:cs="Times New Roman"/>
          <w:bCs w:val="0"/>
          <w:szCs w:val="24"/>
          <w:lang w:val="en-GB"/>
        </w:rPr>
        <w:t xml:space="preserve"> </w:t>
      </w:r>
      <w:r w:rsidR="00330528" w:rsidRPr="00F413DB">
        <w:rPr>
          <w:rFonts w:ascii="Times New Roman" w:hAnsi="Times New Roman" w:cs="Times New Roman"/>
          <w:bCs w:val="0"/>
          <w:szCs w:val="24"/>
          <w:lang w:val="en-GB"/>
        </w:rPr>
        <w:t xml:space="preserve">experiencing severe </w:t>
      </w:r>
      <w:proofErr w:type="spellStart"/>
      <w:r w:rsidR="00330528" w:rsidRPr="00F413DB">
        <w:rPr>
          <w:rFonts w:ascii="Times New Roman" w:hAnsi="Times New Roman" w:cs="Times New Roman"/>
          <w:bCs w:val="0"/>
          <w:szCs w:val="24"/>
          <w:lang w:val="en-GB"/>
        </w:rPr>
        <w:t>hypoglyc</w:t>
      </w:r>
      <w:r w:rsidR="007B77DB" w:rsidRPr="00F413DB">
        <w:rPr>
          <w:rFonts w:ascii="Times New Roman" w:hAnsi="Times New Roman" w:cs="Times New Roman"/>
          <w:bCs w:val="0"/>
          <w:szCs w:val="24"/>
          <w:lang w:val="en-GB"/>
        </w:rPr>
        <w:t>emia</w:t>
      </w:r>
      <w:proofErr w:type="spellEnd"/>
      <w:r w:rsidR="007B77DB" w:rsidRPr="00F413DB">
        <w:rPr>
          <w:rFonts w:ascii="Times New Roman" w:hAnsi="Times New Roman" w:cs="Times New Roman"/>
          <w:bCs w:val="0"/>
          <w:szCs w:val="24"/>
          <w:lang w:val="en-GB"/>
        </w:rPr>
        <w:t xml:space="preserve"> over the 12 mont</w:t>
      </w:r>
      <w:r w:rsidR="00950DA9" w:rsidRPr="00F413DB">
        <w:rPr>
          <w:rFonts w:ascii="Times New Roman" w:hAnsi="Times New Roman" w:cs="Times New Roman"/>
          <w:bCs w:val="0"/>
          <w:szCs w:val="24"/>
          <w:lang w:val="en-GB"/>
        </w:rPr>
        <w:t>h</w:t>
      </w:r>
      <w:r w:rsidR="007B77DB" w:rsidRPr="00F413DB">
        <w:rPr>
          <w:rFonts w:ascii="Times New Roman" w:hAnsi="Times New Roman" w:cs="Times New Roman"/>
          <w:bCs w:val="0"/>
          <w:szCs w:val="24"/>
          <w:lang w:val="en-GB"/>
        </w:rPr>
        <w:t xml:space="preserve">s prior to randomization </w:t>
      </w:r>
      <w:r w:rsidR="00950DA9" w:rsidRPr="00F413DB">
        <w:rPr>
          <w:rFonts w:ascii="Times New Roman" w:hAnsi="Times New Roman" w:cs="Times New Roman"/>
          <w:bCs w:val="0"/>
          <w:szCs w:val="24"/>
          <w:lang w:val="en-GB"/>
        </w:rPr>
        <w:t>demonstrates</w:t>
      </w:r>
      <w:r w:rsidR="00C00133">
        <w:rPr>
          <w:rFonts w:ascii="Times New Roman" w:hAnsi="Times New Roman" w:cs="Times New Roman"/>
          <w:bCs w:val="0"/>
          <w:szCs w:val="24"/>
          <w:lang w:val="en-GB"/>
        </w:rPr>
        <w:t xml:space="preserve"> “complete response”</w:t>
      </w:r>
      <w:r w:rsidR="00950DA9" w:rsidRPr="00F413DB">
        <w:rPr>
          <w:rFonts w:ascii="Times New Roman" w:hAnsi="Times New Roman" w:cs="Times New Roman"/>
          <w:bCs w:val="0"/>
          <w:szCs w:val="24"/>
          <w:lang w:val="en-GB"/>
        </w:rPr>
        <w:t xml:space="preserve"> (</w:t>
      </w:r>
      <w:r w:rsidR="007B77DB" w:rsidRPr="00F413DB">
        <w:rPr>
          <w:rFonts w:ascii="Times New Roman" w:hAnsi="Times New Roman" w:cs="Times New Roman"/>
          <w:bCs w:val="0"/>
          <w:szCs w:val="24"/>
          <w:lang w:val="en-GB"/>
        </w:rPr>
        <w:t xml:space="preserve">defined as no further </w:t>
      </w:r>
      <w:r w:rsidR="00950DA9" w:rsidRPr="00F413DB">
        <w:rPr>
          <w:rFonts w:ascii="Times New Roman" w:hAnsi="Times New Roman" w:cs="Times New Roman"/>
          <w:bCs w:val="0"/>
          <w:szCs w:val="24"/>
          <w:lang w:val="en-GB"/>
        </w:rPr>
        <w:t xml:space="preserve">severe </w:t>
      </w:r>
      <w:proofErr w:type="spellStart"/>
      <w:r w:rsidR="00950DA9" w:rsidRPr="00F413DB">
        <w:rPr>
          <w:rFonts w:ascii="Times New Roman" w:hAnsi="Times New Roman" w:cs="Times New Roman"/>
          <w:bCs w:val="0"/>
          <w:szCs w:val="24"/>
          <w:lang w:val="en-GB"/>
        </w:rPr>
        <w:t>hypoglycemia</w:t>
      </w:r>
      <w:proofErr w:type="spellEnd"/>
      <w:r w:rsidR="007B77DB" w:rsidRPr="00F413DB">
        <w:rPr>
          <w:rFonts w:ascii="Times New Roman" w:hAnsi="Times New Roman" w:cs="Times New Roman"/>
          <w:bCs w:val="0"/>
          <w:szCs w:val="24"/>
          <w:lang w:val="en-GB"/>
        </w:rPr>
        <w:t xml:space="preserve"> over the 2</w:t>
      </w:r>
      <w:r w:rsidR="0051739A" w:rsidRPr="00F413DB">
        <w:rPr>
          <w:rFonts w:ascii="Times New Roman" w:hAnsi="Times New Roman" w:cs="Times New Roman"/>
          <w:bCs w:val="0"/>
          <w:szCs w:val="24"/>
          <w:lang w:val="en-GB"/>
        </w:rPr>
        <w:t>-</w:t>
      </w:r>
      <w:r w:rsidR="007B77DB" w:rsidRPr="00F413DB">
        <w:rPr>
          <w:rFonts w:ascii="Times New Roman" w:hAnsi="Times New Roman" w:cs="Times New Roman"/>
          <w:bCs w:val="0"/>
          <w:szCs w:val="24"/>
          <w:lang w:val="en-GB"/>
        </w:rPr>
        <w:t>year study duration</w:t>
      </w:r>
      <w:r w:rsidR="00950DA9" w:rsidRPr="00F413DB">
        <w:rPr>
          <w:rFonts w:ascii="Times New Roman" w:hAnsi="Times New Roman" w:cs="Times New Roman"/>
          <w:bCs w:val="0"/>
          <w:szCs w:val="24"/>
          <w:lang w:val="en-GB"/>
        </w:rPr>
        <w:t>)</w:t>
      </w:r>
      <w:r w:rsidR="007B77DB" w:rsidRPr="00F413DB">
        <w:rPr>
          <w:rFonts w:ascii="Times New Roman" w:hAnsi="Times New Roman" w:cs="Times New Roman"/>
          <w:bCs w:val="0"/>
          <w:szCs w:val="24"/>
          <w:lang w:val="en-GB"/>
        </w:rPr>
        <w:t xml:space="preserve"> in the majority</w:t>
      </w:r>
      <w:r w:rsidR="001C20AC">
        <w:rPr>
          <w:rFonts w:ascii="Times New Roman" w:hAnsi="Times New Roman" w:cs="Times New Roman"/>
          <w:bCs w:val="0"/>
          <w:szCs w:val="24"/>
          <w:lang w:val="en-GB"/>
        </w:rPr>
        <w:t xml:space="preserve"> (</w:t>
      </w:r>
      <w:r w:rsidR="000C0DB7">
        <w:rPr>
          <w:rFonts w:ascii="Times New Roman" w:hAnsi="Times New Roman" w:cs="Times New Roman"/>
          <w:bCs w:val="0"/>
          <w:szCs w:val="24"/>
          <w:lang w:val="en-GB"/>
        </w:rPr>
        <w:t>61</w:t>
      </w:r>
      <w:r w:rsidR="001C20AC">
        <w:rPr>
          <w:rFonts w:ascii="Times New Roman" w:hAnsi="Times New Roman" w:cs="Times New Roman"/>
          <w:bCs w:val="0"/>
          <w:szCs w:val="24"/>
          <w:lang w:val="en-GB"/>
        </w:rPr>
        <w:t>%)</w:t>
      </w:r>
      <w:r w:rsidR="007B77DB" w:rsidRPr="00F413DB">
        <w:rPr>
          <w:rFonts w:ascii="Times New Roman" w:hAnsi="Times New Roman" w:cs="Times New Roman"/>
          <w:bCs w:val="0"/>
          <w:szCs w:val="24"/>
          <w:lang w:val="en-GB"/>
        </w:rPr>
        <w:t xml:space="preserve">. </w:t>
      </w:r>
      <w:r w:rsidR="001C20AC">
        <w:rPr>
          <w:rFonts w:ascii="Times New Roman" w:hAnsi="Times New Roman" w:cs="Times New Roman"/>
          <w:bCs w:val="0"/>
          <w:szCs w:val="24"/>
          <w:lang w:val="en-GB"/>
        </w:rPr>
        <w:t xml:space="preserve">The remaining </w:t>
      </w:r>
      <w:r w:rsidR="000C0DB7">
        <w:rPr>
          <w:rFonts w:ascii="Times New Roman" w:hAnsi="Times New Roman" w:cs="Times New Roman"/>
          <w:bCs w:val="0"/>
          <w:szCs w:val="24"/>
          <w:lang w:val="en-GB"/>
        </w:rPr>
        <w:t>39</w:t>
      </w:r>
      <w:r w:rsidR="001C20AC">
        <w:rPr>
          <w:rFonts w:ascii="Times New Roman" w:hAnsi="Times New Roman" w:cs="Times New Roman"/>
          <w:bCs w:val="0"/>
          <w:szCs w:val="24"/>
          <w:lang w:val="en-GB"/>
        </w:rPr>
        <w:t>%</w:t>
      </w:r>
      <w:r w:rsidR="002753DD">
        <w:rPr>
          <w:rFonts w:ascii="Times New Roman" w:hAnsi="Times New Roman" w:cs="Times New Roman"/>
          <w:bCs w:val="0"/>
          <w:szCs w:val="24"/>
          <w:lang w:val="en-GB"/>
        </w:rPr>
        <w:t>,</w:t>
      </w:r>
      <w:r w:rsidR="001C20AC">
        <w:rPr>
          <w:rFonts w:ascii="Times New Roman" w:hAnsi="Times New Roman" w:cs="Times New Roman"/>
          <w:bCs w:val="0"/>
          <w:szCs w:val="24"/>
          <w:lang w:val="en-GB"/>
        </w:rPr>
        <w:t xml:space="preserve"> defined as </w:t>
      </w:r>
      <w:r w:rsidR="00C00133">
        <w:rPr>
          <w:rFonts w:ascii="Times New Roman" w:hAnsi="Times New Roman" w:cs="Times New Roman"/>
          <w:bCs w:val="0"/>
          <w:szCs w:val="24"/>
          <w:lang w:val="en-GB"/>
        </w:rPr>
        <w:t>“</w:t>
      </w:r>
      <w:r w:rsidR="001C20AC" w:rsidRPr="00F413DB">
        <w:rPr>
          <w:rFonts w:ascii="Times New Roman" w:hAnsi="Times New Roman" w:cs="Times New Roman"/>
          <w:bCs w:val="0"/>
          <w:szCs w:val="24"/>
          <w:lang w:val="en-GB"/>
        </w:rPr>
        <w:t>incomplete responders</w:t>
      </w:r>
      <w:r w:rsidR="00C00133">
        <w:rPr>
          <w:rFonts w:ascii="Times New Roman" w:hAnsi="Times New Roman" w:cs="Times New Roman"/>
          <w:bCs w:val="0"/>
          <w:szCs w:val="24"/>
          <w:lang w:val="en-GB"/>
        </w:rPr>
        <w:t>,”</w:t>
      </w:r>
      <w:r w:rsidR="001C20AC">
        <w:rPr>
          <w:rFonts w:ascii="Times New Roman" w:hAnsi="Times New Roman" w:cs="Times New Roman"/>
          <w:bCs w:val="0"/>
          <w:szCs w:val="24"/>
          <w:lang w:val="en-GB"/>
        </w:rPr>
        <w:t xml:space="preserve"> </w:t>
      </w:r>
      <w:r w:rsidR="002753DD">
        <w:rPr>
          <w:rFonts w:ascii="Times New Roman" w:hAnsi="Times New Roman" w:cs="Times New Roman"/>
          <w:bCs w:val="0"/>
          <w:szCs w:val="24"/>
          <w:lang w:val="en-GB"/>
        </w:rPr>
        <w:t>achieved</w:t>
      </w:r>
      <w:r w:rsidR="007B77DB" w:rsidRPr="00F413DB">
        <w:rPr>
          <w:rFonts w:ascii="Times New Roman" w:hAnsi="Times New Roman" w:cs="Times New Roman"/>
          <w:bCs w:val="0"/>
          <w:szCs w:val="24"/>
          <w:lang w:val="en-GB"/>
        </w:rPr>
        <w:t xml:space="preserve"> &gt;90% reduction in severe </w:t>
      </w:r>
      <w:proofErr w:type="spellStart"/>
      <w:r w:rsidR="007B77DB" w:rsidRPr="00F413DB">
        <w:rPr>
          <w:rFonts w:ascii="Times New Roman" w:hAnsi="Times New Roman" w:cs="Times New Roman"/>
          <w:bCs w:val="0"/>
          <w:szCs w:val="24"/>
          <w:lang w:val="en-GB"/>
        </w:rPr>
        <w:t>hyp</w:t>
      </w:r>
      <w:r w:rsidR="00D72644" w:rsidRPr="00F413DB">
        <w:rPr>
          <w:rFonts w:ascii="Times New Roman" w:hAnsi="Times New Roman" w:cs="Times New Roman"/>
          <w:bCs w:val="0"/>
          <w:szCs w:val="24"/>
          <w:lang w:val="en-GB"/>
        </w:rPr>
        <w:t>o</w:t>
      </w:r>
      <w:r w:rsidR="007B77DB" w:rsidRPr="00F413DB">
        <w:rPr>
          <w:rFonts w:ascii="Times New Roman" w:hAnsi="Times New Roman" w:cs="Times New Roman"/>
          <w:bCs w:val="0"/>
          <w:szCs w:val="24"/>
          <w:lang w:val="en-GB"/>
        </w:rPr>
        <w:t>glycemia</w:t>
      </w:r>
      <w:proofErr w:type="spellEnd"/>
      <w:r w:rsidR="007B77DB" w:rsidRPr="00F413DB">
        <w:rPr>
          <w:rFonts w:ascii="Times New Roman" w:hAnsi="Times New Roman" w:cs="Times New Roman"/>
          <w:bCs w:val="0"/>
          <w:szCs w:val="24"/>
          <w:lang w:val="en-GB"/>
        </w:rPr>
        <w:t xml:space="preserve"> rate.</w:t>
      </w:r>
      <w:r w:rsidR="00D72644" w:rsidRPr="00F413DB">
        <w:rPr>
          <w:rFonts w:ascii="Times New Roman" w:hAnsi="Times New Roman" w:cs="Times New Roman"/>
          <w:bCs w:val="0"/>
          <w:szCs w:val="24"/>
          <w:lang w:val="en-GB"/>
        </w:rPr>
        <w:t xml:space="preserve"> </w:t>
      </w:r>
      <w:r w:rsidR="00F35889" w:rsidRPr="00F413DB">
        <w:rPr>
          <w:rFonts w:ascii="Times New Roman" w:hAnsi="Times New Roman" w:cs="Times New Roman"/>
          <w:bCs w:val="0"/>
          <w:szCs w:val="24"/>
          <w:lang w:val="en-GB"/>
        </w:rPr>
        <w:t>S</w:t>
      </w:r>
      <w:r w:rsidR="00C741FE" w:rsidRPr="00F413DB">
        <w:rPr>
          <w:rFonts w:ascii="Times New Roman" w:hAnsi="Times New Roman" w:cs="Times New Roman"/>
          <w:bCs w:val="0"/>
          <w:szCs w:val="24"/>
          <w:lang w:val="en-GB"/>
        </w:rPr>
        <w:t xml:space="preserve">evere </w:t>
      </w:r>
      <w:proofErr w:type="spellStart"/>
      <w:r w:rsidR="00C741FE" w:rsidRPr="00F413DB">
        <w:rPr>
          <w:rFonts w:ascii="Times New Roman" w:hAnsi="Times New Roman" w:cs="Times New Roman"/>
          <w:bCs w:val="0"/>
          <w:szCs w:val="24"/>
          <w:lang w:val="en-GB"/>
        </w:rPr>
        <w:t>hyp</w:t>
      </w:r>
      <w:r w:rsidR="00D72644" w:rsidRPr="00F413DB">
        <w:rPr>
          <w:rFonts w:ascii="Times New Roman" w:hAnsi="Times New Roman" w:cs="Times New Roman"/>
          <w:bCs w:val="0"/>
          <w:szCs w:val="24"/>
          <w:lang w:val="en-GB"/>
        </w:rPr>
        <w:t>o</w:t>
      </w:r>
      <w:r w:rsidR="00C741FE" w:rsidRPr="00F413DB">
        <w:rPr>
          <w:rFonts w:ascii="Times New Roman" w:hAnsi="Times New Roman" w:cs="Times New Roman"/>
          <w:bCs w:val="0"/>
          <w:szCs w:val="24"/>
          <w:lang w:val="en-GB"/>
        </w:rPr>
        <w:t>gl</w:t>
      </w:r>
      <w:r w:rsidR="00D72644" w:rsidRPr="00F413DB">
        <w:rPr>
          <w:rFonts w:ascii="Times New Roman" w:hAnsi="Times New Roman" w:cs="Times New Roman"/>
          <w:bCs w:val="0"/>
          <w:szCs w:val="24"/>
          <w:lang w:val="en-GB"/>
        </w:rPr>
        <w:t>y</w:t>
      </w:r>
      <w:r w:rsidR="00C741FE" w:rsidRPr="00F413DB">
        <w:rPr>
          <w:rFonts w:ascii="Times New Roman" w:hAnsi="Times New Roman" w:cs="Times New Roman"/>
          <w:bCs w:val="0"/>
          <w:szCs w:val="24"/>
          <w:lang w:val="en-GB"/>
        </w:rPr>
        <w:t>cemia</w:t>
      </w:r>
      <w:proofErr w:type="spellEnd"/>
      <w:r w:rsidR="00C741FE" w:rsidRPr="00F413DB">
        <w:rPr>
          <w:rFonts w:ascii="Times New Roman" w:hAnsi="Times New Roman" w:cs="Times New Roman"/>
          <w:bCs w:val="0"/>
          <w:szCs w:val="24"/>
          <w:lang w:val="en-GB"/>
        </w:rPr>
        <w:t xml:space="preserve"> </w:t>
      </w:r>
      <w:r w:rsidR="00F35889" w:rsidRPr="00F413DB">
        <w:rPr>
          <w:rFonts w:ascii="Times New Roman" w:hAnsi="Times New Roman" w:cs="Times New Roman"/>
          <w:bCs w:val="0"/>
          <w:szCs w:val="24"/>
          <w:lang w:val="en-GB"/>
        </w:rPr>
        <w:t xml:space="preserve">during the study </w:t>
      </w:r>
      <w:r w:rsidR="00C741FE" w:rsidRPr="00F413DB">
        <w:rPr>
          <w:rFonts w:ascii="Times New Roman" w:hAnsi="Times New Roman" w:cs="Times New Roman"/>
          <w:bCs w:val="0"/>
          <w:szCs w:val="24"/>
          <w:lang w:val="en-GB"/>
        </w:rPr>
        <w:t xml:space="preserve">was associated with </w:t>
      </w:r>
      <w:r w:rsidR="00D72644" w:rsidRPr="00F413DB">
        <w:rPr>
          <w:rFonts w:ascii="Times New Roman" w:hAnsi="Times New Roman" w:cs="Times New Roman"/>
          <w:bCs w:val="0"/>
          <w:szCs w:val="24"/>
          <w:lang w:val="en-GB"/>
        </w:rPr>
        <w:t>pe</w:t>
      </w:r>
      <w:r w:rsidR="00330528" w:rsidRPr="00F413DB">
        <w:rPr>
          <w:rFonts w:ascii="Times New Roman" w:hAnsi="Times New Roman" w:cs="Times New Roman"/>
          <w:bCs w:val="0"/>
          <w:szCs w:val="24"/>
          <w:lang w:val="en-GB"/>
        </w:rPr>
        <w:t xml:space="preserve">rsistent impairment in </w:t>
      </w:r>
      <w:proofErr w:type="spellStart"/>
      <w:r w:rsidR="00330528" w:rsidRPr="00F413DB">
        <w:rPr>
          <w:rFonts w:ascii="Times New Roman" w:hAnsi="Times New Roman" w:cs="Times New Roman"/>
          <w:bCs w:val="0"/>
          <w:szCs w:val="24"/>
          <w:lang w:val="en-GB"/>
        </w:rPr>
        <w:t>hypoglyc</w:t>
      </w:r>
      <w:r w:rsidR="00D72644" w:rsidRPr="00F413DB">
        <w:rPr>
          <w:rFonts w:ascii="Times New Roman" w:hAnsi="Times New Roman" w:cs="Times New Roman"/>
          <w:bCs w:val="0"/>
          <w:szCs w:val="24"/>
          <w:lang w:val="en-GB"/>
        </w:rPr>
        <w:t>emia</w:t>
      </w:r>
      <w:proofErr w:type="spellEnd"/>
      <w:r w:rsidR="00D72644" w:rsidRPr="00F413DB">
        <w:rPr>
          <w:rFonts w:ascii="Times New Roman" w:hAnsi="Times New Roman" w:cs="Times New Roman"/>
          <w:bCs w:val="0"/>
          <w:szCs w:val="24"/>
          <w:lang w:val="en-GB"/>
        </w:rPr>
        <w:t xml:space="preserve"> awareness, in keeping with the </w:t>
      </w:r>
      <w:r w:rsidR="00F35889" w:rsidRPr="00F413DB">
        <w:rPr>
          <w:rFonts w:ascii="Times New Roman" w:hAnsi="Times New Roman" w:cs="Times New Roman"/>
          <w:bCs w:val="0"/>
          <w:szCs w:val="24"/>
          <w:lang w:val="en-GB"/>
        </w:rPr>
        <w:t>well-</w:t>
      </w:r>
      <w:r w:rsidR="00D72644" w:rsidRPr="00F413DB">
        <w:rPr>
          <w:rFonts w:ascii="Times New Roman" w:hAnsi="Times New Roman" w:cs="Times New Roman"/>
          <w:bCs w:val="0"/>
          <w:szCs w:val="24"/>
          <w:lang w:val="en-GB"/>
        </w:rPr>
        <w:t xml:space="preserve">established </w:t>
      </w:r>
      <w:r w:rsidR="00F35889" w:rsidRPr="00F413DB">
        <w:rPr>
          <w:rFonts w:ascii="Times New Roman" w:hAnsi="Times New Roman" w:cs="Times New Roman"/>
          <w:bCs w:val="0"/>
          <w:szCs w:val="24"/>
          <w:lang w:val="en-GB"/>
        </w:rPr>
        <w:t>associations between validated awareness question</w:t>
      </w:r>
      <w:r w:rsidR="000C794A" w:rsidRPr="00F413DB">
        <w:rPr>
          <w:rFonts w:ascii="Times New Roman" w:hAnsi="Times New Roman" w:cs="Times New Roman"/>
          <w:bCs w:val="0"/>
          <w:szCs w:val="24"/>
          <w:lang w:val="en-GB"/>
        </w:rPr>
        <w:t>naires and risk of severe events</w:t>
      </w:r>
      <w:r w:rsidR="0088794A" w:rsidRPr="00F413DB">
        <w:rPr>
          <w:rFonts w:ascii="Times New Roman" w:hAnsi="Times New Roman" w:cs="Times New Roman"/>
          <w:bCs w:val="0"/>
          <w:szCs w:val="24"/>
          <w:lang w:val="en-GB"/>
        </w:rPr>
        <w:t xml:space="preserve"> (2</w:t>
      </w:r>
      <w:r w:rsidR="001D313F">
        <w:rPr>
          <w:rFonts w:ascii="Times New Roman" w:hAnsi="Times New Roman" w:cs="Times New Roman"/>
          <w:bCs w:val="0"/>
          <w:szCs w:val="24"/>
          <w:lang w:val="en-GB"/>
        </w:rPr>
        <w:t>1</w:t>
      </w:r>
      <w:r w:rsidR="0088794A" w:rsidRPr="00F413DB">
        <w:rPr>
          <w:rFonts w:ascii="Times New Roman" w:hAnsi="Times New Roman" w:cs="Times New Roman"/>
          <w:bCs w:val="0"/>
          <w:szCs w:val="24"/>
          <w:lang w:val="en-GB"/>
        </w:rPr>
        <w:t>)</w:t>
      </w:r>
      <w:r w:rsidR="00F35889" w:rsidRPr="00F413DB">
        <w:rPr>
          <w:rFonts w:ascii="Times New Roman" w:hAnsi="Times New Roman" w:cs="Times New Roman"/>
          <w:bCs w:val="0"/>
          <w:szCs w:val="24"/>
          <w:lang w:val="en-GB"/>
        </w:rPr>
        <w:t>.</w:t>
      </w:r>
      <w:r w:rsidR="008032B0" w:rsidRPr="00F413DB">
        <w:rPr>
          <w:rFonts w:ascii="Times New Roman" w:hAnsi="Times New Roman" w:cs="Times New Roman"/>
          <w:bCs w:val="0"/>
          <w:szCs w:val="24"/>
          <w:lang w:val="en-GB"/>
        </w:rPr>
        <w:t xml:space="preserve"> </w:t>
      </w:r>
    </w:p>
    <w:p w14:paraId="6A42F1F8" w14:textId="77777777" w:rsidR="00F35889" w:rsidRPr="00F413DB" w:rsidRDefault="00F35889" w:rsidP="00853E4A">
      <w:pPr>
        <w:spacing w:line="480" w:lineRule="auto"/>
        <w:jc w:val="both"/>
        <w:rPr>
          <w:rFonts w:ascii="Times New Roman" w:hAnsi="Times New Roman" w:cs="Times New Roman"/>
          <w:bCs w:val="0"/>
          <w:szCs w:val="24"/>
          <w:lang w:val="en-GB"/>
        </w:rPr>
      </w:pPr>
    </w:p>
    <w:p w14:paraId="20F48596" w14:textId="540B2B3F" w:rsidR="008032B0" w:rsidRPr="00F413DB" w:rsidRDefault="00C741FE" w:rsidP="00853E4A">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All </w:t>
      </w:r>
      <w:r w:rsidR="00F35889" w:rsidRPr="00F413DB">
        <w:rPr>
          <w:rFonts w:ascii="Times New Roman" w:hAnsi="Times New Roman" w:cs="Times New Roman"/>
          <w:bCs w:val="0"/>
          <w:szCs w:val="24"/>
          <w:lang w:val="en-GB"/>
        </w:rPr>
        <w:t xml:space="preserve">participants </w:t>
      </w:r>
      <w:r w:rsidRPr="00F413DB">
        <w:rPr>
          <w:rFonts w:ascii="Times New Roman" w:hAnsi="Times New Roman" w:cs="Times New Roman"/>
          <w:bCs w:val="0"/>
          <w:szCs w:val="24"/>
          <w:lang w:val="en-GB"/>
        </w:rPr>
        <w:t xml:space="preserve">had impaired awareness of </w:t>
      </w:r>
      <w:proofErr w:type="spellStart"/>
      <w:r w:rsidRPr="00F413DB">
        <w:rPr>
          <w:rFonts w:ascii="Times New Roman" w:hAnsi="Times New Roman" w:cs="Times New Roman"/>
          <w:bCs w:val="0"/>
          <w:szCs w:val="24"/>
          <w:lang w:val="en-GB"/>
        </w:rPr>
        <w:t>hypogl</w:t>
      </w:r>
      <w:r w:rsidR="00F35889" w:rsidRPr="00F413DB">
        <w:rPr>
          <w:rFonts w:ascii="Times New Roman" w:hAnsi="Times New Roman" w:cs="Times New Roman"/>
          <w:bCs w:val="0"/>
          <w:szCs w:val="24"/>
          <w:lang w:val="en-GB"/>
        </w:rPr>
        <w:t>y</w:t>
      </w:r>
      <w:r w:rsidRPr="00F413DB">
        <w:rPr>
          <w:rFonts w:ascii="Times New Roman" w:hAnsi="Times New Roman" w:cs="Times New Roman"/>
          <w:bCs w:val="0"/>
          <w:szCs w:val="24"/>
          <w:lang w:val="en-GB"/>
        </w:rPr>
        <w:t>cemia</w:t>
      </w:r>
      <w:proofErr w:type="spellEnd"/>
      <w:r w:rsidRPr="00F413DB">
        <w:rPr>
          <w:rFonts w:ascii="Times New Roman" w:hAnsi="Times New Roman" w:cs="Times New Roman"/>
          <w:bCs w:val="0"/>
          <w:szCs w:val="24"/>
          <w:lang w:val="en-GB"/>
        </w:rPr>
        <w:t xml:space="preserve"> at baseline</w:t>
      </w:r>
      <w:r w:rsidR="00832363">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with no differences between complete and incomplete responders. </w:t>
      </w:r>
      <w:r w:rsidR="00F35889" w:rsidRPr="00F413DB">
        <w:rPr>
          <w:rFonts w:ascii="Times New Roman" w:hAnsi="Times New Roman" w:cs="Times New Roman"/>
          <w:bCs w:val="0"/>
          <w:szCs w:val="24"/>
          <w:lang w:val="en-GB"/>
        </w:rPr>
        <w:t xml:space="preserve">Baseline </w:t>
      </w:r>
      <w:r w:rsidR="00950DA9" w:rsidRPr="00F413DB">
        <w:rPr>
          <w:rFonts w:ascii="Times New Roman" w:hAnsi="Times New Roman" w:cs="Times New Roman"/>
          <w:bCs w:val="0"/>
          <w:szCs w:val="24"/>
          <w:lang w:val="en-GB"/>
        </w:rPr>
        <w:t>s</w:t>
      </w:r>
      <w:r w:rsidR="00F35889" w:rsidRPr="00F413DB">
        <w:rPr>
          <w:rFonts w:ascii="Times New Roman" w:hAnsi="Times New Roman" w:cs="Times New Roman"/>
          <w:bCs w:val="0"/>
          <w:szCs w:val="24"/>
          <w:lang w:val="en-GB"/>
        </w:rPr>
        <w:t xml:space="preserve">evere </w:t>
      </w:r>
      <w:proofErr w:type="spellStart"/>
      <w:r w:rsidR="00F35889" w:rsidRPr="00F413DB">
        <w:rPr>
          <w:rFonts w:ascii="Times New Roman" w:hAnsi="Times New Roman" w:cs="Times New Roman"/>
          <w:bCs w:val="0"/>
          <w:szCs w:val="24"/>
          <w:lang w:val="en-GB"/>
        </w:rPr>
        <w:t>hypoglycemia</w:t>
      </w:r>
      <w:proofErr w:type="spellEnd"/>
      <w:r w:rsidR="00F35889" w:rsidRPr="00F413DB">
        <w:rPr>
          <w:rFonts w:ascii="Times New Roman" w:hAnsi="Times New Roman" w:cs="Times New Roman"/>
          <w:bCs w:val="0"/>
          <w:szCs w:val="24"/>
          <w:lang w:val="en-GB"/>
        </w:rPr>
        <w:t xml:space="preserve"> rate was 2.5 fold higher in </w:t>
      </w:r>
      <w:r w:rsidR="00F35889" w:rsidRPr="00F413DB">
        <w:rPr>
          <w:rFonts w:ascii="Times New Roman" w:hAnsi="Times New Roman" w:cs="Times New Roman"/>
          <w:bCs w:val="0"/>
          <w:szCs w:val="24"/>
          <w:lang w:val="en-GB"/>
        </w:rPr>
        <w:lastRenderedPageBreak/>
        <w:t>incomplete responders. An associat</w:t>
      </w:r>
      <w:r w:rsidR="00330528" w:rsidRPr="00F413DB">
        <w:rPr>
          <w:rFonts w:ascii="Times New Roman" w:hAnsi="Times New Roman" w:cs="Times New Roman"/>
          <w:bCs w:val="0"/>
          <w:szCs w:val="24"/>
          <w:lang w:val="en-GB"/>
        </w:rPr>
        <w:t xml:space="preserve">ion between &gt;10 severe </w:t>
      </w:r>
      <w:proofErr w:type="spellStart"/>
      <w:r w:rsidR="00330528" w:rsidRPr="00F413DB">
        <w:rPr>
          <w:rFonts w:ascii="Times New Roman" w:hAnsi="Times New Roman" w:cs="Times New Roman"/>
          <w:bCs w:val="0"/>
          <w:szCs w:val="24"/>
          <w:lang w:val="en-GB"/>
        </w:rPr>
        <w:t>hypoglyc</w:t>
      </w:r>
      <w:r w:rsidR="00F35889" w:rsidRPr="00F413DB">
        <w:rPr>
          <w:rFonts w:ascii="Times New Roman" w:hAnsi="Times New Roman" w:cs="Times New Roman"/>
          <w:bCs w:val="0"/>
          <w:szCs w:val="24"/>
          <w:lang w:val="en-GB"/>
        </w:rPr>
        <w:t>emia</w:t>
      </w:r>
      <w:proofErr w:type="spellEnd"/>
      <w:r w:rsidR="00F35889" w:rsidRPr="00F413DB">
        <w:rPr>
          <w:rFonts w:ascii="Times New Roman" w:hAnsi="Times New Roman" w:cs="Times New Roman"/>
          <w:bCs w:val="0"/>
          <w:szCs w:val="24"/>
          <w:lang w:val="en-GB"/>
        </w:rPr>
        <w:t xml:space="preserve"> events per annum </w:t>
      </w:r>
      <w:r w:rsidR="008032B0" w:rsidRPr="00F413DB">
        <w:rPr>
          <w:rFonts w:ascii="Times New Roman" w:hAnsi="Times New Roman" w:cs="Times New Roman"/>
          <w:bCs w:val="0"/>
          <w:szCs w:val="24"/>
          <w:lang w:val="en-GB"/>
        </w:rPr>
        <w:t>at baseline and continued episodes during follow</w:t>
      </w:r>
      <w:r w:rsidR="00AF5E37">
        <w:rPr>
          <w:rFonts w:ascii="Times New Roman" w:hAnsi="Times New Roman" w:cs="Times New Roman"/>
          <w:bCs w:val="0"/>
          <w:szCs w:val="24"/>
          <w:lang w:val="en-GB"/>
        </w:rPr>
        <w:t>-</w:t>
      </w:r>
      <w:r w:rsidR="008032B0" w:rsidRPr="00F413DB">
        <w:rPr>
          <w:rFonts w:ascii="Times New Roman" w:hAnsi="Times New Roman" w:cs="Times New Roman"/>
          <w:bCs w:val="0"/>
          <w:szCs w:val="24"/>
          <w:lang w:val="en-GB"/>
        </w:rPr>
        <w:t>up despite optimi</w:t>
      </w:r>
      <w:r w:rsidR="001D313F">
        <w:rPr>
          <w:rFonts w:ascii="Times New Roman" w:hAnsi="Times New Roman" w:cs="Times New Roman"/>
          <w:bCs w:val="0"/>
          <w:szCs w:val="24"/>
          <w:lang w:val="en-GB"/>
        </w:rPr>
        <w:t>z</w:t>
      </w:r>
      <w:r w:rsidR="008032B0" w:rsidRPr="00F413DB">
        <w:rPr>
          <w:rFonts w:ascii="Times New Roman" w:hAnsi="Times New Roman" w:cs="Times New Roman"/>
          <w:bCs w:val="0"/>
          <w:szCs w:val="24"/>
          <w:lang w:val="en-GB"/>
        </w:rPr>
        <w:t xml:space="preserve">ed medical intervention has previously been reported in a </w:t>
      </w:r>
      <w:r w:rsidR="00F35889" w:rsidRPr="00F413DB">
        <w:rPr>
          <w:rFonts w:ascii="Times New Roman" w:hAnsi="Times New Roman" w:cs="Times New Roman"/>
          <w:bCs w:val="0"/>
          <w:szCs w:val="24"/>
          <w:lang w:val="en-GB"/>
        </w:rPr>
        <w:t>retrospective cohort study</w:t>
      </w:r>
      <w:r w:rsidR="0088794A" w:rsidRPr="00F413DB">
        <w:rPr>
          <w:rFonts w:ascii="Times New Roman" w:hAnsi="Times New Roman" w:cs="Times New Roman"/>
          <w:bCs w:val="0"/>
          <w:szCs w:val="24"/>
          <w:lang w:val="en-GB"/>
        </w:rPr>
        <w:t xml:space="preserve"> (2</w:t>
      </w:r>
      <w:r w:rsidR="001D313F">
        <w:rPr>
          <w:rFonts w:ascii="Times New Roman" w:hAnsi="Times New Roman" w:cs="Times New Roman"/>
          <w:bCs w:val="0"/>
          <w:szCs w:val="24"/>
          <w:lang w:val="en-GB"/>
        </w:rPr>
        <w:t>2</w:t>
      </w:r>
      <w:r w:rsidR="0088794A" w:rsidRPr="00F413DB">
        <w:rPr>
          <w:rFonts w:ascii="Times New Roman" w:hAnsi="Times New Roman" w:cs="Times New Roman"/>
          <w:bCs w:val="0"/>
          <w:szCs w:val="24"/>
          <w:lang w:val="en-GB"/>
        </w:rPr>
        <w:t>)</w:t>
      </w:r>
      <w:r w:rsidR="008032B0" w:rsidRPr="00F413DB">
        <w:rPr>
          <w:rFonts w:ascii="Times New Roman" w:hAnsi="Times New Roman" w:cs="Times New Roman"/>
          <w:bCs w:val="0"/>
          <w:szCs w:val="24"/>
          <w:lang w:val="en-GB"/>
        </w:rPr>
        <w:t>.</w:t>
      </w:r>
    </w:p>
    <w:p w14:paraId="5C05B8A0" w14:textId="77777777" w:rsidR="00950DA9" w:rsidRPr="00F413DB" w:rsidRDefault="00950DA9" w:rsidP="00853E4A">
      <w:pPr>
        <w:spacing w:line="480" w:lineRule="auto"/>
        <w:jc w:val="both"/>
        <w:rPr>
          <w:rFonts w:ascii="Times New Roman" w:hAnsi="Times New Roman" w:cs="Times New Roman"/>
          <w:bCs w:val="0"/>
          <w:szCs w:val="24"/>
          <w:lang w:val="en-GB"/>
        </w:rPr>
      </w:pPr>
    </w:p>
    <w:p w14:paraId="446516CF" w14:textId="6DCDC83C" w:rsidR="00375A5A" w:rsidRPr="00F413DB" w:rsidRDefault="001F27D5" w:rsidP="00853E4A">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We have previously reported comparabl</w:t>
      </w:r>
      <w:r w:rsidR="009D3F3A" w:rsidRPr="00F413DB">
        <w:rPr>
          <w:rFonts w:ascii="Times New Roman" w:hAnsi="Times New Roman" w:cs="Times New Roman"/>
          <w:bCs w:val="0"/>
          <w:szCs w:val="24"/>
          <w:lang w:val="en-GB"/>
        </w:rPr>
        <w:t xml:space="preserve">e reductions in severe </w:t>
      </w:r>
      <w:proofErr w:type="spellStart"/>
      <w:r w:rsidR="009D3F3A" w:rsidRPr="00F413DB">
        <w:rPr>
          <w:rFonts w:ascii="Times New Roman" w:hAnsi="Times New Roman" w:cs="Times New Roman"/>
          <w:bCs w:val="0"/>
          <w:szCs w:val="24"/>
          <w:lang w:val="en-GB"/>
        </w:rPr>
        <w:t>hypoglyc</w:t>
      </w:r>
      <w:r w:rsidRPr="00F413DB">
        <w:rPr>
          <w:rFonts w:ascii="Times New Roman" w:hAnsi="Times New Roman" w:cs="Times New Roman"/>
          <w:bCs w:val="0"/>
          <w:szCs w:val="24"/>
          <w:lang w:val="en-GB"/>
        </w:rPr>
        <w:t>emia</w:t>
      </w:r>
      <w:proofErr w:type="spellEnd"/>
      <w:r w:rsidRPr="00F413DB">
        <w:rPr>
          <w:rFonts w:ascii="Times New Roman" w:hAnsi="Times New Roman" w:cs="Times New Roman"/>
          <w:bCs w:val="0"/>
          <w:szCs w:val="24"/>
          <w:lang w:val="en-GB"/>
        </w:rPr>
        <w:t xml:space="preserve"> rates a</w:t>
      </w:r>
      <w:r w:rsidR="00AF5258" w:rsidRPr="00F413DB">
        <w:rPr>
          <w:rFonts w:ascii="Times New Roman" w:hAnsi="Times New Roman" w:cs="Times New Roman"/>
          <w:bCs w:val="0"/>
          <w:szCs w:val="24"/>
          <w:lang w:val="en-GB"/>
        </w:rPr>
        <w:t>nd prop</w:t>
      </w:r>
      <w:r w:rsidR="00950DA9" w:rsidRPr="00F413DB">
        <w:rPr>
          <w:rFonts w:ascii="Times New Roman" w:hAnsi="Times New Roman" w:cs="Times New Roman"/>
          <w:bCs w:val="0"/>
          <w:szCs w:val="24"/>
          <w:lang w:val="en-GB"/>
        </w:rPr>
        <w:t>o</w:t>
      </w:r>
      <w:r w:rsidR="00AF5258" w:rsidRPr="00F413DB">
        <w:rPr>
          <w:rFonts w:ascii="Times New Roman" w:hAnsi="Times New Roman" w:cs="Times New Roman"/>
          <w:bCs w:val="0"/>
          <w:szCs w:val="24"/>
          <w:lang w:val="en-GB"/>
        </w:rPr>
        <w:t>rtio</w:t>
      </w:r>
      <w:r w:rsidR="00950DA9" w:rsidRPr="00F413DB">
        <w:rPr>
          <w:rFonts w:ascii="Times New Roman" w:hAnsi="Times New Roman" w:cs="Times New Roman"/>
          <w:bCs w:val="0"/>
          <w:szCs w:val="24"/>
          <w:lang w:val="en-GB"/>
        </w:rPr>
        <w:t>n</w:t>
      </w:r>
      <w:r w:rsidR="00AF5258" w:rsidRPr="00F413DB">
        <w:rPr>
          <w:rFonts w:ascii="Times New Roman" w:hAnsi="Times New Roman" w:cs="Times New Roman"/>
          <w:bCs w:val="0"/>
          <w:szCs w:val="24"/>
          <w:lang w:val="en-GB"/>
        </w:rPr>
        <w:t xml:space="preserve"> affected irrespecti</w:t>
      </w:r>
      <w:r w:rsidRPr="00F413DB">
        <w:rPr>
          <w:rFonts w:ascii="Times New Roman" w:hAnsi="Times New Roman" w:cs="Times New Roman"/>
          <w:bCs w:val="0"/>
          <w:szCs w:val="24"/>
          <w:lang w:val="en-GB"/>
        </w:rPr>
        <w:t>ve of allocated insulin delivery (CSII vs</w:t>
      </w:r>
      <w:r w:rsidR="00832363">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MDI) or glucose monitoring (RT-CGM vs</w:t>
      </w:r>
      <w:r w:rsidR="00832363">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SMBG) modality</w:t>
      </w:r>
      <w:r w:rsidR="00832363">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and all inte</w:t>
      </w:r>
      <w:r w:rsidR="00950DA9" w:rsidRPr="00F413DB">
        <w:rPr>
          <w:rFonts w:ascii="Times New Roman" w:hAnsi="Times New Roman" w:cs="Times New Roman"/>
          <w:bCs w:val="0"/>
          <w:szCs w:val="24"/>
          <w:lang w:val="en-GB"/>
        </w:rPr>
        <w:t>r</w:t>
      </w:r>
      <w:r w:rsidR="00AF5258" w:rsidRPr="00F413DB">
        <w:rPr>
          <w:rFonts w:ascii="Times New Roman" w:hAnsi="Times New Roman" w:cs="Times New Roman"/>
          <w:bCs w:val="0"/>
          <w:szCs w:val="24"/>
          <w:lang w:val="en-GB"/>
        </w:rPr>
        <w:t>v</w:t>
      </w:r>
      <w:r w:rsidRPr="00F413DB">
        <w:rPr>
          <w:rFonts w:ascii="Times New Roman" w:hAnsi="Times New Roman" w:cs="Times New Roman"/>
          <w:bCs w:val="0"/>
          <w:szCs w:val="24"/>
          <w:lang w:val="en-GB"/>
        </w:rPr>
        <w:t>entions were comparably represented in complete and incomplete responders in the current analysis</w:t>
      </w:r>
      <w:r w:rsidR="0088794A" w:rsidRPr="00F413DB">
        <w:rPr>
          <w:rFonts w:ascii="Times New Roman" w:hAnsi="Times New Roman" w:cs="Times New Roman"/>
          <w:bCs w:val="0"/>
          <w:szCs w:val="24"/>
          <w:lang w:val="en-GB"/>
        </w:rPr>
        <w:t xml:space="preserve"> (8)</w:t>
      </w:r>
      <w:r w:rsidRPr="00F413DB">
        <w:rPr>
          <w:rFonts w:ascii="Times New Roman" w:hAnsi="Times New Roman" w:cs="Times New Roman"/>
          <w:bCs w:val="0"/>
          <w:szCs w:val="24"/>
          <w:lang w:val="en-GB"/>
        </w:rPr>
        <w:t>.</w:t>
      </w:r>
      <w:r w:rsidR="00375A5A" w:rsidRPr="00F413DB">
        <w:rPr>
          <w:rFonts w:ascii="Times New Roman" w:hAnsi="Times New Roman" w:cs="Times New Roman"/>
          <w:bCs w:val="0"/>
          <w:szCs w:val="24"/>
          <w:lang w:val="en-GB"/>
        </w:rPr>
        <w:t xml:space="preserve"> </w:t>
      </w:r>
      <w:r w:rsidR="00AF5258" w:rsidRPr="00F413DB">
        <w:rPr>
          <w:rFonts w:ascii="Times New Roman" w:hAnsi="Times New Roman" w:cs="Times New Roman"/>
          <w:bCs w:val="0"/>
          <w:szCs w:val="24"/>
          <w:lang w:val="en-GB"/>
        </w:rPr>
        <w:t>Treatment satisfaction at baseline and study completion was also comparable</w:t>
      </w:r>
      <w:r w:rsidR="008617A3" w:rsidRPr="00F413DB">
        <w:rPr>
          <w:rFonts w:ascii="Times New Roman" w:hAnsi="Times New Roman" w:cs="Times New Roman"/>
          <w:bCs w:val="0"/>
          <w:szCs w:val="24"/>
          <w:lang w:val="en-GB"/>
        </w:rPr>
        <w:t>.</w:t>
      </w:r>
    </w:p>
    <w:p w14:paraId="7528DED6" w14:textId="77777777" w:rsidR="00375A5A" w:rsidRPr="00F413DB" w:rsidRDefault="00375A5A" w:rsidP="00853E4A">
      <w:pPr>
        <w:spacing w:line="480" w:lineRule="auto"/>
        <w:jc w:val="both"/>
        <w:rPr>
          <w:rFonts w:ascii="Times New Roman" w:hAnsi="Times New Roman" w:cs="Times New Roman"/>
          <w:bCs w:val="0"/>
          <w:szCs w:val="24"/>
          <w:lang w:val="en-GB"/>
        </w:rPr>
      </w:pPr>
    </w:p>
    <w:p w14:paraId="6E035DF1" w14:textId="567C756A" w:rsidR="00D20826" w:rsidRPr="00F413DB" w:rsidRDefault="00D20826" w:rsidP="00853E4A">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A sub-group </w:t>
      </w:r>
      <w:r w:rsidR="001C20AC">
        <w:rPr>
          <w:rFonts w:ascii="Times New Roman" w:hAnsi="Times New Roman" w:cs="Times New Roman"/>
          <w:bCs w:val="0"/>
          <w:szCs w:val="24"/>
          <w:lang w:val="en-GB"/>
        </w:rPr>
        <w:t>of adults with</w:t>
      </w:r>
      <w:r w:rsidR="001C20AC" w:rsidRPr="00F413DB">
        <w:rPr>
          <w:rFonts w:ascii="Times New Roman" w:hAnsi="Times New Roman" w:cs="Times New Roman"/>
          <w:bCs w:val="0"/>
          <w:szCs w:val="24"/>
          <w:lang w:val="en-GB"/>
        </w:rPr>
        <w:t xml:space="preserve"> </w:t>
      </w:r>
      <w:r w:rsidR="00832363">
        <w:rPr>
          <w:rFonts w:ascii="Times New Roman" w:hAnsi="Times New Roman" w:cs="Times New Roman"/>
          <w:bCs w:val="0"/>
          <w:szCs w:val="24"/>
          <w:lang w:val="en-GB"/>
        </w:rPr>
        <w:t>type 1 diabetes expressing “</w:t>
      </w:r>
      <w:r w:rsidRPr="00F413DB">
        <w:rPr>
          <w:rFonts w:ascii="Times New Roman" w:hAnsi="Times New Roman" w:cs="Times New Roman"/>
          <w:bCs w:val="0"/>
          <w:szCs w:val="24"/>
          <w:lang w:val="en-GB"/>
        </w:rPr>
        <w:t>low concern</w:t>
      </w:r>
      <w:r w:rsidR="00832363">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regarding </w:t>
      </w:r>
      <w:proofErr w:type="spellStart"/>
      <w:r w:rsidRPr="00F413DB">
        <w:rPr>
          <w:rFonts w:ascii="Times New Roman" w:hAnsi="Times New Roman" w:cs="Times New Roman"/>
          <w:bCs w:val="0"/>
          <w:szCs w:val="24"/>
          <w:lang w:val="en-GB"/>
        </w:rPr>
        <w:t>hy</w:t>
      </w:r>
      <w:r w:rsidR="008617A3" w:rsidRPr="00F413DB">
        <w:rPr>
          <w:rFonts w:ascii="Times New Roman" w:hAnsi="Times New Roman" w:cs="Times New Roman"/>
          <w:bCs w:val="0"/>
          <w:szCs w:val="24"/>
          <w:lang w:val="en-GB"/>
        </w:rPr>
        <w:t>poglyc</w:t>
      </w:r>
      <w:r w:rsidRPr="00F413DB">
        <w:rPr>
          <w:rFonts w:ascii="Times New Roman" w:hAnsi="Times New Roman" w:cs="Times New Roman"/>
          <w:bCs w:val="0"/>
          <w:szCs w:val="24"/>
          <w:lang w:val="en-GB"/>
        </w:rPr>
        <w:t>emia</w:t>
      </w:r>
      <w:proofErr w:type="spellEnd"/>
      <w:r w:rsidRPr="00F413DB">
        <w:rPr>
          <w:rFonts w:ascii="Times New Roman" w:hAnsi="Times New Roman" w:cs="Times New Roman"/>
          <w:bCs w:val="0"/>
          <w:szCs w:val="24"/>
          <w:lang w:val="en-GB"/>
        </w:rPr>
        <w:t xml:space="preserve"> unawareness and </w:t>
      </w:r>
      <w:r w:rsidR="00950DA9" w:rsidRPr="00F413DB">
        <w:rPr>
          <w:rFonts w:ascii="Times New Roman" w:hAnsi="Times New Roman" w:cs="Times New Roman"/>
          <w:bCs w:val="0"/>
          <w:szCs w:val="24"/>
          <w:lang w:val="en-GB"/>
        </w:rPr>
        <w:t xml:space="preserve">high </w:t>
      </w:r>
      <w:r w:rsidRPr="00F413DB">
        <w:rPr>
          <w:rFonts w:ascii="Times New Roman" w:hAnsi="Times New Roman" w:cs="Times New Roman"/>
          <w:bCs w:val="0"/>
          <w:szCs w:val="24"/>
          <w:lang w:val="en-GB"/>
        </w:rPr>
        <w:t xml:space="preserve">associated risk </w:t>
      </w:r>
      <w:r w:rsidR="008617A3" w:rsidRPr="00F413DB">
        <w:rPr>
          <w:rFonts w:ascii="Times New Roman" w:hAnsi="Times New Roman" w:cs="Times New Roman"/>
          <w:bCs w:val="0"/>
          <w:szCs w:val="24"/>
          <w:lang w:val="en-GB"/>
        </w:rPr>
        <w:t xml:space="preserve">of dangerous </w:t>
      </w:r>
      <w:proofErr w:type="spellStart"/>
      <w:r w:rsidR="008617A3" w:rsidRPr="00F413DB">
        <w:rPr>
          <w:rFonts w:ascii="Times New Roman" w:hAnsi="Times New Roman" w:cs="Times New Roman"/>
          <w:bCs w:val="0"/>
          <w:szCs w:val="24"/>
          <w:lang w:val="en-GB"/>
        </w:rPr>
        <w:t>hypoglyc</w:t>
      </w:r>
      <w:r w:rsidR="00950DA9" w:rsidRPr="00F413DB">
        <w:rPr>
          <w:rFonts w:ascii="Times New Roman" w:hAnsi="Times New Roman" w:cs="Times New Roman"/>
          <w:bCs w:val="0"/>
          <w:szCs w:val="24"/>
          <w:lang w:val="en-GB"/>
        </w:rPr>
        <w:t>emia</w:t>
      </w:r>
      <w:proofErr w:type="spellEnd"/>
      <w:r w:rsidR="00950DA9" w:rsidRPr="00F413DB">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has been identified through semi-structured qualitative interviews</w:t>
      </w:r>
      <w:r w:rsidR="0088794A" w:rsidRPr="00F413DB">
        <w:rPr>
          <w:rFonts w:ascii="Times New Roman" w:hAnsi="Times New Roman" w:cs="Times New Roman"/>
          <w:bCs w:val="0"/>
          <w:szCs w:val="24"/>
          <w:lang w:val="en-GB"/>
        </w:rPr>
        <w:t xml:space="preserve"> (2</w:t>
      </w:r>
      <w:r w:rsidR="001D313F">
        <w:rPr>
          <w:rFonts w:ascii="Times New Roman" w:hAnsi="Times New Roman" w:cs="Times New Roman"/>
          <w:bCs w:val="0"/>
          <w:szCs w:val="24"/>
          <w:lang w:val="en-GB"/>
        </w:rPr>
        <w:t>3</w:t>
      </w:r>
      <w:r w:rsidR="0088794A" w:rsidRPr="00F413DB">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w:t>
      </w:r>
      <w:r w:rsidR="001C20AC">
        <w:rPr>
          <w:rFonts w:ascii="Times New Roman" w:hAnsi="Times New Roman" w:cs="Times New Roman"/>
          <w:bCs w:val="0"/>
          <w:szCs w:val="24"/>
          <w:lang w:val="en-GB"/>
        </w:rPr>
        <w:t xml:space="preserve">In addition, the </w:t>
      </w:r>
      <w:r w:rsidR="00CE4D72">
        <w:rPr>
          <w:rFonts w:ascii="Times New Roman" w:hAnsi="Times New Roman" w:cs="Times New Roman"/>
          <w:bCs w:val="0"/>
          <w:szCs w:val="24"/>
          <w:lang w:val="en-GB"/>
        </w:rPr>
        <w:t>pre-</w:t>
      </w:r>
      <w:proofErr w:type="spellStart"/>
      <w:r w:rsidR="001C20AC">
        <w:rPr>
          <w:rFonts w:ascii="Times New Roman" w:hAnsi="Times New Roman" w:cs="Times New Roman"/>
          <w:bCs w:val="0"/>
          <w:szCs w:val="24"/>
          <w:lang w:val="en-GB"/>
        </w:rPr>
        <w:t>HypoCOMPaSS</w:t>
      </w:r>
      <w:proofErr w:type="spellEnd"/>
      <w:r w:rsidR="001C20AC">
        <w:rPr>
          <w:rFonts w:ascii="Times New Roman" w:hAnsi="Times New Roman" w:cs="Times New Roman"/>
          <w:bCs w:val="0"/>
          <w:szCs w:val="24"/>
          <w:lang w:val="en-GB"/>
        </w:rPr>
        <w:t xml:space="preserve"> qualitative study, which informed the </w:t>
      </w:r>
      <w:r w:rsidR="00832363">
        <w:rPr>
          <w:rFonts w:ascii="Times New Roman" w:hAnsi="Times New Roman" w:cs="Times New Roman"/>
          <w:bCs w:val="0"/>
          <w:szCs w:val="24"/>
          <w:lang w:val="en-GB"/>
        </w:rPr>
        <w:t>“</w:t>
      </w:r>
      <w:r w:rsidR="00E60BA3" w:rsidRPr="00832363">
        <w:rPr>
          <w:rFonts w:ascii="Times New Roman" w:hAnsi="Times New Roman" w:cs="Times New Roman"/>
          <w:bCs w:val="0"/>
          <w:szCs w:val="24"/>
          <w:lang w:val="en-GB"/>
        </w:rPr>
        <w:t>my hypo compass</w:t>
      </w:r>
      <w:r w:rsidR="00832363" w:rsidRPr="00832363">
        <w:rPr>
          <w:rFonts w:ascii="Times New Roman" w:hAnsi="Times New Roman" w:cs="Times New Roman"/>
          <w:bCs w:val="0"/>
          <w:szCs w:val="24"/>
          <w:lang w:val="en-GB"/>
        </w:rPr>
        <w:t>”</w:t>
      </w:r>
      <w:r w:rsidR="00E60BA3" w:rsidRPr="00F413DB">
        <w:rPr>
          <w:rFonts w:ascii="Times New Roman" w:hAnsi="Times New Roman" w:cs="Times New Roman"/>
          <w:bCs w:val="0"/>
          <w:szCs w:val="24"/>
          <w:lang w:val="en-GB"/>
        </w:rPr>
        <w:t xml:space="preserve"> </w:t>
      </w:r>
      <w:r w:rsidR="001C20AC">
        <w:rPr>
          <w:rFonts w:ascii="Times New Roman" w:hAnsi="Times New Roman" w:cs="Times New Roman"/>
          <w:bCs w:val="0"/>
          <w:szCs w:val="24"/>
          <w:lang w:val="en-GB"/>
        </w:rPr>
        <w:t xml:space="preserve">psycho-educational intervention, found similar psychological and </w:t>
      </w:r>
      <w:proofErr w:type="spellStart"/>
      <w:r w:rsidR="001C20AC">
        <w:rPr>
          <w:rFonts w:ascii="Times New Roman" w:hAnsi="Times New Roman" w:cs="Times New Roman"/>
          <w:bCs w:val="0"/>
          <w:szCs w:val="24"/>
          <w:lang w:val="en-GB"/>
        </w:rPr>
        <w:t>behavioral</w:t>
      </w:r>
      <w:proofErr w:type="spellEnd"/>
      <w:r w:rsidR="001C20AC">
        <w:rPr>
          <w:rFonts w:ascii="Times New Roman" w:hAnsi="Times New Roman" w:cs="Times New Roman"/>
          <w:bCs w:val="0"/>
          <w:szCs w:val="24"/>
          <w:lang w:val="en-GB"/>
        </w:rPr>
        <w:t xml:space="preserve"> barriers to </w:t>
      </w:r>
      <w:r w:rsidR="002753DD">
        <w:rPr>
          <w:rFonts w:ascii="Times New Roman" w:hAnsi="Times New Roman" w:cs="Times New Roman"/>
          <w:bCs w:val="0"/>
          <w:szCs w:val="24"/>
          <w:lang w:val="en-GB"/>
        </w:rPr>
        <w:t xml:space="preserve">severe </w:t>
      </w:r>
      <w:proofErr w:type="spellStart"/>
      <w:r w:rsidR="002753DD">
        <w:rPr>
          <w:rFonts w:ascii="Times New Roman" w:hAnsi="Times New Roman" w:cs="Times New Roman"/>
          <w:bCs w:val="0"/>
          <w:szCs w:val="24"/>
          <w:lang w:val="en-GB"/>
        </w:rPr>
        <w:t>hypoglycemia</w:t>
      </w:r>
      <w:proofErr w:type="spellEnd"/>
      <w:r w:rsidR="002753DD">
        <w:rPr>
          <w:rFonts w:ascii="Times New Roman" w:hAnsi="Times New Roman" w:cs="Times New Roman"/>
          <w:bCs w:val="0"/>
          <w:szCs w:val="24"/>
          <w:lang w:val="en-GB"/>
        </w:rPr>
        <w:t xml:space="preserve"> </w:t>
      </w:r>
      <w:r w:rsidR="001C20AC">
        <w:rPr>
          <w:rFonts w:ascii="Times New Roman" w:hAnsi="Times New Roman" w:cs="Times New Roman"/>
          <w:bCs w:val="0"/>
          <w:szCs w:val="24"/>
          <w:lang w:val="en-GB"/>
        </w:rPr>
        <w:t>preventi</w:t>
      </w:r>
      <w:r w:rsidR="002753DD">
        <w:rPr>
          <w:rFonts w:ascii="Times New Roman" w:hAnsi="Times New Roman" w:cs="Times New Roman"/>
          <w:bCs w:val="0"/>
          <w:szCs w:val="24"/>
          <w:lang w:val="en-GB"/>
        </w:rPr>
        <w:t>on</w:t>
      </w:r>
      <w:r w:rsidR="001C20AC">
        <w:rPr>
          <w:rFonts w:ascii="Times New Roman" w:hAnsi="Times New Roman" w:cs="Times New Roman"/>
          <w:bCs w:val="0"/>
          <w:szCs w:val="24"/>
          <w:lang w:val="en-GB"/>
        </w:rPr>
        <w:t xml:space="preserve"> (</w:t>
      </w:r>
      <w:r w:rsidR="00EC7D7A">
        <w:rPr>
          <w:rFonts w:ascii="Times New Roman" w:hAnsi="Times New Roman" w:cs="Times New Roman"/>
          <w:bCs w:val="0"/>
          <w:szCs w:val="24"/>
          <w:lang w:val="en-GB"/>
        </w:rPr>
        <w:t>24</w:t>
      </w:r>
      <w:r w:rsidR="001C20AC">
        <w:rPr>
          <w:rFonts w:ascii="Times New Roman" w:hAnsi="Times New Roman" w:cs="Times New Roman"/>
          <w:bCs w:val="0"/>
          <w:szCs w:val="24"/>
          <w:lang w:val="en-GB"/>
        </w:rPr>
        <w:t xml:space="preserve">). </w:t>
      </w:r>
      <w:r w:rsidR="004670C7">
        <w:rPr>
          <w:rFonts w:ascii="Times New Roman" w:hAnsi="Times New Roman" w:cs="Times New Roman"/>
          <w:bCs w:val="0"/>
          <w:szCs w:val="24"/>
          <w:lang w:val="en-GB"/>
        </w:rPr>
        <w:t>It</w:t>
      </w:r>
      <w:r w:rsidR="00832363">
        <w:rPr>
          <w:rFonts w:ascii="Times New Roman" w:hAnsi="Times New Roman" w:cs="Times New Roman"/>
          <w:bCs w:val="0"/>
          <w:szCs w:val="24"/>
          <w:lang w:val="en-GB"/>
        </w:rPr>
        <w:t xml:space="preserve"> was hypothesised that this sub</w:t>
      </w:r>
      <w:r w:rsidR="004670C7">
        <w:rPr>
          <w:rFonts w:ascii="Times New Roman" w:hAnsi="Times New Roman" w:cs="Times New Roman"/>
          <w:bCs w:val="0"/>
          <w:szCs w:val="24"/>
          <w:lang w:val="en-GB"/>
        </w:rPr>
        <w:t xml:space="preserve">group would </w:t>
      </w:r>
      <w:r w:rsidR="00D163D4">
        <w:rPr>
          <w:rFonts w:ascii="Times New Roman" w:hAnsi="Times New Roman" w:cs="Times New Roman"/>
          <w:bCs w:val="0"/>
          <w:szCs w:val="24"/>
          <w:lang w:val="en-GB"/>
        </w:rPr>
        <w:t>show</w:t>
      </w:r>
      <w:r w:rsidR="004670C7">
        <w:rPr>
          <w:rFonts w:ascii="Times New Roman" w:hAnsi="Times New Roman" w:cs="Times New Roman"/>
          <w:bCs w:val="0"/>
          <w:szCs w:val="24"/>
          <w:lang w:val="en-GB"/>
        </w:rPr>
        <w:t xml:space="preserve"> incomplete respon</w:t>
      </w:r>
      <w:r w:rsidR="00D163D4">
        <w:rPr>
          <w:rFonts w:ascii="Times New Roman" w:hAnsi="Times New Roman" w:cs="Times New Roman"/>
          <w:bCs w:val="0"/>
          <w:szCs w:val="24"/>
          <w:lang w:val="en-GB"/>
        </w:rPr>
        <w:t>se</w:t>
      </w:r>
      <w:r w:rsidR="004670C7">
        <w:rPr>
          <w:rFonts w:ascii="Times New Roman" w:hAnsi="Times New Roman" w:cs="Times New Roman"/>
          <w:bCs w:val="0"/>
          <w:szCs w:val="24"/>
          <w:lang w:val="en-GB"/>
        </w:rPr>
        <w:t xml:space="preserve"> to the study intervention</w:t>
      </w:r>
      <w:r w:rsidR="00832363">
        <w:rPr>
          <w:rFonts w:ascii="Times New Roman" w:hAnsi="Times New Roman" w:cs="Times New Roman"/>
          <w:bCs w:val="0"/>
          <w:szCs w:val="24"/>
          <w:lang w:val="en-GB"/>
        </w:rPr>
        <w:t>,</w:t>
      </w:r>
      <w:r w:rsidR="004670C7">
        <w:rPr>
          <w:rFonts w:ascii="Times New Roman" w:hAnsi="Times New Roman" w:cs="Times New Roman"/>
          <w:bCs w:val="0"/>
          <w:szCs w:val="24"/>
          <w:lang w:val="en-GB"/>
        </w:rPr>
        <w:t xml:space="preserve"> as they would continue to experience a</w:t>
      </w:r>
      <w:r w:rsidR="00832363">
        <w:rPr>
          <w:rFonts w:ascii="Times New Roman" w:hAnsi="Times New Roman" w:cs="Times New Roman"/>
          <w:bCs w:val="0"/>
          <w:szCs w:val="24"/>
          <w:lang w:val="en-GB"/>
        </w:rPr>
        <w:t>nd be “unconcerned”</w:t>
      </w:r>
      <w:r w:rsidR="004670C7">
        <w:rPr>
          <w:rFonts w:ascii="Times New Roman" w:hAnsi="Times New Roman" w:cs="Times New Roman"/>
          <w:bCs w:val="0"/>
          <w:szCs w:val="24"/>
          <w:lang w:val="en-GB"/>
        </w:rPr>
        <w:t xml:space="preserve"> by ongoing biochemical </w:t>
      </w:r>
      <w:proofErr w:type="spellStart"/>
      <w:r w:rsidR="004670C7">
        <w:rPr>
          <w:rFonts w:ascii="Times New Roman" w:hAnsi="Times New Roman" w:cs="Times New Roman"/>
          <w:bCs w:val="0"/>
          <w:szCs w:val="24"/>
          <w:lang w:val="en-GB"/>
        </w:rPr>
        <w:t>hypogly</w:t>
      </w:r>
      <w:r w:rsidR="00D163D4">
        <w:rPr>
          <w:rFonts w:ascii="Times New Roman" w:hAnsi="Times New Roman" w:cs="Times New Roman"/>
          <w:bCs w:val="0"/>
          <w:szCs w:val="24"/>
          <w:lang w:val="en-GB"/>
        </w:rPr>
        <w:t>c</w:t>
      </w:r>
      <w:r w:rsidR="004670C7">
        <w:rPr>
          <w:rFonts w:ascii="Times New Roman" w:hAnsi="Times New Roman" w:cs="Times New Roman"/>
          <w:bCs w:val="0"/>
          <w:szCs w:val="24"/>
          <w:lang w:val="en-GB"/>
        </w:rPr>
        <w:t>emia</w:t>
      </w:r>
      <w:proofErr w:type="spellEnd"/>
      <w:r w:rsidR="004670C7">
        <w:rPr>
          <w:rFonts w:ascii="Times New Roman" w:hAnsi="Times New Roman" w:cs="Times New Roman"/>
          <w:bCs w:val="0"/>
          <w:szCs w:val="24"/>
          <w:lang w:val="en-GB"/>
        </w:rPr>
        <w:t xml:space="preserve">.  On the contrary, incomplete responders spent </w:t>
      </w:r>
      <w:r w:rsidR="00D163D4">
        <w:rPr>
          <w:rFonts w:ascii="Times New Roman" w:hAnsi="Times New Roman" w:cs="Times New Roman"/>
          <w:bCs w:val="0"/>
          <w:szCs w:val="24"/>
          <w:lang w:val="en-GB"/>
        </w:rPr>
        <w:t>l</w:t>
      </w:r>
      <w:r w:rsidR="004670C7">
        <w:rPr>
          <w:rFonts w:ascii="Times New Roman" w:hAnsi="Times New Roman" w:cs="Times New Roman"/>
          <w:bCs w:val="0"/>
          <w:szCs w:val="24"/>
          <w:lang w:val="en-GB"/>
        </w:rPr>
        <w:t xml:space="preserve">ess </w:t>
      </w:r>
      <w:r w:rsidR="008D435D">
        <w:rPr>
          <w:rFonts w:ascii="Times New Roman" w:hAnsi="Times New Roman" w:cs="Times New Roman"/>
          <w:bCs w:val="0"/>
          <w:szCs w:val="24"/>
          <w:lang w:val="en-GB"/>
        </w:rPr>
        <w:t>than half the time with</w:t>
      </w:r>
      <w:r w:rsidR="004670C7">
        <w:rPr>
          <w:rFonts w:ascii="Times New Roman" w:hAnsi="Times New Roman" w:cs="Times New Roman"/>
          <w:bCs w:val="0"/>
          <w:szCs w:val="24"/>
          <w:lang w:val="en-GB"/>
        </w:rPr>
        <w:t xml:space="preserve"> glucose &lt;3</w:t>
      </w:r>
      <w:r w:rsidR="008D435D">
        <w:rPr>
          <w:rFonts w:ascii="Times New Roman" w:hAnsi="Times New Roman" w:cs="Times New Roman"/>
          <w:bCs w:val="0"/>
          <w:szCs w:val="24"/>
          <w:lang w:val="en-GB"/>
        </w:rPr>
        <w:t>mmol/</w:t>
      </w:r>
      <w:r w:rsidR="00832363">
        <w:rPr>
          <w:rFonts w:ascii="Times New Roman" w:hAnsi="Times New Roman" w:cs="Times New Roman"/>
          <w:bCs w:val="0"/>
          <w:szCs w:val="24"/>
          <w:lang w:val="en-GB"/>
        </w:rPr>
        <w:t>L</w:t>
      </w:r>
      <w:r w:rsidR="004670C7">
        <w:rPr>
          <w:rFonts w:ascii="Times New Roman" w:hAnsi="Times New Roman" w:cs="Times New Roman"/>
          <w:bCs w:val="0"/>
          <w:szCs w:val="24"/>
          <w:lang w:val="en-GB"/>
        </w:rPr>
        <w:t xml:space="preserve"> </w:t>
      </w:r>
      <w:r w:rsidR="003049F0">
        <w:rPr>
          <w:rFonts w:ascii="Times New Roman" w:hAnsi="Times New Roman" w:cs="Times New Roman"/>
          <w:bCs w:val="0"/>
          <w:szCs w:val="24"/>
          <w:lang w:val="en-GB"/>
        </w:rPr>
        <w:t>compared with</w:t>
      </w:r>
      <w:r w:rsidR="004670C7">
        <w:rPr>
          <w:rFonts w:ascii="Times New Roman" w:hAnsi="Times New Roman" w:cs="Times New Roman"/>
          <w:bCs w:val="0"/>
          <w:szCs w:val="24"/>
          <w:lang w:val="en-GB"/>
        </w:rPr>
        <w:t xml:space="preserve"> complete responders.</w:t>
      </w:r>
      <w:r w:rsidR="00990CD5" w:rsidRPr="00F413DB">
        <w:rPr>
          <w:rFonts w:ascii="Times New Roman" w:hAnsi="Times New Roman" w:cs="Times New Roman"/>
          <w:bCs w:val="0"/>
          <w:szCs w:val="24"/>
          <w:lang w:val="en-GB"/>
        </w:rPr>
        <w:t xml:space="preserve"> </w:t>
      </w:r>
      <w:r w:rsidR="002B15C1" w:rsidRPr="00F413DB">
        <w:rPr>
          <w:rFonts w:ascii="Times New Roman" w:hAnsi="Times New Roman" w:cs="Times New Roman"/>
          <w:bCs w:val="0"/>
          <w:szCs w:val="24"/>
          <w:lang w:val="en-GB"/>
        </w:rPr>
        <w:t>Bas</w:t>
      </w:r>
      <w:r w:rsidR="00EE50CB" w:rsidRPr="00F413DB">
        <w:rPr>
          <w:rFonts w:ascii="Times New Roman" w:hAnsi="Times New Roman" w:cs="Times New Roman"/>
          <w:bCs w:val="0"/>
          <w:szCs w:val="24"/>
          <w:lang w:val="en-GB"/>
        </w:rPr>
        <w:t>e</w:t>
      </w:r>
      <w:r w:rsidR="002B15C1" w:rsidRPr="00F413DB">
        <w:rPr>
          <w:rFonts w:ascii="Times New Roman" w:hAnsi="Times New Roman" w:cs="Times New Roman"/>
          <w:bCs w:val="0"/>
          <w:szCs w:val="24"/>
          <w:lang w:val="en-GB"/>
        </w:rPr>
        <w:t>line total daily insulin dose</w:t>
      </w:r>
      <w:r w:rsidR="00950DA9" w:rsidRPr="00F413DB">
        <w:rPr>
          <w:rFonts w:ascii="Times New Roman" w:hAnsi="Times New Roman" w:cs="Times New Roman"/>
          <w:bCs w:val="0"/>
          <w:szCs w:val="24"/>
          <w:lang w:val="en-GB"/>
        </w:rPr>
        <w:t>s</w:t>
      </w:r>
      <w:r w:rsidR="002B15C1" w:rsidRPr="00F413DB">
        <w:rPr>
          <w:rFonts w:ascii="Times New Roman" w:hAnsi="Times New Roman" w:cs="Times New Roman"/>
          <w:bCs w:val="0"/>
          <w:szCs w:val="24"/>
          <w:lang w:val="en-GB"/>
        </w:rPr>
        <w:t xml:space="preserve"> w</w:t>
      </w:r>
      <w:r w:rsidR="00950DA9" w:rsidRPr="00F413DB">
        <w:rPr>
          <w:rFonts w:ascii="Times New Roman" w:hAnsi="Times New Roman" w:cs="Times New Roman"/>
          <w:bCs w:val="0"/>
          <w:szCs w:val="24"/>
          <w:lang w:val="en-GB"/>
        </w:rPr>
        <w:t>ere</w:t>
      </w:r>
      <w:r w:rsidR="002B15C1" w:rsidRPr="00F413DB">
        <w:rPr>
          <w:rFonts w:ascii="Times New Roman" w:hAnsi="Times New Roman" w:cs="Times New Roman"/>
          <w:bCs w:val="0"/>
          <w:szCs w:val="24"/>
          <w:lang w:val="en-GB"/>
        </w:rPr>
        <w:t xml:space="preserve"> comparable, but </w:t>
      </w:r>
      <w:r w:rsidR="00950DA9" w:rsidRPr="00F413DB">
        <w:rPr>
          <w:rFonts w:ascii="Times New Roman" w:hAnsi="Times New Roman" w:cs="Times New Roman"/>
          <w:bCs w:val="0"/>
          <w:szCs w:val="24"/>
          <w:lang w:val="en-GB"/>
        </w:rPr>
        <w:t xml:space="preserve">dose </w:t>
      </w:r>
      <w:r w:rsidR="002B15C1" w:rsidRPr="00F413DB">
        <w:rPr>
          <w:rFonts w:ascii="Times New Roman" w:hAnsi="Times New Roman" w:cs="Times New Roman"/>
          <w:bCs w:val="0"/>
          <w:szCs w:val="24"/>
          <w:lang w:val="en-GB"/>
        </w:rPr>
        <w:t xml:space="preserve">was significantly lower at 24 months in incomplete responders. This supports appropriate insulin reduction to avoid biochemical </w:t>
      </w:r>
      <w:r w:rsidR="00832363">
        <w:rPr>
          <w:rFonts w:ascii="Times New Roman" w:hAnsi="Times New Roman" w:cs="Times New Roman"/>
          <w:bCs w:val="0"/>
          <w:szCs w:val="24"/>
          <w:lang w:val="en-GB"/>
        </w:rPr>
        <w:t xml:space="preserve">hypoglycaemia - </w:t>
      </w:r>
      <w:r w:rsidR="002B15C1" w:rsidRPr="00F413DB">
        <w:rPr>
          <w:rFonts w:ascii="Times New Roman" w:hAnsi="Times New Roman" w:cs="Times New Roman"/>
          <w:bCs w:val="0"/>
          <w:szCs w:val="24"/>
          <w:lang w:val="en-GB"/>
        </w:rPr>
        <w:t xml:space="preserve">as opposed to persistence with inappropriately high doses due to a strong preference for </w:t>
      </w:r>
      <w:proofErr w:type="spellStart"/>
      <w:r w:rsidR="002B15C1" w:rsidRPr="00F413DB">
        <w:rPr>
          <w:rFonts w:ascii="Times New Roman" w:hAnsi="Times New Roman" w:cs="Times New Roman"/>
          <w:bCs w:val="0"/>
          <w:szCs w:val="24"/>
          <w:lang w:val="en-GB"/>
        </w:rPr>
        <w:t>hypoglycemia</w:t>
      </w:r>
      <w:proofErr w:type="spellEnd"/>
      <w:r w:rsidR="002B15C1" w:rsidRPr="00F413DB">
        <w:rPr>
          <w:rFonts w:ascii="Times New Roman" w:hAnsi="Times New Roman" w:cs="Times New Roman"/>
          <w:bCs w:val="0"/>
          <w:szCs w:val="24"/>
          <w:lang w:val="en-GB"/>
        </w:rPr>
        <w:t xml:space="preserve"> over </w:t>
      </w:r>
      <w:proofErr w:type="spellStart"/>
      <w:r w:rsidR="002B15C1" w:rsidRPr="00F413DB">
        <w:rPr>
          <w:rFonts w:ascii="Times New Roman" w:hAnsi="Times New Roman" w:cs="Times New Roman"/>
          <w:bCs w:val="0"/>
          <w:szCs w:val="24"/>
          <w:lang w:val="en-GB"/>
        </w:rPr>
        <w:t>hyperglycemia</w:t>
      </w:r>
      <w:proofErr w:type="spellEnd"/>
      <w:r w:rsidR="002B15C1" w:rsidRPr="00F413DB">
        <w:rPr>
          <w:rFonts w:ascii="Times New Roman" w:hAnsi="Times New Roman" w:cs="Times New Roman"/>
          <w:bCs w:val="0"/>
          <w:szCs w:val="24"/>
          <w:lang w:val="en-GB"/>
        </w:rPr>
        <w:t xml:space="preserve">. </w:t>
      </w:r>
      <w:r w:rsidR="00EE50CB" w:rsidRPr="00F413DB">
        <w:rPr>
          <w:rFonts w:ascii="Times New Roman" w:hAnsi="Times New Roman" w:cs="Times New Roman"/>
          <w:bCs w:val="0"/>
          <w:szCs w:val="24"/>
          <w:lang w:val="en-GB"/>
        </w:rPr>
        <w:t xml:space="preserve">HbA1c was also comparable in both groups at baseline and study completion. </w:t>
      </w:r>
      <w:r w:rsidR="002B15C1" w:rsidRPr="00F413DB">
        <w:rPr>
          <w:rFonts w:ascii="Times New Roman" w:hAnsi="Times New Roman" w:cs="Times New Roman"/>
          <w:bCs w:val="0"/>
          <w:szCs w:val="24"/>
          <w:lang w:val="en-GB"/>
        </w:rPr>
        <w:t xml:space="preserve"> </w:t>
      </w:r>
      <w:r w:rsidR="00990CD5" w:rsidRPr="00F413DB">
        <w:rPr>
          <w:rFonts w:ascii="Times New Roman" w:hAnsi="Times New Roman" w:cs="Times New Roman"/>
          <w:bCs w:val="0"/>
          <w:szCs w:val="24"/>
          <w:lang w:val="en-GB"/>
        </w:rPr>
        <w:t>Incomplete responders did not show low c</w:t>
      </w:r>
      <w:r w:rsidR="008617A3" w:rsidRPr="00F413DB">
        <w:rPr>
          <w:rFonts w:ascii="Times New Roman" w:hAnsi="Times New Roman" w:cs="Times New Roman"/>
          <w:bCs w:val="0"/>
          <w:szCs w:val="24"/>
          <w:lang w:val="en-GB"/>
        </w:rPr>
        <w:t xml:space="preserve">oncern regarding </w:t>
      </w:r>
      <w:proofErr w:type="spellStart"/>
      <w:r w:rsidR="008617A3" w:rsidRPr="00F413DB">
        <w:rPr>
          <w:rFonts w:ascii="Times New Roman" w:hAnsi="Times New Roman" w:cs="Times New Roman"/>
          <w:bCs w:val="0"/>
          <w:szCs w:val="24"/>
          <w:lang w:val="en-GB"/>
        </w:rPr>
        <w:t>hypoglyc</w:t>
      </w:r>
      <w:r w:rsidR="00990CD5" w:rsidRPr="00F413DB">
        <w:rPr>
          <w:rFonts w:ascii="Times New Roman" w:hAnsi="Times New Roman" w:cs="Times New Roman"/>
          <w:bCs w:val="0"/>
          <w:szCs w:val="24"/>
          <w:lang w:val="en-GB"/>
        </w:rPr>
        <w:t>emia</w:t>
      </w:r>
      <w:proofErr w:type="spellEnd"/>
      <w:r w:rsidR="00990CD5" w:rsidRPr="00F413DB">
        <w:rPr>
          <w:rFonts w:ascii="Times New Roman" w:hAnsi="Times New Roman" w:cs="Times New Roman"/>
          <w:bCs w:val="0"/>
          <w:szCs w:val="24"/>
          <w:lang w:val="en-GB"/>
        </w:rPr>
        <w:t xml:space="preserve">, with higher </w:t>
      </w:r>
      <w:r w:rsidR="00832363">
        <w:rPr>
          <w:rFonts w:ascii="Times New Roman" w:hAnsi="Times New Roman" w:cs="Times New Roman"/>
          <w:bCs w:val="0"/>
          <w:szCs w:val="24"/>
          <w:lang w:val="en-GB"/>
        </w:rPr>
        <w:t xml:space="preserve">HFS-II </w:t>
      </w:r>
      <w:r w:rsidR="00990CD5" w:rsidRPr="00F413DB">
        <w:rPr>
          <w:rFonts w:ascii="Times New Roman" w:hAnsi="Times New Roman" w:cs="Times New Roman"/>
          <w:bCs w:val="0"/>
          <w:szCs w:val="24"/>
          <w:lang w:val="en-GB"/>
        </w:rPr>
        <w:t xml:space="preserve">scores at baseline and study completion. </w:t>
      </w:r>
      <w:r w:rsidR="00091A15" w:rsidRPr="00F413DB">
        <w:rPr>
          <w:rFonts w:ascii="Times New Roman" w:hAnsi="Times New Roman" w:cs="Times New Roman"/>
          <w:bCs w:val="0"/>
          <w:szCs w:val="24"/>
          <w:lang w:val="en-GB"/>
        </w:rPr>
        <w:t xml:space="preserve">This is consistent with published data reporting associations between </w:t>
      </w:r>
      <w:r w:rsidR="00E60BA3">
        <w:rPr>
          <w:rFonts w:ascii="Times New Roman" w:hAnsi="Times New Roman" w:cs="Times New Roman"/>
          <w:bCs w:val="0"/>
          <w:szCs w:val="24"/>
          <w:lang w:val="en-GB"/>
        </w:rPr>
        <w:t xml:space="preserve">fear of </w:t>
      </w:r>
      <w:proofErr w:type="spellStart"/>
      <w:r w:rsidR="00091A15" w:rsidRPr="00F413DB">
        <w:rPr>
          <w:rFonts w:ascii="Times New Roman" w:hAnsi="Times New Roman" w:cs="Times New Roman"/>
          <w:bCs w:val="0"/>
          <w:szCs w:val="24"/>
          <w:lang w:val="en-GB"/>
        </w:rPr>
        <w:t>hypoglycemia</w:t>
      </w:r>
      <w:proofErr w:type="spellEnd"/>
      <w:r w:rsidR="005835EF" w:rsidRPr="00F413DB">
        <w:rPr>
          <w:rFonts w:ascii="Times New Roman" w:hAnsi="Times New Roman" w:cs="Times New Roman"/>
          <w:bCs w:val="0"/>
          <w:szCs w:val="24"/>
          <w:lang w:val="en-GB"/>
        </w:rPr>
        <w:t xml:space="preserve">, impaired awareness, nocturnal </w:t>
      </w:r>
      <w:proofErr w:type="spellStart"/>
      <w:r w:rsidR="005835EF" w:rsidRPr="00F413DB">
        <w:rPr>
          <w:rFonts w:ascii="Times New Roman" w:hAnsi="Times New Roman" w:cs="Times New Roman"/>
          <w:bCs w:val="0"/>
          <w:szCs w:val="24"/>
          <w:lang w:val="en-GB"/>
        </w:rPr>
        <w:t>hypoglyce</w:t>
      </w:r>
      <w:r w:rsidR="004E7878" w:rsidRPr="00F413DB">
        <w:rPr>
          <w:rFonts w:ascii="Times New Roman" w:hAnsi="Times New Roman" w:cs="Times New Roman"/>
          <w:bCs w:val="0"/>
          <w:szCs w:val="24"/>
          <w:lang w:val="en-GB"/>
        </w:rPr>
        <w:t>m</w:t>
      </w:r>
      <w:r w:rsidR="005835EF" w:rsidRPr="00F413DB">
        <w:rPr>
          <w:rFonts w:ascii="Times New Roman" w:hAnsi="Times New Roman" w:cs="Times New Roman"/>
          <w:bCs w:val="0"/>
          <w:szCs w:val="24"/>
          <w:lang w:val="en-GB"/>
        </w:rPr>
        <w:t>ia</w:t>
      </w:r>
      <w:proofErr w:type="spellEnd"/>
      <w:r w:rsidR="005835EF" w:rsidRPr="00F413DB">
        <w:rPr>
          <w:rFonts w:ascii="Times New Roman" w:hAnsi="Times New Roman" w:cs="Times New Roman"/>
          <w:bCs w:val="0"/>
          <w:szCs w:val="24"/>
          <w:lang w:val="en-GB"/>
        </w:rPr>
        <w:t xml:space="preserve"> </w:t>
      </w:r>
      <w:r w:rsidR="00091A15" w:rsidRPr="00F413DB">
        <w:rPr>
          <w:rFonts w:ascii="Times New Roman" w:hAnsi="Times New Roman" w:cs="Times New Roman"/>
          <w:bCs w:val="0"/>
          <w:szCs w:val="24"/>
          <w:lang w:val="en-GB"/>
        </w:rPr>
        <w:t>and frequency of</w:t>
      </w:r>
      <w:r w:rsidR="008617A3" w:rsidRPr="00F413DB">
        <w:rPr>
          <w:rFonts w:ascii="Times New Roman" w:hAnsi="Times New Roman" w:cs="Times New Roman"/>
          <w:bCs w:val="0"/>
          <w:szCs w:val="24"/>
          <w:lang w:val="en-GB"/>
        </w:rPr>
        <w:t xml:space="preserve"> severe </w:t>
      </w:r>
      <w:proofErr w:type="spellStart"/>
      <w:r w:rsidR="008617A3" w:rsidRPr="00F413DB">
        <w:rPr>
          <w:rFonts w:ascii="Times New Roman" w:hAnsi="Times New Roman" w:cs="Times New Roman"/>
          <w:bCs w:val="0"/>
          <w:szCs w:val="24"/>
          <w:lang w:val="en-GB"/>
        </w:rPr>
        <w:t>hypoglycemia</w:t>
      </w:r>
      <w:proofErr w:type="spellEnd"/>
      <w:r w:rsidR="0088794A" w:rsidRPr="00F413DB">
        <w:rPr>
          <w:rFonts w:ascii="Times New Roman" w:hAnsi="Times New Roman" w:cs="Times New Roman"/>
          <w:bCs w:val="0"/>
          <w:szCs w:val="24"/>
          <w:lang w:val="en-GB"/>
        </w:rPr>
        <w:t xml:space="preserve"> (2</w:t>
      </w:r>
      <w:r w:rsidR="00EC7D7A">
        <w:rPr>
          <w:rFonts w:ascii="Times New Roman" w:hAnsi="Times New Roman" w:cs="Times New Roman"/>
          <w:bCs w:val="0"/>
          <w:szCs w:val="24"/>
          <w:lang w:val="en-GB"/>
        </w:rPr>
        <w:t>5</w:t>
      </w:r>
      <w:proofErr w:type="gramStart"/>
      <w:r w:rsidR="00EC7D7A">
        <w:rPr>
          <w:rFonts w:ascii="Times New Roman" w:hAnsi="Times New Roman" w:cs="Times New Roman"/>
          <w:bCs w:val="0"/>
          <w:szCs w:val="24"/>
          <w:lang w:val="en-GB"/>
        </w:rPr>
        <w:t>,26</w:t>
      </w:r>
      <w:proofErr w:type="gramEnd"/>
      <w:r w:rsidR="0088794A" w:rsidRPr="00F413DB">
        <w:rPr>
          <w:rFonts w:ascii="Times New Roman" w:hAnsi="Times New Roman" w:cs="Times New Roman"/>
          <w:bCs w:val="0"/>
          <w:szCs w:val="24"/>
          <w:lang w:val="en-GB"/>
        </w:rPr>
        <w:t>)</w:t>
      </w:r>
      <w:r w:rsidR="00091A15" w:rsidRPr="00F413DB">
        <w:rPr>
          <w:rFonts w:ascii="Times New Roman" w:hAnsi="Times New Roman" w:cs="Times New Roman"/>
          <w:bCs w:val="0"/>
          <w:szCs w:val="24"/>
          <w:lang w:val="en-GB"/>
        </w:rPr>
        <w:t xml:space="preserve">. </w:t>
      </w:r>
      <w:r w:rsidR="002B15C1" w:rsidRPr="00F413DB">
        <w:rPr>
          <w:rFonts w:ascii="Times New Roman" w:hAnsi="Times New Roman" w:cs="Times New Roman"/>
          <w:bCs w:val="0"/>
          <w:szCs w:val="24"/>
          <w:lang w:val="en-GB"/>
        </w:rPr>
        <w:t xml:space="preserve">A small subgroup of </w:t>
      </w:r>
      <w:r w:rsidR="00832363">
        <w:rPr>
          <w:rFonts w:ascii="Times New Roman" w:hAnsi="Times New Roman" w:cs="Times New Roman"/>
          <w:bCs w:val="0"/>
          <w:szCs w:val="24"/>
          <w:lang w:val="en-GB"/>
        </w:rPr>
        <w:t>~</w:t>
      </w:r>
      <w:r w:rsidR="00253B16" w:rsidRPr="00F413DB">
        <w:rPr>
          <w:rFonts w:ascii="Times New Roman" w:hAnsi="Times New Roman" w:cs="Times New Roman"/>
          <w:bCs w:val="0"/>
          <w:szCs w:val="24"/>
          <w:lang w:val="en-GB"/>
        </w:rPr>
        <w:t>10</w:t>
      </w:r>
      <w:r w:rsidR="002B15C1" w:rsidRPr="00F413DB">
        <w:rPr>
          <w:rFonts w:ascii="Times New Roman" w:hAnsi="Times New Roman" w:cs="Times New Roman"/>
          <w:bCs w:val="0"/>
          <w:szCs w:val="24"/>
          <w:lang w:val="en-GB"/>
        </w:rPr>
        <w:t>% of those with type</w:t>
      </w:r>
      <w:r w:rsidR="008617A3" w:rsidRPr="00F413DB">
        <w:rPr>
          <w:rFonts w:ascii="Times New Roman" w:hAnsi="Times New Roman" w:cs="Times New Roman"/>
          <w:bCs w:val="0"/>
          <w:szCs w:val="24"/>
          <w:lang w:val="en-GB"/>
        </w:rPr>
        <w:t xml:space="preserve"> 1 diabetes and severe </w:t>
      </w:r>
      <w:proofErr w:type="spellStart"/>
      <w:r w:rsidR="008617A3" w:rsidRPr="00F413DB">
        <w:rPr>
          <w:rFonts w:ascii="Times New Roman" w:hAnsi="Times New Roman" w:cs="Times New Roman"/>
          <w:bCs w:val="0"/>
          <w:szCs w:val="24"/>
          <w:lang w:val="en-GB"/>
        </w:rPr>
        <w:lastRenderedPageBreak/>
        <w:t>hypoglyc</w:t>
      </w:r>
      <w:r w:rsidR="002B15C1" w:rsidRPr="00F413DB">
        <w:rPr>
          <w:rFonts w:ascii="Times New Roman" w:hAnsi="Times New Roman" w:cs="Times New Roman"/>
          <w:bCs w:val="0"/>
          <w:szCs w:val="24"/>
          <w:lang w:val="en-GB"/>
        </w:rPr>
        <w:t>emia</w:t>
      </w:r>
      <w:proofErr w:type="spellEnd"/>
      <w:r w:rsidR="008617A3" w:rsidRPr="00F413DB">
        <w:rPr>
          <w:rFonts w:ascii="Times New Roman" w:hAnsi="Times New Roman" w:cs="Times New Roman"/>
          <w:bCs w:val="0"/>
          <w:szCs w:val="24"/>
          <w:lang w:val="en-GB"/>
        </w:rPr>
        <w:t xml:space="preserve"> reporting low fear of </w:t>
      </w:r>
      <w:proofErr w:type="spellStart"/>
      <w:r w:rsidR="008617A3" w:rsidRPr="00F413DB">
        <w:rPr>
          <w:rFonts w:ascii="Times New Roman" w:hAnsi="Times New Roman" w:cs="Times New Roman"/>
          <w:bCs w:val="0"/>
          <w:szCs w:val="24"/>
          <w:lang w:val="en-GB"/>
        </w:rPr>
        <w:t>hypoglyc</w:t>
      </w:r>
      <w:r w:rsidR="002B15C1" w:rsidRPr="00F413DB">
        <w:rPr>
          <w:rFonts w:ascii="Times New Roman" w:hAnsi="Times New Roman" w:cs="Times New Roman"/>
          <w:bCs w:val="0"/>
          <w:szCs w:val="24"/>
          <w:lang w:val="en-GB"/>
        </w:rPr>
        <w:t>emia</w:t>
      </w:r>
      <w:proofErr w:type="spellEnd"/>
      <w:r w:rsidR="002B15C1" w:rsidRPr="00F413DB">
        <w:rPr>
          <w:rFonts w:ascii="Times New Roman" w:hAnsi="Times New Roman" w:cs="Times New Roman"/>
          <w:bCs w:val="0"/>
          <w:szCs w:val="24"/>
          <w:lang w:val="en-GB"/>
        </w:rPr>
        <w:t xml:space="preserve"> has, however, been reported in a large cross-sectional </w:t>
      </w:r>
      <w:r w:rsidR="004F48C3" w:rsidRPr="00F413DB">
        <w:rPr>
          <w:rFonts w:ascii="Times New Roman" w:hAnsi="Times New Roman" w:cs="Times New Roman"/>
          <w:bCs w:val="0"/>
          <w:szCs w:val="24"/>
          <w:lang w:val="en-GB"/>
        </w:rPr>
        <w:t>stu</w:t>
      </w:r>
      <w:r w:rsidR="008617A3" w:rsidRPr="00F413DB">
        <w:rPr>
          <w:rFonts w:ascii="Times New Roman" w:hAnsi="Times New Roman" w:cs="Times New Roman"/>
          <w:bCs w:val="0"/>
          <w:szCs w:val="24"/>
          <w:lang w:val="en-GB"/>
        </w:rPr>
        <w:t>dy</w:t>
      </w:r>
      <w:r w:rsidR="0088794A" w:rsidRPr="00F413DB">
        <w:rPr>
          <w:rFonts w:ascii="Times New Roman" w:hAnsi="Times New Roman" w:cs="Times New Roman"/>
          <w:bCs w:val="0"/>
          <w:szCs w:val="24"/>
          <w:lang w:val="en-GB"/>
        </w:rPr>
        <w:t xml:space="preserve"> (2</w:t>
      </w:r>
      <w:r w:rsidR="0001705D">
        <w:rPr>
          <w:rFonts w:ascii="Times New Roman" w:hAnsi="Times New Roman" w:cs="Times New Roman"/>
          <w:bCs w:val="0"/>
          <w:szCs w:val="24"/>
          <w:lang w:val="en-GB"/>
        </w:rPr>
        <w:t>6</w:t>
      </w:r>
      <w:r w:rsidR="0088794A" w:rsidRPr="00F413DB">
        <w:rPr>
          <w:rFonts w:ascii="Times New Roman" w:hAnsi="Times New Roman" w:cs="Times New Roman"/>
          <w:bCs w:val="0"/>
          <w:szCs w:val="24"/>
          <w:lang w:val="en-GB"/>
        </w:rPr>
        <w:t>)</w:t>
      </w:r>
      <w:r w:rsidR="002B15C1" w:rsidRPr="00F413DB">
        <w:rPr>
          <w:rFonts w:ascii="Times New Roman" w:hAnsi="Times New Roman" w:cs="Times New Roman"/>
          <w:bCs w:val="0"/>
          <w:szCs w:val="24"/>
          <w:lang w:val="en-GB"/>
        </w:rPr>
        <w:t xml:space="preserve">. In </w:t>
      </w:r>
      <w:proofErr w:type="spellStart"/>
      <w:r w:rsidR="002B15C1" w:rsidRPr="00F413DB">
        <w:rPr>
          <w:rFonts w:ascii="Times New Roman" w:hAnsi="Times New Roman" w:cs="Times New Roman"/>
          <w:bCs w:val="0"/>
          <w:szCs w:val="24"/>
          <w:lang w:val="en-GB"/>
        </w:rPr>
        <w:t>HypoCOMPaSS</w:t>
      </w:r>
      <w:proofErr w:type="spellEnd"/>
      <w:r w:rsidR="002B15C1" w:rsidRPr="00F413DB">
        <w:rPr>
          <w:rFonts w:ascii="Times New Roman" w:hAnsi="Times New Roman" w:cs="Times New Roman"/>
          <w:bCs w:val="0"/>
          <w:szCs w:val="24"/>
          <w:lang w:val="en-GB"/>
        </w:rPr>
        <w:t xml:space="preserve">, </w:t>
      </w:r>
      <w:r w:rsidR="00E60BA3">
        <w:rPr>
          <w:rFonts w:ascii="Times New Roman" w:hAnsi="Times New Roman" w:cs="Times New Roman"/>
          <w:bCs w:val="0"/>
          <w:szCs w:val="24"/>
          <w:lang w:val="en-GB"/>
        </w:rPr>
        <w:t>the HFS-II</w:t>
      </w:r>
      <w:r w:rsidR="004E7878" w:rsidRPr="00F413DB">
        <w:rPr>
          <w:rFonts w:ascii="Times New Roman" w:hAnsi="Times New Roman" w:cs="Times New Roman"/>
          <w:bCs w:val="0"/>
          <w:szCs w:val="24"/>
          <w:lang w:val="en-GB"/>
        </w:rPr>
        <w:t xml:space="preserve"> </w:t>
      </w:r>
      <w:proofErr w:type="spellStart"/>
      <w:r w:rsidR="004E7878" w:rsidRPr="00F413DB">
        <w:rPr>
          <w:rFonts w:ascii="Times New Roman" w:hAnsi="Times New Roman" w:cs="Times New Roman"/>
          <w:bCs w:val="0"/>
          <w:szCs w:val="24"/>
          <w:lang w:val="en-GB"/>
        </w:rPr>
        <w:t>Behavior</w:t>
      </w:r>
      <w:proofErr w:type="spellEnd"/>
      <w:r w:rsidR="00091A15" w:rsidRPr="00F413DB">
        <w:rPr>
          <w:rFonts w:ascii="Times New Roman" w:hAnsi="Times New Roman" w:cs="Times New Roman"/>
          <w:bCs w:val="0"/>
          <w:szCs w:val="24"/>
          <w:lang w:val="en-GB"/>
        </w:rPr>
        <w:t xml:space="preserve"> subscale </w:t>
      </w:r>
      <w:r w:rsidR="005835EF" w:rsidRPr="00F413DB">
        <w:rPr>
          <w:rFonts w:ascii="Times New Roman" w:hAnsi="Times New Roman" w:cs="Times New Roman"/>
          <w:bCs w:val="0"/>
          <w:szCs w:val="24"/>
          <w:lang w:val="en-GB"/>
        </w:rPr>
        <w:t xml:space="preserve">scores </w:t>
      </w:r>
      <w:r w:rsidR="002753DD">
        <w:rPr>
          <w:rFonts w:ascii="Times New Roman" w:hAnsi="Times New Roman" w:cs="Times New Roman"/>
          <w:bCs w:val="0"/>
          <w:szCs w:val="24"/>
          <w:lang w:val="en-GB"/>
        </w:rPr>
        <w:t>remained</w:t>
      </w:r>
      <w:r w:rsidR="005835EF" w:rsidRPr="00F413DB">
        <w:rPr>
          <w:rFonts w:ascii="Times New Roman" w:hAnsi="Times New Roman" w:cs="Times New Roman"/>
          <w:bCs w:val="0"/>
          <w:szCs w:val="24"/>
          <w:lang w:val="en-GB"/>
        </w:rPr>
        <w:t xml:space="preserve"> particularly high in incomplete r</w:t>
      </w:r>
      <w:r w:rsidR="002B15C1" w:rsidRPr="00F413DB">
        <w:rPr>
          <w:rFonts w:ascii="Times New Roman" w:hAnsi="Times New Roman" w:cs="Times New Roman"/>
          <w:bCs w:val="0"/>
          <w:szCs w:val="24"/>
          <w:lang w:val="en-GB"/>
        </w:rPr>
        <w:t>e</w:t>
      </w:r>
      <w:r w:rsidR="005835EF" w:rsidRPr="00F413DB">
        <w:rPr>
          <w:rFonts w:ascii="Times New Roman" w:hAnsi="Times New Roman" w:cs="Times New Roman"/>
          <w:bCs w:val="0"/>
          <w:szCs w:val="24"/>
          <w:lang w:val="en-GB"/>
        </w:rPr>
        <w:t xml:space="preserve">sponders, </w:t>
      </w:r>
      <w:r w:rsidR="00AA638B">
        <w:rPr>
          <w:rFonts w:ascii="Times New Roman" w:hAnsi="Times New Roman" w:cs="Times New Roman"/>
          <w:bCs w:val="0"/>
          <w:szCs w:val="24"/>
          <w:lang w:val="en-GB"/>
        </w:rPr>
        <w:t xml:space="preserve">potentially </w:t>
      </w:r>
      <w:r w:rsidR="00091A15" w:rsidRPr="00F413DB">
        <w:rPr>
          <w:rFonts w:ascii="Times New Roman" w:hAnsi="Times New Roman" w:cs="Times New Roman"/>
          <w:bCs w:val="0"/>
          <w:szCs w:val="24"/>
          <w:lang w:val="en-GB"/>
        </w:rPr>
        <w:t xml:space="preserve">reflecting </w:t>
      </w:r>
      <w:r w:rsidR="005835EF" w:rsidRPr="00F413DB">
        <w:rPr>
          <w:rFonts w:ascii="Times New Roman" w:hAnsi="Times New Roman" w:cs="Times New Roman"/>
          <w:bCs w:val="0"/>
          <w:szCs w:val="24"/>
          <w:lang w:val="en-GB"/>
        </w:rPr>
        <w:t xml:space="preserve">active </w:t>
      </w:r>
      <w:proofErr w:type="spellStart"/>
      <w:r w:rsidR="00091A15" w:rsidRPr="00F413DB">
        <w:rPr>
          <w:rFonts w:ascii="Times New Roman" w:hAnsi="Times New Roman" w:cs="Times New Roman"/>
          <w:bCs w:val="0"/>
          <w:szCs w:val="24"/>
          <w:lang w:val="en-GB"/>
        </w:rPr>
        <w:t>hypoglycemia</w:t>
      </w:r>
      <w:proofErr w:type="spellEnd"/>
      <w:r w:rsidR="00091A15" w:rsidRPr="00F413DB">
        <w:rPr>
          <w:rFonts w:ascii="Times New Roman" w:hAnsi="Times New Roman" w:cs="Times New Roman"/>
          <w:bCs w:val="0"/>
          <w:szCs w:val="24"/>
          <w:lang w:val="en-GB"/>
        </w:rPr>
        <w:t xml:space="preserve"> avoidance </w:t>
      </w:r>
      <w:r w:rsidR="00AA463F" w:rsidRPr="00F413DB">
        <w:rPr>
          <w:rFonts w:ascii="Times New Roman" w:hAnsi="Times New Roman" w:cs="Times New Roman"/>
          <w:bCs w:val="0"/>
          <w:szCs w:val="24"/>
          <w:lang w:val="en-GB"/>
        </w:rPr>
        <w:t>strategies</w:t>
      </w:r>
      <w:r w:rsidR="0088794A" w:rsidRPr="00F413DB">
        <w:rPr>
          <w:rFonts w:ascii="Times New Roman" w:hAnsi="Times New Roman" w:cs="Times New Roman"/>
          <w:bCs w:val="0"/>
          <w:szCs w:val="24"/>
          <w:lang w:val="en-GB"/>
        </w:rPr>
        <w:t xml:space="preserve"> (2</w:t>
      </w:r>
      <w:r w:rsidR="0001705D">
        <w:rPr>
          <w:rFonts w:ascii="Times New Roman" w:hAnsi="Times New Roman" w:cs="Times New Roman"/>
          <w:bCs w:val="0"/>
          <w:szCs w:val="24"/>
          <w:lang w:val="en-GB"/>
        </w:rPr>
        <w:t>7</w:t>
      </w:r>
      <w:r w:rsidR="0088794A" w:rsidRPr="00F413DB">
        <w:rPr>
          <w:rFonts w:ascii="Times New Roman" w:hAnsi="Times New Roman" w:cs="Times New Roman"/>
          <w:bCs w:val="0"/>
          <w:szCs w:val="24"/>
          <w:lang w:val="en-GB"/>
        </w:rPr>
        <w:t>)</w:t>
      </w:r>
      <w:r w:rsidR="00091A15" w:rsidRPr="00F413DB">
        <w:rPr>
          <w:rFonts w:ascii="Times New Roman" w:hAnsi="Times New Roman" w:cs="Times New Roman"/>
          <w:bCs w:val="0"/>
          <w:szCs w:val="24"/>
          <w:lang w:val="en-GB"/>
        </w:rPr>
        <w:t xml:space="preserve">. </w:t>
      </w:r>
    </w:p>
    <w:p w14:paraId="04549A9B" w14:textId="77777777" w:rsidR="00D20826" w:rsidRPr="00F413DB" w:rsidRDefault="00D20826" w:rsidP="00853E4A">
      <w:pPr>
        <w:spacing w:line="480" w:lineRule="auto"/>
        <w:jc w:val="both"/>
        <w:rPr>
          <w:rFonts w:ascii="Times New Roman" w:hAnsi="Times New Roman" w:cs="Times New Roman"/>
          <w:bCs w:val="0"/>
          <w:szCs w:val="24"/>
          <w:lang w:val="en-GB"/>
        </w:rPr>
      </w:pPr>
    </w:p>
    <w:p w14:paraId="3632192F" w14:textId="72B4807D" w:rsidR="005C3F61" w:rsidRPr="00F413DB" w:rsidRDefault="002B15C1" w:rsidP="00F97E66">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The </w:t>
      </w:r>
      <w:r w:rsidR="00D76A70">
        <w:rPr>
          <w:rFonts w:ascii="Times New Roman" w:hAnsi="Times New Roman" w:cs="Times New Roman"/>
          <w:bCs w:val="0"/>
          <w:szCs w:val="24"/>
          <w:lang w:val="en-GB"/>
        </w:rPr>
        <w:t>HAS</w:t>
      </w:r>
      <w:r w:rsidRPr="00F413DB">
        <w:rPr>
          <w:rFonts w:ascii="Times New Roman" w:hAnsi="Times New Roman" w:cs="Times New Roman"/>
          <w:bCs w:val="0"/>
          <w:szCs w:val="24"/>
          <w:lang w:val="en-GB"/>
        </w:rPr>
        <w:t xml:space="preserve"> </w:t>
      </w:r>
      <w:r w:rsidR="003C1DD0" w:rsidRPr="00F413DB">
        <w:rPr>
          <w:rFonts w:ascii="Times New Roman" w:hAnsi="Times New Roman" w:cs="Times New Roman"/>
          <w:bCs w:val="0"/>
          <w:szCs w:val="24"/>
          <w:lang w:val="en-GB"/>
        </w:rPr>
        <w:t xml:space="preserve">was designed to assess </w:t>
      </w:r>
      <w:r w:rsidR="005E3920" w:rsidRPr="00F413DB">
        <w:rPr>
          <w:rFonts w:ascii="Times New Roman" w:hAnsi="Times New Roman" w:cs="Times New Roman"/>
          <w:bCs w:val="0"/>
          <w:szCs w:val="24"/>
          <w:lang w:val="en-GB"/>
        </w:rPr>
        <w:t xml:space="preserve">anxieties related to high glucose levels and avoidance </w:t>
      </w:r>
      <w:proofErr w:type="spellStart"/>
      <w:r w:rsidR="005E3920" w:rsidRPr="00F413DB">
        <w:rPr>
          <w:rFonts w:ascii="Times New Roman" w:hAnsi="Times New Roman" w:cs="Times New Roman"/>
          <w:bCs w:val="0"/>
          <w:szCs w:val="24"/>
          <w:lang w:val="en-GB"/>
        </w:rPr>
        <w:t>behaviors</w:t>
      </w:r>
      <w:proofErr w:type="spellEnd"/>
      <w:r w:rsidR="00B01C0F">
        <w:rPr>
          <w:rFonts w:ascii="Times New Roman" w:hAnsi="Times New Roman" w:cs="Times New Roman"/>
          <w:bCs w:val="0"/>
          <w:szCs w:val="24"/>
          <w:lang w:val="en-GB"/>
        </w:rPr>
        <w:t>,</w:t>
      </w:r>
      <w:r w:rsidR="005E3920" w:rsidRPr="00F413DB">
        <w:rPr>
          <w:rFonts w:ascii="Times New Roman" w:hAnsi="Times New Roman" w:cs="Times New Roman"/>
          <w:bCs w:val="0"/>
          <w:szCs w:val="24"/>
          <w:lang w:val="en-GB"/>
        </w:rPr>
        <w:t xml:space="preserve"> whic</w:t>
      </w:r>
      <w:r w:rsidR="00330528" w:rsidRPr="00F413DB">
        <w:rPr>
          <w:rFonts w:ascii="Times New Roman" w:hAnsi="Times New Roman" w:cs="Times New Roman"/>
          <w:bCs w:val="0"/>
          <w:szCs w:val="24"/>
          <w:lang w:val="en-GB"/>
        </w:rPr>
        <w:t xml:space="preserve">h may increase risk of </w:t>
      </w:r>
      <w:proofErr w:type="spellStart"/>
      <w:r w:rsidR="00330528" w:rsidRPr="00F413DB">
        <w:rPr>
          <w:rFonts w:ascii="Times New Roman" w:hAnsi="Times New Roman" w:cs="Times New Roman"/>
          <w:bCs w:val="0"/>
          <w:szCs w:val="24"/>
          <w:lang w:val="en-GB"/>
        </w:rPr>
        <w:t>hypoglyc</w:t>
      </w:r>
      <w:r w:rsidR="005E3920" w:rsidRPr="00F413DB">
        <w:rPr>
          <w:rFonts w:ascii="Times New Roman" w:hAnsi="Times New Roman" w:cs="Times New Roman"/>
          <w:bCs w:val="0"/>
          <w:szCs w:val="24"/>
          <w:lang w:val="en-GB"/>
        </w:rPr>
        <w:t>emia</w:t>
      </w:r>
      <w:proofErr w:type="spellEnd"/>
      <w:r w:rsidR="0088794A" w:rsidRPr="00F413DB">
        <w:rPr>
          <w:rFonts w:ascii="Times New Roman" w:hAnsi="Times New Roman" w:cs="Times New Roman"/>
          <w:bCs w:val="0"/>
          <w:szCs w:val="24"/>
          <w:lang w:val="en-GB"/>
        </w:rPr>
        <w:t xml:space="preserve"> (14)</w:t>
      </w:r>
      <w:r w:rsidR="005E3920" w:rsidRPr="00F413DB">
        <w:rPr>
          <w:rFonts w:ascii="Times New Roman" w:hAnsi="Times New Roman" w:cs="Times New Roman"/>
          <w:bCs w:val="0"/>
          <w:szCs w:val="24"/>
          <w:lang w:val="en-GB"/>
        </w:rPr>
        <w:t xml:space="preserve">. </w:t>
      </w:r>
      <w:r w:rsidR="002753DD">
        <w:rPr>
          <w:rFonts w:ascii="Times New Roman" w:hAnsi="Times New Roman" w:cs="Times New Roman"/>
          <w:bCs w:val="0"/>
          <w:szCs w:val="24"/>
          <w:lang w:val="en-GB"/>
        </w:rPr>
        <w:t>S</w:t>
      </w:r>
      <w:r w:rsidR="005E3920" w:rsidRPr="00F413DB">
        <w:rPr>
          <w:rFonts w:ascii="Times New Roman" w:hAnsi="Times New Roman" w:cs="Times New Roman"/>
          <w:bCs w:val="0"/>
          <w:szCs w:val="24"/>
          <w:lang w:val="en-GB"/>
        </w:rPr>
        <w:t xml:space="preserve">cores in all sub-scales were lower </w:t>
      </w:r>
      <w:r w:rsidR="004E7878" w:rsidRPr="00F413DB">
        <w:rPr>
          <w:rFonts w:ascii="Times New Roman" w:hAnsi="Times New Roman" w:cs="Times New Roman"/>
          <w:bCs w:val="0"/>
          <w:szCs w:val="24"/>
          <w:lang w:val="en-GB"/>
        </w:rPr>
        <w:t xml:space="preserve">at study completion </w:t>
      </w:r>
      <w:r w:rsidR="005E3920" w:rsidRPr="00F413DB">
        <w:rPr>
          <w:rFonts w:ascii="Times New Roman" w:hAnsi="Times New Roman" w:cs="Times New Roman"/>
          <w:bCs w:val="0"/>
          <w:szCs w:val="24"/>
          <w:lang w:val="en-GB"/>
        </w:rPr>
        <w:t xml:space="preserve">in </w:t>
      </w:r>
      <w:r w:rsidR="005C3F61" w:rsidRPr="00F413DB">
        <w:rPr>
          <w:rFonts w:ascii="Times New Roman" w:hAnsi="Times New Roman" w:cs="Times New Roman"/>
          <w:bCs w:val="0"/>
          <w:szCs w:val="24"/>
          <w:lang w:val="en-GB"/>
        </w:rPr>
        <w:t xml:space="preserve">both groups, </w:t>
      </w:r>
      <w:r w:rsidR="005E3920" w:rsidRPr="00F413DB">
        <w:rPr>
          <w:rFonts w:ascii="Times New Roman" w:hAnsi="Times New Roman" w:cs="Times New Roman"/>
          <w:bCs w:val="0"/>
          <w:szCs w:val="24"/>
          <w:lang w:val="en-GB"/>
        </w:rPr>
        <w:t xml:space="preserve">reflecting reduced </w:t>
      </w:r>
      <w:r w:rsidR="00B01C0F">
        <w:rPr>
          <w:rFonts w:ascii="Times New Roman" w:hAnsi="Times New Roman" w:cs="Times New Roman"/>
          <w:bCs w:val="0"/>
          <w:szCs w:val="24"/>
          <w:lang w:val="en-GB"/>
        </w:rPr>
        <w:t>“worry”</w:t>
      </w:r>
      <w:r w:rsidR="005C3F61" w:rsidRPr="00F413DB">
        <w:rPr>
          <w:rFonts w:ascii="Times New Roman" w:hAnsi="Times New Roman" w:cs="Times New Roman"/>
          <w:bCs w:val="0"/>
          <w:szCs w:val="24"/>
          <w:lang w:val="en-GB"/>
        </w:rPr>
        <w:t xml:space="preserve"> regarding high glucose levels, attenuated </w:t>
      </w:r>
      <w:r w:rsidR="00B01C0F">
        <w:rPr>
          <w:rFonts w:ascii="Times New Roman" w:hAnsi="Times New Roman" w:cs="Times New Roman"/>
          <w:bCs w:val="0"/>
          <w:szCs w:val="24"/>
          <w:lang w:val="en-GB"/>
        </w:rPr>
        <w:t>“</w:t>
      </w:r>
      <w:r w:rsidR="005C3F61" w:rsidRPr="00F413DB">
        <w:rPr>
          <w:rFonts w:ascii="Times New Roman" w:hAnsi="Times New Roman" w:cs="Times New Roman"/>
          <w:bCs w:val="0"/>
          <w:szCs w:val="24"/>
          <w:lang w:val="en-GB"/>
        </w:rPr>
        <w:t>low blood glucose</w:t>
      </w:r>
      <w:r w:rsidR="00B01C0F">
        <w:rPr>
          <w:rFonts w:ascii="Times New Roman" w:hAnsi="Times New Roman" w:cs="Times New Roman"/>
          <w:bCs w:val="0"/>
          <w:szCs w:val="24"/>
          <w:lang w:val="en-GB"/>
        </w:rPr>
        <w:t>” preference, less “</w:t>
      </w:r>
      <w:r w:rsidR="005E3920" w:rsidRPr="00F413DB">
        <w:rPr>
          <w:rFonts w:ascii="Times New Roman" w:hAnsi="Times New Roman" w:cs="Times New Roman"/>
          <w:bCs w:val="0"/>
          <w:szCs w:val="24"/>
          <w:lang w:val="en-GB"/>
        </w:rPr>
        <w:t>avoidance of glucose extremes</w:t>
      </w:r>
      <w:r w:rsidR="00B01C0F">
        <w:rPr>
          <w:rFonts w:ascii="Times New Roman" w:hAnsi="Times New Roman" w:cs="Times New Roman"/>
          <w:bCs w:val="0"/>
          <w:szCs w:val="24"/>
          <w:lang w:val="en-GB"/>
        </w:rPr>
        <w:t>”</w:t>
      </w:r>
      <w:r w:rsidR="005E3920" w:rsidRPr="00F413DB">
        <w:rPr>
          <w:rFonts w:ascii="Times New Roman" w:hAnsi="Times New Roman" w:cs="Times New Roman"/>
          <w:bCs w:val="0"/>
          <w:szCs w:val="24"/>
          <w:lang w:val="en-GB"/>
        </w:rPr>
        <w:t xml:space="preserve"> and </w:t>
      </w:r>
      <w:r w:rsidR="005C3F61" w:rsidRPr="00F413DB">
        <w:rPr>
          <w:rFonts w:ascii="Times New Roman" w:hAnsi="Times New Roman" w:cs="Times New Roman"/>
          <w:bCs w:val="0"/>
          <w:szCs w:val="24"/>
          <w:lang w:val="en-GB"/>
        </w:rPr>
        <w:t xml:space="preserve">lower </w:t>
      </w:r>
      <w:r w:rsidR="005E3920" w:rsidRPr="00F413DB">
        <w:rPr>
          <w:rFonts w:ascii="Times New Roman" w:hAnsi="Times New Roman" w:cs="Times New Roman"/>
          <w:bCs w:val="0"/>
          <w:szCs w:val="24"/>
          <w:lang w:val="en-GB"/>
        </w:rPr>
        <w:t xml:space="preserve">drive to take </w:t>
      </w:r>
      <w:r w:rsidR="00B01C0F">
        <w:rPr>
          <w:rFonts w:ascii="Times New Roman" w:hAnsi="Times New Roman" w:cs="Times New Roman"/>
          <w:bCs w:val="0"/>
          <w:szCs w:val="24"/>
          <w:lang w:val="en-GB"/>
        </w:rPr>
        <w:t>“</w:t>
      </w:r>
      <w:r w:rsidR="005E3920" w:rsidRPr="00F413DB">
        <w:rPr>
          <w:rFonts w:ascii="Times New Roman" w:hAnsi="Times New Roman" w:cs="Times New Roman"/>
          <w:bCs w:val="0"/>
          <w:szCs w:val="24"/>
          <w:lang w:val="en-GB"/>
        </w:rPr>
        <w:t>immediate action</w:t>
      </w:r>
      <w:r w:rsidR="00B01C0F">
        <w:rPr>
          <w:rFonts w:ascii="Times New Roman" w:hAnsi="Times New Roman" w:cs="Times New Roman"/>
          <w:bCs w:val="0"/>
          <w:szCs w:val="24"/>
          <w:lang w:val="en-GB"/>
        </w:rPr>
        <w:t>”</w:t>
      </w:r>
      <w:r w:rsidR="005E3920" w:rsidRPr="00F413DB">
        <w:rPr>
          <w:rFonts w:ascii="Times New Roman" w:hAnsi="Times New Roman" w:cs="Times New Roman"/>
          <w:bCs w:val="0"/>
          <w:szCs w:val="24"/>
          <w:lang w:val="en-GB"/>
        </w:rPr>
        <w:t xml:space="preserve"> for high glucose levels</w:t>
      </w:r>
      <w:r w:rsidR="005C3F61" w:rsidRPr="00F413DB">
        <w:rPr>
          <w:rFonts w:ascii="Times New Roman" w:hAnsi="Times New Roman" w:cs="Times New Roman"/>
          <w:bCs w:val="0"/>
          <w:szCs w:val="24"/>
          <w:lang w:val="en-GB"/>
        </w:rPr>
        <w:t xml:space="preserve">. </w:t>
      </w:r>
      <w:r w:rsidR="00B01C0F">
        <w:rPr>
          <w:rFonts w:ascii="Times New Roman" w:hAnsi="Times New Roman" w:cs="Times New Roman"/>
          <w:bCs w:val="0"/>
          <w:szCs w:val="24"/>
          <w:lang w:val="en-GB"/>
        </w:rPr>
        <w:t>HAS</w:t>
      </w:r>
      <w:r w:rsidR="005C3F61" w:rsidRPr="00F413DB">
        <w:rPr>
          <w:rFonts w:ascii="Times New Roman" w:hAnsi="Times New Roman" w:cs="Times New Roman"/>
          <w:bCs w:val="0"/>
          <w:szCs w:val="24"/>
          <w:lang w:val="en-GB"/>
        </w:rPr>
        <w:t xml:space="preserve"> scores were comparable in incomplete and complete responders</w:t>
      </w:r>
      <w:r w:rsidR="004E7878" w:rsidRPr="00F413DB">
        <w:rPr>
          <w:rFonts w:ascii="Times New Roman" w:hAnsi="Times New Roman" w:cs="Times New Roman"/>
          <w:bCs w:val="0"/>
          <w:szCs w:val="24"/>
          <w:lang w:val="en-GB"/>
        </w:rPr>
        <w:t xml:space="preserve"> at baseline and 24 months</w:t>
      </w:r>
      <w:r w:rsidR="005C3F61" w:rsidRPr="00F413DB">
        <w:rPr>
          <w:rFonts w:ascii="Times New Roman" w:hAnsi="Times New Roman" w:cs="Times New Roman"/>
          <w:bCs w:val="0"/>
          <w:szCs w:val="24"/>
          <w:lang w:val="en-GB"/>
        </w:rPr>
        <w:t xml:space="preserve">, suggesting that the </w:t>
      </w:r>
      <w:r w:rsidR="004E7878" w:rsidRPr="00F413DB">
        <w:rPr>
          <w:rFonts w:ascii="Times New Roman" w:hAnsi="Times New Roman" w:cs="Times New Roman"/>
          <w:bCs w:val="0"/>
          <w:szCs w:val="24"/>
          <w:lang w:val="en-GB"/>
        </w:rPr>
        <w:t xml:space="preserve">trial </w:t>
      </w:r>
      <w:r w:rsidR="005C3F61" w:rsidRPr="00F413DB">
        <w:rPr>
          <w:rFonts w:ascii="Times New Roman" w:hAnsi="Times New Roman" w:cs="Times New Roman"/>
          <w:bCs w:val="0"/>
          <w:szCs w:val="24"/>
          <w:lang w:val="en-GB"/>
        </w:rPr>
        <w:t xml:space="preserve">focus on safely avoiding low glucose levels without increasing </w:t>
      </w:r>
      <w:proofErr w:type="spellStart"/>
      <w:r w:rsidR="005C3F61" w:rsidRPr="00F413DB">
        <w:rPr>
          <w:rFonts w:ascii="Times New Roman" w:hAnsi="Times New Roman" w:cs="Times New Roman"/>
          <w:bCs w:val="0"/>
          <w:szCs w:val="24"/>
          <w:lang w:val="en-GB"/>
        </w:rPr>
        <w:t>h</w:t>
      </w:r>
      <w:r w:rsidR="00F413DB">
        <w:rPr>
          <w:rFonts w:ascii="Times New Roman" w:hAnsi="Times New Roman" w:cs="Times New Roman"/>
          <w:bCs w:val="0"/>
          <w:szCs w:val="24"/>
          <w:lang w:val="en-GB"/>
        </w:rPr>
        <w:t>yperglycemia</w:t>
      </w:r>
      <w:proofErr w:type="spellEnd"/>
      <w:r w:rsidR="00B01C0F">
        <w:rPr>
          <w:rFonts w:ascii="Times New Roman" w:hAnsi="Times New Roman" w:cs="Times New Roman"/>
          <w:bCs w:val="0"/>
          <w:szCs w:val="24"/>
          <w:lang w:val="en-GB"/>
        </w:rPr>
        <w:t>,</w:t>
      </w:r>
      <w:r w:rsidR="00F413DB">
        <w:rPr>
          <w:rFonts w:ascii="Times New Roman" w:hAnsi="Times New Roman" w:cs="Times New Roman"/>
          <w:bCs w:val="0"/>
          <w:szCs w:val="24"/>
          <w:lang w:val="en-GB"/>
        </w:rPr>
        <w:t xml:space="preserve"> underpinned by the </w:t>
      </w:r>
      <w:r w:rsidR="00B01C0F">
        <w:rPr>
          <w:rFonts w:ascii="Times New Roman" w:hAnsi="Times New Roman" w:cs="Times New Roman"/>
          <w:bCs w:val="0"/>
          <w:szCs w:val="24"/>
          <w:lang w:val="en-GB"/>
        </w:rPr>
        <w:t>“</w:t>
      </w:r>
      <w:r w:rsidR="005C3F61" w:rsidRPr="00B01C0F">
        <w:rPr>
          <w:rFonts w:ascii="Times New Roman" w:hAnsi="Times New Roman" w:cs="Times New Roman"/>
          <w:bCs w:val="0"/>
          <w:szCs w:val="24"/>
          <w:lang w:val="en-GB"/>
        </w:rPr>
        <w:t>my hypo compass</w:t>
      </w:r>
      <w:r w:rsidR="00B01C0F">
        <w:rPr>
          <w:rFonts w:ascii="Times New Roman" w:hAnsi="Times New Roman" w:cs="Times New Roman"/>
          <w:bCs w:val="0"/>
          <w:szCs w:val="24"/>
          <w:lang w:val="en-GB"/>
        </w:rPr>
        <w:t>”</w:t>
      </w:r>
      <w:r w:rsidR="005C3F61" w:rsidRPr="00F413DB">
        <w:rPr>
          <w:rFonts w:ascii="Times New Roman" w:hAnsi="Times New Roman" w:cs="Times New Roman"/>
          <w:bCs w:val="0"/>
          <w:szCs w:val="24"/>
          <w:lang w:val="en-GB"/>
        </w:rPr>
        <w:t xml:space="preserve"> brief </w:t>
      </w:r>
      <w:r w:rsidR="00E60BA3" w:rsidRPr="00F413DB">
        <w:rPr>
          <w:rFonts w:ascii="Times New Roman" w:hAnsi="Times New Roman" w:cs="Times New Roman"/>
          <w:bCs w:val="0"/>
          <w:szCs w:val="24"/>
          <w:lang w:val="en-GB"/>
        </w:rPr>
        <w:t>psycho</w:t>
      </w:r>
      <w:r w:rsidR="00E60BA3">
        <w:rPr>
          <w:rFonts w:ascii="Times New Roman" w:hAnsi="Times New Roman" w:cs="Times New Roman"/>
          <w:bCs w:val="0"/>
          <w:szCs w:val="24"/>
          <w:lang w:val="en-GB"/>
        </w:rPr>
        <w:t>-educational</w:t>
      </w:r>
      <w:r w:rsidR="00E60BA3" w:rsidRPr="00F413DB">
        <w:rPr>
          <w:rFonts w:ascii="Times New Roman" w:hAnsi="Times New Roman" w:cs="Times New Roman"/>
          <w:bCs w:val="0"/>
          <w:szCs w:val="24"/>
          <w:lang w:val="en-GB"/>
        </w:rPr>
        <w:t xml:space="preserve"> </w:t>
      </w:r>
      <w:r w:rsidR="005C3F61" w:rsidRPr="00F413DB">
        <w:rPr>
          <w:rFonts w:ascii="Times New Roman" w:hAnsi="Times New Roman" w:cs="Times New Roman"/>
          <w:bCs w:val="0"/>
          <w:szCs w:val="24"/>
          <w:lang w:val="en-GB"/>
        </w:rPr>
        <w:t>intervention</w:t>
      </w:r>
      <w:r w:rsidR="00B01C0F">
        <w:rPr>
          <w:rFonts w:ascii="Times New Roman" w:hAnsi="Times New Roman" w:cs="Times New Roman"/>
          <w:bCs w:val="0"/>
          <w:szCs w:val="24"/>
          <w:lang w:val="en-GB"/>
        </w:rPr>
        <w:t>,</w:t>
      </w:r>
      <w:r w:rsidR="005C3F61" w:rsidRPr="00F413DB">
        <w:rPr>
          <w:rFonts w:ascii="Times New Roman" w:hAnsi="Times New Roman" w:cs="Times New Roman"/>
          <w:bCs w:val="0"/>
          <w:szCs w:val="24"/>
          <w:lang w:val="en-GB"/>
        </w:rPr>
        <w:t xml:space="preserve"> was equally effective </w:t>
      </w:r>
      <w:r w:rsidR="00DE6BC0" w:rsidRPr="00F413DB">
        <w:rPr>
          <w:rFonts w:ascii="Times New Roman" w:hAnsi="Times New Roman" w:cs="Times New Roman"/>
          <w:bCs w:val="0"/>
          <w:szCs w:val="24"/>
          <w:lang w:val="en-GB"/>
        </w:rPr>
        <w:t>regardless of underlying preference for lower o</w:t>
      </w:r>
      <w:r w:rsidR="00EE50CB" w:rsidRPr="00F413DB">
        <w:rPr>
          <w:rFonts w:ascii="Times New Roman" w:hAnsi="Times New Roman" w:cs="Times New Roman"/>
          <w:bCs w:val="0"/>
          <w:szCs w:val="24"/>
          <w:lang w:val="en-GB"/>
        </w:rPr>
        <w:t>r</w:t>
      </w:r>
      <w:r w:rsidR="00DE6BC0" w:rsidRPr="00F413DB">
        <w:rPr>
          <w:rFonts w:ascii="Times New Roman" w:hAnsi="Times New Roman" w:cs="Times New Roman"/>
          <w:bCs w:val="0"/>
          <w:szCs w:val="24"/>
          <w:lang w:val="en-GB"/>
        </w:rPr>
        <w:t xml:space="preserve"> higher glucose levels. </w:t>
      </w:r>
    </w:p>
    <w:p w14:paraId="67599B33" w14:textId="77777777" w:rsidR="00AF5258" w:rsidRPr="00F413DB" w:rsidRDefault="00AF5258" w:rsidP="00AF5258">
      <w:pPr>
        <w:spacing w:line="480" w:lineRule="auto"/>
        <w:jc w:val="both"/>
        <w:rPr>
          <w:rFonts w:ascii="Times New Roman" w:hAnsi="Times New Roman" w:cs="Times New Roman"/>
          <w:bCs w:val="0"/>
          <w:szCs w:val="24"/>
          <w:lang w:val="en-GB"/>
        </w:rPr>
      </w:pPr>
    </w:p>
    <w:p w14:paraId="2A21A29A" w14:textId="5BD0B7B6" w:rsidR="00872E07" w:rsidRPr="00F413DB" w:rsidRDefault="00AF5258" w:rsidP="00AF5258">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Our alternative hypothesis proposed that incomplete response would not be predicted by </w:t>
      </w:r>
      <w:r w:rsidR="00DC48E1" w:rsidRPr="00F413DB">
        <w:rPr>
          <w:rFonts w:ascii="Times New Roman" w:hAnsi="Times New Roman" w:cs="Times New Roman"/>
          <w:bCs w:val="0"/>
          <w:szCs w:val="24"/>
          <w:lang w:val="en-GB"/>
        </w:rPr>
        <w:t>greater</w:t>
      </w:r>
      <w:r w:rsidRPr="00F413DB">
        <w:rPr>
          <w:rFonts w:ascii="Times New Roman" w:hAnsi="Times New Roman" w:cs="Times New Roman"/>
          <w:bCs w:val="0"/>
          <w:szCs w:val="24"/>
          <w:lang w:val="en-GB"/>
        </w:rPr>
        <w:t xml:space="preserve"> biochemical </w:t>
      </w:r>
      <w:proofErr w:type="spellStart"/>
      <w:r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exposure but</w:t>
      </w:r>
      <w:r w:rsidR="00142FA8">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rather</w:t>
      </w:r>
      <w:r w:rsidR="00142FA8">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by a phenotype associated with irreversible impairment in </w:t>
      </w:r>
      <w:proofErr w:type="spellStart"/>
      <w:r w:rsidRPr="00F413DB">
        <w:rPr>
          <w:rFonts w:ascii="Times New Roman" w:hAnsi="Times New Roman" w:cs="Times New Roman"/>
          <w:bCs w:val="0"/>
          <w:szCs w:val="24"/>
          <w:lang w:val="en-GB"/>
        </w:rPr>
        <w:t>hyp</w:t>
      </w:r>
      <w:r w:rsidR="00142FA8">
        <w:rPr>
          <w:rFonts w:ascii="Times New Roman" w:hAnsi="Times New Roman" w:cs="Times New Roman"/>
          <w:bCs w:val="0"/>
          <w:szCs w:val="24"/>
          <w:lang w:val="en-GB"/>
        </w:rPr>
        <w:t>oglycemia</w:t>
      </w:r>
      <w:proofErr w:type="spellEnd"/>
      <w:r w:rsidR="00142FA8">
        <w:rPr>
          <w:rFonts w:ascii="Times New Roman" w:hAnsi="Times New Roman" w:cs="Times New Roman"/>
          <w:bCs w:val="0"/>
          <w:szCs w:val="24"/>
          <w:lang w:val="en-GB"/>
        </w:rPr>
        <w:t xml:space="preserve"> awareness and </w:t>
      </w:r>
      <w:proofErr w:type="spellStart"/>
      <w:r w:rsidR="00142FA8">
        <w:rPr>
          <w:rFonts w:ascii="Times New Roman" w:hAnsi="Times New Roman" w:cs="Times New Roman"/>
          <w:bCs w:val="0"/>
          <w:szCs w:val="24"/>
          <w:lang w:val="en-GB"/>
        </w:rPr>
        <w:t>counter</w:t>
      </w:r>
      <w:r w:rsidRPr="00F413DB">
        <w:rPr>
          <w:rFonts w:ascii="Times New Roman" w:hAnsi="Times New Roman" w:cs="Times New Roman"/>
          <w:bCs w:val="0"/>
          <w:szCs w:val="24"/>
          <w:lang w:val="en-GB"/>
        </w:rPr>
        <w:t>regulation</w:t>
      </w:r>
      <w:proofErr w:type="spellEnd"/>
      <w:r w:rsidRPr="00F413DB">
        <w:rPr>
          <w:rFonts w:ascii="Times New Roman" w:hAnsi="Times New Roman" w:cs="Times New Roman"/>
          <w:bCs w:val="0"/>
          <w:szCs w:val="24"/>
          <w:lang w:val="en-GB"/>
        </w:rPr>
        <w:t xml:space="preserve">, evidenced by significant established diabetic neuropathy. It is clear that </w:t>
      </w:r>
      <w:r w:rsidR="00142FA8">
        <w:rPr>
          <w:rFonts w:ascii="Times New Roman" w:hAnsi="Times New Roman" w:cs="Times New Roman"/>
          <w:bCs w:val="0"/>
          <w:szCs w:val="24"/>
          <w:lang w:val="en-GB"/>
        </w:rPr>
        <w:t>hypoglycaemia-a</w:t>
      </w:r>
      <w:r w:rsidRPr="00F413DB">
        <w:rPr>
          <w:rFonts w:ascii="Times New Roman" w:hAnsi="Times New Roman" w:cs="Times New Roman"/>
          <w:bCs w:val="0"/>
          <w:szCs w:val="24"/>
          <w:lang w:val="en-GB"/>
        </w:rPr>
        <w:t>ssociate</w:t>
      </w:r>
      <w:r w:rsidR="004A37FB" w:rsidRPr="00F413DB">
        <w:rPr>
          <w:rFonts w:ascii="Times New Roman" w:hAnsi="Times New Roman" w:cs="Times New Roman"/>
          <w:bCs w:val="0"/>
          <w:szCs w:val="24"/>
          <w:lang w:val="en-GB"/>
        </w:rPr>
        <w:t>d</w:t>
      </w:r>
      <w:r w:rsidR="00142FA8">
        <w:rPr>
          <w:rFonts w:ascii="Times New Roman" w:hAnsi="Times New Roman" w:cs="Times New Roman"/>
          <w:bCs w:val="0"/>
          <w:szCs w:val="24"/>
          <w:lang w:val="en-GB"/>
        </w:rPr>
        <w:t xml:space="preserve"> autonomic f</w:t>
      </w:r>
      <w:r w:rsidRPr="00F413DB">
        <w:rPr>
          <w:rFonts w:ascii="Times New Roman" w:hAnsi="Times New Roman" w:cs="Times New Roman"/>
          <w:bCs w:val="0"/>
          <w:szCs w:val="24"/>
          <w:lang w:val="en-GB"/>
        </w:rPr>
        <w:t>a</w:t>
      </w:r>
      <w:r w:rsidR="00F97E66" w:rsidRPr="00F413DB">
        <w:rPr>
          <w:rFonts w:ascii="Times New Roman" w:hAnsi="Times New Roman" w:cs="Times New Roman"/>
          <w:bCs w:val="0"/>
          <w:szCs w:val="24"/>
          <w:lang w:val="en-GB"/>
        </w:rPr>
        <w:t>i</w:t>
      </w:r>
      <w:r w:rsidRPr="00F413DB">
        <w:rPr>
          <w:rFonts w:ascii="Times New Roman" w:hAnsi="Times New Roman" w:cs="Times New Roman"/>
          <w:bCs w:val="0"/>
          <w:szCs w:val="24"/>
          <w:lang w:val="en-GB"/>
        </w:rPr>
        <w:t>l</w:t>
      </w:r>
      <w:r w:rsidR="00F97E66" w:rsidRPr="00F413DB">
        <w:rPr>
          <w:rFonts w:ascii="Times New Roman" w:hAnsi="Times New Roman" w:cs="Times New Roman"/>
          <w:bCs w:val="0"/>
          <w:szCs w:val="24"/>
          <w:lang w:val="en-GB"/>
        </w:rPr>
        <w:t>ure</w:t>
      </w:r>
      <w:r w:rsidR="002753DD">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 xml:space="preserve">can be </w:t>
      </w:r>
      <w:r w:rsidR="00F97E66" w:rsidRPr="00F413DB">
        <w:rPr>
          <w:rFonts w:ascii="Times New Roman" w:hAnsi="Times New Roman" w:cs="Times New Roman"/>
          <w:bCs w:val="0"/>
          <w:szCs w:val="24"/>
          <w:lang w:val="en-GB"/>
        </w:rPr>
        <w:t xml:space="preserve">rapidly </w:t>
      </w:r>
      <w:r w:rsidRPr="00F413DB">
        <w:rPr>
          <w:rFonts w:ascii="Times New Roman" w:hAnsi="Times New Roman" w:cs="Times New Roman"/>
          <w:bCs w:val="0"/>
          <w:szCs w:val="24"/>
          <w:lang w:val="en-GB"/>
        </w:rPr>
        <w:t xml:space="preserve">induced by biochemical </w:t>
      </w:r>
      <w:proofErr w:type="spellStart"/>
      <w:r w:rsidRPr="00F413DB">
        <w:rPr>
          <w:rFonts w:ascii="Times New Roman" w:hAnsi="Times New Roman" w:cs="Times New Roman"/>
          <w:bCs w:val="0"/>
          <w:szCs w:val="24"/>
          <w:lang w:val="en-GB"/>
        </w:rPr>
        <w:t>hypo</w:t>
      </w:r>
      <w:r w:rsidR="00F97E66" w:rsidRPr="00F413DB">
        <w:rPr>
          <w:rFonts w:ascii="Times New Roman" w:hAnsi="Times New Roman" w:cs="Times New Roman"/>
          <w:bCs w:val="0"/>
          <w:szCs w:val="24"/>
          <w:lang w:val="en-GB"/>
        </w:rPr>
        <w:t>glycemia</w:t>
      </w:r>
      <w:proofErr w:type="spellEnd"/>
      <w:r w:rsidRPr="00F413DB">
        <w:rPr>
          <w:rFonts w:ascii="Times New Roman" w:hAnsi="Times New Roman" w:cs="Times New Roman"/>
          <w:bCs w:val="0"/>
          <w:szCs w:val="24"/>
          <w:lang w:val="en-GB"/>
        </w:rPr>
        <w:t xml:space="preserve"> exposure </w:t>
      </w:r>
      <w:r w:rsidR="004E7878" w:rsidRPr="00F413DB">
        <w:rPr>
          <w:rFonts w:ascii="Times New Roman" w:hAnsi="Times New Roman" w:cs="Times New Roman"/>
          <w:bCs w:val="0"/>
          <w:szCs w:val="24"/>
          <w:lang w:val="en-GB"/>
        </w:rPr>
        <w:t>and</w:t>
      </w:r>
      <w:r w:rsidR="00F97E66" w:rsidRPr="00F413DB">
        <w:rPr>
          <w:rFonts w:ascii="Times New Roman" w:hAnsi="Times New Roman" w:cs="Times New Roman"/>
          <w:bCs w:val="0"/>
          <w:szCs w:val="24"/>
          <w:lang w:val="en-GB"/>
        </w:rPr>
        <w:t xml:space="preserve"> that</w:t>
      </w:r>
      <w:r w:rsidRPr="00F413DB">
        <w:rPr>
          <w:rFonts w:ascii="Times New Roman" w:hAnsi="Times New Roman" w:cs="Times New Roman"/>
          <w:bCs w:val="0"/>
          <w:szCs w:val="24"/>
          <w:lang w:val="en-GB"/>
        </w:rPr>
        <w:t xml:space="preserve"> </w:t>
      </w:r>
      <w:proofErr w:type="spellStart"/>
      <w:r w:rsidRPr="00F413DB">
        <w:rPr>
          <w:rFonts w:ascii="Times New Roman" w:hAnsi="Times New Roman" w:cs="Times New Roman"/>
          <w:bCs w:val="0"/>
          <w:szCs w:val="24"/>
          <w:lang w:val="en-GB"/>
        </w:rPr>
        <w:t>counterregulatory</w:t>
      </w:r>
      <w:proofErr w:type="spellEnd"/>
      <w:r w:rsidRPr="00F413DB">
        <w:rPr>
          <w:rFonts w:ascii="Times New Roman" w:hAnsi="Times New Roman" w:cs="Times New Roman"/>
          <w:bCs w:val="0"/>
          <w:szCs w:val="24"/>
          <w:lang w:val="en-GB"/>
        </w:rPr>
        <w:t xml:space="preserve"> response </w:t>
      </w:r>
      <w:r w:rsidR="00F97E66" w:rsidRPr="00F413DB">
        <w:rPr>
          <w:rFonts w:ascii="Times New Roman" w:hAnsi="Times New Roman" w:cs="Times New Roman"/>
          <w:bCs w:val="0"/>
          <w:szCs w:val="24"/>
          <w:lang w:val="en-GB"/>
        </w:rPr>
        <w:t xml:space="preserve">can be restored through rigorous </w:t>
      </w:r>
      <w:proofErr w:type="spellStart"/>
      <w:r w:rsidR="00F97E66" w:rsidRPr="00F413DB">
        <w:rPr>
          <w:rFonts w:ascii="Times New Roman" w:hAnsi="Times New Roman" w:cs="Times New Roman"/>
          <w:bCs w:val="0"/>
          <w:szCs w:val="24"/>
          <w:lang w:val="en-GB"/>
        </w:rPr>
        <w:t>hypo</w:t>
      </w:r>
      <w:r w:rsidRPr="00F413DB">
        <w:rPr>
          <w:rFonts w:ascii="Times New Roman" w:hAnsi="Times New Roman" w:cs="Times New Roman"/>
          <w:bCs w:val="0"/>
          <w:szCs w:val="24"/>
          <w:lang w:val="en-GB"/>
        </w:rPr>
        <w:t>gly</w:t>
      </w:r>
      <w:r w:rsidR="00F97E66" w:rsidRPr="00F413DB">
        <w:rPr>
          <w:rFonts w:ascii="Times New Roman" w:hAnsi="Times New Roman" w:cs="Times New Roman"/>
          <w:bCs w:val="0"/>
          <w:szCs w:val="24"/>
          <w:lang w:val="en-GB"/>
        </w:rPr>
        <w:t>c</w:t>
      </w:r>
      <w:r w:rsidRPr="00F413DB">
        <w:rPr>
          <w:rFonts w:ascii="Times New Roman" w:hAnsi="Times New Roman" w:cs="Times New Roman"/>
          <w:bCs w:val="0"/>
          <w:szCs w:val="24"/>
          <w:lang w:val="en-GB"/>
        </w:rPr>
        <w:t>emia</w:t>
      </w:r>
      <w:proofErr w:type="spellEnd"/>
      <w:r w:rsidRPr="00F413DB">
        <w:rPr>
          <w:rFonts w:ascii="Times New Roman" w:hAnsi="Times New Roman" w:cs="Times New Roman"/>
          <w:bCs w:val="0"/>
          <w:szCs w:val="24"/>
          <w:lang w:val="en-GB"/>
        </w:rPr>
        <w:t xml:space="preserve"> avoidance</w:t>
      </w:r>
      <w:r w:rsidR="0088794A" w:rsidRPr="00F413DB">
        <w:rPr>
          <w:rFonts w:ascii="Times New Roman" w:hAnsi="Times New Roman" w:cs="Times New Roman"/>
          <w:bCs w:val="0"/>
          <w:szCs w:val="24"/>
          <w:lang w:val="en-GB"/>
        </w:rPr>
        <w:t xml:space="preserve"> (2</w:t>
      </w:r>
      <w:r w:rsidR="0001705D">
        <w:rPr>
          <w:rFonts w:ascii="Times New Roman" w:hAnsi="Times New Roman" w:cs="Times New Roman"/>
          <w:bCs w:val="0"/>
          <w:szCs w:val="24"/>
          <w:lang w:val="en-GB"/>
        </w:rPr>
        <w:t>8</w:t>
      </w:r>
      <w:proofErr w:type="gramStart"/>
      <w:r w:rsidR="0088794A" w:rsidRPr="00F413DB">
        <w:rPr>
          <w:rFonts w:ascii="Times New Roman" w:hAnsi="Times New Roman" w:cs="Times New Roman"/>
          <w:bCs w:val="0"/>
          <w:szCs w:val="24"/>
          <w:lang w:val="en-GB"/>
        </w:rPr>
        <w:t>,2</w:t>
      </w:r>
      <w:r w:rsidR="0001705D">
        <w:rPr>
          <w:rFonts w:ascii="Times New Roman" w:hAnsi="Times New Roman" w:cs="Times New Roman"/>
          <w:bCs w:val="0"/>
          <w:szCs w:val="24"/>
          <w:lang w:val="en-GB"/>
        </w:rPr>
        <w:t>9</w:t>
      </w:r>
      <w:proofErr w:type="gramEnd"/>
      <w:r w:rsidR="0088794A" w:rsidRPr="00F413DB">
        <w:rPr>
          <w:rFonts w:ascii="Times New Roman" w:hAnsi="Times New Roman" w:cs="Times New Roman"/>
          <w:bCs w:val="0"/>
          <w:szCs w:val="24"/>
          <w:lang w:val="en-GB"/>
        </w:rPr>
        <w:t>)</w:t>
      </w:r>
      <w:r w:rsidR="00F97E66" w:rsidRPr="00F413DB">
        <w:rPr>
          <w:rFonts w:ascii="Times New Roman" w:hAnsi="Times New Roman" w:cs="Times New Roman"/>
          <w:bCs w:val="0"/>
          <w:szCs w:val="24"/>
          <w:lang w:val="en-GB"/>
        </w:rPr>
        <w:t>.</w:t>
      </w:r>
      <w:r w:rsidR="00962CCD" w:rsidRPr="00F413DB">
        <w:rPr>
          <w:rFonts w:ascii="Times New Roman" w:hAnsi="Times New Roman" w:cs="Times New Roman"/>
          <w:bCs w:val="0"/>
          <w:szCs w:val="24"/>
          <w:lang w:val="en-GB"/>
        </w:rPr>
        <w:t xml:space="preserve"> </w:t>
      </w:r>
      <w:r w:rsidR="00F97E66" w:rsidRPr="00F413DB">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 xml:space="preserve">Indeed, this </w:t>
      </w:r>
      <w:r w:rsidR="00B44EDF" w:rsidRPr="00F413DB">
        <w:rPr>
          <w:rFonts w:ascii="Times New Roman" w:hAnsi="Times New Roman" w:cs="Times New Roman"/>
          <w:bCs w:val="0"/>
          <w:szCs w:val="24"/>
          <w:lang w:val="en-GB"/>
        </w:rPr>
        <w:t xml:space="preserve">conceptual framework was core to the </w:t>
      </w:r>
      <w:proofErr w:type="spellStart"/>
      <w:r w:rsidR="00B44EDF" w:rsidRPr="00F413DB">
        <w:rPr>
          <w:rFonts w:ascii="Times New Roman" w:hAnsi="Times New Roman" w:cs="Times New Roman"/>
          <w:bCs w:val="0"/>
          <w:szCs w:val="24"/>
          <w:lang w:val="en-GB"/>
        </w:rPr>
        <w:t>HypoCOMPaSS</w:t>
      </w:r>
      <w:proofErr w:type="spellEnd"/>
      <w:r w:rsidR="00B44EDF" w:rsidRPr="00F413DB">
        <w:rPr>
          <w:rFonts w:ascii="Times New Roman" w:hAnsi="Times New Roman" w:cs="Times New Roman"/>
          <w:bCs w:val="0"/>
          <w:szCs w:val="24"/>
          <w:lang w:val="en-GB"/>
        </w:rPr>
        <w:t xml:space="preserve"> trial design and </w:t>
      </w:r>
      <w:r w:rsidR="00F97E66" w:rsidRPr="00F413DB">
        <w:rPr>
          <w:rFonts w:ascii="Times New Roman" w:hAnsi="Times New Roman" w:cs="Times New Roman"/>
          <w:bCs w:val="0"/>
          <w:szCs w:val="24"/>
          <w:lang w:val="en-GB"/>
        </w:rPr>
        <w:t xml:space="preserve">is </w:t>
      </w:r>
      <w:r w:rsidR="0091573A">
        <w:rPr>
          <w:rFonts w:ascii="Times New Roman" w:hAnsi="Times New Roman" w:cs="Times New Roman"/>
          <w:bCs w:val="0"/>
          <w:szCs w:val="24"/>
          <w:lang w:val="en-GB"/>
        </w:rPr>
        <w:t>consistent</w:t>
      </w:r>
      <w:r w:rsidR="00B44EDF" w:rsidRPr="00F413DB">
        <w:rPr>
          <w:rFonts w:ascii="Times New Roman" w:hAnsi="Times New Roman" w:cs="Times New Roman"/>
          <w:bCs w:val="0"/>
          <w:szCs w:val="24"/>
          <w:lang w:val="en-GB"/>
        </w:rPr>
        <w:t xml:space="preserve"> with overall study results. This paradigm has led to the conclusion that classical diabetic</w:t>
      </w:r>
      <w:r w:rsidR="00F97E66" w:rsidRPr="00F413DB">
        <w:rPr>
          <w:rFonts w:ascii="Times New Roman" w:hAnsi="Times New Roman" w:cs="Times New Roman"/>
          <w:bCs w:val="0"/>
          <w:szCs w:val="24"/>
          <w:lang w:val="en-GB"/>
        </w:rPr>
        <w:t xml:space="preserve"> </w:t>
      </w:r>
      <w:r w:rsidR="00B44EDF" w:rsidRPr="00F413DB">
        <w:rPr>
          <w:rFonts w:ascii="Times New Roman" w:hAnsi="Times New Roman" w:cs="Times New Roman"/>
          <w:bCs w:val="0"/>
          <w:szCs w:val="24"/>
          <w:lang w:val="en-GB"/>
        </w:rPr>
        <w:t xml:space="preserve">neuropathy is not associated with </w:t>
      </w:r>
      <w:r w:rsidR="008617A3" w:rsidRPr="00F413DB">
        <w:rPr>
          <w:rFonts w:ascii="Times New Roman" w:hAnsi="Times New Roman" w:cs="Times New Roman"/>
          <w:bCs w:val="0"/>
          <w:szCs w:val="24"/>
          <w:lang w:val="en-GB"/>
        </w:rPr>
        <w:t xml:space="preserve">impaired awareness of </w:t>
      </w:r>
      <w:proofErr w:type="spellStart"/>
      <w:r w:rsidR="008617A3" w:rsidRPr="00F413DB">
        <w:rPr>
          <w:rFonts w:ascii="Times New Roman" w:hAnsi="Times New Roman" w:cs="Times New Roman"/>
          <w:bCs w:val="0"/>
          <w:szCs w:val="24"/>
          <w:lang w:val="en-GB"/>
        </w:rPr>
        <w:t>hypoglyc</w:t>
      </w:r>
      <w:r w:rsidR="00F97E66" w:rsidRPr="00F413DB">
        <w:rPr>
          <w:rFonts w:ascii="Times New Roman" w:hAnsi="Times New Roman" w:cs="Times New Roman"/>
          <w:bCs w:val="0"/>
          <w:szCs w:val="24"/>
          <w:lang w:val="en-GB"/>
        </w:rPr>
        <w:t>emia</w:t>
      </w:r>
      <w:proofErr w:type="spellEnd"/>
      <w:r w:rsidR="0088794A" w:rsidRPr="00CA3B66">
        <w:rPr>
          <w:rFonts w:ascii="Times New Roman" w:hAnsi="Times New Roman" w:cs="Times New Roman"/>
          <w:bCs w:val="0"/>
          <w:szCs w:val="24"/>
          <w:lang w:val="en-GB"/>
        </w:rPr>
        <w:t xml:space="preserve"> (</w:t>
      </w:r>
      <w:r w:rsidR="0001705D">
        <w:rPr>
          <w:rFonts w:ascii="Times New Roman" w:hAnsi="Times New Roman" w:cs="Times New Roman"/>
          <w:bCs w:val="0"/>
          <w:szCs w:val="24"/>
          <w:lang w:val="en-GB"/>
        </w:rPr>
        <w:t>30</w:t>
      </w:r>
      <w:r w:rsidR="0088794A" w:rsidRPr="00CA3B66">
        <w:rPr>
          <w:rFonts w:ascii="Times New Roman" w:hAnsi="Times New Roman" w:cs="Times New Roman"/>
          <w:bCs w:val="0"/>
          <w:szCs w:val="24"/>
          <w:lang w:val="en-GB"/>
        </w:rPr>
        <w:t>)</w:t>
      </w:r>
      <w:r w:rsidR="00985450">
        <w:rPr>
          <w:rFonts w:ascii="Times New Roman" w:hAnsi="Times New Roman" w:cs="Times New Roman"/>
          <w:bCs w:val="0"/>
          <w:szCs w:val="24"/>
          <w:lang w:val="en-GB"/>
        </w:rPr>
        <w:t>. In larger cross-</w:t>
      </w:r>
      <w:r w:rsidR="00F97E66" w:rsidRPr="00F413DB">
        <w:rPr>
          <w:rFonts w:ascii="Times New Roman" w:hAnsi="Times New Roman" w:cs="Times New Roman"/>
          <w:bCs w:val="0"/>
          <w:szCs w:val="24"/>
          <w:lang w:val="en-GB"/>
        </w:rPr>
        <w:t>sectional studies, however, peripheral neuropathy, cardiac autonomic neuropathy</w:t>
      </w:r>
      <w:r w:rsidR="00985450">
        <w:rPr>
          <w:rFonts w:ascii="Times New Roman" w:hAnsi="Times New Roman" w:cs="Times New Roman"/>
          <w:bCs w:val="0"/>
          <w:szCs w:val="24"/>
          <w:lang w:val="en-GB"/>
        </w:rPr>
        <w:t>,</w:t>
      </w:r>
      <w:r w:rsidR="00F97E66" w:rsidRPr="00F413DB">
        <w:rPr>
          <w:rFonts w:ascii="Times New Roman" w:hAnsi="Times New Roman" w:cs="Times New Roman"/>
          <w:bCs w:val="0"/>
          <w:szCs w:val="24"/>
          <w:lang w:val="en-GB"/>
        </w:rPr>
        <w:t xml:space="preserve"> and gastroparesis </w:t>
      </w:r>
      <w:r w:rsidR="00872E07" w:rsidRPr="00F413DB">
        <w:rPr>
          <w:rFonts w:ascii="Times New Roman" w:hAnsi="Times New Roman" w:cs="Times New Roman"/>
          <w:bCs w:val="0"/>
          <w:szCs w:val="24"/>
          <w:lang w:val="en-GB"/>
        </w:rPr>
        <w:t xml:space="preserve">have been </w:t>
      </w:r>
      <w:r w:rsidR="008617A3" w:rsidRPr="00F413DB">
        <w:rPr>
          <w:rFonts w:ascii="Times New Roman" w:hAnsi="Times New Roman" w:cs="Times New Roman"/>
          <w:bCs w:val="0"/>
          <w:szCs w:val="24"/>
          <w:lang w:val="en-GB"/>
        </w:rPr>
        <w:t xml:space="preserve">associated with severe </w:t>
      </w:r>
      <w:proofErr w:type="spellStart"/>
      <w:r w:rsidR="008617A3" w:rsidRPr="00F413DB">
        <w:rPr>
          <w:rFonts w:ascii="Times New Roman" w:hAnsi="Times New Roman" w:cs="Times New Roman"/>
          <w:bCs w:val="0"/>
          <w:szCs w:val="24"/>
          <w:lang w:val="en-GB"/>
        </w:rPr>
        <w:t>hypoglyc</w:t>
      </w:r>
      <w:r w:rsidR="00872E07" w:rsidRPr="00F413DB">
        <w:rPr>
          <w:rFonts w:ascii="Times New Roman" w:hAnsi="Times New Roman" w:cs="Times New Roman"/>
          <w:bCs w:val="0"/>
          <w:szCs w:val="24"/>
          <w:lang w:val="en-GB"/>
        </w:rPr>
        <w:t>emia</w:t>
      </w:r>
      <w:proofErr w:type="spellEnd"/>
      <w:r w:rsidR="0088794A" w:rsidRPr="00CA3B66">
        <w:rPr>
          <w:rFonts w:ascii="Times New Roman" w:hAnsi="Times New Roman" w:cs="Times New Roman"/>
          <w:bCs w:val="0"/>
          <w:szCs w:val="24"/>
          <w:lang w:val="en-GB"/>
        </w:rPr>
        <w:t xml:space="preserve"> (3</w:t>
      </w:r>
      <w:r w:rsidR="0001705D">
        <w:rPr>
          <w:rFonts w:ascii="Times New Roman" w:hAnsi="Times New Roman" w:cs="Times New Roman"/>
          <w:bCs w:val="0"/>
          <w:szCs w:val="24"/>
          <w:lang w:val="en-GB"/>
        </w:rPr>
        <w:t>1</w:t>
      </w:r>
      <w:r w:rsidR="0088794A" w:rsidRPr="00CA3B66">
        <w:rPr>
          <w:rFonts w:ascii="Times New Roman" w:hAnsi="Times New Roman" w:cs="Times New Roman"/>
          <w:bCs w:val="0"/>
          <w:szCs w:val="24"/>
          <w:lang w:val="en-GB"/>
        </w:rPr>
        <w:t>-3</w:t>
      </w:r>
      <w:r w:rsidR="0001705D">
        <w:rPr>
          <w:rFonts w:ascii="Times New Roman" w:hAnsi="Times New Roman" w:cs="Times New Roman"/>
          <w:bCs w:val="0"/>
          <w:szCs w:val="24"/>
          <w:lang w:val="en-GB"/>
        </w:rPr>
        <w:t>3</w:t>
      </w:r>
      <w:r w:rsidR="0088794A" w:rsidRPr="00CA3B66">
        <w:rPr>
          <w:rFonts w:ascii="Times New Roman" w:hAnsi="Times New Roman" w:cs="Times New Roman"/>
          <w:bCs w:val="0"/>
          <w:szCs w:val="24"/>
          <w:lang w:val="en-GB"/>
        </w:rPr>
        <w:t>)</w:t>
      </w:r>
      <w:r w:rsidR="00872E07" w:rsidRPr="00F413DB">
        <w:rPr>
          <w:rFonts w:ascii="Times New Roman" w:hAnsi="Times New Roman" w:cs="Times New Roman"/>
          <w:bCs w:val="0"/>
          <w:szCs w:val="24"/>
          <w:lang w:val="en-GB"/>
        </w:rPr>
        <w:t xml:space="preserve">. Previous </w:t>
      </w:r>
      <w:r w:rsidR="00B44EDF" w:rsidRPr="00F413DB">
        <w:rPr>
          <w:rFonts w:ascii="Times New Roman" w:hAnsi="Times New Roman" w:cs="Times New Roman"/>
          <w:bCs w:val="0"/>
          <w:szCs w:val="24"/>
          <w:lang w:val="en-GB"/>
        </w:rPr>
        <w:t>studies have not been designed to asse</w:t>
      </w:r>
      <w:r w:rsidR="00872E07" w:rsidRPr="00F413DB">
        <w:rPr>
          <w:rFonts w:ascii="Times New Roman" w:hAnsi="Times New Roman" w:cs="Times New Roman"/>
          <w:bCs w:val="0"/>
          <w:szCs w:val="24"/>
          <w:lang w:val="en-GB"/>
        </w:rPr>
        <w:t>s</w:t>
      </w:r>
      <w:r w:rsidR="00B44EDF" w:rsidRPr="00F413DB">
        <w:rPr>
          <w:rFonts w:ascii="Times New Roman" w:hAnsi="Times New Roman" w:cs="Times New Roman"/>
          <w:bCs w:val="0"/>
          <w:szCs w:val="24"/>
          <w:lang w:val="en-GB"/>
        </w:rPr>
        <w:t>s the impact of neuropathy on reversibility in t</w:t>
      </w:r>
      <w:r w:rsidR="00872E07" w:rsidRPr="00F413DB">
        <w:rPr>
          <w:rFonts w:ascii="Times New Roman" w:hAnsi="Times New Roman" w:cs="Times New Roman"/>
          <w:bCs w:val="0"/>
          <w:szCs w:val="24"/>
          <w:lang w:val="en-GB"/>
        </w:rPr>
        <w:t>hose</w:t>
      </w:r>
      <w:r w:rsidR="00B44EDF" w:rsidRPr="00F413DB">
        <w:rPr>
          <w:rFonts w:ascii="Times New Roman" w:hAnsi="Times New Roman" w:cs="Times New Roman"/>
          <w:bCs w:val="0"/>
          <w:szCs w:val="24"/>
          <w:lang w:val="en-GB"/>
        </w:rPr>
        <w:t xml:space="preserve"> with established </w:t>
      </w:r>
      <w:r w:rsidR="00872E07" w:rsidRPr="00F413DB">
        <w:rPr>
          <w:rFonts w:ascii="Times New Roman" w:hAnsi="Times New Roman" w:cs="Times New Roman"/>
          <w:bCs w:val="0"/>
          <w:szCs w:val="24"/>
          <w:lang w:val="en-GB"/>
        </w:rPr>
        <w:t xml:space="preserve">impaired awareness of </w:t>
      </w:r>
      <w:proofErr w:type="spellStart"/>
      <w:r w:rsidR="00872E07" w:rsidRPr="00F413DB">
        <w:rPr>
          <w:rFonts w:ascii="Times New Roman" w:hAnsi="Times New Roman" w:cs="Times New Roman"/>
          <w:bCs w:val="0"/>
          <w:szCs w:val="24"/>
          <w:lang w:val="en-GB"/>
        </w:rPr>
        <w:t>hypoglycemia</w:t>
      </w:r>
      <w:proofErr w:type="spellEnd"/>
      <w:r w:rsidR="00872E07" w:rsidRPr="00F413DB">
        <w:rPr>
          <w:rFonts w:ascii="Times New Roman" w:hAnsi="Times New Roman" w:cs="Times New Roman"/>
          <w:bCs w:val="0"/>
          <w:szCs w:val="24"/>
          <w:lang w:val="en-GB"/>
        </w:rPr>
        <w:t xml:space="preserve">. In the current study, peripheral neuropathy was </w:t>
      </w:r>
      <w:r w:rsidR="00985450">
        <w:rPr>
          <w:rFonts w:ascii="Times New Roman" w:hAnsi="Times New Roman" w:cs="Times New Roman"/>
          <w:bCs w:val="0"/>
          <w:szCs w:val="24"/>
          <w:lang w:val="en-GB"/>
        </w:rPr>
        <w:lastRenderedPageBreak/>
        <w:t>more than eight</w:t>
      </w:r>
      <w:r w:rsidR="00872E07" w:rsidRPr="00F413DB">
        <w:rPr>
          <w:rFonts w:ascii="Times New Roman" w:hAnsi="Times New Roman" w:cs="Times New Roman"/>
          <w:bCs w:val="0"/>
          <w:szCs w:val="24"/>
          <w:lang w:val="en-GB"/>
        </w:rPr>
        <w:t>fold more common in incomplete responders</w:t>
      </w:r>
      <w:r w:rsidR="00985450">
        <w:rPr>
          <w:rFonts w:ascii="Times New Roman" w:hAnsi="Times New Roman" w:cs="Times New Roman"/>
          <w:bCs w:val="0"/>
          <w:szCs w:val="24"/>
          <w:lang w:val="en-GB"/>
        </w:rPr>
        <w:t>,</w:t>
      </w:r>
      <w:r w:rsidR="00872E07" w:rsidRPr="00F413DB">
        <w:rPr>
          <w:rFonts w:ascii="Times New Roman" w:hAnsi="Times New Roman" w:cs="Times New Roman"/>
          <w:bCs w:val="0"/>
          <w:szCs w:val="24"/>
          <w:lang w:val="en-GB"/>
        </w:rPr>
        <w:t xml:space="preserve"> with trends towards increased proportion reporting autonomic neuropathy </w:t>
      </w:r>
      <w:r w:rsidR="00C40C3F">
        <w:rPr>
          <w:rFonts w:ascii="Times New Roman" w:hAnsi="Times New Roman" w:cs="Times New Roman"/>
          <w:bCs w:val="0"/>
          <w:szCs w:val="24"/>
          <w:lang w:val="en-GB"/>
        </w:rPr>
        <w:t xml:space="preserve">symptoms </w:t>
      </w:r>
      <w:r w:rsidR="00872E07" w:rsidRPr="00F413DB">
        <w:rPr>
          <w:rFonts w:ascii="Times New Roman" w:hAnsi="Times New Roman" w:cs="Times New Roman"/>
          <w:bCs w:val="0"/>
          <w:szCs w:val="24"/>
          <w:lang w:val="en-GB"/>
        </w:rPr>
        <w:t>and a higher integrated autonomic neuropathy score.</w:t>
      </w:r>
      <w:r w:rsidR="00AB6646" w:rsidRPr="00F413DB">
        <w:rPr>
          <w:rFonts w:ascii="Times New Roman" w:hAnsi="Times New Roman" w:cs="Times New Roman"/>
          <w:bCs w:val="0"/>
          <w:szCs w:val="24"/>
          <w:lang w:val="en-GB"/>
        </w:rPr>
        <w:t xml:space="preserve"> In contrast, age, duration of diabetes, proportion with a second autoimmune disease</w:t>
      </w:r>
      <w:r w:rsidR="00985450">
        <w:rPr>
          <w:rFonts w:ascii="Times New Roman" w:hAnsi="Times New Roman" w:cs="Times New Roman"/>
          <w:bCs w:val="0"/>
          <w:szCs w:val="24"/>
          <w:lang w:val="en-GB"/>
        </w:rPr>
        <w:t>,</w:t>
      </w:r>
      <w:r w:rsidR="00AB6646" w:rsidRPr="00F413DB">
        <w:rPr>
          <w:rFonts w:ascii="Times New Roman" w:hAnsi="Times New Roman" w:cs="Times New Roman"/>
          <w:bCs w:val="0"/>
          <w:szCs w:val="24"/>
          <w:lang w:val="en-GB"/>
        </w:rPr>
        <w:t xml:space="preserve"> and other microvascular / </w:t>
      </w:r>
      <w:proofErr w:type="spellStart"/>
      <w:r w:rsidR="00AB6646" w:rsidRPr="00F413DB">
        <w:rPr>
          <w:rFonts w:ascii="Times New Roman" w:hAnsi="Times New Roman" w:cs="Times New Roman"/>
          <w:bCs w:val="0"/>
          <w:szCs w:val="24"/>
          <w:lang w:val="en-GB"/>
        </w:rPr>
        <w:t>macrovascular</w:t>
      </w:r>
      <w:proofErr w:type="spellEnd"/>
      <w:r w:rsidR="00AB6646" w:rsidRPr="00F413DB">
        <w:rPr>
          <w:rFonts w:ascii="Times New Roman" w:hAnsi="Times New Roman" w:cs="Times New Roman"/>
          <w:bCs w:val="0"/>
          <w:szCs w:val="24"/>
          <w:lang w:val="en-GB"/>
        </w:rPr>
        <w:t xml:space="preserve"> complications of diabetes were not higher in </w:t>
      </w:r>
      <w:r w:rsidR="004E7878" w:rsidRPr="00F413DB">
        <w:rPr>
          <w:rFonts w:ascii="Times New Roman" w:hAnsi="Times New Roman" w:cs="Times New Roman"/>
          <w:bCs w:val="0"/>
          <w:szCs w:val="24"/>
          <w:lang w:val="en-GB"/>
        </w:rPr>
        <w:t xml:space="preserve">incomplete </w:t>
      </w:r>
      <w:r w:rsidR="00AB6646" w:rsidRPr="00F413DB">
        <w:rPr>
          <w:rFonts w:ascii="Times New Roman" w:hAnsi="Times New Roman" w:cs="Times New Roman"/>
          <w:bCs w:val="0"/>
          <w:szCs w:val="24"/>
          <w:lang w:val="en-GB"/>
        </w:rPr>
        <w:t xml:space="preserve">responders. </w:t>
      </w:r>
    </w:p>
    <w:p w14:paraId="0A7D48BB" w14:textId="77777777" w:rsidR="00E617C1" w:rsidRPr="00F413DB" w:rsidRDefault="00E617C1" w:rsidP="00E617C1">
      <w:pPr>
        <w:spacing w:line="480" w:lineRule="auto"/>
        <w:jc w:val="both"/>
        <w:rPr>
          <w:rFonts w:ascii="Times New Roman" w:hAnsi="Times New Roman" w:cs="Times New Roman"/>
          <w:bCs w:val="0"/>
          <w:szCs w:val="24"/>
          <w:lang w:val="en-GB"/>
        </w:rPr>
      </w:pPr>
    </w:p>
    <w:p w14:paraId="1B020BC3" w14:textId="0C10ADB1" w:rsidR="00E617C1" w:rsidRPr="00F413DB" w:rsidRDefault="008714B2" w:rsidP="00E617C1">
      <w:pPr>
        <w:spacing w:line="480" w:lineRule="auto"/>
        <w:jc w:val="both"/>
        <w:rPr>
          <w:rFonts w:ascii="Times New Roman" w:hAnsi="Times New Roman" w:cs="Times New Roman"/>
          <w:bCs w:val="0"/>
          <w:szCs w:val="24"/>
          <w:lang w:val="en-GB"/>
        </w:rPr>
      </w:pPr>
      <w:r w:rsidRPr="008714B2">
        <w:rPr>
          <w:rFonts w:ascii="Times New Roman" w:hAnsi="Times New Roman" w:cs="Times New Roman"/>
          <w:bCs w:val="0"/>
          <w:szCs w:val="24"/>
          <w:lang w:val="en-GB"/>
        </w:rPr>
        <w:t xml:space="preserve">Circulating serum ACE levels are associated with the </w:t>
      </w:r>
      <w:r w:rsidR="00226189">
        <w:rPr>
          <w:rFonts w:ascii="Times New Roman" w:hAnsi="Times New Roman" w:cs="Times New Roman"/>
          <w:bCs w:val="0"/>
          <w:szCs w:val="24"/>
          <w:lang w:val="en-GB"/>
        </w:rPr>
        <w:t>insertion/deletion (</w:t>
      </w:r>
      <w:r w:rsidRPr="008714B2">
        <w:rPr>
          <w:rFonts w:ascii="Times New Roman" w:hAnsi="Times New Roman" w:cs="Times New Roman"/>
          <w:bCs w:val="0"/>
          <w:szCs w:val="24"/>
          <w:lang w:val="en-GB"/>
        </w:rPr>
        <w:t>I/D</w:t>
      </w:r>
      <w:r w:rsidR="00226189">
        <w:rPr>
          <w:rFonts w:ascii="Times New Roman" w:hAnsi="Times New Roman" w:cs="Times New Roman"/>
          <w:bCs w:val="0"/>
          <w:szCs w:val="24"/>
          <w:lang w:val="en-GB"/>
        </w:rPr>
        <w:t>)</w:t>
      </w:r>
      <w:r w:rsidRPr="008714B2">
        <w:rPr>
          <w:rFonts w:ascii="Times New Roman" w:hAnsi="Times New Roman" w:cs="Times New Roman"/>
          <w:bCs w:val="0"/>
          <w:szCs w:val="24"/>
          <w:lang w:val="en-GB"/>
        </w:rPr>
        <w:t xml:space="preserve"> p</w:t>
      </w:r>
      <w:r w:rsidR="002268BA">
        <w:rPr>
          <w:rFonts w:ascii="Times New Roman" w:hAnsi="Times New Roman" w:cs="Times New Roman"/>
          <w:bCs w:val="0"/>
          <w:szCs w:val="24"/>
          <w:lang w:val="en-GB"/>
        </w:rPr>
        <w:t>olymorphism of the ACE gene (II,</w:t>
      </w:r>
      <w:r w:rsidRPr="008714B2">
        <w:rPr>
          <w:rFonts w:ascii="Times New Roman" w:hAnsi="Times New Roman" w:cs="Times New Roman"/>
          <w:bCs w:val="0"/>
          <w:szCs w:val="24"/>
          <w:lang w:val="en-GB"/>
        </w:rPr>
        <w:t xml:space="preserve"> lowest</w:t>
      </w:r>
      <w:r w:rsidR="00BB6FF7" w:rsidRPr="00BB6FF7">
        <w:rPr>
          <w:rFonts w:ascii="Times New Roman" w:hAnsi="Times New Roman" w:cs="Times New Roman"/>
          <w:bCs w:val="0"/>
          <w:szCs w:val="24"/>
          <w:lang w:val="en-GB"/>
        </w:rPr>
        <w:t xml:space="preserve"> </w:t>
      </w:r>
      <w:r w:rsidR="00BB6FF7">
        <w:rPr>
          <w:rFonts w:ascii="Times New Roman" w:hAnsi="Times New Roman" w:cs="Times New Roman"/>
          <w:bCs w:val="0"/>
          <w:szCs w:val="24"/>
          <w:lang w:val="en-GB"/>
        </w:rPr>
        <w:t>serum ACE</w:t>
      </w:r>
      <w:r w:rsidRPr="008714B2">
        <w:rPr>
          <w:rFonts w:ascii="Times New Roman" w:hAnsi="Times New Roman" w:cs="Times New Roman"/>
          <w:bCs w:val="0"/>
          <w:szCs w:val="24"/>
          <w:lang w:val="en-GB"/>
        </w:rPr>
        <w:t>; ID</w:t>
      </w:r>
      <w:r w:rsidR="002268BA">
        <w:rPr>
          <w:rFonts w:ascii="Times New Roman" w:hAnsi="Times New Roman" w:cs="Times New Roman"/>
          <w:bCs w:val="0"/>
          <w:szCs w:val="24"/>
          <w:lang w:val="en-GB"/>
        </w:rPr>
        <w:t>,</w:t>
      </w:r>
      <w:r w:rsidRPr="008714B2">
        <w:rPr>
          <w:rFonts w:ascii="Times New Roman" w:hAnsi="Times New Roman" w:cs="Times New Roman"/>
          <w:bCs w:val="0"/>
          <w:szCs w:val="24"/>
          <w:lang w:val="en-GB"/>
        </w:rPr>
        <w:t xml:space="preserve"> intermediate; DD</w:t>
      </w:r>
      <w:r w:rsidR="002268BA">
        <w:rPr>
          <w:rFonts w:ascii="Times New Roman" w:hAnsi="Times New Roman" w:cs="Times New Roman"/>
          <w:bCs w:val="0"/>
          <w:szCs w:val="24"/>
          <w:lang w:val="en-GB"/>
        </w:rPr>
        <w:t>,</w:t>
      </w:r>
      <w:r w:rsidRPr="008714B2">
        <w:rPr>
          <w:rFonts w:ascii="Times New Roman" w:hAnsi="Times New Roman" w:cs="Times New Roman"/>
          <w:bCs w:val="0"/>
          <w:szCs w:val="24"/>
          <w:lang w:val="en-GB"/>
        </w:rPr>
        <w:t xml:space="preserve"> highest). Serum ACE activity has been positively associated </w:t>
      </w:r>
      <w:r w:rsidR="00CE4D72">
        <w:rPr>
          <w:rFonts w:ascii="Times New Roman" w:hAnsi="Times New Roman" w:cs="Times New Roman"/>
          <w:bCs w:val="0"/>
          <w:szCs w:val="24"/>
          <w:lang w:val="en-GB"/>
        </w:rPr>
        <w:t xml:space="preserve">with </w:t>
      </w:r>
      <w:r w:rsidRPr="008714B2">
        <w:rPr>
          <w:rFonts w:ascii="Times New Roman" w:hAnsi="Times New Roman" w:cs="Times New Roman"/>
          <w:bCs w:val="0"/>
          <w:szCs w:val="24"/>
          <w:lang w:val="en-GB"/>
        </w:rPr>
        <w:t xml:space="preserve">severe </w:t>
      </w:r>
      <w:proofErr w:type="spellStart"/>
      <w:r w:rsidRPr="008714B2">
        <w:rPr>
          <w:rFonts w:ascii="Times New Roman" w:hAnsi="Times New Roman" w:cs="Times New Roman"/>
          <w:bCs w:val="0"/>
          <w:szCs w:val="24"/>
          <w:lang w:val="en-GB"/>
        </w:rPr>
        <w:t>hypoglycemia</w:t>
      </w:r>
      <w:proofErr w:type="spellEnd"/>
      <w:r w:rsidRPr="008714B2">
        <w:rPr>
          <w:rFonts w:ascii="Times New Roman" w:hAnsi="Times New Roman" w:cs="Times New Roman"/>
          <w:bCs w:val="0"/>
          <w:szCs w:val="24"/>
          <w:lang w:val="en-GB"/>
        </w:rPr>
        <w:t xml:space="preserve"> rate in a prospective cohort study</w:t>
      </w:r>
      <w:r w:rsidR="002268BA">
        <w:rPr>
          <w:rFonts w:ascii="Times New Roman" w:hAnsi="Times New Roman" w:cs="Times New Roman"/>
          <w:bCs w:val="0"/>
          <w:szCs w:val="24"/>
          <w:lang w:val="en-GB"/>
        </w:rPr>
        <w:t>,</w:t>
      </w:r>
      <w:r w:rsidRPr="008714B2">
        <w:rPr>
          <w:rFonts w:ascii="Times New Roman" w:hAnsi="Times New Roman" w:cs="Times New Roman"/>
          <w:bCs w:val="0"/>
          <w:szCs w:val="24"/>
          <w:lang w:val="en-GB"/>
        </w:rPr>
        <w:t xml:space="preserve"> and it has been proposed that this may be due to decreased cognitive </w:t>
      </w:r>
      <w:r w:rsidR="002268BA">
        <w:rPr>
          <w:rFonts w:ascii="Times New Roman" w:hAnsi="Times New Roman" w:cs="Times New Roman"/>
          <w:bCs w:val="0"/>
          <w:szCs w:val="24"/>
          <w:lang w:val="en-GB"/>
        </w:rPr>
        <w:t>“performance”</w:t>
      </w:r>
      <w:r w:rsidRPr="008714B2">
        <w:rPr>
          <w:rFonts w:ascii="Times New Roman" w:hAnsi="Times New Roman" w:cs="Times New Roman"/>
          <w:bCs w:val="0"/>
          <w:szCs w:val="24"/>
          <w:lang w:val="en-GB"/>
        </w:rPr>
        <w:t xml:space="preserve"> during </w:t>
      </w:r>
      <w:proofErr w:type="spellStart"/>
      <w:r w:rsidRPr="008714B2">
        <w:rPr>
          <w:rFonts w:ascii="Times New Roman" w:hAnsi="Times New Roman" w:cs="Times New Roman"/>
          <w:bCs w:val="0"/>
          <w:szCs w:val="24"/>
          <w:lang w:val="en-GB"/>
        </w:rPr>
        <w:t>hypoglycemia</w:t>
      </w:r>
      <w:proofErr w:type="spellEnd"/>
      <w:r w:rsidRPr="008714B2">
        <w:rPr>
          <w:rFonts w:ascii="Times New Roman" w:hAnsi="Times New Roman" w:cs="Times New Roman"/>
          <w:bCs w:val="0"/>
          <w:szCs w:val="24"/>
          <w:lang w:val="en-GB"/>
        </w:rPr>
        <w:t xml:space="preserve"> (34). There was an association between DD genotype and earlier deterioration of cognitive dysfunction in the sub-group of </w:t>
      </w:r>
      <w:proofErr w:type="spellStart"/>
      <w:r w:rsidRPr="008714B2">
        <w:rPr>
          <w:rFonts w:ascii="Times New Roman" w:hAnsi="Times New Roman" w:cs="Times New Roman"/>
          <w:bCs w:val="0"/>
          <w:szCs w:val="24"/>
          <w:lang w:val="en-GB"/>
        </w:rPr>
        <w:t>HypoCOMPaSS</w:t>
      </w:r>
      <w:proofErr w:type="spellEnd"/>
      <w:r w:rsidRPr="008714B2">
        <w:rPr>
          <w:rFonts w:ascii="Times New Roman" w:hAnsi="Times New Roman" w:cs="Times New Roman"/>
          <w:bCs w:val="0"/>
          <w:szCs w:val="24"/>
          <w:lang w:val="en-GB"/>
        </w:rPr>
        <w:t xml:space="preserve"> participants</w:t>
      </w:r>
      <w:r w:rsidR="002268BA">
        <w:rPr>
          <w:rFonts w:ascii="Times New Roman" w:hAnsi="Times New Roman" w:cs="Times New Roman"/>
          <w:bCs w:val="0"/>
          <w:szCs w:val="24"/>
          <w:lang w:val="en-GB"/>
        </w:rPr>
        <w:t xml:space="preserve"> who completed </w:t>
      </w:r>
      <w:proofErr w:type="spellStart"/>
      <w:r w:rsidR="002268BA">
        <w:rPr>
          <w:rFonts w:ascii="Times New Roman" w:hAnsi="Times New Roman" w:cs="Times New Roman"/>
          <w:bCs w:val="0"/>
          <w:szCs w:val="24"/>
          <w:lang w:val="en-GB"/>
        </w:rPr>
        <w:t>hyperinsulinemic-</w:t>
      </w:r>
      <w:r w:rsidRPr="008714B2">
        <w:rPr>
          <w:rFonts w:ascii="Times New Roman" w:hAnsi="Times New Roman" w:cs="Times New Roman"/>
          <w:bCs w:val="0"/>
          <w:szCs w:val="24"/>
          <w:lang w:val="en-GB"/>
        </w:rPr>
        <w:t>hypoglycemic</w:t>
      </w:r>
      <w:proofErr w:type="spellEnd"/>
      <w:r w:rsidRPr="008714B2">
        <w:rPr>
          <w:rFonts w:ascii="Times New Roman" w:hAnsi="Times New Roman" w:cs="Times New Roman"/>
          <w:bCs w:val="0"/>
          <w:szCs w:val="24"/>
          <w:lang w:val="en-GB"/>
        </w:rPr>
        <w:t xml:space="preserve"> clamp studies (35)</w:t>
      </w:r>
      <w:r w:rsidR="002268BA">
        <w:rPr>
          <w:rFonts w:ascii="Times New Roman" w:hAnsi="Times New Roman" w:cs="Times New Roman"/>
          <w:bCs w:val="0"/>
          <w:szCs w:val="24"/>
          <w:lang w:val="en-GB"/>
        </w:rPr>
        <w:t>,</w:t>
      </w:r>
      <w:r w:rsidRPr="008714B2">
        <w:rPr>
          <w:rFonts w:ascii="Times New Roman" w:hAnsi="Times New Roman" w:cs="Times New Roman"/>
          <w:bCs w:val="0"/>
          <w:szCs w:val="24"/>
          <w:lang w:val="en-GB"/>
        </w:rPr>
        <w:t xml:space="preserve"> but no association between ACE genotype and response group was observed in the current analysis.</w:t>
      </w:r>
      <w:r w:rsidR="00E617C1" w:rsidRPr="00F413DB">
        <w:rPr>
          <w:rFonts w:ascii="Times New Roman" w:hAnsi="Times New Roman" w:cs="Times New Roman"/>
          <w:bCs w:val="0"/>
          <w:szCs w:val="24"/>
          <w:lang w:val="en-GB"/>
        </w:rPr>
        <w:t xml:space="preserve"> </w:t>
      </w:r>
    </w:p>
    <w:p w14:paraId="36EC00C5" w14:textId="77777777" w:rsidR="00872E07" w:rsidRPr="00F413DB" w:rsidRDefault="00872E07" w:rsidP="00AF5258">
      <w:pPr>
        <w:spacing w:line="480" w:lineRule="auto"/>
        <w:jc w:val="both"/>
        <w:rPr>
          <w:rFonts w:ascii="Times New Roman" w:hAnsi="Times New Roman" w:cs="Times New Roman"/>
          <w:bCs w:val="0"/>
          <w:szCs w:val="24"/>
          <w:lang w:val="en-GB"/>
        </w:rPr>
      </w:pPr>
    </w:p>
    <w:p w14:paraId="1E5C6209" w14:textId="4DBF7534" w:rsidR="00AB6646" w:rsidRPr="00F413DB" w:rsidRDefault="00FC0C22" w:rsidP="00F03C66">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A protective role of a residual </w:t>
      </w:r>
      <w:r w:rsidR="00DD18C3">
        <w:rPr>
          <w:rFonts w:ascii="Times New Roman" w:hAnsi="Times New Roman" w:cs="Times New Roman"/>
          <w:bCs w:val="0"/>
          <w:szCs w:val="24"/>
          <w:lang w:val="en-GB"/>
        </w:rPr>
        <w:t>β</w:t>
      </w:r>
      <w:r w:rsidRPr="00F413DB">
        <w:rPr>
          <w:rFonts w:ascii="Times New Roman" w:hAnsi="Times New Roman" w:cs="Times New Roman"/>
          <w:bCs w:val="0"/>
          <w:szCs w:val="24"/>
          <w:lang w:val="en-GB"/>
        </w:rPr>
        <w:t xml:space="preserve">-cell functional mass including reduced risk of severe </w:t>
      </w:r>
      <w:proofErr w:type="spellStart"/>
      <w:r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has been demonstrated </w:t>
      </w:r>
      <w:r>
        <w:rPr>
          <w:rFonts w:ascii="Times New Roman" w:hAnsi="Times New Roman" w:cs="Times New Roman"/>
          <w:bCs w:val="0"/>
          <w:szCs w:val="24"/>
          <w:lang w:val="en-GB"/>
        </w:rPr>
        <w:t>in</w:t>
      </w:r>
      <w:r w:rsidRPr="00F413DB">
        <w:rPr>
          <w:rFonts w:ascii="Times New Roman" w:hAnsi="Times New Roman" w:cs="Times New Roman"/>
          <w:bCs w:val="0"/>
          <w:szCs w:val="24"/>
          <w:lang w:val="en-GB"/>
        </w:rPr>
        <w:t xml:space="preserve"> </w:t>
      </w:r>
      <w:r>
        <w:rPr>
          <w:rFonts w:ascii="Times New Roman" w:hAnsi="Times New Roman" w:cs="Times New Roman"/>
          <w:bCs w:val="0"/>
          <w:szCs w:val="24"/>
          <w:lang w:val="en-GB"/>
        </w:rPr>
        <w:t xml:space="preserve">the </w:t>
      </w:r>
      <w:r w:rsidR="00DD18C3">
        <w:rPr>
          <w:rFonts w:ascii="Times New Roman" w:hAnsi="Times New Roman" w:cs="Times New Roman"/>
          <w:bCs w:val="0"/>
          <w:szCs w:val="24"/>
          <w:lang w:val="en-GB"/>
        </w:rPr>
        <w:t>Diabetes Control and Complications Trial (</w:t>
      </w:r>
      <w:r w:rsidRPr="00F413DB">
        <w:rPr>
          <w:rFonts w:ascii="Times New Roman" w:hAnsi="Times New Roman" w:cs="Times New Roman"/>
          <w:bCs w:val="0"/>
          <w:szCs w:val="24"/>
          <w:lang w:val="en-GB"/>
        </w:rPr>
        <w:t>D</w:t>
      </w:r>
      <w:r>
        <w:rPr>
          <w:rFonts w:ascii="Times New Roman" w:hAnsi="Times New Roman" w:cs="Times New Roman"/>
          <w:bCs w:val="0"/>
          <w:szCs w:val="24"/>
          <w:lang w:val="en-GB"/>
        </w:rPr>
        <w:t>CCT</w:t>
      </w:r>
      <w:r w:rsidR="00DD18C3">
        <w:rPr>
          <w:rFonts w:ascii="Times New Roman" w:hAnsi="Times New Roman" w:cs="Times New Roman"/>
          <w:bCs w:val="0"/>
          <w:szCs w:val="24"/>
          <w:lang w:val="en-GB"/>
        </w:rPr>
        <w:t>) (36),</w:t>
      </w:r>
      <w:r w:rsidRPr="00F413DB">
        <w:rPr>
          <w:rFonts w:ascii="Times New Roman" w:hAnsi="Times New Roman" w:cs="Times New Roman"/>
          <w:bCs w:val="0"/>
          <w:szCs w:val="24"/>
          <w:lang w:val="en-GB"/>
        </w:rPr>
        <w:t xml:space="preserve"> and C-peptide negativity without highly sensitive assay or formal stimulation test was a </w:t>
      </w:r>
      <w:proofErr w:type="spellStart"/>
      <w:r w:rsidRPr="00F413DB">
        <w:rPr>
          <w:rFonts w:ascii="Times New Roman" w:hAnsi="Times New Roman" w:cs="Times New Roman"/>
          <w:bCs w:val="0"/>
          <w:szCs w:val="24"/>
          <w:lang w:val="en-GB"/>
        </w:rPr>
        <w:t>HypoCOMPaSS</w:t>
      </w:r>
      <w:proofErr w:type="spellEnd"/>
      <w:r w:rsidRPr="00F413DB">
        <w:rPr>
          <w:rFonts w:ascii="Times New Roman" w:hAnsi="Times New Roman" w:cs="Times New Roman"/>
          <w:bCs w:val="0"/>
          <w:szCs w:val="24"/>
          <w:lang w:val="en-GB"/>
        </w:rPr>
        <w:t xml:space="preserve"> inclusion criterion</w:t>
      </w:r>
      <w:r w:rsidR="00480B9C">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w:t>
      </w:r>
      <w:r w:rsidR="00480B9C">
        <w:rPr>
          <w:rFonts w:ascii="Times New Roman" w:hAnsi="Times New Roman" w:cs="Times New Roman"/>
          <w:bCs w:val="0"/>
          <w:szCs w:val="24"/>
          <w:lang w:val="en-GB"/>
        </w:rPr>
        <w:t xml:space="preserve">Since study commencement, </w:t>
      </w:r>
      <w:r w:rsidR="00872E07" w:rsidRPr="00F413DB">
        <w:rPr>
          <w:rFonts w:ascii="Times New Roman" w:hAnsi="Times New Roman" w:cs="Times New Roman"/>
          <w:bCs w:val="0"/>
          <w:szCs w:val="24"/>
          <w:lang w:val="en-GB"/>
        </w:rPr>
        <w:t>highly</w:t>
      </w:r>
      <w:r w:rsidR="004A4684" w:rsidRPr="00F413DB">
        <w:rPr>
          <w:rFonts w:ascii="Times New Roman" w:hAnsi="Times New Roman" w:cs="Times New Roman"/>
          <w:bCs w:val="0"/>
          <w:szCs w:val="24"/>
          <w:lang w:val="en-GB"/>
        </w:rPr>
        <w:t xml:space="preserve"> sensitive C-peptide assays have enabl</w:t>
      </w:r>
      <w:r w:rsidR="00AF5E37">
        <w:rPr>
          <w:rFonts w:ascii="Times New Roman" w:hAnsi="Times New Roman" w:cs="Times New Roman"/>
          <w:bCs w:val="0"/>
          <w:szCs w:val="24"/>
          <w:lang w:val="en-GB"/>
        </w:rPr>
        <w:t xml:space="preserve">ed detection of </w:t>
      </w:r>
      <w:r w:rsidR="00480B9C">
        <w:rPr>
          <w:rFonts w:ascii="Times New Roman" w:hAnsi="Times New Roman" w:cs="Times New Roman"/>
          <w:bCs w:val="0"/>
          <w:szCs w:val="24"/>
          <w:lang w:val="en-GB"/>
        </w:rPr>
        <w:t xml:space="preserve">residual </w:t>
      </w:r>
      <w:r w:rsidR="00AF5E37">
        <w:rPr>
          <w:rFonts w:ascii="Times New Roman" w:hAnsi="Times New Roman" w:cs="Times New Roman"/>
          <w:bCs w:val="0"/>
          <w:szCs w:val="24"/>
          <w:lang w:val="en-GB"/>
        </w:rPr>
        <w:t xml:space="preserve">C-peptide </w:t>
      </w:r>
      <w:proofErr w:type="spellStart"/>
      <w:r w:rsidR="00AF5E37">
        <w:rPr>
          <w:rFonts w:ascii="Times New Roman" w:hAnsi="Times New Roman" w:cs="Times New Roman"/>
          <w:bCs w:val="0"/>
          <w:szCs w:val="24"/>
          <w:lang w:val="en-GB"/>
        </w:rPr>
        <w:t>micro</w:t>
      </w:r>
      <w:r w:rsidR="004A4684" w:rsidRPr="00F413DB">
        <w:rPr>
          <w:rFonts w:ascii="Times New Roman" w:hAnsi="Times New Roman" w:cs="Times New Roman"/>
          <w:bCs w:val="0"/>
          <w:szCs w:val="24"/>
          <w:lang w:val="en-GB"/>
        </w:rPr>
        <w:t>secretion</w:t>
      </w:r>
      <w:proofErr w:type="spellEnd"/>
      <w:r w:rsidR="004A4684" w:rsidRPr="00F413DB">
        <w:rPr>
          <w:rFonts w:ascii="Times New Roman" w:hAnsi="Times New Roman" w:cs="Times New Roman"/>
          <w:bCs w:val="0"/>
          <w:szCs w:val="24"/>
          <w:lang w:val="en-GB"/>
        </w:rPr>
        <w:t xml:space="preserve"> in up to 70% of people with long-sta</w:t>
      </w:r>
      <w:r w:rsidR="001635B4" w:rsidRPr="00F413DB">
        <w:rPr>
          <w:rFonts w:ascii="Times New Roman" w:hAnsi="Times New Roman" w:cs="Times New Roman"/>
          <w:bCs w:val="0"/>
          <w:szCs w:val="24"/>
          <w:lang w:val="en-GB"/>
        </w:rPr>
        <w:t>ndi</w:t>
      </w:r>
      <w:r w:rsidR="004B580E" w:rsidRPr="00F413DB">
        <w:rPr>
          <w:rFonts w:ascii="Times New Roman" w:hAnsi="Times New Roman" w:cs="Times New Roman"/>
          <w:bCs w:val="0"/>
          <w:szCs w:val="24"/>
          <w:lang w:val="en-GB"/>
        </w:rPr>
        <w:t>ng type 1 diabetes</w:t>
      </w:r>
      <w:r w:rsidR="0088794A" w:rsidRPr="00F413DB">
        <w:rPr>
          <w:rFonts w:ascii="Times New Roman" w:hAnsi="Times New Roman" w:cs="Times New Roman"/>
          <w:bCs w:val="0"/>
          <w:szCs w:val="24"/>
          <w:lang w:val="en-GB"/>
        </w:rPr>
        <w:t xml:space="preserve"> (1</w:t>
      </w:r>
      <w:r w:rsidR="00A640DA">
        <w:rPr>
          <w:rFonts w:ascii="Times New Roman" w:hAnsi="Times New Roman" w:cs="Times New Roman"/>
          <w:bCs w:val="0"/>
          <w:szCs w:val="24"/>
          <w:lang w:val="en-GB"/>
        </w:rPr>
        <w:t>8</w:t>
      </w:r>
      <w:r w:rsidR="0088794A" w:rsidRPr="00F413DB">
        <w:rPr>
          <w:rFonts w:ascii="Times New Roman" w:hAnsi="Times New Roman" w:cs="Times New Roman"/>
          <w:bCs w:val="0"/>
          <w:szCs w:val="24"/>
          <w:lang w:val="en-GB"/>
        </w:rPr>
        <w:t>)</w:t>
      </w:r>
      <w:r w:rsidR="00480B9C">
        <w:rPr>
          <w:rFonts w:ascii="Times New Roman" w:hAnsi="Times New Roman" w:cs="Times New Roman"/>
          <w:bCs w:val="0"/>
          <w:szCs w:val="24"/>
          <w:lang w:val="en-GB"/>
        </w:rPr>
        <w:t>,</w:t>
      </w:r>
      <w:r w:rsidR="004C0D8C" w:rsidRPr="00F413DB">
        <w:rPr>
          <w:rFonts w:ascii="Times New Roman" w:hAnsi="Times New Roman" w:cs="Times New Roman"/>
          <w:bCs w:val="0"/>
          <w:szCs w:val="24"/>
          <w:lang w:val="en-GB"/>
        </w:rPr>
        <w:t xml:space="preserve"> associated with </w:t>
      </w:r>
      <w:r w:rsidR="00480B9C">
        <w:rPr>
          <w:rFonts w:ascii="Times New Roman" w:hAnsi="Times New Roman" w:cs="Times New Roman"/>
          <w:bCs w:val="0"/>
          <w:szCs w:val="24"/>
          <w:lang w:val="en-GB"/>
        </w:rPr>
        <w:t>re</w:t>
      </w:r>
      <w:r w:rsidR="00D21D79" w:rsidRPr="00F413DB">
        <w:rPr>
          <w:rFonts w:ascii="Times New Roman" w:hAnsi="Times New Roman" w:cs="Times New Roman"/>
          <w:bCs w:val="0"/>
          <w:szCs w:val="24"/>
          <w:lang w:val="en-GB"/>
        </w:rPr>
        <w:t xml:space="preserve">duced </w:t>
      </w:r>
      <w:proofErr w:type="spellStart"/>
      <w:r w:rsidR="00480B9C" w:rsidRPr="00F413DB">
        <w:rPr>
          <w:rFonts w:ascii="Times New Roman" w:hAnsi="Times New Roman" w:cs="Times New Roman"/>
          <w:bCs w:val="0"/>
          <w:szCs w:val="24"/>
          <w:lang w:val="en-GB"/>
        </w:rPr>
        <w:t>hypoglycemia</w:t>
      </w:r>
      <w:proofErr w:type="spellEnd"/>
      <w:r w:rsidR="00480B9C" w:rsidRPr="00F413DB">
        <w:rPr>
          <w:rFonts w:ascii="Times New Roman" w:hAnsi="Times New Roman" w:cs="Times New Roman"/>
          <w:bCs w:val="0"/>
          <w:szCs w:val="24"/>
          <w:lang w:val="en-GB"/>
        </w:rPr>
        <w:t xml:space="preserve"> </w:t>
      </w:r>
      <w:r w:rsidR="004A4684" w:rsidRPr="00F413DB">
        <w:rPr>
          <w:rFonts w:ascii="Times New Roman" w:hAnsi="Times New Roman" w:cs="Times New Roman"/>
          <w:bCs w:val="0"/>
          <w:szCs w:val="24"/>
          <w:lang w:val="en-GB"/>
        </w:rPr>
        <w:t>severity</w:t>
      </w:r>
      <w:r w:rsidR="004B580E" w:rsidRPr="00F413DB">
        <w:rPr>
          <w:rFonts w:ascii="Times New Roman" w:hAnsi="Times New Roman" w:cs="Times New Roman"/>
          <w:bCs w:val="0"/>
          <w:szCs w:val="24"/>
          <w:lang w:val="en-GB"/>
        </w:rPr>
        <w:t xml:space="preserve"> </w:t>
      </w:r>
      <w:r w:rsidR="0088794A" w:rsidRPr="00F413DB">
        <w:rPr>
          <w:rFonts w:ascii="Times New Roman" w:hAnsi="Times New Roman" w:cs="Times New Roman"/>
          <w:bCs w:val="0"/>
          <w:szCs w:val="24"/>
          <w:lang w:val="en-GB"/>
        </w:rPr>
        <w:t>(3</w:t>
      </w:r>
      <w:r w:rsidR="00DD18C3">
        <w:rPr>
          <w:rFonts w:ascii="Times New Roman" w:hAnsi="Times New Roman" w:cs="Times New Roman"/>
          <w:bCs w:val="0"/>
          <w:szCs w:val="24"/>
          <w:lang w:val="en-GB"/>
        </w:rPr>
        <w:t>7</w:t>
      </w:r>
      <w:r w:rsidR="0088794A" w:rsidRPr="00F413DB">
        <w:rPr>
          <w:rFonts w:ascii="Times New Roman" w:hAnsi="Times New Roman" w:cs="Times New Roman"/>
          <w:bCs w:val="0"/>
          <w:szCs w:val="24"/>
          <w:lang w:val="en-GB"/>
        </w:rPr>
        <w:t>)</w:t>
      </w:r>
      <w:r w:rsidR="00C25A38" w:rsidRPr="00F413DB">
        <w:rPr>
          <w:rFonts w:ascii="Times New Roman" w:hAnsi="Times New Roman" w:cs="Times New Roman"/>
          <w:bCs w:val="0"/>
          <w:szCs w:val="24"/>
          <w:lang w:val="en-GB"/>
        </w:rPr>
        <w:t>.</w:t>
      </w:r>
      <w:r w:rsidR="004C0D8C" w:rsidRPr="00F413DB">
        <w:rPr>
          <w:rFonts w:ascii="Times New Roman" w:hAnsi="Times New Roman" w:cs="Times New Roman"/>
          <w:bCs w:val="0"/>
          <w:szCs w:val="24"/>
          <w:lang w:val="en-GB"/>
        </w:rPr>
        <w:t xml:space="preserve"> </w:t>
      </w:r>
      <w:r w:rsidR="00D21D79" w:rsidRPr="00F413DB">
        <w:rPr>
          <w:rFonts w:ascii="Times New Roman" w:hAnsi="Times New Roman" w:cs="Times New Roman"/>
          <w:bCs w:val="0"/>
          <w:szCs w:val="24"/>
          <w:lang w:val="en-GB"/>
        </w:rPr>
        <w:t>I</w:t>
      </w:r>
      <w:r w:rsidR="00CC30D4" w:rsidRPr="00F413DB">
        <w:rPr>
          <w:rFonts w:ascii="Times New Roman" w:hAnsi="Times New Roman" w:cs="Times New Roman"/>
          <w:bCs w:val="0"/>
          <w:szCs w:val="24"/>
          <w:lang w:val="en-GB"/>
        </w:rPr>
        <w:t xml:space="preserve">n </w:t>
      </w:r>
      <w:r w:rsidR="00AF5E37">
        <w:rPr>
          <w:rFonts w:ascii="Times New Roman" w:hAnsi="Times New Roman" w:cs="Times New Roman"/>
          <w:bCs w:val="0"/>
          <w:szCs w:val="24"/>
          <w:lang w:val="en-GB"/>
        </w:rPr>
        <w:t>mixed-meal tolerance tests</w:t>
      </w:r>
      <w:r w:rsidR="00AB0354">
        <w:rPr>
          <w:rFonts w:ascii="Times New Roman" w:hAnsi="Times New Roman" w:cs="Times New Roman"/>
          <w:bCs w:val="0"/>
          <w:szCs w:val="24"/>
          <w:lang w:val="en-GB"/>
        </w:rPr>
        <w:t xml:space="preserve"> performed after </w:t>
      </w:r>
      <w:proofErr w:type="spellStart"/>
      <w:r w:rsidR="00AB0354">
        <w:rPr>
          <w:rFonts w:ascii="Times New Roman" w:hAnsi="Times New Roman" w:cs="Times New Roman"/>
          <w:bCs w:val="0"/>
          <w:szCs w:val="24"/>
          <w:lang w:val="en-GB"/>
        </w:rPr>
        <w:t>H</w:t>
      </w:r>
      <w:r w:rsidR="00D47F0D">
        <w:rPr>
          <w:rFonts w:ascii="Times New Roman" w:hAnsi="Times New Roman" w:cs="Times New Roman"/>
          <w:bCs w:val="0"/>
          <w:szCs w:val="24"/>
          <w:lang w:val="en-GB"/>
        </w:rPr>
        <w:t>ypoCOMPaSS</w:t>
      </w:r>
      <w:proofErr w:type="spellEnd"/>
      <w:r w:rsidR="00D47F0D">
        <w:rPr>
          <w:rFonts w:ascii="Times New Roman" w:hAnsi="Times New Roman" w:cs="Times New Roman"/>
          <w:bCs w:val="0"/>
          <w:szCs w:val="24"/>
          <w:lang w:val="en-GB"/>
        </w:rPr>
        <w:t xml:space="preserve"> completion</w:t>
      </w:r>
      <w:r w:rsidR="00CC30D4" w:rsidRPr="00F413DB">
        <w:rPr>
          <w:rFonts w:ascii="Times New Roman" w:hAnsi="Times New Roman" w:cs="Times New Roman"/>
          <w:bCs w:val="0"/>
          <w:szCs w:val="24"/>
          <w:lang w:val="en-GB"/>
        </w:rPr>
        <w:t xml:space="preserve">, only a minority were found to be C-peptide </w:t>
      </w:r>
      <w:proofErr w:type="spellStart"/>
      <w:r w:rsidR="00CC30D4" w:rsidRPr="00F413DB">
        <w:rPr>
          <w:rFonts w:ascii="Times New Roman" w:hAnsi="Times New Roman" w:cs="Times New Roman"/>
          <w:bCs w:val="0"/>
          <w:szCs w:val="24"/>
          <w:lang w:val="en-GB"/>
        </w:rPr>
        <w:t>microsecretors</w:t>
      </w:r>
      <w:proofErr w:type="spellEnd"/>
      <w:r w:rsidR="00CC30D4" w:rsidRPr="00F413DB">
        <w:rPr>
          <w:rFonts w:ascii="Times New Roman" w:hAnsi="Times New Roman" w:cs="Times New Roman"/>
          <w:bCs w:val="0"/>
          <w:szCs w:val="24"/>
          <w:lang w:val="en-GB"/>
        </w:rPr>
        <w:t xml:space="preserve">. </w:t>
      </w:r>
      <w:r w:rsidR="00C40C3F">
        <w:rPr>
          <w:rFonts w:ascii="Times New Roman" w:hAnsi="Times New Roman" w:cs="Times New Roman"/>
          <w:bCs w:val="0"/>
          <w:szCs w:val="24"/>
          <w:lang w:val="en-GB"/>
        </w:rPr>
        <w:t>N</w:t>
      </w:r>
      <w:r w:rsidR="00CC30D4" w:rsidRPr="00F413DB">
        <w:rPr>
          <w:rFonts w:ascii="Times New Roman" w:hAnsi="Times New Roman" w:cs="Times New Roman"/>
          <w:bCs w:val="0"/>
          <w:szCs w:val="24"/>
          <w:lang w:val="en-GB"/>
        </w:rPr>
        <w:t xml:space="preserve">o incomplete responder had detectable fasting serum C-peptide or </w:t>
      </w:r>
      <w:proofErr w:type="spellStart"/>
      <w:r w:rsidR="00D21D79" w:rsidRPr="00F413DB">
        <w:rPr>
          <w:rFonts w:ascii="Times New Roman" w:hAnsi="Times New Roman" w:cs="Times New Roman"/>
          <w:bCs w:val="0"/>
          <w:szCs w:val="24"/>
          <w:lang w:val="en-GB"/>
        </w:rPr>
        <w:t>poststimulation</w:t>
      </w:r>
      <w:proofErr w:type="spellEnd"/>
      <w:r w:rsidR="00D21D79" w:rsidRPr="00F413DB">
        <w:rPr>
          <w:rFonts w:ascii="Times New Roman" w:hAnsi="Times New Roman" w:cs="Times New Roman"/>
          <w:bCs w:val="0"/>
          <w:szCs w:val="24"/>
          <w:lang w:val="en-GB"/>
        </w:rPr>
        <w:t xml:space="preserve"> </w:t>
      </w:r>
      <w:r w:rsidR="00CC30D4" w:rsidRPr="00F413DB">
        <w:rPr>
          <w:rFonts w:ascii="Times New Roman" w:hAnsi="Times New Roman" w:cs="Times New Roman"/>
          <w:bCs w:val="0"/>
          <w:szCs w:val="24"/>
          <w:lang w:val="en-GB"/>
        </w:rPr>
        <w:t xml:space="preserve">urine C-peptide, </w:t>
      </w:r>
      <w:r w:rsidR="00D21D79" w:rsidRPr="00F413DB">
        <w:rPr>
          <w:rFonts w:ascii="Times New Roman" w:hAnsi="Times New Roman" w:cs="Times New Roman"/>
          <w:bCs w:val="0"/>
          <w:szCs w:val="24"/>
          <w:lang w:val="en-GB"/>
        </w:rPr>
        <w:t>but</w:t>
      </w:r>
      <w:r w:rsidR="00CC30D4" w:rsidRPr="00F413DB">
        <w:rPr>
          <w:rFonts w:ascii="Times New Roman" w:hAnsi="Times New Roman" w:cs="Times New Roman"/>
          <w:bCs w:val="0"/>
          <w:szCs w:val="24"/>
          <w:lang w:val="en-GB"/>
        </w:rPr>
        <w:t xml:space="preserve"> </w:t>
      </w:r>
      <w:r w:rsidR="00AF5E37">
        <w:rPr>
          <w:rFonts w:ascii="Times New Roman" w:hAnsi="Times New Roman" w:cs="Times New Roman"/>
          <w:bCs w:val="0"/>
          <w:szCs w:val="24"/>
          <w:lang w:val="en-GB"/>
        </w:rPr>
        <w:t xml:space="preserve">the </w:t>
      </w:r>
      <w:r w:rsidR="00CC30D4" w:rsidRPr="00F413DB">
        <w:rPr>
          <w:rFonts w:ascii="Times New Roman" w:hAnsi="Times New Roman" w:cs="Times New Roman"/>
          <w:bCs w:val="0"/>
          <w:szCs w:val="24"/>
          <w:lang w:val="en-GB"/>
        </w:rPr>
        <w:t xml:space="preserve">majority of complete responders were also not C-peptide </w:t>
      </w:r>
      <w:proofErr w:type="spellStart"/>
      <w:r w:rsidR="00CC30D4" w:rsidRPr="00F413DB">
        <w:rPr>
          <w:rFonts w:ascii="Times New Roman" w:hAnsi="Times New Roman" w:cs="Times New Roman"/>
          <w:bCs w:val="0"/>
          <w:szCs w:val="24"/>
          <w:lang w:val="en-GB"/>
        </w:rPr>
        <w:t>microsecretors</w:t>
      </w:r>
      <w:proofErr w:type="spellEnd"/>
      <w:r w:rsidR="00D21D79" w:rsidRPr="00F413DB">
        <w:rPr>
          <w:rFonts w:ascii="Times New Roman" w:hAnsi="Times New Roman" w:cs="Times New Roman"/>
          <w:bCs w:val="0"/>
          <w:szCs w:val="24"/>
          <w:lang w:val="en-GB"/>
        </w:rPr>
        <w:t>. Thus, a</w:t>
      </w:r>
      <w:r w:rsidR="00CC30D4" w:rsidRPr="00F413DB">
        <w:rPr>
          <w:rFonts w:ascii="Times New Roman" w:hAnsi="Times New Roman" w:cs="Times New Roman"/>
          <w:bCs w:val="0"/>
          <w:szCs w:val="24"/>
          <w:lang w:val="en-GB"/>
        </w:rPr>
        <w:t xml:space="preserve">lthough </w:t>
      </w:r>
      <w:r w:rsidR="00C40C3F">
        <w:rPr>
          <w:rFonts w:ascii="Times New Roman" w:hAnsi="Times New Roman" w:cs="Times New Roman"/>
          <w:bCs w:val="0"/>
          <w:szCs w:val="24"/>
          <w:lang w:val="en-GB"/>
        </w:rPr>
        <w:t>absolute</w:t>
      </w:r>
      <w:r w:rsidR="00CC30D4" w:rsidRPr="00F413DB">
        <w:rPr>
          <w:rFonts w:ascii="Times New Roman" w:hAnsi="Times New Roman" w:cs="Times New Roman"/>
          <w:bCs w:val="0"/>
          <w:szCs w:val="24"/>
          <w:lang w:val="en-GB"/>
        </w:rPr>
        <w:t xml:space="preserve"> C-peptide negativity </w:t>
      </w:r>
      <w:r w:rsidR="00480B9C">
        <w:rPr>
          <w:rFonts w:ascii="Times New Roman" w:hAnsi="Times New Roman" w:cs="Times New Roman"/>
          <w:bCs w:val="0"/>
          <w:szCs w:val="24"/>
          <w:lang w:val="en-GB"/>
        </w:rPr>
        <w:t>is</w:t>
      </w:r>
      <w:r w:rsidR="00CC30D4" w:rsidRPr="00F413DB">
        <w:rPr>
          <w:rFonts w:ascii="Times New Roman" w:hAnsi="Times New Roman" w:cs="Times New Roman"/>
          <w:bCs w:val="0"/>
          <w:szCs w:val="24"/>
          <w:lang w:val="en-GB"/>
        </w:rPr>
        <w:t xml:space="preserve"> a risk factor for </w:t>
      </w:r>
      <w:r w:rsidR="005639C8" w:rsidRPr="00F413DB">
        <w:rPr>
          <w:rFonts w:ascii="Times New Roman" w:hAnsi="Times New Roman" w:cs="Times New Roman"/>
          <w:bCs w:val="0"/>
          <w:szCs w:val="24"/>
          <w:lang w:val="en-GB"/>
        </w:rPr>
        <w:t xml:space="preserve">severe </w:t>
      </w:r>
      <w:proofErr w:type="spellStart"/>
      <w:r w:rsidR="005639C8" w:rsidRPr="00F413DB">
        <w:rPr>
          <w:rFonts w:ascii="Times New Roman" w:hAnsi="Times New Roman" w:cs="Times New Roman"/>
          <w:bCs w:val="0"/>
          <w:szCs w:val="24"/>
          <w:lang w:val="en-GB"/>
        </w:rPr>
        <w:t>hypoglyc</w:t>
      </w:r>
      <w:r w:rsidR="00D21D79" w:rsidRPr="00F413DB">
        <w:rPr>
          <w:rFonts w:ascii="Times New Roman" w:hAnsi="Times New Roman" w:cs="Times New Roman"/>
          <w:bCs w:val="0"/>
          <w:szCs w:val="24"/>
          <w:lang w:val="en-GB"/>
        </w:rPr>
        <w:t>emia</w:t>
      </w:r>
      <w:proofErr w:type="spellEnd"/>
      <w:r w:rsidR="00D21D79" w:rsidRPr="00F413DB">
        <w:rPr>
          <w:rFonts w:ascii="Times New Roman" w:hAnsi="Times New Roman" w:cs="Times New Roman"/>
          <w:bCs w:val="0"/>
          <w:szCs w:val="24"/>
          <w:lang w:val="en-GB"/>
        </w:rPr>
        <w:t>,</w:t>
      </w:r>
      <w:r w:rsidR="00CC30D4" w:rsidRPr="00F413DB">
        <w:rPr>
          <w:rFonts w:ascii="Times New Roman" w:hAnsi="Times New Roman" w:cs="Times New Roman"/>
          <w:bCs w:val="0"/>
          <w:szCs w:val="24"/>
          <w:lang w:val="en-GB"/>
        </w:rPr>
        <w:t xml:space="preserve"> </w:t>
      </w:r>
      <w:r w:rsidR="00AB6646" w:rsidRPr="00F413DB">
        <w:rPr>
          <w:rFonts w:ascii="Times New Roman" w:hAnsi="Times New Roman" w:cs="Times New Roman"/>
          <w:bCs w:val="0"/>
          <w:szCs w:val="24"/>
          <w:lang w:val="en-GB"/>
        </w:rPr>
        <w:t xml:space="preserve">it does not in itself preclude avoidance of </w:t>
      </w:r>
      <w:r w:rsidR="00D21D79" w:rsidRPr="00F413DB">
        <w:rPr>
          <w:rFonts w:ascii="Times New Roman" w:hAnsi="Times New Roman" w:cs="Times New Roman"/>
          <w:bCs w:val="0"/>
          <w:szCs w:val="24"/>
          <w:lang w:val="en-GB"/>
        </w:rPr>
        <w:t xml:space="preserve">severe </w:t>
      </w:r>
      <w:proofErr w:type="spellStart"/>
      <w:r w:rsidR="00D21D79" w:rsidRPr="00F413DB">
        <w:rPr>
          <w:rFonts w:ascii="Times New Roman" w:hAnsi="Times New Roman" w:cs="Times New Roman"/>
          <w:bCs w:val="0"/>
          <w:szCs w:val="24"/>
          <w:lang w:val="en-GB"/>
        </w:rPr>
        <w:t>hypoglycemia</w:t>
      </w:r>
      <w:proofErr w:type="spellEnd"/>
      <w:r w:rsidR="00AB6646" w:rsidRPr="00F413DB">
        <w:rPr>
          <w:rFonts w:ascii="Times New Roman" w:hAnsi="Times New Roman" w:cs="Times New Roman"/>
          <w:bCs w:val="0"/>
          <w:szCs w:val="24"/>
          <w:lang w:val="en-GB"/>
        </w:rPr>
        <w:t xml:space="preserve"> through multifactorial conventional intervent</w:t>
      </w:r>
      <w:r w:rsidR="00E617C1" w:rsidRPr="00F413DB">
        <w:rPr>
          <w:rFonts w:ascii="Times New Roman" w:hAnsi="Times New Roman" w:cs="Times New Roman"/>
          <w:bCs w:val="0"/>
          <w:szCs w:val="24"/>
          <w:lang w:val="en-GB"/>
        </w:rPr>
        <w:t>i</w:t>
      </w:r>
      <w:r w:rsidR="00AB6646" w:rsidRPr="00F413DB">
        <w:rPr>
          <w:rFonts w:ascii="Times New Roman" w:hAnsi="Times New Roman" w:cs="Times New Roman"/>
          <w:bCs w:val="0"/>
          <w:szCs w:val="24"/>
          <w:lang w:val="en-GB"/>
        </w:rPr>
        <w:t>on.</w:t>
      </w:r>
    </w:p>
    <w:p w14:paraId="03377A7B" w14:textId="77777777" w:rsidR="00853E4A" w:rsidRPr="00F413DB" w:rsidRDefault="00853E4A" w:rsidP="006E73CF">
      <w:pPr>
        <w:spacing w:line="480" w:lineRule="auto"/>
        <w:jc w:val="both"/>
        <w:rPr>
          <w:rFonts w:ascii="Times New Roman" w:hAnsi="Times New Roman" w:cs="Times New Roman"/>
          <w:bCs w:val="0"/>
          <w:szCs w:val="24"/>
          <w:lang w:val="en-GB"/>
        </w:rPr>
      </w:pPr>
    </w:p>
    <w:p w14:paraId="0701E2B7" w14:textId="418D27FF" w:rsidR="00B26B0E" w:rsidRPr="00F413DB" w:rsidRDefault="00E617C1" w:rsidP="003828D1">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lastRenderedPageBreak/>
        <w:t>Study l</w:t>
      </w:r>
      <w:r w:rsidR="00AE509E" w:rsidRPr="00F413DB">
        <w:rPr>
          <w:rFonts w:ascii="Times New Roman" w:hAnsi="Times New Roman" w:cs="Times New Roman"/>
          <w:bCs w:val="0"/>
          <w:szCs w:val="24"/>
          <w:lang w:val="en-GB"/>
        </w:rPr>
        <w:t>i</w:t>
      </w:r>
      <w:r w:rsidR="00D8044C" w:rsidRPr="00F413DB">
        <w:rPr>
          <w:rFonts w:ascii="Times New Roman" w:hAnsi="Times New Roman" w:cs="Times New Roman"/>
          <w:bCs w:val="0"/>
          <w:szCs w:val="24"/>
          <w:lang w:val="en-GB"/>
        </w:rPr>
        <w:t>mitations include t</w:t>
      </w:r>
      <w:r w:rsidR="00A55656" w:rsidRPr="00F413DB">
        <w:rPr>
          <w:rFonts w:ascii="Times New Roman" w:hAnsi="Times New Roman" w:cs="Times New Roman"/>
          <w:bCs w:val="0"/>
          <w:szCs w:val="24"/>
          <w:lang w:val="en-GB"/>
        </w:rPr>
        <w:t xml:space="preserve">he requirement for </w:t>
      </w:r>
      <w:r w:rsidR="005639C8" w:rsidRPr="00F413DB">
        <w:rPr>
          <w:rFonts w:ascii="Times New Roman" w:hAnsi="Times New Roman" w:cs="Times New Roman"/>
          <w:bCs w:val="0"/>
          <w:szCs w:val="24"/>
          <w:lang w:val="en-GB"/>
        </w:rPr>
        <w:t xml:space="preserve">complete severe </w:t>
      </w:r>
      <w:proofErr w:type="spellStart"/>
      <w:r w:rsidR="005639C8" w:rsidRPr="00F413DB">
        <w:rPr>
          <w:rFonts w:ascii="Times New Roman" w:hAnsi="Times New Roman" w:cs="Times New Roman"/>
          <w:bCs w:val="0"/>
          <w:szCs w:val="24"/>
          <w:lang w:val="en-GB"/>
        </w:rPr>
        <w:t>hypoglyc</w:t>
      </w:r>
      <w:r w:rsidRPr="00F413DB">
        <w:rPr>
          <w:rFonts w:ascii="Times New Roman" w:hAnsi="Times New Roman" w:cs="Times New Roman"/>
          <w:bCs w:val="0"/>
          <w:szCs w:val="24"/>
          <w:lang w:val="en-GB"/>
        </w:rPr>
        <w:t>emia</w:t>
      </w:r>
      <w:proofErr w:type="spellEnd"/>
      <w:r w:rsidRPr="00F413DB">
        <w:rPr>
          <w:rFonts w:ascii="Times New Roman" w:hAnsi="Times New Roman" w:cs="Times New Roman"/>
          <w:bCs w:val="0"/>
          <w:szCs w:val="24"/>
          <w:lang w:val="en-GB"/>
        </w:rPr>
        <w:t xml:space="preserve"> data at all study visits to classify a </w:t>
      </w:r>
      <w:r w:rsidR="00D21D79" w:rsidRPr="00F413DB">
        <w:rPr>
          <w:rFonts w:ascii="Times New Roman" w:hAnsi="Times New Roman" w:cs="Times New Roman"/>
          <w:bCs w:val="0"/>
          <w:szCs w:val="24"/>
          <w:lang w:val="en-GB"/>
        </w:rPr>
        <w:t>parti</w:t>
      </w:r>
      <w:r w:rsidRPr="00F413DB">
        <w:rPr>
          <w:rFonts w:ascii="Times New Roman" w:hAnsi="Times New Roman" w:cs="Times New Roman"/>
          <w:bCs w:val="0"/>
          <w:szCs w:val="24"/>
          <w:lang w:val="en-GB"/>
        </w:rPr>
        <w:t xml:space="preserve">cipant as a responder, whereas a single episode of severe </w:t>
      </w:r>
      <w:proofErr w:type="spellStart"/>
      <w:r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recorded at any point during the study </w:t>
      </w:r>
      <w:r w:rsidR="007F6F06">
        <w:rPr>
          <w:rFonts w:ascii="Times New Roman" w:hAnsi="Times New Roman" w:cs="Times New Roman"/>
          <w:bCs w:val="0"/>
          <w:szCs w:val="24"/>
          <w:lang w:val="en-GB"/>
        </w:rPr>
        <w:t>designates</w:t>
      </w:r>
      <w:r w:rsidRPr="00F413DB">
        <w:rPr>
          <w:rFonts w:ascii="Times New Roman" w:hAnsi="Times New Roman" w:cs="Times New Roman"/>
          <w:bCs w:val="0"/>
          <w:szCs w:val="24"/>
          <w:lang w:val="en-GB"/>
        </w:rPr>
        <w:t xml:space="preserve"> the participant an incomplete responder. This may have led to under</w:t>
      </w:r>
      <w:r w:rsidR="00D21D79" w:rsidRPr="00F413DB">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reporting of complete responders. </w:t>
      </w:r>
      <w:r w:rsidR="00D21D79" w:rsidRPr="00F413DB">
        <w:rPr>
          <w:rFonts w:ascii="Times New Roman" w:hAnsi="Times New Roman" w:cs="Times New Roman"/>
          <w:bCs w:val="0"/>
          <w:szCs w:val="24"/>
          <w:lang w:val="en-GB"/>
        </w:rPr>
        <w:t xml:space="preserve">There were more missing data at 24 months in the incomplete response group, but </w:t>
      </w:r>
      <w:r w:rsidR="00CE6766" w:rsidRPr="00F413DB">
        <w:rPr>
          <w:rFonts w:ascii="Times New Roman" w:hAnsi="Times New Roman" w:cs="Times New Roman"/>
          <w:bCs w:val="0"/>
          <w:szCs w:val="24"/>
          <w:lang w:val="en-GB"/>
        </w:rPr>
        <w:t xml:space="preserve">data at study entry </w:t>
      </w:r>
      <w:r w:rsidR="00D21D79" w:rsidRPr="00F413DB">
        <w:rPr>
          <w:rFonts w:ascii="Times New Roman" w:hAnsi="Times New Roman" w:cs="Times New Roman"/>
          <w:bCs w:val="0"/>
          <w:szCs w:val="24"/>
          <w:lang w:val="en-GB"/>
        </w:rPr>
        <w:t xml:space="preserve">were </w:t>
      </w:r>
      <w:r w:rsidR="00CE6766" w:rsidRPr="00F413DB">
        <w:rPr>
          <w:rFonts w:ascii="Times New Roman" w:hAnsi="Times New Roman" w:cs="Times New Roman"/>
          <w:bCs w:val="0"/>
          <w:szCs w:val="24"/>
          <w:lang w:val="en-GB"/>
        </w:rPr>
        <w:t>complete in virtually all participants</w:t>
      </w:r>
      <w:r w:rsidR="009C4596">
        <w:rPr>
          <w:rFonts w:ascii="Times New Roman" w:hAnsi="Times New Roman" w:cs="Times New Roman"/>
          <w:bCs w:val="0"/>
          <w:szCs w:val="24"/>
          <w:lang w:val="en-GB"/>
        </w:rPr>
        <w:t>,</w:t>
      </w:r>
      <w:r w:rsidR="00CE6766" w:rsidRPr="00F413DB">
        <w:rPr>
          <w:rFonts w:ascii="Times New Roman" w:hAnsi="Times New Roman" w:cs="Times New Roman"/>
          <w:bCs w:val="0"/>
          <w:szCs w:val="24"/>
          <w:lang w:val="en-GB"/>
        </w:rPr>
        <w:t xml:space="preserve"> strengthening the primary analysis assessing</w:t>
      </w:r>
      <w:r w:rsidR="00AF5E37">
        <w:rPr>
          <w:rFonts w:ascii="Times New Roman" w:hAnsi="Times New Roman" w:cs="Times New Roman"/>
          <w:bCs w:val="0"/>
          <w:szCs w:val="24"/>
          <w:lang w:val="en-GB"/>
        </w:rPr>
        <w:t xml:space="preserve"> baseline </w:t>
      </w:r>
      <w:r w:rsidR="00CE6766" w:rsidRPr="00F413DB">
        <w:rPr>
          <w:rFonts w:ascii="Times New Roman" w:hAnsi="Times New Roman" w:cs="Times New Roman"/>
          <w:bCs w:val="0"/>
          <w:szCs w:val="24"/>
          <w:lang w:val="en-GB"/>
        </w:rPr>
        <w:t xml:space="preserve">predictors of complete and incomplete response. </w:t>
      </w:r>
      <w:r w:rsidR="00331065" w:rsidRPr="00F413DB">
        <w:rPr>
          <w:rFonts w:ascii="Times New Roman" w:hAnsi="Times New Roman" w:cs="Times New Roman"/>
          <w:bCs w:val="0"/>
          <w:szCs w:val="24"/>
          <w:lang w:val="en-GB"/>
        </w:rPr>
        <w:t xml:space="preserve">Data for determination of associations between biochemical </w:t>
      </w:r>
      <w:proofErr w:type="spellStart"/>
      <w:r w:rsidR="00331065" w:rsidRPr="00F413DB">
        <w:rPr>
          <w:rFonts w:ascii="Times New Roman" w:hAnsi="Times New Roman" w:cs="Times New Roman"/>
          <w:bCs w:val="0"/>
          <w:szCs w:val="24"/>
          <w:lang w:val="en-GB"/>
        </w:rPr>
        <w:t>hypoglycemia</w:t>
      </w:r>
      <w:proofErr w:type="spellEnd"/>
      <w:r w:rsidR="00331065" w:rsidRPr="00F413DB">
        <w:rPr>
          <w:rFonts w:ascii="Times New Roman" w:hAnsi="Times New Roman" w:cs="Times New Roman"/>
          <w:bCs w:val="0"/>
          <w:szCs w:val="24"/>
          <w:lang w:val="en-GB"/>
        </w:rPr>
        <w:t xml:space="preserve">, awareness and severity were restricted to 7-day CGM profiles at baseline and 24 months, limiting conclusions regarding </w:t>
      </w:r>
      <w:proofErr w:type="spellStart"/>
      <w:r w:rsidR="00331065" w:rsidRPr="00F413DB">
        <w:rPr>
          <w:rFonts w:ascii="Times New Roman" w:hAnsi="Times New Roman" w:cs="Times New Roman"/>
          <w:bCs w:val="0"/>
          <w:szCs w:val="24"/>
          <w:lang w:val="en-GB"/>
        </w:rPr>
        <w:t>hypoglycemia</w:t>
      </w:r>
      <w:proofErr w:type="spellEnd"/>
      <w:r w:rsidR="00331065" w:rsidRPr="00F413DB">
        <w:rPr>
          <w:rFonts w:ascii="Times New Roman" w:hAnsi="Times New Roman" w:cs="Times New Roman"/>
          <w:bCs w:val="0"/>
          <w:szCs w:val="24"/>
          <w:lang w:val="en-GB"/>
        </w:rPr>
        <w:t xml:space="preserve"> exposure and other parameters of </w:t>
      </w:r>
      <w:proofErr w:type="spellStart"/>
      <w:r w:rsidR="00331065" w:rsidRPr="00F413DB">
        <w:rPr>
          <w:rFonts w:ascii="Times New Roman" w:hAnsi="Times New Roman" w:cs="Times New Roman"/>
          <w:bCs w:val="0"/>
          <w:szCs w:val="24"/>
          <w:lang w:val="en-GB"/>
        </w:rPr>
        <w:t>glycemic</w:t>
      </w:r>
      <w:proofErr w:type="spellEnd"/>
      <w:r w:rsidR="00331065" w:rsidRPr="00F413DB">
        <w:rPr>
          <w:rFonts w:ascii="Times New Roman" w:hAnsi="Times New Roman" w:cs="Times New Roman"/>
          <w:bCs w:val="0"/>
          <w:szCs w:val="24"/>
          <w:lang w:val="en-GB"/>
        </w:rPr>
        <w:t xml:space="preserve"> control / variability over the longer duration of the study (</w:t>
      </w:r>
      <w:r w:rsidR="00B938C6">
        <w:rPr>
          <w:rFonts w:ascii="Times New Roman" w:hAnsi="Times New Roman" w:cs="Times New Roman"/>
          <w:bCs w:val="0"/>
          <w:szCs w:val="24"/>
          <w:lang w:val="en-GB"/>
        </w:rPr>
        <w:t>3</w:t>
      </w:r>
      <w:r w:rsidR="009C4596">
        <w:rPr>
          <w:rFonts w:ascii="Times New Roman" w:hAnsi="Times New Roman" w:cs="Times New Roman"/>
          <w:bCs w:val="0"/>
          <w:szCs w:val="24"/>
          <w:lang w:val="en-GB"/>
        </w:rPr>
        <w:t>8</w:t>
      </w:r>
      <w:r w:rsidR="00B938C6">
        <w:rPr>
          <w:rFonts w:ascii="Times New Roman" w:hAnsi="Times New Roman" w:cs="Times New Roman"/>
          <w:bCs w:val="0"/>
          <w:szCs w:val="24"/>
          <w:lang w:val="en-GB"/>
        </w:rPr>
        <w:t>)</w:t>
      </w:r>
      <w:r w:rsidR="00331065" w:rsidRPr="00F413DB">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The freedom of the participants to switch between MDI and CSII therapy after the formal 24</w:t>
      </w:r>
      <w:r w:rsidR="0088794A" w:rsidRPr="00F413DB">
        <w:rPr>
          <w:rFonts w:ascii="Times New Roman" w:hAnsi="Times New Roman" w:cs="Times New Roman"/>
          <w:bCs w:val="0"/>
          <w:szCs w:val="24"/>
          <w:lang w:val="en-GB"/>
        </w:rPr>
        <w:t>-</w:t>
      </w:r>
      <w:r w:rsidRPr="00F413DB">
        <w:rPr>
          <w:rFonts w:ascii="Times New Roman" w:hAnsi="Times New Roman" w:cs="Times New Roman"/>
          <w:bCs w:val="0"/>
          <w:szCs w:val="24"/>
          <w:lang w:val="en-GB"/>
        </w:rPr>
        <w:t>week RCT</w:t>
      </w:r>
      <w:r w:rsidR="00CE6766" w:rsidRPr="00F413DB">
        <w:rPr>
          <w:rFonts w:ascii="Times New Roman" w:hAnsi="Times New Roman" w:cs="Times New Roman"/>
          <w:bCs w:val="0"/>
          <w:szCs w:val="24"/>
          <w:lang w:val="en-GB"/>
        </w:rPr>
        <w:t xml:space="preserve"> when they </w:t>
      </w:r>
      <w:r w:rsidRPr="00F413DB">
        <w:rPr>
          <w:rFonts w:ascii="Times New Roman" w:hAnsi="Times New Roman" w:cs="Times New Roman"/>
          <w:bCs w:val="0"/>
          <w:szCs w:val="24"/>
          <w:lang w:val="en-GB"/>
        </w:rPr>
        <w:t>return</w:t>
      </w:r>
      <w:r w:rsidR="00CE6766" w:rsidRPr="00F413DB">
        <w:rPr>
          <w:rFonts w:ascii="Times New Roman" w:hAnsi="Times New Roman" w:cs="Times New Roman"/>
          <w:bCs w:val="0"/>
          <w:szCs w:val="24"/>
          <w:lang w:val="en-GB"/>
        </w:rPr>
        <w:t>ed</w:t>
      </w:r>
      <w:r w:rsidRPr="00F413DB">
        <w:rPr>
          <w:rFonts w:ascii="Times New Roman" w:hAnsi="Times New Roman" w:cs="Times New Roman"/>
          <w:bCs w:val="0"/>
          <w:szCs w:val="24"/>
          <w:lang w:val="en-GB"/>
        </w:rPr>
        <w:t xml:space="preserve"> to routine clinical care was a potential weakness in overall study de</w:t>
      </w:r>
      <w:r w:rsidR="00CE6766" w:rsidRPr="00F413DB">
        <w:rPr>
          <w:rFonts w:ascii="Times New Roman" w:hAnsi="Times New Roman" w:cs="Times New Roman"/>
          <w:bCs w:val="0"/>
          <w:szCs w:val="24"/>
          <w:lang w:val="en-GB"/>
        </w:rPr>
        <w:t>s</w:t>
      </w:r>
      <w:r w:rsidRPr="00F413DB">
        <w:rPr>
          <w:rFonts w:ascii="Times New Roman" w:hAnsi="Times New Roman" w:cs="Times New Roman"/>
          <w:bCs w:val="0"/>
          <w:szCs w:val="24"/>
          <w:lang w:val="en-GB"/>
        </w:rPr>
        <w:t>ign but sho</w:t>
      </w:r>
      <w:r w:rsidR="00CE6766" w:rsidRPr="00F413DB">
        <w:rPr>
          <w:rFonts w:ascii="Times New Roman" w:hAnsi="Times New Roman" w:cs="Times New Roman"/>
          <w:bCs w:val="0"/>
          <w:szCs w:val="24"/>
          <w:lang w:val="en-GB"/>
        </w:rPr>
        <w:t>ul</w:t>
      </w:r>
      <w:r w:rsidRPr="00F413DB">
        <w:rPr>
          <w:rFonts w:ascii="Times New Roman" w:hAnsi="Times New Roman" w:cs="Times New Roman"/>
          <w:bCs w:val="0"/>
          <w:szCs w:val="24"/>
          <w:lang w:val="en-GB"/>
        </w:rPr>
        <w:t>d not</w:t>
      </w:r>
      <w:r w:rsidR="00CE6766" w:rsidRPr="00F413DB">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 xml:space="preserve">unduly impact the current analysis seeking to </w:t>
      </w:r>
      <w:r w:rsidR="00B26B0E" w:rsidRPr="00F413DB">
        <w:rPr>
          <w:rFonts w:ascii="Times New Roman" w:hAnsi="Times New Roman" w:cs="Times New Roman"/>
          <w:bCs w:val="0"/>
          <w:szCs w:val="24"/>
          <w:lang w:val="en-GB"/>
        </w:rPr>
        <w:t xml:space="preserve">determine factors associated with complete and incomplete response to an intervention primarily targeting </w:t>
      </w:r>
      <w:proofErr w:type="spellStart"/>
      <w:r w:rsidR="00CE6766" w:rsidRPr="00F413DB">
        <w:rPr>
          <w:rFonts w:ascii="Times New Roman" w:hAnsi="Times New Roman" w:cs="Times New Roman"/>
          <w:bCs w:val="0"/>
          <w:szCs w:val="24"/>
          <w:lang w:val="en-GB"/>
        </w:rPr>
        <w:t>hypo</w:t>
      </w:r>
      <w:r w:rsidR="003605A9" w:rsidRPr="00F413DB">
        <w:rPr>
          <w:rFonts w:ascii="Times New Roman" w:hAnsi="Times New Roman" w:cs="Times New Roman"/>
          <w:bCs w:val="0"/>
          <w:szCs w:val="24"/>
          <w:lang w:val="en-GB"/>
        </w:rPr>
        <w:t>glyc</w:t>
      </w:r>
      <w:r w:rsidR="00CE6766" w:rsidRPr="00F413DB">
        <w:rPr>
          <w:rFonts w:ascii="Times New Roman" w:hAnsi="Times New Roman" w:cs="Times New Roman"/>
          <w:bCs w:val="0"/>
          <w:szCs w:val="24"/>
          <w:lang w:val="en-GB"/>
        </w:rPr>
        <w:t>emia</w:t>
      </w:r>
      <w:proofErr w:type="spellEnd"/>
      <w:r w:rsidR="00CE6766" w:rsidRPr="00F413DB">
        <w:rPr>
          <w:rFonts w:ascii="Times New Roman" w:hAnsi="Times New Roman" w:cs="Times New Roman"/>
          <w:bCs w:val="0"/>
          <w:szCs w:val="24"/>
          <w:lang w:val="en-GB"/>
        </w:rPr>
        <w:t xml:space="preserve"> </w:t>
      </w:r>
      <w:r w:rsidR="00B26B0E" w:rsidRPr="00F413DB">
        <w:rPr>
          <w:rFonts w:ascii="Times New Roman" w:hAnsi="Times New Roman" w:cs="Times New Roman"/>
          <w:bCs w:val="0"/>
          <w:szCs w:val="24"/>
          <w:lang w:val="en-GB"/>
        </w:rPr>
        <w:t>avoidance through a mu</w:t>
      </w:r>
      <w:r w:rsidR="00CE6766" w:rsidRPr="00F413DB">
        <w:rPr>
          <w:rFonts w:ascii="Times New Roman" w:hAnsi="Times New Roman" w:cs="Times New Roman"/>
          <w:bCs w:val="0"/>
          <w:szCs w:val="24"/>
          <w:lang w:val="en-GB"/>
        </w:rPr>
        <w:t>l</w:t>
      </w:r>
      <w:r w:rsidR="00B26B0E" w:rsidRPr="00F413DB">
        <w:rPr>
          <w:rFonts w:ascii="Times New Roman" w:hAnsi="Times New Roman" w:cs="Times New Roman"/>
          <w:bCs w:val="0"/>
          <w:szCs w:val="24"/>
          <w:lang w:val="en-GB"/>
        </w:rPr>
        <w:t xml:space="preserve">tifactorial intervention. </w:t>
      </w:r>
      <w:r w:rsidR="00CE6766" w:rsidRPr="00F413DB">
        <w:rPr>
          <w:rFonts w:ascii="Times New Roman" w:hAnsi="Times New Roman" w:cs="Times New Roman"/>
          <w:bCs w:val="0"/>
          <w:szCs w:val="24"/>
          <w:lang w:val="en-GB"/>
        </w:rPr>
        <w:t xml:space="preserve">It also strengthens conclusions regarding the potential for a complete response lasting at least 2 years despite the relatively short duration of the initial RCT. </w:t>
      </w:r>
      <w:r w:rsidR="00DB35A7">
        <w:rPr>
          <w:rFonts w:ascii="Times New Roman" w:hAnsi="Times New Roman" w:cs="Times New Roman"/>
          <w:bCs w:val="0"/>
          <w:szCs w:val="24"/>
          <w:lang w:val="en-GB"/>
        </w:rPr>
        <w:t>Although incomplete response w</w:t>
      </w:r>
      <w:r w:rsidR="002C620C">
        <w:rPr>
          <w:rFonts w:ascii="Times New Roman" w:hAnsi="Times New Roman" w:cs="Times New Roman"/>
          <w:bCs w:val="0"/>
          <w:szCs w:val="24"/>
          <w:lang w:val="en-GB"/>
        </w:rPr>
        <w:t>as</w:t>
      </w:r>
      <w:r w:rsidR="00DB35A7">
        <w:rPr>
          <w:rFonts w:ascii="Times New Roman" w:hAnsi="Times New Roman" w:cs="Times New Roman"/>
          <w:bCs w:val="0"/>
          <w:szCs w:val="24"/>
          <w:lang w:val="en-GB"/>
        </w:rPr>
        <w:t xml:space="preserve"> </w:t>
      </w:r>
      <w:r w:rsidR="00331065">
        <w:rPr>
          <w:rFonts w:ascii="Times New Roman" w:hAnsi="Times New Roman" w:cs="Times New Roman"/>
          <w:bCs w:val="0"/>
          <w:szCs w:val="24"/>
          <w:lang w:val="en-GB"/>
        </w:rPr>
        <w:t xml:space="preserve">seen in </w:t>
      </w:r>
      <w:r w:rsidR="00DB35A7">
        <w:rPr>
          <w:rFonts w:ascii="Times New Roman" w:hAnsi="Times New Roman" w:cs="Times New Roman"/>
          <w:bCs w:val="0"/>
          <w:szCs w:val="24"/>
          <w:lang w:val="en-GB"/>
        </w:rPr>
        <w:t>comparable proportions randomized to RT</w:t>
      </w:r>
      <w:r w:rsidR="009C4596">
        <w:rPr>
          <w:rFonts w:ascii="Times New Roman" w:hAnsi="Times New Roman" w:cs="Times New Roman"/>
          <w:bCs w:val="0"/>
          <w:szCs w:val="24"/>
          <w:lang w:val="en-GB"/>
        </w:rPr>
        <w:t>-CGM</w:t>
      </w:r>
      <w:r w:rsidR="00DB35A7">
        <w:rPr>
          <w:rFonts w:ascii="Times New Roman" w:hAnsi="Times New Roman" w:cs="Times New Roman"/>
          <w:bCs w:val="0"/>
          <w:szCs w:val="24"/>
          <w:lang w:val="en-GB"/>
        </w:rPr>
        <w:t xml:space="preserve"> and SMBG alone, the majority were no longer using RT</w:t>
      </w:r>
      <w:r w:rsidR="009C4596">
        <w:rPr>
          <w:rFonts w:ascii="Times New Roman" w:hAnsi="Times New Roman" w:cs="Times New Roman"/>
          <w:bCs w:val="0"/>
          <w:szCs w:val="24"/>
          <w:lang w:val="en-GB"/>
        </w:rPr>
        <w:t>-CGM</w:t>
      </w:r>
      <w:r w:rsidR="00DB35A7">
        <w:rPr>
          <w:rFonts w:ascii="Times New Roman" w:hAnsi="Times New Roman" w:cs="Times New Roman"/>
          <w:bCs w:val="0"/>
          <w:szCs w:val="24"/>
          <w:lang w:val="en-GB"/>
        </w:rPr>
        <w:t xml:space="preserve"> at 24 months</w:t>
      </w:r>
      <w:r w:rsidR="002C620C">
        <w:rPr>
          <w:rFonts w:ascii="Times New Roman" w:hAnsi="Times New Roman" w:cs="Times New Roman"/>
          <w:bCs w:val="0"/>
          <w:szCs w:val="24"/>
          <w:lang w:val="en-GB"/>
        </w:rPr>
        <w:t xml:space="preserve">. </w:t>
      </w:r>
      <w:r w:rsidR="00331065">
        <w:rPr>
          <w:rFonts w:ascii="Times New Roman" w:hAnsi="Times New Roman" w:cs="Times New Roman"/>
          <w:bCs w:val="0"/>
          <w:szCs w:val="24"/>
          <w:lang w:val="en-GB"/>
        </w:rPr>
        <w:t>It is likely that p</w:t>
      </w:r>
      <w:r w:rsidR="002C620C">
        <w:rPr>
          <w:rFonts w:ascii="Times New Roman" w:hAnsi="Times New Roman" w:cs="Times New Roman"/>
          <w:bCs w:val="0"/>
          <w:szCs w:val="24"/>
          <w:lang w:val="en-GB"/>
        </w:rPr>
        <w:t xml:space="preserve">revention of recurrent severe hypoglycaemia in a greater proportion </w:t>
      </w:r>
      <w:r w:rsidR="00331065">
        <w:rPr>
          <w:rFonts w:ascii="Times New Roman" w:hAnsi="Times New Roman" w:cs="Times New Roman"/>
          <w:bCs w:val="0"/>
          <w:szCs w:val="24"/>
          <w:lang w:val="en-GB"/>
        </w:rPr>
        <w:t xml:space="preserve">would now be attainable </w:t>
      </w:r>
      <w:r w:rsidR="002C620C">
        <w:rPr>
          <w:rFonts w:ascii="Times New Roman" w:hAnsi="Times New Roman" w:cs="Times New Roman"/>
          <w:bCs w:val="0"/>
          <w:szCs w:val="24"/>
          <w:lang w:val="en-GB"/>
        </w:rPr>
        <w:t>through updated RT</w:t>
      </w:r>
      <w:r w:rsidR="009C4596">
        <w:rPr>
          <w:rFonts w:ascii="Times New Roman" w:hAnsi="Times New Roman" w:cs="Times New Roman"/>
          <w:bCs w:val="0"/>
          <w:szCs w:val="24"/>
          <w:lang w:val="en-GB"/>
        </w:rPr>
        <w:t>-CGM</w:t>
      </w:r>
      <w:r w:rsidR="002C620C">
        <w:rPr>
          <w:rFonts w:ascii="Times New Roman" w:hAnsi="Times New Roman" w:cs="Times New Roman"/>
          <w:bCs w:val="0"/>
          <w:szCs w:val="24"/>
          <w:lang w:val="en-GB"/>
        </w:rPr>
        <w:t xml:space="preserve"> technology with greater tolerability, utility, predictive low glucose a</w:t>
      </w:r>
      <w:r w:rsidR="00A640DA">
        <w:rPr>
          <w:rFonts w:ascii="Times New Roman" w:hAnsi="Times New Roman" w:cs="Times New Roman"/>
          <w:bCs w:val="0"/>
          <w:szCs w:val="24"/>
          <w:lang w:val="en-GB"/>
        </w:rPr>
        <w:t>la</w:t>
      </w:r>
      <w:r w:rsidR="002C620C">
        <w:rPr>
          <w:rFonts w:ascii="Times New Roman" w:hAnsi="Times New Roman" w:cs="Times New Roman"/>
          <w:bCs w:val="0"/>
          <w:szCs w:val="24"/>
          <w:lang w:val="en-GB"/>
        </w:rPr>
        <w:t>rms and connectivity to suspend CSII insulin delivery</w:t>
      </w:r>
      <w:r w:rsidR="00331065">
        <w:rPr>
          <w:rFonts w:ascii="Times New Roman" w:hAnsi="Times New Roman" w:cs="Times New Roman"/>
          <w:bCs w:val="0"/>
          <w:szCs w:val="24"/>
          <w:lang w:val="en-GB"/>
        </w:rPr>
        <w:t>.</w:t>
      </w:r>
      <w:r w:rsidR="00DB35A7">
        <w:rPr>
          <w:rFonts w:ascii="Times New Roman" w:hAnsi="Times New Roman" w:cs="Times New Roman"/>
          <w:bCs w:val="0"/>
          <w:szCs w:val="24"/>
          <w:lang w:val="en-GB"/>
        </w:rPr>
        <w:t xml:space="preserve"> </w:t>
      </w:r>
    </w:p>
    <w:p w14:paraId="37FE682E" w14:textId="77777777" w:rsidR="003828D1" w:rsidRPr="00F413DB" w:rsidRDefault="003828D1" w:rsidP="003828D1">
      <w:pPr>
        <w:spacing w:line="480" w:lineRule="auto"/>
        <w:jc w:val="both"/>
        <w:outlineLvl w:val="0"/>
        <w:rPr>
          <w:rFonts w:ascii="Times New Roman" w:hAnsi="Times New Roman" w:cs="Times New Roman"/>
          <w:bCs w:val="0"/>
          <w:szCs w:val="24"/>
          <w:lang w:val="en-GB"/>
        </w:rPr>
      </w:pPr>
    </w:p>
    <w:p w14:paraId="0F8E7FB6" w14:textId="418079AB" w:rsidR="009C5979" w:rsidRPr="00F413DB" w:rsidRDefault="00FD7E66">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In conclusion, </w:t>
      </w:r>
      <w:r w:rsidR="00E15246">
        <w:rPr>
          <w:rFonts w:ascii="Times New Roman" w:hAnsi="Times New Roman" w:cs="Times New Roman"/>
          <w:bCs w:val="0"/>
          <w:szCs w:val="24"/>
          <w:lang w:val="en-GB"/>
        </w:rPr>
        <w:t>a pre-pl</w:t>
      </w:r>
      <w:r w:rsidR="009E4452">
        <w:rPr>
          <w:rFonts w:ascii="Times New Roman" w:hAnsi="Times New Roman" w:cs="Times New Roman"/>
          <w:bCs w:val="0"/>
          <w:szCs w:val="24"/>
          <w:lang w:val="en-GB"/>
        </w:rPr>
        <w:t>anned</w:t>
      </w:r>
      <w:r w:rsidR="00E15246">
        <w:rPr>
          <w:rFonts w:ascii="Times New Roman" w:hAnsi="Times New Roman" w:cs="Times New Roman"/>
          <w:bCs w:val="0"/>
          <w:szCs w:val="24"/>
          <w:lang w:val="en-GB"/>
        </w:rPr>
        <w:t xml:space="preserve"> analysis </w:t>
      </w:r>
      <w:r w:rsidR="0062126D" w:rsidRPr="00F413DB">
        <w:rPr>
          <w:rFonts w:ascii="Times New Roman" w:hAnsi="Times New Roman" w:cs="Times New Roman"/>
          <w:bCs w:val="0"/>
          <w:szCs w:val="24"/>
          <w:lang w:val="en-GB"/>
        </w:rPr>
        <w:t xml:space="preserve">of </w:t>
      </w:r>
      <w:proofErr w:type="spellStart"/>
      <w:r w:rsidR="0062126D" w:rsidRPr="00F413DB">
        <w:rPr>
          <w:rFonts w:ascii="Times New Roman" w:hAnsi="Times New Roman" w:cs="Times New Roman"/>
          <w:bCs w:val="0"/>
          <w:szCs w:val="24"/>
          <w:lang w:val="en-GB"/>
        </w:rPr>
        <w:t>HypoCOMP</w:t>
      </w:r>
      <w:r w:rsidR="00E2011A" w:rsidRPr="00F413DB">
        <w:rPr>
          <w:rFonts w:ascii="Times New Roman" w:hAnsi="Times New Roman" w:cs="Times New Roman"/>
          <w:bCs w:val="0"/>
          <w:szCs w:val="24"/>
          <w:lang w:val="en-GB"/>
        </w:rPr>
        <w:t>aSS</w:t>
      </w:r>
      <w:proofErr w:type="spellEnd"/>
      <w:r w:rsidR="00E2011A" w:rsidRPr="00F413DB">
        <w:rPr>
          <w:rFonts w:ascii="Times New Roman" w:hAnsi="Times New Roman" w:cs="Times New Roman"/>
          <w:bCs w:val="0"/>
          <w:szCs w:val="24"/>
          <w:lang w:val="en-GB"/>
        </w:rPr>
        <w:t xml:space="preserve"> participants experiencing severe </w:t>
      </w:r>
      <w:proofErr w:type="spellStart"/>
      <w:r w:rsidR="00E2011A" w:rsidRPr="00F413DB">
        <w:rPr>
          <w:rFonts w:ascii="Times New Roman" w:hAnsi="Times New Roman" w:cs="Times New Roman"/>
          <w:bCs w:val="0"/>
          <w:szCs w:val="24"/>
          <w:lang w:val="en-GB"/>
        </w:rPr>
        <w:t>hypoglycemia</w:t>
      </w:r>
      <w:proofErr w:type="spellEnd"/>
      <w:r w:rsidR="0062126D" w:rsidRPr="00F413DB">
        <w:rPr>
          <w:rFonts w:ascii="Times New Roman" w:hAnsi="Times New Roman" w:cs="Times New Roman"/>
          <w:bCs w:val="0"/>
          <w:szCs w:val="24"/>
          <w:lang w:val="en-GB"/>
        </w:rPr>
        <w:t xml:space="preserve"> over the year prior to study entry has confirmed that the majority experienced no further events over </w:t>
      </w:r>
      <w:r w:rsidR="0091573A">
        <w:rPr>
          <w:rFonts w:ascii="Times New Roman" w:hAnsi="Times New Roman" w:cs="Times New Roman"/>
          <w:bCs w:val="0"/>
          <w:szCs w:val="24"/>
          <w:lang w:val="en-GB"/>
        </w:rPr>
        <w:t xml:space="preserve">the </w:t>
      </w:r>
      <w:r w:rsidR="0062126D" w:rsidRPr="00F413DB">
        <w:rPr>
          <w:rFonts w:ascii="Times New Roman" w:hAnsi="Times New Roman" w:cs="Times New Roman"/>
          <w:bCs w:val="0"/>
          <w:szCs w:val="24"/>
          <w:lang w:val="en-GB"/>
        </w:rPr>
        <w:t xml:space="preserve">2 years following the trial intervention. </w:t>
      </w:r>
      <w:r w:rsidR="00E2011A" w:rsidRPr="00F413DB">
        <w:rPr>
          <w:rFonts w:ascii="Times New Roman" w:hAnsi="Times New Roman" w:cs="Times New Roman"/>
          <w:bCs w:val="0"/>
          <w:szCs w:val="24"/>
          <w:lang w:val="en-GB"/>
        </w:rPr>
        <w:t xml:space="preserve">Severe </w:t>
      </w:r>
      <w:proofErr w:type="spellStart"/>
      <w:r w:rsidR="00E2011A" w:rsidRPr="00F413DB">
        <w:rPr>
          <w:rFonts w:ascii="Times New Roman" w:hAnsi="Times New Roman" w:cs="Times New Roman"/>
          <w:bCs w:val="0"/>
          <w:szCs w:val="24"/>
          <w:lang w:val="en-GB"/>
        </w:rPr>
        <w:t>hypoglycemia</w:t>
      </w:r>
      <w:proofErr w:type="spellEnd"/>
      <w:r w:rsidR="00E2011A" w:rsidRPr="00F413DB">
        <w:rPr>
          <w:rFonts w:ascii="Times New Roman" w:hAnsi="Times New Roman" w:cs="Times New Roman"/>
          <w:bCs w:val="0"/>
          <w:szCs w:val="24"/>
          <w:lang w:val="en-GB"/>
        </w:rPr>
        <w:t xml:space="preserve"> r</w:t>
      </w:r>
      <w:r w:rsidR="0062126D" w:rsidRPr="00F413DB">
        <w:rPr>
          <w:rFonts w:ascii="Times New Roman" w:hAnsi="Times New Roman" w:cs="Times New Roman"/>
          <w:bCs w:val="0"/>
          <w:szCs w:val="24"/>
          <w:lang w:val="en-GB"/>
        </w:rPr>
        <w:t xml:space="preserve">ate was </w:t>
      </w:r>
      <w:r w:rsidR="00AF5E37">
        <w:rPr>
          <w:rFonts w:ascii="Times New Roman" w:hAnsi="Times New Roman" w:cs="Times New Roman"/>
          <w:bCs w:val="0"/>
          <w:szCs w:val="24"/>
          <w:lang w:val="en-GB"/>
        </w:rPr>
        <w:t>substantially reduced</w:t>
      </w:r>
      <w:r w:rsidR="0062126D" w:rsidRPr="00F413DB">
        <w:rPr>
          <w:rFonts w:ascii="Times New Roman" w:hAnsi="Times New Roman" w:cs="Times New Roman"/>
          <w:bCs w:val="0"/>
          <w:szCs w:val="24"/>
          <w:lang w:val="en-GB"/>
        </w:rPr>
        <w:t xml:space="preserve"> even in incomplete resp</w:t>
      </w:r>
      <w:r w:rsidR="00E2011A" w:rsidRPr="00F413DB">
        <w:rPr>
          <w:rFonts w:ascii="Times New Roman" w:hAnsi="Times New Roman" w:cs="Times New Roman"/>
          <w:bCs w:val="0"/>
          <w:szCs w:val="24"/>
          <w:lang w:val="en-GB"/>
        </w:rPr>
        <w:t>o</w:t>
      </w:r>
      <w:r w:rsidR="0062126D" w:rsidRPr="00F413DB">
        <w:rPr>
          <w:rFonts w:ascii="Times New Roman" w:hAnsi="Times New Roman" w:cs="Times New Roman"/>
          <w:bCs w:val="0"/>
          <w:szCs w:val="24"/>
          <w:lang w:val="en-GB"/>
        </w:rPr>
        <w:t xml:space="preserve">nders. Incomplete response was not associated with a strong preference for </w:t>
      </w:r>
      <w:r w:rsidR="0091573A">
        <w:rPr>
          <w:rFonts w:ascii="Times New Roman" w:hAnsi="Times New Roman" w:cs="Times New Roman"/>
          <w:bCs w:val="0"/>
          <w:szCs w:val="24"/>
          <w:lang w:val="en-GB"/>
        </w:rPr>
        <w:t>or</w:t>
      </w:r>
      <w:r w:rsidR="0062126D" w:rsidRPr="00F413DB">
        <w:rPr>
          <w:rFonts w:ascii="Times New Roman" w:hAnsi="Times New Roman" w:cs="Times New Roman"/>
          <w:bCs w:val="0"/>
          <w:szCs w:val="24"/>
          <w:lang w:val="en-GB"/>
        </w:rPr>
        <w:t xml:space="preserve"> low concern about low glucose levels but with established diabetic neuropathy. </w:t>
      </w:r>
      <w:r w:rsidR="009E4452">
        <w:rPr>
          <w:rFonts w:ascii="Times New Roman" w:hAnsi="Times New Roman" w:cs="Times New Roman"/>
          <w:bCs w:val="0"/>
          <w:szCs w:val="24"/>
          <w:lang w:val="en-GB"/>
        </w:rPr>
        <w:t xml:space="preserve">This </w:t>
      </w:r>
      <w:r w:rsidR="009E4452">
        <w:rPr>
          <w:rFonts w:ascii="Times New Roman" w:hAnsi="Times New Roman" w:cs="Times New Roman"/>
          <w:bCs w:val="0"/>
          <w:szCs w:val="24"/>
          <w:lang w:val="en-GB"/>
        </w:rPr>
        <w:lastRenderedPageBreak/>
        <w:t xml:space="preserve">underlines the effectiveness of </w:t>
      </w:r>
      <w:r w:rsidR="00D47F0D">
        <w:rPr>
          <w:rFonts w:ascii="Times New Roman" w:hAnsi="Times New Roman" w:cs="Times New Roman"/>
          <w:bCs w:val="0"/>
          <w:szCs w:val="24"/>
          <w:lang w:val="en-GB"/>
        </w:rPr>
        <w:t xml:space="preserve">a structured psycho-educational intervention in parallel with </w:t>
      </w:r>
      <w:r w:rsidR="009E4452">
        <w:rPr>
          <w:rFonts w:ascii="Times New Roman" w:hAnsi="Times New Roman" w:cs="Times New Roman"/>
          <w:bCs w:val="0"/>
          <w:szCs w:val="24"/>
          <w:lang w:val="en-GB"/>
        </w:rPr>
        <w:t xml:space="preserve">optimised insulin delivery and glucose monitoring in preventing recurrent severe </w:t>
      </w:r>
      <w:proofErr w:type="spellStart"/>
      <w:r w:rsidR="009E4452">
        <w:rPr>
          <w:rFonts w:ascii="Times New Roman" w:hAnsi="Times New Roman" w:cs="Times New Roman"/>
          <w:bCs w:val="0"/>
          <w:szCs w:val="24"/>
          <w:lang w:val="en-GB"/>
        </w:rPr>
        <w:t>hypoglycemia</w:t>
      </w:r>
      <w:proofErr w:type="spellEnd"/>
      <w:r w:rsidR="009E4452">
        <w:rPr>
          <w:rFonts w:ascii="Times New Roman" w:hAnsi="Times New Roman" w:cs="Times New Roman"/>
          <w:bCs w:val="0"/>
          <w:szCs w:val="24"/>
          <w:lang w:val="en-GB"/>
        </w:rPr>
        <w:t xml:space="preserve"> </w:t>
      </w:r>
      <w:r w:rsidR="003049F0">
        <w:rPr>
          <w:rFonts w:ascii="Times New Roman" w:hAnsi="Times New Roman" w:cs="Times New Roman"/>
          <w:bCs w:val="0"/>
          <w:szCs w:val="24"/>
          <w:lang w:val="en-GB"/>
        </w:rPr>
        <w:t>in long-standing type 1 diabetes</w:t>
      </w:r>
      <w:r w:rsidR="00D47F0D">
        <w:rPr>
          <w:rFonts w:ascii="Times New Roman" w:hAnsi="Times New Roman" w:cs="Times New Roman"/>
          <w:bCs w:val="0"/>
          <w:szCs w:val="24"/>
          <w:lang w:val="en-GB"/>
        </w:rPr>
        <w:t>,</w:t>
      </w:r>
      <w:r w:rsidR="003049F0">
        <w:rPr>
          <w:rFonts w:ascii="Times New Roman" w:hAnsi="Times New Roman" w:cs="Times New Roman"/>
          <w:bCs w:val="0"/>
          <w:szCs w:val="24"/>
          <w:lang w:val="en-GB"/>
        </w:rPr>
        <w:t xml:space="preserve"> </w:t>
      </w:r>
      <w:r w:rsidR="009E4452">
        <w:rPr>
          <w:rFonts w:ascii="Times New Roman" w:hAnsi="Times New Roman" w:cs="Times New Roman"/>
          <w:bCs w:val="0"/>
          <w:szCs w:val="24"/>
          <w:lang w:val="en-GB"/>
        </w:rPr>
        <w:t xml:space="preserve">even in those with a high baseline preference for high glucose avoidance. </w:t>
      </w:r>
      <w:r w:rsidR="003049F0">
        <w:rPr>
          <w:rFonts w:ascii="Times New Roman" w:hAnsi="Times New Roman" w:cs="Times New Roman"/>
          <w:bCs w:val="0"/>
          <w:szCs w:val="24"/>
          <w:lang w:val="en-GB"/>
        </w:rPr>
        <w:t>However, a</w:t>
      </w:r>
      <w:r w:rsidR="009C5979" w:rsidRPr="00F413DB">
        <w:rPr>
          <w:rFonts w:ascii="Times New Roman" w:hAnsi="Times New Roman" w:cs="Times New Roman"/>
          <w:bCs w:val="0"/>
          <w:szCs w:val="24"/>
          <w:lang w:val="en-GB"/>
        </w:rPr>
        <w:t>bsolute</w:t>
      </w:r>
      <w:r w:rsidR="0062126D" w:rsidRPr="00F413DB">
        <w:rPr>
          <w:rFonts w:ascii="Times New Roman" w:hAnsi="Times New Roman" w:cs="Times New Roman"/>
          <w:bCs w:val="0"/>
          <w:szCs w:val="24"/>
          <w:lang w:val="en-GB"/>
        </w:rPr>
        <w:t xml:space="preserve"> C-peptide </w:t>
      </w:r>
      <w:r w:rsidR="009C5979" w:rsidRPr="00F413DB">
        <w:rPr>
          <w:rFonts w:ascii="Times New Roman" w:hAnsi="Times New Roman" w:cs="Times New Roman"/>
          <w:bCs w:val="0"/>
          <w:szCs w:val="24"/>
          <w:lang w:val="en-GB"/>
        </w:rPr>
        <w:t xml:space="preserve">negativity and significant neuropathy may merit earlier consideration of sensor-augmented pump therapy to </w:t>
      </w:r>
      <w:r w:rsidR="007F6F06">
        <w:rPr>
          <w:rFonts w:ascii="Times New Roman" w:hAnsi="Times New Roman" w:cs="Times New Roman"/>
          <w:bCs w:val="0"/>
          <w:szCs w:val="24"/>
          <w:lang w:val="en-GB"/>
        </w:rPr>
        <w:t>achieve</w:t>
      </w:r>
      <w:r w:rsidR="00553A9A">
        <w:rPr>
          <w:rFonts w:ascii="Times New Roman" w:hAnsi="Times New Roman" w:cs="Times New Roman"/>
          <w:bCs w:val="0"/>
          <w:szCs w:val="24"/>
          <w:lang w:val="en-GB"/>
        </w:rPr>
        <w:t xml:space="preserve"> “</w:t>
      </w:r>
      <w:r w:rsidR="003605A9" w:rsidRPr="00F413DB">
        <w:rPr>
          <w:rFonts w:ascii="Times New Roman" w:hAnsi="Times New Roman" w:cs="Times New Roman"/>
          <w:bCs w:val="0"/>
          <w:szCs w:val="24"/>
          <w:lang w:val="en-GB"/>
        </w:rPr>
        <w:t>technological</w:t>
      </w:r>
      <w:r w:rsidR="00553A9A">
        <w:rPr>
          <w:rFonts w:ascii="Times New Roman" w:hAnsi="Times New Roman" w:cs="Times New Roman"/>
          <w:bCs w:val="0"/>
          <w:szCs w:val="24"/>
          <w:lang w:val="en-GB"/>
        </w:rPr>
        <w:t>”</w:t>
      </w:r>
      <w:r w:rsidR="003605A9" w:rsidRPr="00F413DB">
        <w:rPr>
          <w:rFonts w:ascii="Times New Roman" w:hAnsi="Times New Roman" w:cs="Times New Roman"/>
          <w:bCs w:val="0"/>
          <w:szCs w:val="24"/>
          <w:lang w:val="en-GB"/>
        </w:rPr>
        <w:t xml:space="preserve"> </w:t>
      </w:r>
      <w:proofErr w:type="spellStart"/>
      <w:r w:rsidR="003605A9" w:rsidRPr="00F413DB">
        <w:rPr>
          <w:rFonts w:ascii="Times New Roman" w:hAnsi="Times New Roman" w:cs="Times New Roman"/>
          <w:bCs w:val="0"/>
          <w:szCs w:val="24"/>
          <w:lang w:val="en-GB"/>
        </w:rPr>
        <w:t>hypoglyc</w:t>
      </w:r>
      <w:r w:rsidR="009C5979" w:rsidRPr="00F413DB">
        <w:rPr>
          <w:rFonts w:ascii="Times New Roman" w:hAnsi="Times New Roman" w:cs="Times New Roman"/>
          <w:bCs w:val="0"/>
          <w:szCs w:val="24"/>
          <w:lang w:val="en-GB"/>
        </w:rPr>
        <w:t>emia</w:t>
      </w:r>
      <w:proofErr w:type="spellEnd"/>
      <w:r w:rsidR="009C5979" w:rsidRPr="00F413DB">
        <w:rPr>
          <w:rFonts w:ascii="Times New Roman" w:hAnsi="Times New Roman" w:cs="Times New Roman"/>
          <w:bCs w:val="0"/>
          <w:szCs w:val="24"/>
          <w:lang w:val="en-GB"/>
        </w:rPr>
        <w:t xml:space="preserve"> prevention or </w:t>
      </w:r>
      <w:r w:rsidR="00553A9A">
        <w:rPr>
          <w:rFonts w:ascii="Times New Roman" w:hAnsi="Times New Roman" w:cs="Times New Roman"/>
          <w:bCs w:val="0"/>
          <w:szCs w:val="24"/>
          <w:lang w:val="en-GB"/>
        </w:rPr>
        <w:t>β</w:t>
      </w:r>
      <w:r w:rsidR="009C5979" w:rsidRPr="00F413DB">
        <w:rPr>
          <w:rFonts w:ascii="Times New Roman" w:hAnsi="Times New Roman" w:cs="Times New Roman"/>
          <w:bCs w:val="0"/>
          <w:szCs w:val="24"/>
          <w:lang w:val="en-GB"/>
        </w:rPr>
        <w:t>-cell replacement therapy t</w:t>
      </w:r>
      <w:r w:rsidR="003605A9" w:rsidRPr="00F413DB">
        <w:rPr>
          <w:rFonts w:ascii="Times New Roman" w:hAnsi="Times New Roman" w:cs="Times New Roman"/>
          <w:bCs w:val="0"/>
          <w:szCs w:val="24"/>
          <w:lang w:val="en-GB"/>
        </w:rPr>
        <w:t xml:space="preserve">o </w:t>
      </w:r>
      <w:r w:rsidR="007F6F06">
        <w:rPr>
          <w:rFonts w:ascii="Times New Roman" w:hAnsi="Times New Roman" w:cs="Times New Roman"/>
          <w:bCs w:val="0"/>
          <w:szCs w:val="24"/>
          <w:lang w:val="en-GB"/>
        </w:rPr>
        <w:t>achieve</w:t>
      </w:r>
      <w:r w:rsidR="00553A9A">
        <w:rPr>
          <w:rFonts w:ascii="Times New Roman" w:hAnsi="Times New Roman" w:cs="Times New Roman"/>
          <w:bCs w:val="0"/>
          <w:szCs w:val="24"/>
          <w:lang w:val="en-GB"/>
        </w:rPr>
        <w:t xml:space="preserve"> “</w:t>
      </w:r>
      <w:r w:rsidR="003605A9" w:rsidRPr="00F413DB">
        <w:rPr>
          <w:rFonts w:ascii="Times New Roman" w:hAnsi="Times New Roman" w:cs="Times New Roman"/>
          <w:bCs w:val="0"/>
          <w:szCs w:val="24"/>
          <w:lang w:val="en-GB"/>
        </w:rPr>
        <w:t>biological</w:t>
      </w:r>
      <w:r w:rsidR="00553A9A">
        <w:rPr>
          <w:rFonts w:ascii="Times New Roman" w:hAnsi="Times New Roman" w:cs="Times New Roman"/>
          <w:bCs w:val="0"/>
          <w:szCs w:val="24"/>
          <w:lang w:val="en-GB"/>
        </w:rPr>
        <w:t>”</w:t>
      </w:r>
      <w:r w:rsidR="003605A9" w:rsidRPr="00F413DB">
        <w:rPr>
          <w:rFonts w:ascii="Times New Roman" w:hAnsi="Times New Roman" w:cs="Times New Roman"/>
          <w:bCs w:val="0"/>
          <w:szCs w:val="24"/>
          <w:lang w:val="en-GB"/>
        </w:rPr>
        <w:t xml:space="preserve"> </w:t>
      </w:r>
      <w:proofErr w:type="spellStart"/>
      <w:r w:rsidR="003605A9" w:rsidRPr="00F413DB">
        <w:rPr>
          <w:rFonts w:ascii="Times New Roman" w:hAnsi="Times New Roman" w:cs="Times New Roman"/>
          <w:bCs w:val="0"/>
          <w:szCs w:val="24"/>
          <w:lang w:val="en-GB"/>
        </w:rPr>
        <w:t>hypoglyc</w:t>
      </w:r>
      <w:r w:rsidR="009C5979" w:rsidRPr="00F413DB">
        <w:rPr>
          <w:rFonts w:ascii="Times New Roman" w:hAnsi="Times New Roman" w:cs="Times New Roman"/>
          <w:bCs w:val="0"/>
          <w:szCs w:val="24"/>
          <w:lang w:val="en-GB"/>
        </w:rPr>
        <w:t>emia</w:t>
      </w:r>
      <w:proofErr w:type="spellEnd"/>
      <w:r w:rsidR="009C5979" w:rsidRPr="00F413DB">
        <w:rPr>
          <w:rFonts w:ascii="Times New Roman" w:hAnsi="Times New Roman" w:cs="Times New Roman"/>
          <w:bCs w:val="0"/>
          <w:szCs w:val="24"/>
          <w:lang w:val="en-GB"/>
        </w:rPr>
        <w:t xml:space="preserve"> prevention.</w:t>
      </w:r>
    </w:p>
    <w:p w14:paraId="75757F30" w14:textId="77777777" w:rsidR="00EE7D3F" w:rsidRPr="00F413DB" w:rsidRDefault="00EE7D3F" w:rsidP="00991E9B">
      <w:pPr>
        <w:spacing w:line="480" w:lineRule="auto"/>
        <w:jc w:val="both"/>
        <w:rPr>
          <w:rFonts w:ascii="Times New Roman" w:hAnsi="Times New Roman" w:cs="Times New Roman"/>
          <w:bCs w:val="0"/>
          <w:szCs w:val="24"/>
          <w:lang w:val="en-GB"/>
        </w:rPr>
      </w:pPr>
    </w:p>
    <w:p w14:paraId="57EF8194" w14:textId="63F3F8FD" w:rsidR="00517157" w:rsidRPr="00F413DB" w:rsidRDefault="003C68FD" w:rsidP="00991E9B">
      <w:pPr>
        <w:spacing w:line="480" w:lineRule="auto"/>
        <w:jc w:val="both"/>
        <w:outlineLvl w:val="0"/>
        <w:rPr>
          <w:rFonts w:ascii="Times New Roman" w:hAnsi="Times New Roman" w:cs="Times New Roman"/>
          <w:b/>
          <w:bCs w:val="0"/>
          <w:szCs w:val="24"/>
          <w:lang w:val="en-GB"/>
        </w:rPr>
      </w:pPr>
      <w:r w:rsidRPr="00F413DB">
        <w:rPr>
          <w:rFonts w:ascii="Times New Roman" w:hAnsi="Times New Roman" w:cs="Times New Roman"/>
          <w:b/>
          <w:bCs w:val="0"/>
          <w:szCs w:val="24"/>
          <w:lang w:val="en-GB"/>
        </w:rPr>
        <w:t>Acknowledgements</w:t>
      </w:r>
    </w:p>
    <w:p w14:paraId="168ACA2F" w14:textId="670DE7E5" w:rsidR="0038402F" w:rsidRPr="00F413DB" w:rsidRDefault="0038402F" w:rsidP="00991E9B">
      <w:pPr>
        <w:spacing w:line="480" w:lineRule="auto"/>
        <w:jc w:val="both"/>
        <w:outlineLvl w:val="0"/>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The authors </w:t>
      </w:r>
      <w:r w:rsidR="00750E3E" w:rsidRPr="00F413DB">
        <w:rPr>
          <w:rFonts w:ascii="Times New Roman" w:hAnsi="Times New Roman" w:cs="Times New Roman"/>
          <w:bCs w:val="0"/>
          <w:szCs w:val="24"/>
          <w:lang w:val="en-GB"/>
        </w:rPr>
        <w:t>thank the study participants,</w:t>
      </w:r>
      <w:r w:rsidR="00AF5E37">
        <w:rPr>
          <w:rFonts w:ascii="Times New Roman" w:hAnsi="Times New Roman" w:cs="Times New Roman"/>
          <w:bCs w:val="0"/>
          <w:szCs w:val="24"/>
          <w:lang w:val="en-GB"/>
        </w:rPr>
        <w:t xml:space="preserve"> staff at the C</w:t>
      </w:r>
      <w:r w:rsidRPr="00F413DB">
        <w:rPr>
          <w:rFonts w:ascii="Times New Roman" w:hAnsi="Times New Roman" w:cs="Times New Roman"/>
          <w:bCs w:val="0"/>
          <w:szCs w:val="24"/>
          <w:lang w:val="en-GB"/>
        </w:rPr>
        <w:t xml:space="preserve">linical </w:t>
      </w:r>
      <w:r w:rsidR="00AF5E37">
        <w:rPr>
          <w:rFonts w:ascii="Times New Roman" w:hAnsi="Times New Roman" w:cs="Times New Roman"/>
          <w:bCs w:val="0"/>
          <w:szCs w:val="24"/>
          <w:lang w:val="en-GB"/>
        </w:rPr>
        <w:t>R</w:t>
      </w:r>
      <w:r w:rsidRPr="00F413DB">
        <w:rPr>
          <w:rFonts w:ascii="Times New Roman" w:hAnsi="Times New Roman" w:cs="Times New Roman"/>
          <w:bCs w:val="0"/>
          <w:szCs w:val="24"/>
          <w:lang w:val="en-GB"/>
        </w:rPr>
        <w:t xml:space="preserve">esearch </w:t>
      </w:r>
      <w:r w:rsidR="00AF5E37">
        <w:rPr>
          <w:rFonts w:ascii="Times New Roman" w:hAnsi="Times New Roman" w:cs="Times New Roman"/>
          <w:bCs w:val="0"/>
          <w:szCs w:val="24"/>
          <w:lang w:val="en-GB"/>
        </w:rPr>
        <w:t>F</w:t>
      </w:r>
      <w:r w:rsidRPr="00F413DB">
        <w:rPr>
          <w:rFonts w:ascii="Times New Roman" w:hAnsi="Times New Roman" w:cs="Times New Roman"/>
          <w:bCs w:val="0"/>
          <w:szCs w:val="24"/>
          <w:lang w:val="en-GB"/>
        </w:rPr>
        <w:t>acilities at participating s</w:t>
      </w:r>
      <w:r w:rsidR="00750E3E" w:rsidRPr="00F413DB">
        <w:rPr>
          <w:rFonts w:ascii="Times New Roman" w:hAnsi="Times New Roman" w:cs="Times New Roman"/>
          <w:bCs w:val="0"/>
          <w:szCs w:val="24"/>
          <w:lang w:val="en-GB"/>
        </w:rPr>
        <w:t xml:space="preserve">ites and Exeter Clinical Laboratory. </w:t>
      </w:r>
      <w:r w:rsidRPr="00F413DB">
        <w:rPr>
          <w:rFonts w:ascii="Times New Roman" w:hAnsi="Times New Roman" w:cs="Times New Roman"/>
          <w:bCs w:val="0"/>
          <w:szCs w:val="24"/>
          <w:lang w:val="en-GB"/>
        </w:rPr>
        <w:t xml:space="preserve"> In addition, the authors thank </w:t>
      </w:r>
      <w:r w:rsidR="00887898" w:rsidRPr="00F413DB">
        <w:rPr>
          <w:rFonts w:ascii="Times New Roman" w:hAnsi="Times New Roman" w:cs="Times New Roman"/>
          <w:bCs w:val="0"/>
          <w:szCs w:val="24"/>
          <w:lang w:val="en-GB"/>
        </w:rPr>
        <w:t xml:space="preserve">Stephanie Amiel (King’s College London, U.K.), chair of the </w:t>
      </w:r>
      <w:r w:rsidR="0051739A" w:rsidRPr="00F413DB">
        <w:rPr>
          <w:rFonts w:ascii="Times New Roman" w:hAnsi="Times New Roman" w:cs="Times New Roman"/>
          <w:bCs w:val="0"/>
          <w:szCs w:val="24"/>
          <w:lang w:val="en-GB"/>
        </w:rPr>
        <w:t>study independent Trial Steering C</w:t>
      </w:r>
      <w:r w:rsidR="00887898" w:rsidRPr="00F413DB">
        <w:rPr>
          <w:rFonts w:ascii="Times New Roman" w:hAnsi="Times New Roman" w:cs="Times New Roman"/>
          <w:bCs w:val="0"/>
          <w:szCs w:val="24"/>
          <w:lang w:val="en-GB"/>
        </w:rPr>
        <w:t>ommittee</w:t>
      </w:r>
      <w:r w:rsidR="00840754">
        <w:rPr>
          <w:rFonts w:ascii="Times New Roman" w:hAnsi="Times New Roman" w:cs="Times New Roman"/>
          <w:bCs w:val="0"/>
          <w:szCs w:val="24"/>
          <w:lang w:val="en-GB"/>
        </w:rPr>
        <w:t>,</w:t>
      </w:r>
      <w:r w:rsidR="0051739A" w:rsidRPr="00F413DB">
        <w:rPr>
          <w:rFonts w:ascii="Times New Roman" w:hAnsi="Times New Roman" w:cs="Times New Roman"/>
          <w:bCs w:val="0"/>
          <w:szCs w:val="24"/>
          <w:lang w:val="en-GB"/>
        </w:rPr>
        <w:t xml:space="preserve"> Philip Home (Newcastle University, Newcastle, U.K.), chair of </w:t>
      </w:r>
      <w:r w:rsidR="00B77DB8">
        <w:rPr>
          <w:rFonts w:ascii="Times New Roman" w:hAnsi="Times New Roman" w:cs="Times New Roman"/>
          <w:bCs w:val="0"/>
          <w:szCs w:val="24"/>
          <w:lang w:val="en-GB"/>
        </w:rPr>
        <w:t xml:space="preserve">the independent </w:t>
      </w:r>
      <w:r w:rsidR="0051739A" w:rsidRPr="00F413DB">
        <w:rPr>
          <w:rFonts w:ascii="Times New Roman" w:hAnsi="Times New Roman" w:cs="Times New Roman"/>
          <w:bCs w:val="0"/>
          <w:szCs w:val="24"/>
          <w:lang w:val="en-GB"/>
        </w:rPr>
        <w:t>Data Monitoring and Ethics Committee</w:t>
      </w:r>
      <w:r w:rsidR="00840754">
        <w:rPr>
          <w:rFonts w:ascii="Times New Roman" w:hAnsi="Times New Roman" w:cs="Times New Roman"/>
          <w:bCs w:val="0"/>
          <w:szCs w:val="24"/>
          <w:lang w:val="en-GB"/>
        </w:rPr>
        <w:t>,</w:t>
      </w:r>
      <w:r w:rsidR="0051739A" w:rsidRPr="00F413DB">
        <w:rPr>
          <w:rFonts w:ascii="Times New Roman" w:hAnsi="Times New Roman" w:cs="Times New Roman"/>
          <w:bCs w:val="0"/>
          <w:szCs w:val="24"/>
          <w:lang w:val="en-GB"/>
        </w:rPr>
        <w:t xml:space="preserve"> </w:t>
      </w:r>
      <w:r w:rsidRPr="00F413DB">
        <w:rPr>
          <w:rFonts w:ascii="Times New Roman" w:hAnsi="Times New Roman" w:cs="Times New Roman"/>
          <w:bCs w:val="0"/>
          <w:szCs w:val="24"/>
          <w:lang w:val="en-GB"/>
        </w:rPr>
        <w:t xml:space="preserve">Brian </w:t>
      </w:r>
      <w:proofErr w:type="spellStart"/>
      <w:r w:rsidRPr="00F413DB">
        <w:rPr>
          <w:rFonts w:ascii="Times New Roman" w:hAnsi="Times New Roman" w:cs="Times New Roman"/>
          <w:bCs w:val="0"/>
          <w:szCs w:val="24"/>
          <w:lang w:val="en-GB"/>
        </w:rPr>
        <w:t>Frier</w:t>
      </w:r>
      <w:proofErr w:type="spellEnd"/>
      <w:r w:rsidRPr="00F413DB">
        <w:rPr>
          <w:rFonts w:ascii="Times New Roman" w:hAnsi="Times New Roman" w:cs="Times New Roman"/>
          <w:bCs w:val="0"/>
          <w:szCs w:val="24"/>
          <w:lang w:val="en-GB"/>
        </w:rPr>
        <w:t xml:space="preserve"> (University of Edinburgh, Edinburgh, U</w:t>
      </w:r>
      <w:r w:rsidR="0051739A" w:rsidRPr="00F413DB">
        <w:rPr>
          <w:rFonts w:ascii="Times New Roman" w:hAnsi="Times New Roman" w:cs="Times New Roman"/>
          <w:bCs w:val="0"/>
          <w:szCs w:val="24"/>
          <w:lang w:val="en-GB"/>
        </w:rPr>
        <w:t>.K.) for advice on study design</w:t>
      </w:r>
      <w:r w:rsidR="00840754">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w:t>
      </w:r>
      <w:proofErr w:type="spellStart"/>
      <w:r w:rsidRPr="00F413DB">
        <w:rPr>
          <w:rFonts w:ascii="Times New Roman" w:hAnsi="Times New Roman" w:cs="Times New Roman"/>
          <w:bCs w:val="0"/>
          <w:szCs w:val="24"/>
          <w:lang w:val="en-GB"/>
        </w:rPr>
        <w:t>Dr.</w:t>
      </w:r>
      <w:proofErr w:type="spellEnd"/>
      <w:r w:rsidRPr="00F413DB">
        <w:rPr>
          <w:rFonts w:ascii="Times New Roman" w:hAnsi="Times New Roman" w:cs="Times New Roman"/>
          <w:bCs w:val="0"/>
          <w:szCs w:val="24"/>
          <w:lang w:val="en-GB"/>
        </w:rPr>
        <w:t xml:space="preserve"> Pratik Choudhary (King’s College London, London, U.K.) for advice on CGM analysis</w:t>
      </w:r>
      <w:r w:rsidR="00840754">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and David Wilson (AHP Research) for data entry of psychosocial measures. </w:t>
      </w:r>
    </w:p>
    <w:p w14:paraId="21A3E8F0" w14:textId="282C0FAA" w:rsidR="003C68FD" w:rsidRPr="00F413DB" w:rsidRDefault="003C68FD" w:rsidP="00991E9B">
      <w:pPr>
        <w:spacing w:line="480" w:lineRule="auto"/>
        <w:jc w:val="both"/>
        <w:rPr>
          <w:rFonts w:ascii="Times New Roman" w:hAnsi="Times New Roman" w:cs="Times New Roman"/>
          <w:bCs w:val="0"/>
          <w:szCs w:val="24"/>
          <w:lang w:val="en-GB"/>
        </w:rPr>
      </w:pPr>
    </w:p>
    <w:p w14:paraId="3D61A362" w14:textId="7163BC10" w:rsidR="003C68FD" w:rsidRPr="00F413DB" w:rsidRDefault="003C68FD" w:rsidP="00991E9B">
      <w:pPr>
        <w:spacing w:line="480" w:lineRule="auto"/>
        <w:jc w:val="both"/>
        <w:outlineLvl w:val="0"/>
        <w:rPr>
          <w:rFonts w:ascii="Times New Roman" w:hAnsi="Times New Roman" w:cs="Times New Roman"/>
          <w:b/>
          <w:bCs w:val="0"/>
          <w:szCs w:val="24"/>
          <w:lang w:val="en-GB"/>
        </w:rPr>
      </w:pPr>
      <w:r w:rsidRPr="00F413DB">
        <w:rPr>
          <w:rFonts w:ascii="Times New Roman" w:hAnsi="Times New Roman" w:cs="Times New Roman"/>
          <w:b/>
          <w:bCs w:val="0"/>
          <w:szCs w:val="24"/>
          <w:lang w:val="en-GB"/>
        </w:rPr>
        <w:t>Funding</w:t>
      </w:r>
    </w:p>
    <w:p w14:paraId="1A32B910" w14:textId="3083E26E" w:rsidR="003C68FD" w:rsidRPr="00F413DB" w:rsidRDefault="00342C1E" w:rsidP="00991E9B">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The study was funded by a peer-reviewed grant from Diabetes UK (07/0003556). </w:t>
      </w:r>
      <w:r w:rsidR="006A0322">
        <w:rPr>
          <w:rFonts w:ascii="Times New Roman" w:hAnsi="Times New Roman" w:cs="Times New Roman"/>
          <w:bCs w:val="0"/>
          <w:szCs w:val="24"/>
          <w:lang w:val="en-GB"/>
        </w:rPr>
        <w:t xml:space="preserve">The research was supported by the National Institute for Health Research Newcastle Biomedical Research Centre. </w:t>
      </w:r>
      <w:r w:rsidRPr="00F413DB">
        <w:rPr>
          <w:rFonts w:ascii="Times New Roman" w:hAnsi="Times New Roman" w:cs="Times New Roman"/>
          <w:bCs w:val="0"/>
          <w:szCs w:val="24"/>
          <w:lang w:val="en-GB"/>
        </w:rPr>
        <w:t xml:space="preserve">The </w:t>
      </w:r>
      <w:r w:rsidR="006A0322">
        <w:rPr>
          <w:rFonts w:ascii="Times New Roman" w:hAnsi="Times New Roman" w:cs="Times New Roman"/>
          <w:bCs w:val="0"/>
          <w:szCs w:val="24"/>
          <w:lang w:val="en-GB"/>
        </w:rPr>
        <w:t xml:space="preserve">Cambridge </w:t>
      </w:r>
      <w:r w:rsidRPr="00F413DB">
        <w:rPr>
          <w:rFonts w:ascii="Times New Roman" w:hAnsi="Times New Roman" w:cs="Times New Roman"/>
          <w:bCs w:val="0"/>
          <w:szCs w:val="24"/>
          <w:lang w:val="en-GB"/>
        </w:rPr>
        <w:t>National Institute for Health Research Biomedical Research Centre funded data entry and trial support.</w:t>
      </w:r>
    </w:p>
    <w:p w14:paraId="397CE3B9" w14:textId="77777777" w:rsidR="00342C1E" w:rsidRPr="00F413DB" w:rsidRDefault="00342C1E" w:rsidP="00991E9B">
      <w:pPr>
        <w:spacing w:line="480" w:lineRule="auto"/>
        <w:jc w:val="both"/>
        <w:rPr>
          <w:rFonts w:ascii="Times New Roman" w:hAnsi="Times New Roman" w:cs="Times New Roman"/>
          <w:bCs w:val="0"/>
          <w:szCs w:val="24"/>
          <w:lang w:val="en-GB"/>
        </w:rPr>
      </w:pPr>
    </w:p>
    <w:p w14:paraId="37E9079C" w14:textId="660DC393" w:rsidR="003C68FD" w:rsidRPr="00F413DB" w:rsidRDefault="003C68FD" w:rsidP="00991E9B">
      <w:pPr>
        <w:spacing w:line="480" w:lineRule="auto"/>
        <w:jc w:val="both"/>
        <w:outlineLvl w:val="0"/>
        <w:rPr>
          <w:rFonts w:ascii="Times New Roman" w:hAnsi="Times New Roman" w:cs="Times New Roman"/>
          <w:b/>
          <w:bCs w:val="0"/>
          <w:szCs w:val="24"/>
          <w:lang w:val="en-GB"/>
        </w:rPr>
      </w:pPr>
      <w:r w:rsidRPr="00F413DB">
        <w:rPr>
          <w:rFonts w:ascii="Times New Roman" w:hAnsi="Times New Roman" w:cs="Times New Roman"/>
          <w:b/>
          <w:bCs w:val="0"/>
          <w:szCs w:val="24"/>
          <w:lang w:val="en-GB"/>
        </w:rPr>
        <w:t>Duality of interest</w:t>
      </w:r>
    </w:p>
    <w:p w14:paraId="72CCFC7B" w14:textId="20FF13A7" w:rsidR="003111FF" w:rsidRPr="00F413DB" w:rsidRDefault="00B744E5" w:rsidP="00991E9B">
      <w:pPr>
        <w:spacing w:line="480" w:lineRule="auto"/>
        <w:jc w:val="both"/>
        <w:outlineLvl w:val="0"/>
        <w:rPr>
          <w:rFonts w:ascii="Times New Roman" w:hAnsi="Times New Roman" w:cs="Times New Roman"/>
          <w:bCs w:val="0"/>
          <w:szCs w:val="24"/>
          <w:lang w:val="en-GB"/>
        </w:rPr>
      </w:pPr>
      <w:r>
        <w:rPr>
          <w:rFonts w:ascii="Times New Roman" w:hAnsi="Times New Roman" w:cs="Times New Roman"/>
          <w:bCs w:val="0"/>
          <w:szCs w:val="24"/>
          <w:lang w:val="en-GB"/>
        </w:rPr>
        <w:t xml:space="preserve">The research group of </w:t>
      </w:r>
      <w:r w:rsidR="003111FF" w:rsidRPr="00F413DB">
        <w:rPr>
          <w:rFonts w:ascii="Times New Roman" w:hAnsi="Times New Roman" w:cs="Times New Roman"/>
          <w:bCs w:val="0"/>
          <w:szCs w:val="24"/>
          <w:lang w:val="en-GB"/>
        </w:rPr>
        <w:t>J.S.</w:t>
      </w:r>
      <w:r w:rsidR="00235E2D" w:rsidRPr="00F413DB">
        <w:rPr>
          <w:rFonts w:ascii="Times New Roman" w:hAnsi="Times New Roman" w:cs="Times New Roman"/>
          <w:bCs w:val="0"/>
          <w:szCs w:val="24"/>
          <w:lang w:val="en-GB"/>
        </w:rPr>
        <w:t xml:space="preserve"> (the Australia</w:t>
      </w:r>
      <w:r w:rsidR="003111FF" w:rsidRPr="00F413DB">
        <w:rPr>
          <w:rFonts w:ascii="Times New Roman" w:hAnsi="Times New Roman" w:cs="Times New Roman"/>
          <w:bCs w:val="0"/>
          <w:szCs w:val="24"/>
          <w:lang w:val="en-GB"/>
        </w:rPr>
        <w:t xml:space="preserve">n Centre for Behavioural Research in Diabetes) has received honoraria for her attendance at advisory board meetings for Janssen Pharmaceuticals, Medtronic, </w:t>
      </w:r>
      <w:r w:rsidR="0091573A">
        <w:rPr>
          <w:rFonts w:ascii="Times New Roman" w:hAnsi="Times New Roman" w:cs="Times New Roman"/>
          <w:bCs w:val="0"/>
          <w:szCs w:val="24"/>
          <w:lang w:val="en-GB"/>
        </w:rPr>
        <w:t xml:space="preserve">Roche Diabetes Care, </w:t>
      </w:r>
      <w:r w:rsidR="003111FF" w:rsidRPr="00F413DB">
        <w:rPr>
          <w:rFonts w:ascii="Times New Roman" w:hAnsi="Times New Roman" w:cs="Times New Roman"/>
          <w:bCs w:val="0"/>
          <w:szCs w:val="24"/>
          <w:lang w:val="en-GB"/>
        </w:rPr>
        <w:t xml:space="preserve">and Sanofi; unrestricted educational grants from Abbott Diabetes Care, </w:t>
      </w:r>
      <w:r w:rsidR="003111FF" w:rsidRPr="00F413DB">
        <w:rPr>
          <w:rFonts w:ascii="Times New Roman" w:hAnsi="Times New Roman" w:cs="Times New Roman"/>
          <w:bCs w:val="0"/>
          <w:szCs w:val="24"/>
          <w:lang w:val="en-GB"/>
        </w:rPr>
        <w:lastRenderedPageBreak/>
        <w:t>AstraZeneca, and Sanofi; and sponsorship to attend educational meetings, speaker honoraria, and consultancy fees from Abbott Diabetes Care, AstraZeneca, Medtronic, Novo Nordisk, Roche Diabetes</w:t>
      </w:r>
      <w:r w:rsidR="0038402F" w:rsidRPr="00F413DB">
        <w:rPr>
          <w:rFonts w:ascii="Times New Roman" w:hAnsi="Times New Roman" w:cs="Times New Roman"/>
          <w:bCs w:val="0"/>
          <w:szCs w:val="24"/>
          <w:lang w:val="en-GB"/>
        </w:rPr>
        <w:t xml:space="preserve">, and Sanofi. L.L. has received speaker honoraria from </w:t>
      </w:r>
      <w:proofErr w:type="spellStart"/>
      <w:r w:rsidR="0038402F" w:rsidRPr="00F413DB">
        <w:rPr>
          <w:rFonts w:ascii="Times New Roman" w:hAnsi="Times New Roman" w:cs="Times New Roman"/>
          <w:bCs w:val="0"/>
          <w:szCs w:val="24"/>
          <w:lang w:val="en-GB"/>
        </w:rPr>
        <w:t>MiniMed</w:t>
      </w:r>
      <w:proofErr w:type="spellEnd"/>
      <w:r w:rsidR="0038402F" w:rsidRPr="00F413DB">
        <w:rPr>
          <w:rFonts w:ascii="Times New Roman" w:hAnsi="Times New Roman" w:cs="Times New Roman"/>
          <w:bCs w:val="0"/>
          <w:szCs w:val="24"/>
          <w:lang w:val="en-GB"/>
        </w:rPr>
        <w:t xml:space="preserve"> Medtronic, Animas, Roche, Sanofi, </w:t>
      </w:r>
      <w:proofErr w:type="spellStart"/>
      <w:r w:rsidR="0038402F" w:rsidRPr="00F413DB">
        <w:rPr>
          <w:rFonts w:ascii="Times New Roman" w:hAnsi="Times New Roman" w:cs="Times New Roman"/>
          <w:bCs w:val="0"/>
          <w:szCs w:val="24"/>
          <w:lang w:val="en-GB"/>
        </w:rPr>
        <w:t>Insulet</w:t>
      </w:r>
      <w:proofErr w:type="spellEnd"/>
      <w:r w:rsidR="0038402F" w:rsidRPr="00F413DB">
        <w:rPr>
          <w:rFonts w:ascii="Times New Roman" w:hAnsi="Times New Roman" w:cs="Times New Roman"/>
          <w:bCs w:val="0"/>
          <w:szCs w:val="24"/>
          <w:lang w:val="en-GB"/>
        </w:rPr>
        <w:t>, and Novo Nordisk</w:t>
      </w:r>
      <w:r>
        <w:rPr>
          <w:rFonts w:ascii="Times New Roman" w:hAnsi="Times New Roman" w:cs="Times New Roman"/>
          <w:bCs w:val="0"/>
          <w:szCs w:val="24"/>
          <w:lang w:val="en-GB"/>
        </w:rPr>
        <w:t>;</w:t>
      </w:r>
      <w:r w:rsidR="0038402F" w:rsidRPr="00F413DB">
        <w:rPr>
          <w:rFonts w:ascii="Times New Roman" w:hAnsi="Times New Roman" w:cs="Times New Roman"/>
          <w:bCs w:val="0"/>
          <w:szCs w:val="24"/>
          <w:lang w:val="en-GB"/>
        </w:rPr>
        <w:t xml:space="preserve"> has served on advisory panels for Abbott Diabetes Care, Animas, </w:t>
      </w:r>
      <w:proofErr w:type="spellStart"/>
      <w:r w:rsidR="0038402F" w:rsidRPr="00F413DB">
        <w:rPr>
          <w:rFonts w:ascii="Times New Roman" w:hAnsi="Times New Roman" w:cs="Times New Roman"/>
          <w:bCs w:val="0"/>
          <w:szCs w:val="24"/>
          <w:lang w:val="en-GB"/>
        </w:rPr>
        <w:t>MiniMed</w:t>
      </w:r>
      <w:proofErr w:type="spellEnd"/>
      <w:r w:rsidR="0038402F" w:rsidRPr="00F413DB">
        <w:rPr>
          <w:rFonts w:ascii="Times New Roman" w:hAnsi="Times New Roman" w:cs="Times New Roman"/>
          <w:bCs w:val="0"/>
          <w:szCs w:val="24"/>
          <w:lang w:val="en-GB"/>
        </w:rPr>
        <w:t xml:space="preserve"> Medtronic, Novo Nordisk, Roche and Sanofi</w:t>
      </w:r>
      <w:r w:rsidR="00A7492E">
        <w:rPr>
          <w:rFonts w:ascii="Times New Roman" w:hAnsi="Times New Roman" w:cs="Times New Roman"/>
          <w:bCs w:val="0"/>
          <w:szCs w:val="24"/>
          <w:lang w:val="en-GB"/>
        </w:rPr>
        <w:t>; and has received</w:t>
      </w:r>
      <w:r w:rsidR="0038402F" w:rsidRPr="00F413DB">
        <w:rPr>
          <w:rFonts w:ascii="Times New Roman" w:hAnsi="Times New Roman" w:cs="Times New Roman"/>
          <w:bCs w:val="0"/>
          <w:szCs w:val="24"/>
          <w:lang w:val="en-GB"/>
        </w:rPr>
        <w:t xml:space="preserve"> grants to attend educational meetings from </w:t>
      </w:r>
      <w:proofErr w:type="spellStart"/>
      <w:r w:rsidR="0038402F" w:rsidRPr="00F413DB">
        <w:rPr>
          <w:rFonts w:ascii="Times New Roman" w:hAnsi="Times New Roman" w:cs="Times New Roman"/>
          <w:bCs w:val="0"/>
          <w:szCs w:val="24"/>
          <w:lang w:val="en-GB"/>
        </w:rPr>
        <w:t>Dexcom</w:t>
      </w:r>
      <w:proofErr w:type="spellEnd"/>
      <w:r w:rsidR="0038402F" w:rsidRPr="00F413DB">
        <w:rPr>
          <w:rFonts w:ascii="Times New Roman" w:hAnsi="Times New Roman" w:cs="Times New Roman"/>
          <w:bCs w:val="0"/>
          <w:szCs w:val="24"/>
          <w:lang w:val="en-GB"/>
        </w:rPr>
        <w:t>, Novo Nordisk, Sanofi, and Taked</w:t>
      </w:r>
      <w:r w:rsidR="00400CE0">
        <w:rPr>
          <w:rFonts w:ascii="Times New Roman" w:hAnsi="Times New Roman" w:cs="Times New Roman"/>
          <w:bCs w:val="0"/>
          <w:szCs w:val="24"/>
          <w:lang w:val="en-GB"/>
        </w:rPr>
        <w:t>a</w:t>
      </w:r>
      <w:r w:rsidR="0038402F" w:rsidRPr="00F413DB">
        <w:rPr>
          <w:rFonts w:ascii="Times New Roman" w:hAnsi="Times New Roman" w:cs="Times New Roman"/>
          <w:bCs w:val="0"/>
          <w:szCs w:val="24"/>
          <w:lang w:val="en-GB"/>
        </w:rPr>
        <w:t>. D.K. is medical</w:t>
      </w:r>
      <w:r>
        <w:rPr>
          <w:rFonts w:ascii="Times New Roman" w:hAnsi="Times New Roman" w:cs="Times New Roman"/>
          <w:bCs w:val="0"/>
          <w:szCs w:val="24"/>
          <w:lang w:val="en-GB"/>
        </w:rPr>
        <w:t xml:space="preserve"> advisor to </w:t>
      </w:r>
      <w:proofErr w:type="spellStart"/>
      <w:r>
        <w:rPr>
          <w:rFonts w:ascii="Times New Roman" w:hAnsi="Times New Roman" w:cs="Times New Roman"/>
          <w:bCs w:val="0"/>
          <w:szCs w:val="24"/>
          <w:lang w:val="en-GB"/>
        </w:rPr>
        <w:t>Glooko</w:t>
      </w:r>
      <w:proofErr w:type="spellEnd"/>
      <w:r>
        <w:rPr>
          <w:rFonts w:ascii="Times New Roman" w:hAnsi="Times New Roman" w:cs="Times New Roman"/>
          <w:bCs w:val="0"/>
          <w:szCs w:val="24"/>
          <w:lang w:val="en-GB"/>
        </w:rPr>
        <w:t xml:space="preserve"> and </w:t>
      </w:r>
      <w:proofErr w:type="spellStart"/>
      <w:r>
        <w:rPr>
          <w:rFonts w:ascii="Times New Roman" w:hAnsi="Times New Roman" w:cs="Times New Roman"/>
          <w:bCs w:val="0"/>
          <w:szCs w:val="24"/>
          <w:lang w:val="en-GB"/>
        </w:rPr>
        <w:t>Vicentra</w:t>
      </w:r>
      <w:proofErr w:type="spellEnd"/>
      <w:r>
        <w:rPr>
          <w:rFonts w:ascii="Times New Roman" w:hAnsi="Times New Roman" w:cs="Times New Roman"/>
          <w:bCs w:val="0"/>
          <w:szCs w:val="24"/>
          <w:lang w:val="en-GB"/>
        </w:rPr>
        <w:t>;</w:t>
      </w:r>
      <w:r w:rsidR="0038402F" w:rsidRPr="00F413DB">
        <w:rPr>
          <w:rFonts w:ascii="Times New Roman" w:hAnsi="Times New Roman" w:cs="Times New Roman"/>
          <w:bCs w:val="0"/>
          <w:szCs w:val="24"/>
          <w:lang w:val="en-GB"/>
        </w:rPr>
        <w:t xml:space="preserve"> has served on advisory boards for </w:t>
      </w:r>
      <w:proofErr w:type="spellStart"/>
      <w:r w:rsidR="0038402F" w:rsidRPr="00F413DB">
        <w:rPr>
          <w:rFonts w:ascii="Times New Roman" w:hAnsi="Times New Roman" w:cs="Times New Roman"/>
          <w:bCs w:val="0"/>
          <w:szCs w:val="24"/>
          <w:lang w:val="en-GB"/>
        </w:rPr>
        <w:t>Ascensia</w:t>
      </w:r>
      <w:proofErr w:type="spellEnd"/>
      <w:r w:rsidR="0038402F" w:rsidRPr="00F413DB">
        <w:rPr>
          <w:rFonts w:ascii="Times New Roman" w:hAnsi="Times New Roman" w:cs="Times New Roman"/>
          <w:bCs w:val="0"/>
          <w:szCs w:val="24"/>
          <w:lang w:val="en-GB"/>
        </w:rPr>
        <w:t>, Novo Nordisk, and Sanofi</w:t>
      </w:r>
      <w:r>
        <w:rPr>
          <w:rFonts w:ascii="Times New Roman" w:hAnsi="Times New Roman" w:cs="Times New Roman"/>
          <w:bCs w:val="0"/>
          <w:szCs w:val="24"/>
          <w:lang w:val="en-GB"/>
        </w:rPr>
        <w:t>;</w:t>
      </w:r>
      <w:r w:rsidR="0038402F" w:rsidRPr="00F413DB">
        <w:rPr>
          <w:rFonts w:ascii="Times New Roman" w:hAnsi="Times New Roman" w:cs="Times New Roman"/>
          <w:bCs w:val="0"/>
          <w:szCs w:val="24"/>
          <w:lang w:val="en-GB"/>
        </w:rPr>
        <w:t xml:space="preserve"> and has received research funding from Lilly. D.F. has received speaker honoraria from AstraZeneca, Novo Nordisk, and Sanofi. </w:t>
      </w:r>
      <w:r w:rsidR="00F13DE4" w:rsidRPr="00F13DE4">
        <w:rPr>
          <w:rFonts w:ascii="Times New Roman" w:hAnsi="Times New Roman" w:cs="Times New Roman"/>
          <w:bCs w:val="0"/>
          <w:szCs w:val="24"/>
          <w:lang w:val="en-GB"/>
        </w:rPr>
        <w:t>A.B. has received honoraria from Astra Zeneca and Sanofi for speaking at educational events and sponsorship from Lilly and Janssen to attend conferences.</w:t>
      </w:r>
      <w:r w:rsidR="00F13DE4">
        <w:rPr>
          <w:rFonts w:ascii="Times New Roman" w:hAnsi="Times New Roman" w:cs="Times New Roman"/>
          <w:bCs w:val="0"/>
          <w:szCs w:val="24"/>
          <w:lang w:val="en-GB"/>
        </w:rPr>
        <w:t xml:space="preserve"> </w:t>
      </w:r>
      <w:r w:rsidR="006012FA" w:rsidRPr="00F413DB">
        <w:rPr>
          <w:rFonts w:ascii="Times New Roman" w:hAnsi="Times New Roman" w:cs="Times New Roman"/>
          <w:bCs w:val="0"/>
          <w:szCs w:val="24"/>
          <w:lang w:val="en-GB"/>
        </w:rPr>
        <w:t>S.R.H. has served on scientific advisory boards and provided consultancy for which his</w:t>
      </w:r>
      <w:r w:rsidR="00400CE0">
        <w:rPr>
          <w:rFonts w:ascii="Times New Roman" w:hAnsi="Times New Roman" w:cs="Times New Roman"/>
          <w:bCs w:val="0"/>
          <w:szCs w:val="24"/>
          <w:lang w:val="en-GB"/>
        </w:rPr>
        <w:t xml:space="preserve"> institution has received remuneration</w:t>
      </w:r>
      <w:r w:rsidR="006012FA" w:rsidRPr="00F413DB">
        <w:rPr>
          <w:rFonts w:ascii="Times New Roman" w:hAnsi="Times New Roman" w:cs="Times New Roman"/>
          <w:bCs w:val="0"/>
          <w:szCs w:val="24"/>
          <w:lang w:val="en-GB"/>
        </w:rPr>
        <w:t xml:space="preserve"> from Eli Lilly, Novo Nordisk, </w:t>
      </w:r>
      <w:r w:rsidR="006012FA">
        <w:rPr>
          <w:rFonts w:ascii="Times New Roman" w:hAnsi="Times New Roman" w:cs="Times New Roman"/>
          <w:bCs w:val="0"/>
          <w:szCs w:val="24"/>
          <w:lang w:val="en-GB"/>
        </w:rPr>
        <w:t xml:space="preserve">Sanofi, </w:t>
      </w:r>
      <w:r w:rsidR="006012FA" w:rsidRPr="00F413DB">
        <w:rPr>
          <w:rFonts w:ascii="Times New Roman" w:hAnsi="Times New Roman" w:cs="Times New Roman"/>
          <w:bCs w:val="0"/>
          <w:szCs w:val="24"/>
          <w:lang w:val="en-GB"/>
        </w:rPr>
        <w:t>Takeda, Zealand</w:t>
      </w:r>
      <w:r w:rsidR="006012FA">
        <w:rPr>
          <w:rFonts w:ascii="Times New Roman" w:hAnsi="Times New Roman" w:cs="Times New Roman"/>
          <w:bCs w:val="0"/>
          <w:szCs w:val="24"/>
          <w:lang w:val="en-GB"/>
        </w:rPr>
        <w:t xml:space="preserve"> Pharma</w:t>
      </w:r>
      <w:r>
        <w:rPr>
          <w:rFonts w:ascii="Times New Roman" w:hAnsi="Times New Roman" w:cs="Times New Roman"/>
          <w:bCs w:val="0"/>
          <w:szCs w:val="24"/>
          <w:lang w:val="en-GB"/>
        </w:rPr>
        <w:t xml:space="preserve"> and </w:t>
      </w:r>
      <w:proofErr w:type="spellStart"/>
      <w:r>
        <w:rPr>
          <w:rFonts w:ascii="Times New Roman" w:hAnsi="Times New Roman" w:cs="Times New Roman"/>
          <w:bCs w:val="0"/>
          <w:szCs w:val="24"/>
          <w:lang w:val="en-GB"/>
        </w:rPr>
        <w:t>Boehringer</w:t>
      </w:r>
      <w:proofErr w:type="spellEnd"/>
      <w:r>
        <w:rPr>
          <w:rFonts w:ascii="Times New Roman" w:hAnsi="Times New Roman" w:cs="Times New Roman"/>
          <w:bCs w:val="0"/>
          <w:szCs w:val="24"/>
          <w:lang w:val="en-GB"/>
        </w:rPr>
        <w:t xml:space="preserve"> </w:t>
      </w:r>
      <w:proofErr w:type="spellStart"/>
      <w:r>
        <w:rPr>
          <w:rFonts w:ascii="Times New Roman" w:hAnsi="Times New Roman" w:cs="Times New Roman"/>
          <w:bCs w:val="0"/>
          <w:szCs w:val="24"/>
          <w:lang w:val="en-GB"/>
        </w:rPr>
        <w:t>Ingelheim</w:t>
      </w:r>
      <w:proofErr w:type="spellEnd"/>
      <w:r w:rsidR="006012FA" w:rsidRPr="00F413DB">
        <w:rPr>
          <w:rFonts w:ascii="Times New Roman" w:hAnsi="Times New Roman" w:cs="Times New Roman"/>
          <w:bCs w:val="0"/>
          <w:szCs w:val="24"/>
          <w:lang w:val="en-GB"/>
        </w:rPr>
        <w:t xml:space="preserve"> </w:t>
      </w:r>
      <w:r w:rsidR="00400CE0">
        <w:rPr>
          <w:rFonts w:ascii="Times New Roman" w:hAnsi="Times New Roman" w:cs="Times New Roman"/>
          <w:bCs w:val="0"/>
          <w:szCs w:val="24"/>
          <w:lang w:val="en-GB"/>
        </w:rPr>
        <w:t xml:space="preserve">and </w:t>
      </w:r>
      <w:r w:rsidR="006012FA" w:rsidRPr="00F413DB">
        <w:rPr>
          <w:rFonts w:ascii="Times New Roman" w:hAnsi="Times New Roman" w:cs="Times New Roman"/>
          <w:bCs w:val="0"/>
          <w:szCs w:val="24"/>
          <w:lang w:val="en-GB"/>
        </w:rPr>
        <w:t>has served as a speaker for which he received re</w:t>
      </w:r>
      <w:r w:rsidR="006012FA">
        <w:rPr>
          <w:rFonts w:ascii="Times New Roman" w:hAnsi="Times New Roman" w:cs="Times New Roman"/>
          <w:bCs w:val="0"/>
          <w:szCs w:val="24"/>
          <w:lang w:val="en-GB"/>
        </w:rPr>
        <w:t>mun</w:t>
      </w:r>
      <w:r w:rsidR="006012FA" w:rsidRPr="00F413DB">
        <w:rPr>
          <w:rFonts w:ascii="Times New Roman" w:hAnsi="Times New Roman" w:cs="Times New Roman"/>
          <w:bCs w:val="0"/>
          <w:szCs w:val="24"/>
          <w:lang w:val="en-GB"/>
        </w:rPr>
        <w:t>eration from Eli Lilly, Novo Nordisk, AstraZeneca and M</w:t>
      </w:r>
      <w:r>
        <w:rPr>
          <w:rFonts w:ascii="Times New Roman" w:hAnsi="Times New Roman" w:cs="Times New Roman"/>
          <w:bCs w:val="0"/>
          <w:szCs w:val="24"/>
          <w:lang w:val="en-GB"/>
        </w:rPr>
        <w:t xml:space="preserve">erck </w:t>
      </w:r>
      <w:r w:rsidR="006012FA" w:rsidRPr="00F413DB">
        <w:rPr>
          <w:rFonts w:ascii="Times New Roman" w:hAnsi="Times New Roman" w:cs="Times New Roman"/>
          <w:bCs w:val="0"/>
          <w:szCs w:val="24"/>
          <w:lang w:val="en-GB"/>
        </w:rPr>
        <w:t>S</w:t>
      </w:r>
      <w:r>
        <w:rPr>
          <w:rFonts w:ascii="Times New Roman" w:hAnsi="Times New Roman" w:cs="Times New Roman"/>
          <w:bCs w:val="0"/>
          <w:szCs w:val="24"/>
          <w:lang w:val="en-GB"/>
        </w:rPr>
        <w:t xml:space="preserve">harp &amp; </w:t>
      </w:r>
      <w:proofErr w:type="spellStart"/>
      <w:r w:rsidR="006012FA" w:rsidRPr="00F413DB">
        <w:rPr>
          <w:rFonts w:ascii="Times New Roman" w:hAnsi="Times New Roman" w:cs="Times New Roman"/>
          <w:bCs w:val="0"/>
          <w:szCs w:val="24"/>
          <w:lang w:val="en-GB"/>
        </w:rPr>
        <w:t>D</w:t>
      </w:r>
      <w:r>
        <w:rPr>
          <w:rFonts w:ascii="Times New Roman" w:hAnsi="Times New Roman" w:cs="Times New Roman"/>
          <w:bCs w:val="0"/>
          <w:szCs w:val="24"/>
          <w:lang w:val="en-GB"/>
        </w:rPr>
        <w:t>ohme</w:t>
      </w:r>
      <w:proofErr w:type="spellEnd"/>
      <w:r w:rsidR="006012FA" w:rsidRPr="00F413DB">
        <w:rPr>
          <w:rFonts w:ascii="Times New Roman" w:hAnsi="Times New Roman" w:cs="Times New Roman"/>
          <w:bCs w:val="0"/>
          <w:szCs w:val="24"/>
          <w:lang w:val="en-GB"/>
        </w:rPr>
        <w:t xml:space="preserve">. </w:t>
      </w:r>
      <w:r w:rsidR="0038402F" w:rsidRPr="00F413DB">
        <w:rPr>
          <w:rFonts w:ascii="Times New Roman" w:hAnsi="Times New Roman" w:cs="Times New Roman"/>
          <w:bCs w:val="0"/>
          <w:szCs w:val="24"/>
          <w:lang w:val="en-GB"/>
        </w:rPr>
        <w:t>M.L.E. has received speaker honoraria from Abbott Diabetes Care, Novo Nordisk, and Animas and served on advisory panels for Novo Nordisk, Abbott Diabetes Care, Medtronic, Roche and Cellnovo. J.A.M.S. has served on scientific advisory boards for Medtronic UK</w:t>
      </w:r>
      <w:r w:rsidR="00A7492E">
        <w:rPr>
          <w:rFonts w:ascii="Times New Roman" w:hAnsi="Times New Roman" w:cs="Times New Roman"/>
          <w:bCs w:val="0"/>
          <w:szCs w:val="24"/>
          <w:lang w:val="en-GB"/>
        </w:rPr>
        <w:t>,</w:t>
      </w:r>
      <w:r w:rsidR="0038402F" w:rsidRPr="00F413DB">
        <w:rPr>
          <w:rFonts w:ascii="Times New Roman" w:hAnsi="Times New Roman" w:cs="Times New Roman"/>
          <w:bCs w:val="0"/>
          <w:szCs w:val="24"/>
          <w:lang w:val="en-GB"/>
        </w:rPr>
        <w:t xml:space="preserve"> Novo Nordisk </w:t>
      </w:r>
      <w:r w:rsidR="00A7492E">
        <w:rPr>
          <w:rFonts w:ascii="Times New Roman" w:hAnsi="Times New Roman" w:cs="Times New Roman"/>
          <w:bCs w:val="0"/>
          <w:szCs w:val="24"/>
          <w:lang w:val="en-GB"/>
        </w:rPr>
        <w:t xml:space="preserve">and Sanofi </w:t>
      </w:r>
      <w:r w:rsidR="0038402F" w:rsidRPr="00F413DB">
        <w:rPr>
          <w:rFonts w:ascii="Times New Roman" w:hAnsi="Times New Roman" w:cs="Times New Roman"/>
          <w:bCs w:val="0"/>
          <w:szCs w:val="24"/>
          <w:lang w:val="en-GB"/>
        </w:rPr>
        <w:t xml:space="preserve">and has received travel support for attending the annual Scientific Sessions of the American Diabetes Association from Novo Nordisk. No other potential conflicts of interest relevant to this article were reported. </w:t>
      </w:r>
    </w:p>
    <w:p w14:paraId="3914BB2A" w14:textId="6B5D0F26" w:rsidR="003C68FD" w:rsidRPr="00F413DB" w:rsidRDefault="003C68FD" w:rsidP="00991E9B">
      <w:pPr>
        <w:spacing w:line="480" w:lineRule="auto"/>
        <w:jc w:val="both"/>
        <w:rPr>
          <w:rFonts w:ascii="Times New Roman" w:hAnsi="Times New Roman" w:cs="Times New Roman"/>
          <w:bCs w:val="0"/>
          <w:szCs w:val="24"/>
          <w:lang w:val="en-GB"/>
        </w:rPr>
      </w:pPr>
    </w:p>
    <w:p w14:paraId="6C1B1D49" w14:textId="523861D2" w:rsidR="003C68FD" w:rsidRPr="00F413DB" w:rsidRDefault="003C68FD" w:rsidP="00991E9B">
      <w:pPr>
        <w:spacing w:line="480" w:lineRule="auto"/>
        <w:jc w:val="both"/>
        <w:outlineLvl w:val="0"/>
        <w:rPr>
          <w:rFonts w:ascii="Times New Roman" w:hAnsi="Times New Roman" w:cs="Times New Roman"/>
          <w:b/>
          <w:bCs w:val="0"/>
          <w:szCs w:val="24"/>
          <w:lang w:val="en-GB"/>
        </w:rPr>
      </w:pPr>
      <w:r w:rsidRPr="00F413DB">
        <w:rPr>
          <w:rFonts w:ascii="Times New Roman" w:hAnsi="Times New Roman" w:cs="Times New Roman"/>
          <w:b/>
          <w:bCs w:val="0"/>
          <w:szCs w:val="24"/>
          <w:lang w:val="en-GB"/>
        </w:rPr>
        <w:t>Author contributions</w:t>
      </w:r>
    </w:p>
    <w:p w14:paraId="5CB749A7" w14:textId="71B9050B" w:rsidR="00991E9B" w:rsidRPr="00F413DB" w:rsidRDefault="00957407" w:rsidP="00991E9B">
      <w:pPr>
        <w:spacing w:line="480" w:lineRule="auto"/>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All authors critically reviewed and edited revisions before approving the final version.</w:t>
      </w:r>
      <w:r>
        <w:rPr>
          <w:rFonts w:ascii="Times New Roman" w:hAnsi="Times New Roman" w:cs="Times New Roman"/>
          <w:bCs w:val="0"/>
          <w:szCs w:val="24"/>
          <w:lang w:val="en-GB"/>
        </w:rPr>
        <w:t xml:space="preserve"> </w:t>
      </w:r>
      <w:r w:rsidR="003111FF" w:rsidRPr="00F413DB">
        <w:rPr>
          <w:rFonts w:ascii="Times New Roman" w:hAnsi="Times New Roman" w:cs="Times New Roman"/>
          <w:bCs w:val="0"/>
          <w:szCs w:val="24"/>
          <w:lang w:val="en-GB"/>
        </w:rPr>
        <w:t xml:space="preserve">A.J.S.F and J.A.M.S prepared the first draft of the manuscript. The trial was designed by the principal investigators: J.S., D.K., D.F., S.R.H., </w:t>
      </w:r>
      <w:r w:rsidR="00A7492E">
        <w:rPr>
          <w:rFonts w:ascii="Times New Roman" w:hAnsi="Times New Roman" w:cs="Times New Roman"/>
          <w:bCs w:val="0"/>
          <w:szCs w:val="24"/>
          <w:lang w:val="en-GB"/>
        </w:rPr>
        <w:t xml:space="preserve">M.L.E </w:t>
      </w:r>
      <w:r w:rsidR="003111FF" w:rsidRPr="00F413DB">
        <w:rPr>
          <w:rFonts w:ascii="Times New Roman" w:hAnsi="Times New Roman" w:cs="Times New Roman"/>
          <w:bCs w:val="0"/>
          <w:szCs w:val="24"/>
          <w:lang w:val="en-GB"/>
        </w:rPr>
        <w:t xml:space="preserve">and J.A.M.S. </w:t>
      </w:r>
      <w:r w:rsidR="0053434E">
        <w:rPr>
          <w:rFonts w:ascii="Times New Roman" w:hAnsi="Times New Roman" w:cs="Times New Roman"/>
          <w:bCs w:val="0"/>
          <w:szCs w:val="24"/>
          <w:lang w:val="en-GB"/>
        </w:rPr>
        <w:t>T</w:t>
      </w:r>
      <w:r w:rsidR="00A7492E">
        <w:rPr>
          <w:rFonts w:ascii="Times New Roman" w:hAnsi="Times New Roman" w:cs="Times New Roman"/>
          <w:bCs w:val="0"/>
          <w:szCs w:val="24"/>
          <w:lang w:val="en-GB"/>
        </w:rPr>
        <w:t>.</w:t>
      </w:r>
      <w:r w:rsidR="0053434E">
        <w:rPr>
          <w:rFonts w:ascii="Times New Roman" w:hAnsi="Times New Roman" w:cs="Times New Roman"/>
          <w:bCs w:val="0"/>
          <w:szCs w:val="24"/>
          <w:lang w:val="en-GB"/>
        </w:rPr>
        <w:t>C</w:t>
      </w:r>
      <w:r w:rsidR="00A7492E">
        <w:rPr>
          <w:rFonts w:ascii="Times New Roman" w:hAnsi="Times New Roman" w:cs="Times New Roman"/>
          <w:bCs w:val="0"/>
          <w:szCs w:val="24"/>
          <w:lang w:val="en-GB"/>
        </w:rPr>
        <w:t>.</w:t>
      </w:r>
      <w:r w:rsidR="0053434E">
        <w:rPr>
          <w:rFonts w:ascii="Times New Roman" w:hAnsi="Times New Roman" w:cs="Times New Roman"/>
          <w:bCs w:val="0"/>
          <w:szCs w:val="24"/>
          <w:lang w:val="en-GB"/>
        </w:rPr>
        <w:t xml:space="preserve"> undertook all statistical analysis other than for the </w:t>
      </w:r>
      <w:r>
        <w:rPr>
          <w:rFonts w:ascii="Times New Roman" w:hAnsi="Times New Roman" w:cs="Times New Roman"/>
          <w:bCs w:val="0"/>
          <w:szCs w:val="24"/>
          <w:lang w:val="en-GB"/>
        </w:rPr>
        <w:t>mixed-meal tolerance test</w:t>
      </w:r>
      <w:r w:rsidR="0053434E">
        <w:rPr>
          <w:rFonts w:ascii="Times New Roman" w:hAnsi="Times New Roman" w:cs="Times New Roman"/>
          <w:bCs w:val="0"/>
          <w:szCs w:val="24"/>
          <w:lang w:val="en-GB"/>
        </w:rPr>
        <w:t xml:space="preserve"> </w:t>
      </w:r>
      <w:proofErr w:type="spellStart"/>
      <w:r w:rsidR="0053434E">
        <w:rPr>
          <w:rFonts w:ascii="Times New Roman" w:hAnsi="Times New Roman" w:cs="Times New Roman"/>
          <w:bCs w:val="0"/>
          <w:szCs w:val="24"/>
          <w:lang w:val="en-GB"/>
        </w:rPr>
        <w:t>substudy</w:t>
      </w:r>
      <w:proofErr w:type="spellEnd"/>
      <w:r w:rsidR="0053434E">
        <w:rPr>
          <w:rFonts w:ascii="Times New Roman" w:hAnsi="Times New Roman" w:cs="Times New Roman"/>
          <w:bCs w:val="0"/>
          <w:szCs w:val="24"/>
          <w:lang w:val="en-GB"/>
        </w:rPr>
        <w:t xml:space="preserve">. </w:t>
      </w:r>
      <w:r w:rsidR="003111FF" w:rsidRPr="00F413DB">
        <w:rPr>
          <w:rFonts w:ascii="Times New Roman" w:hAnsi="Times New Roman" w:cs="Times New Roman"/>
          <w:bCs w:val="0"/>
          <w:szCs w:val="24"/>
          <w:lang w:val="en-GB"/>
        </w:rPr>
        <w:t xml:space="preserve">J.A.M.S. is the guarantor of this work, and as such, had full access </w:t>
      </w:r>
      <w:r w:rsidR="003111FF" w:rsidRPr="00F413DB">
        <w:rPr>
          <w:rFonts w:ascii="Times New Roman" w:hAnsi="Times New Roman" w:cs="Times New Roman"/>
          <w:bCs w:val="0"/>
          <w:szCs w:val="24"/>
          <w:lang w:val="en-GB"/>
        </w:rPr>
        <w:lastRenderedPageBreak/>
        <w:t xml:space="preserve">to all the data in the study and takes responsibility for the integrity of the data and the accuracy of the data analysis. </w:t>
      </w:r>
    </w:p>
    <w:p w14:paraId="2F486BDA" w14:textId="085E4DB6" w:rsidR="00991E9B" w:rsidRPr="00F413DB" w:rsidRDefault="00991E9B" w:rsidP="00991E9B">
      <w:pPr>
        <w:spacing w:line="480" w:lineRule="auto"/>
        <w:jc w:val="both"/>
        <w:rPr>
          <w:rFonts w:ascii="Times New Roman" w:hAnsi="Times New Roman" w:cs="Times New Roman"/>
          <w:bCs w:val="0"/>
          <w:szCs w:val="24"/>
          <w:lang w:val="en-GB"/>
        </w:rPr>
      </w:pPr>
    </w:p>
    <w:p w14:paraId="46C1DB5A" w14:textId="77777777" w:rsidR="00991E9B" w:rsidRPr="00F413DB" w:rsidRDefault="00991E9B" w:rsidP="00991E9B">
      <w:pPr>
        <w:spacing w:line="480" w:lineRule="auto"/>
        <w:jc w:val="both"/>
        <w:rPr>
          <w:rFonts w:ascii="Times New Roman" w:hAnsi="Times New Roman" w:cs="Times New Roman"/>
          <w:bCs w:val="0"/>
          <w:szCs w:val="24"/>
          <w:lang w:val="en-GB"/>
        </w:rPr>
      </w:pPr>
    </w:p>
    <w:p w14:paraId="6E1B2ACC" w14:textId="77777777" w:rsidR="00B77DB8" w:rsidRDefault="00B77DB8">
      <w:pPr>
        <w:rPr>
          <w:rFonts w:ascii="Times New Roman" w:hAnsi="Times New Roman" w:cs="Times New Roman"/>
          <w:b/>
          <w:bCs w:val="0"/>
          <w:szCs w:val="24"/>
          <w:lang w:val="en-GB"/>
        </w:rPr>
      </w:pPr>
      <w:r>
        <w:rPr>
          <w:rFonts w:ascii="Times New Roman" w:hAnsi="Times New Roman" w:cs="Times New Roman"/>
          <w:b/>
          <w:bCs w:val="0"/>
          <w:szCs w:val="24"/>
          <w:lang w:val="en-GB"/>
        </w:rPr>
        <w:br w:type="page"/>
      </w:r>
    </w:p>
    <w:p w14:paraId="24ACEAE8" w14:textId="7F4751D4" w:rsidR="003C68FD" w:rsidRPr="00F413DB" w:rsidRDefault="003C68FD" w:rsidP="00B1258B">
      <w:pPr>
        <w:jc w:val="both"/>
        <w:outlineLvl w:val="0"/>
        <w:rPr>
          <w:rFonts w:ascii="Times New Roman" w:hAnsi="Times New Roman" w:cs="Times New Roman"/>
          <w:b/>
          <w:bCs w:val="0"/>
          <w:szCs w:val="24"/>
          <w:lang w:val="en-GB"/>
        </w:rPr>
      </w:pPr>
      <w:r w:rsidRPr="00F413DB">
        <w:rPr>
          <w:rFonts w:ascii="Times New Roman" w:hAnsi="Times New Roman" w:cs="Times New Roman"/>
          <w:b/>
          <w:bCs w:val="0"/>
          <w:szCs w:val="24"/>
          <w:lang w:val="en-GB"/>
        </w:rPr>
        <w:lastRenderedPageBreak/>
        <w:t>References</w:t>
      </w:r>
      <w:r w:rsidR="00B1258B" w:rsidRPr="00F413DB">
        <w:rPr>
          <w:rFonts w:ascii="Times New Roman" w:hAnsi="Times New Roman" w:cs="Times New Roman"/>
          <w:b/>
          <w:bCs w:val="0"/>
          <w:szCs w:val="24"/>
          <w:lang w:val="en-GB"/>
        </w:rPr>
        <w:t xml:space="preserve"> </w:t>
      </w:r>
    </w:p>
    <w:p w14:paraId="3C85967B" w14:textId="77777777" w:rsidR="00EA49FB" w:rsidRPr="00F413DB" w:rsidRDefault="00EA49FB" w:rsidP="00B1258B">
      <w:pPr>
        <w:jc w:val="both"/>
        <w:outlineLvl w:val="0"/>
        <w:rPr>
          <w:rFonts w:ascii="Times New Roman" w:hAnsi="Times New Roman" w:cs="Times New Roman"/>
          <w:bCs w:val="0"/>
          <w:szCs w:val="24"/>
          <w:lang w:val="en-GB"/>
        </w:rPr>
      </w:pPr>
    </w:p>
    <w:p w14:paraId="693A41B5" w14:textId="16528429" w:rsidR="00741152" w:rsidRPr="00F413DB" w:rsidRDefault="00382E01" w:rsidP="00741152">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1. </w:t>
      </w:r>
      <w:r w:rsidR="00741152" w:rsidRPr="00F413DB">
        <w:rPr>
          <w:rFonts w:ascii="Times New Roman" w:hAnsi="Times New Roman" w:cs="Times New Roman"/>
          <w:bCs w:val="0"/>
          <w:szCs w:val="24"/>
          <w:lang w:val="en-GB"/>
        </w:rPr>
        <w:t xml:space="preserve">UK </w:t>
      </w:r>
      <w:proofErr w:type="spellStart"/>
      <w:r w:rsidR="00741152" w:rsidRPr="00F413DB">
        <w:rPr>
          <w:rFonts w:ascii="Times New Roman" w:hAnsi="Times New Roman" w:cs="Times New Roman"/>
          <w:bCs w:val="0"/>
          <w:szCs w:val="24"/>
          <w:lang w:val="en-GB"/>
        </w:rPr>
        <w:t>Hypoglycemia</w:t>
      </w:r>
      <w:proofErr w:type="spellEnd"/>
      <w:r w:rsidR="00741152" w:rsidRPr="00F413DB">
        <w:rPr>
          <w:rFonts w:ascii="Times New Roman" w:hAnsi="Times New Roman" w:cs="Times New Roman"/>
          <w:bCs w:val="0"/>
          <w:szCs w:val="24"/>
          <w:lang w:val="en-GB"/>
        </w:rPr>
        <w:t xml:space="preserve"> Study Group. Risk of </w:t>
      </w:r>
      <w:proofErr w:type="spellStart"/>
      <w:r w:rsidR="00741152" w:rsidRPr="00F413DB">
        <w:rPr>
          <w:rFonts w:ascii="Times New Roman" w:hAnsi="Times New Roman" w:cs="Times New Roman"/>
          <w:bCs w:val="0"/>
          <w:szCs w:val="24"/>
          <w:lang w:val="en-GB"/>
        </w:rPr>
        <w:t>hypoglycemia</w:t>
      </w:r>
      <w:proofErr w:type="spellEnd"/>
      <w:r w:rsidR="00741152" w:rsidRPr="00F413DB">
        <w:rPr>
          <w:rFonts w:ascii="Times New Roman" w:hAnsi="Times New Roman" w:cs="Times New Roman"/>
          <w:bCs w:val="0"/>
          <w:szCs w:val="24"/>
          <w:lang w:val="en-GB"/>
        </w:rPr>
        <w:t xml:space="preserve"> in type 1 and 2 diabetes: effects of treatment modalities and their duration. </w:t>
      </w:r>
      <w:proofErr w:type="spellStart"/>
      <w:r w:rsidR="00741152" w:rsidRPr="00F413DB">
        <w:rPr>
          <w:rFonts w:ascii="Times New Roman" w:hAnsi="Times New Roman" w:cs="Times New Roman"/>
          <w:bCs w:val="0"/>
          <w:szCs w:val="24"/>
          <w:lang w:val="en-GB"/>
        </w:rPr>
        <w:t>Diabetologia</w:t>
      </w:r>
      <w:proofErr w:type="spellEnd"/>
      <w:r w:rsidR="00741152" w:rsidRPr="00F413DB">
        <w:rPr>
          <w:rFonts w:ascii="Times New Roman" w:hAnsi="Times New Roman" w:cs="Times New Roman"/>
          <w:bCs w:val="0"/>
          <w:szCs w:val="24"/>
          <w:lang w:val="en-GB"/>
        </w:rPr>
        <w:t xml:space="preserve"> 2007</w:t>
      </w:r>
      <w:proofErr w:type="gramStart"/>
      <w:r w:rsidR="00741152" w:rsidRPr="00F413DB">
        <w:rPr>
          <w:rFonts w:ascii="Times New Roman" w:hAnsi="Times New Roman" w:cs="Times New Roman"/>
          <w:bCs w:val="0"/>
          <w:szCs w:val="24"/>
          <w:lang w:val="en-GB"/>
        </w:rPr>
        <w:t>;50:1140</w:t>
      </w:r>
      <w:proofErr w:type="gramEnd"/>
      <w:r w:rsidR="00741152" w:rsidRPr="00F413DB">
        <w:rPr>
          <w:rFonts w:ascii="Times New Roman" w:hAnsi="Times New Roman" w:cs="Times New Roman"/>
          <w:bCs w:val="0"/>
          <w:szCs w:val="24"/>
          <w:lang w:val="en-GB"/>
        </w:rPr>
        <w:t>-</w:t>
      </w:r>
      <w:r w:rsidR="007A69B0">
        <w:rPr>
          <w:rFonts w:ascii="Times New Roman" w:hAnsi="Times New Roman" w:cs="Times New Roman"/>
          <w:bCs w:val="0"/>
          <w:szCs w:val="24"/>
          <w:lang w:val="en-GB"/>
        </w:rPr>
        <w:t>114</w:t>
      </w:r>
      <w:r w:rsidR="00D2041A">
        <w:rPr>
          <w:rFonts w:ascii="Times New Roman" w:hAnsi="Times New Roman" w:cs="Times New Roman"/>
          <w:bCs w:val="0"/>
          <w:szCs w:val="24"/>
          <w:lang w:val="en-GB"/>
        </w:rPr>
        <w:t>7</w:t>
      </w:r>
    </w:p>
    <w:p w14:paraId="1A4B00EE" w14:textId="77777777" w:rsidR="00517157" w:rsidRPr="00F413DB" w:rsidRDefault="00517157" w:rsidP="00B1258B">
      <w:pPr>
        <w:jc w:val="both"/>
        <w:rPr>
          <w:rFonts w:ascii="Times New Roman" w:hAnsi="Times New Roman" w:cs="Times New Roman"/>
          <w:bCs w:val="0"/>
          <w:szCs w:val="24"/>
          <w:lang w:val="en-GB"/>
        </w:rPr>
      </w:pPr>
    </w:p>
    <w:p w14:paraId="257DC445" w14:textId="7BC622E5" w:rsidR="00EA49FB" w:rsidRPr="00F413DB" w:rsidRDefault="00382E01" w:rsidP="00B1258B">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2. </w:t>
      </w:r>
      <w:r w:rsidR="00EA49FB" w:rsidRPr="00F413DB">
        <w:rPr>
          <w:rFonts w:ascii="Times New Roman" w:hAnsi="Times New Roman" w:cs="Times New Roman"/>
          <w:bCs w:val="0"/>
          <w:szCs w:val="24"/>
          <w:lang w:val="en-GB"/>
        </w:rPr>
        <w:t xml:space="preserve">Weinstock RS, Xing D, </w:t>
      </w:r>
      <w:proofErr w:type="spellStart"/>
      <w:r w:rsidR="00EA49FB" w:rsidRPr="00F413DB">
        <w:rPr>
          <w:rFonts w:ascii="Times New Roman" w:hAnsi="Times New Roman" w:cs="Times New Roman"/>
          <w:bCs w:val="0"/>
          <w:szCs w:val="24"/>
          <w:lang w:val="en-GB"/>
        </w:rPr>
        <w:t>Maahs</w:t>
      </w:r>
      <w:proofErr w:type="spellEnd"/>
      <w:r w:rsidR="00EA49FB" w:rsidRPr="00F413DB">
        <w:rPr>
          <w:rFonts w:ascii="Times New Roman" w:hAnsi="Times New Roman" w:cs="Times New Roman"/>
          <w:bCs w:val="0"/>
          <w:szCs w:val="24"/>
          <w:lang w:val="en-GB"/>
        </w:rPr>
        <w:t xml:space="preserve"> DM</w:t>
      </w:r>
      <w:r w:rsidR="0051739A" w:rsidRPr="00F413DB">
        <w:rPr>
          <w:rFonts w:ascii="Times New Roman" w:hAnsi="Times New Roman" w:cs="Times New Roman"/>
          <w:bCs w:val="0"/>
          <w:szCs w:val="24"/>
          <w:lang w:val="en-GB"/>
        </w:rPr>
        <w:t>,</w:t>
      </w:r>
      <w:r w:rsidR="00EA49FB" w:rsidRPr="00F413DB">
        <w:rPr>
          <w:rFonts w:ascii="Times New Roman" w:hAnsi="Times New Roman" w:cs="Times New Roman"/>
          <w:bCs w:val="0"/>
          <w:szCs w:val="24"/>
          <w:lang w:val="en-GB"/>
        </w:rPr>
        <w:t xml:space="preserve"> et al.</w:t>
      </w:r>
      <w:r w:rsidR="00023623">
        <w:rPr>
          <w:rFonts w:ascii="Times New Roman" w:hAnsi="Times New Roman" w:cs="Times New Roman"/>
          <w:bCs w:val="0"/>
          <w:szCs w:val="24"/>
          <w:lang w:val="en-GB"/>
        </w:rPr>
        <w:t>;</w:t>
      </w:r>
      <w:r w:rsidR="00EA49FB" w:rsidRPr="00F413DB">
        <w:rPr>
          <w:rFonts w:ascii="Times New Roman" w:hAnsi="Times New Roman" w:cs="Times New Roman"/>
          <w:bCs w:val="0"/>
          <w:szCs w:val="24"/>
          <w:lang w:val="en-GB"/>
        </w:rPr>
        <w:t xml:space="preserve"> </w:t>
      </w:r>
      <w:r w:rsidR="00023623">
        <w:rPr>
          <w:rFonts w:ascii="Times New Roman" w:hAnsi="Times New Roman" w:cs="Times New Roman"/>
          <w:bCs w:val="0"/>
          <w:szCs w:val="24"/>
          <w:lang w:val="en-GB"/>
        </w:rPr>
        <w:t>T1D Exchange Clinic Network.</w:t>
      </w:r>
      <w:r w:rsidR="00023623" w:rsidRPr="00F413DB">
        <w:rPr>
          <w:rFonts w:ascii="Times New Roman" w:hAnsi="Times New Roman" w:cs="Times New Roman"/>
          <w:bCs w:val="0"/>
          <w:szCs w:val="24"/>
          <w:lang w:val="en-GB"/>
        </w:rPr>
        <w:t xml:space="preserve"> </w:t>
      </w:r>
      <w:r w:rsidR="00EA49FB" w:rsidRPr="00F413DB">
        <w:rPr>
          <w:rFonts w:ascii="Times New Roman" w:hAnsi="Times New Roman" w:cs="Times New Roman"/>
          <w:bCs w:val="0"/>
          <w:szCs w:val="24"/>
          <w:lang w:val="en-GB"/>
        </w:rPr>
        <w:t xml:space="preserve">Severe </w:t>
      </w:r>
      <w:proofErr w:type="spellStart"/>
      <w:r w:rsidR="00EA49FB" w:rsidRPr="00F413DB">
        <w:rPr>
          <w:rFonts w:ascii="Times New Roman" w:hAnsi="Times New Roman" w:cs="Times New Roman"/>
          <w:bCs w:val="0"/>
          <w:szCs w:val="24"/>
          <w:lang w:val="en-GB"/>
        </w:rPr>
        <w:t>hypoglycemia</w:t>
      </w:r>
      <w:proofErr w:type="spellEnd"/>
      <w:r w:rsidR="00EA49FB" w:rsidRPr="00F413DB">
        <w:rPr>
          <w:rFonts w:ascii="Times New Roman" w:hAnsi="Times New Roman" w:cs="Times New Roman"/>
          <w:bCs w:val="0"/>
          <w:szCs w:val="24"/>
          <w:lang w:val="en-GB"/>
        </w:rPr>
        <w:t xml:space="preserve"> and diabetes ketoacidosis in adults with type 1 diabetes: results from the</w:t>
      </w:r>
      <w:r w:rsidR="00023623">
        <w:rPr>
          <w:rFonts w:ascii="Times New Roman" w:hAnsi="Times New Roman" w:cs="Times New Roman"/>
          <w:bCs w:val="0"/>
          <w:szCs w:val="24"/>
          <w:lang w:val="en-GB"/>
        </w:rPr>
        <w:t xml:space="preserve"> </w:t>
      </w:r>
      <w:r w:rsidR="00971099">
        <w:rPr>
          <w:rFonts w:ascii="Times New Roman" w:hAnsi="Times New Roman" w:cs="Times New Roman"/>
          <w:bCs w:val="0"/>
          <w:szCs w:val="24"/>
          <w:lang w:val="en-GB"/>
        </w:rPr>
        <w:t>T1D exchange c</w:t>
      </w:r>
      <w:r w:rsidR="00023623">
        <w:rPr>
          <w:rFonts w:ascii="Times New Roman" w:hAnsi="Times New Roman" w:cs="Times New Roman"/>
          <w:bCs w:val="0"/>
          <w:szCs w:val="24"/>
          <w:lang w:val="en-GB"/>
        </w:rPr>
        <w:t>linic</w:t>
      </w:r>
      <w:r w:rsidR="00023623">
        <w:rPr>
          <w:rFonts w:ascii="Times New Roman" w:hAnsi="Times New Roman" w:cs="Times New Roman"/>
          <w:bCs w:val="0"/>
          <w:szCs w:val="24"/>
          <w:lang w:val="en-GB"/>
        </w:rPr>
        <w:t xml:space="preserve"> </w:t>
      </w:r>
      <w:r w:rsidR="00971099">
        <w:rPr>
          <w:rFonts w:ascii="Times New Roman" w:hAnsi="Times New Roman" w:cs="Times New Roman"/>
          <w:bCs w:val="0"/>
          <w:szCs w:val="24"/>
          <w:lang w:val="en-GB"/>
        </w:rPr>
        <w:t>registry</w:t>
      </w:r>
      <w:r w:rsidR="00F775B5">
        <w:rPr>
          <w:rFonts w:ascii="Times New Roman" w:hAnsi="Times New Roman" w:cs="Times New Roman"/>
          <w:bCs w:val="0"/>
          <w:szCs w:val="24"/>
          <w:lang w:val="en-GB"/>
        </w:rPr>
        <w:t xml:space="preserve">. J </w:t>
      </w:r>
      <w:proofErr w:type="spellStart"/>
      <w:r w:rsidR="00F775B5">
        <w:rPr>
          <w:rFonts w:ascii="Times New Roman" w:hAnsi="Times New Roman" w:cs="Times New Roman"/>
          <w:bCs w:val="0"/>
          <w:szCs w:val="24"/>
          <w:lang w:val="en-GB"/>
        </w:rPr>
        <w:t>Clin</w:t>
      </w:r>
      <w:proofErr w:type="spellEnd"/>
      <w:r w:rsidR="00F775B5">
        <w:rPr>
          <w:rFonts w:ascii="Times New Roman" w:hAnsi="Times New Roman" w:cs="Times New Roman"/>
          <w:bCs w:val="0"/>
          <w:szCs w:val="24"/>
          <w:lang w:val="en-GB"/>
        </w:rPr>
        <w:t xml:space="preserve"> </w:t>
      </w:r>
      <w:proofErr w:type="spellStart"/>
      <w:r w:rsidR="00F775B5">
        <w:rPr>
          <w:rFonts w:ascii="Times New Roman" w:hAnsi="Times New Roman" w:cs="Times New Roman"/>
          <w:bCs w:val="0"/>
          <w:szCs w:val="24"/>
          <w:lang w:val="en-GB"/>
        </w:rPr>
        <w:t>Endocrinol</w:t>
      </w:r>
      <w:proofErr w:type="spellEnd"/>
      <w:r w:rsidR="00F775B5">
        <w:rPr>
          <w:rFonts w:ascii="Times New Roman" w:hAnsi="Times New Roman" w:cs="Times New Roman"/>
          <w:bCs w:val="0"/>
          <w:szCs w:val="24"/>
          <w:lang w:val="en-GB"/>
        </w:rPr>
        <w:t xml:space="preserve"> </w:t>
      </w:r>
      <w:proofErr w:type="spellStart"/>
      <w:r w:rsidR="00F775B5">
        <w:rPr>
          <w:rFonts w:ascii="Times New Roman" w:hAnsi="Times New Roman" w:cs="Times New Roman"/>
          <w:bCs w:val="0"/>
          <w:szCs w:val="24"/>
          <w:lang w:val="en-GB"/>
        </w:rPr>
        <w:t>Metab</w:t>
      </w:r>
      <w:proofErr w:type="spellEnd"/>
      <w:r w:rsidR="00EA49FB" w:rsidRPr="00F413DB">
        <w:rPr>
          <w:rFonts w:ascii="Times New Roman" w:hAnsi="Times New Roman" w:cs="Times New Roman"/>
          <w:bCs w:val="0"/>
          <w:szCs w:val="24"/>
          <w:lang w:val="en-GB"/>
        </w:rPr>
        <w:t xml:space="preserve"> 2013</w:t>
      </w:r>
      <w:proofErr w:type="gramStart"/>
      <w:r w:rsidR="00EA49FB" w:rsidRPr="00F413DB">
        <w:rPr>
          <w:rFonts w:ascii="Times New Roman" w:hAnsi="Times New Roman" w:cs="Times New Roman"/>
          <w:bCs w:val="0"/>
          <w:szCs w:val="24"/>
          <w:lang w:val="en-GB"/>
        </w:rPr>
        <w:t>;98:3411</w:t>
      </w:r>
      <w:proofErr w:type="gramEnd"/>
      <w:r w:rsidR="00EA49FB" w:rsidRPr="00F413DB">
        <w:rPr>
          <w:rFonts w:ascii="Times New Roman" w:hAnsi="Times New Roman" w:cs="Times New Roman"/>
          <w:bCs w:val="0"/>
          <w:szCs w:val="24"/>
          <w:lang w:val="en-GB"/>
        </w:rPr>
        <w:t>-</w:t>
      </w:r>
      <w:r w:rsidR="007A69B0">
        <w:rPr>
          <w:rFonts w:ascii="Times New Roman" w:hAnsi="Times New Roman" w:cs="Times New Roman"/>
          <w:bCs w:val="0"/>
          <w:szCs w:val="24"/>
          <w:lang w:val="en-GB"/>
        </w:rPr>
        <w:t>341</w:t>
      </w:r>
      <w:r w:rsidR="00D2041A">
        <w:rPr>
          <w:rFonts w:ascii="Times New Roman" w:hAnsi="Times New Roman" w:cs="Times New Roman"/>
          <w:bCs w:val="0"/>
          <w:szCs w:val="24"/>
          <w:lang w:val="en-GB"/>
        </w:rPr>
        <w:t>9</w:t>
      </w:r>
    </w:p>
    <w:p w14:paraId="3C463CF7" w14:textId="77777777" w:rsidR="00FC7E0F" w:rsidRPr="00F413DB" w:rsidRDefault="00FC7E0F" w:rsidP="00B1258B">
      <w:pPr>
        <w:jc w:val="both"/>
        <w:rPr>
          <w:rFonts w:ascii="Times New Roman" w:hAnsi="Times New Roman" w:cs="Times New Roman"/>
          <w:bCs w:val="0"/>
          <w:szCs w:val="24"/>
          <w:lang w:val="en-GB"/>
        </w:rPr>
      </w:pPr>
    </w:p>
    <w:p w14:paraId="1923757A" w14:textId="521FD65F" w:rsidR="00B57AFD" w:rsidRPr="00DE12CF" w:rsidRDefault="00382E01" w:rsidP="00B57AFD">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3. </w:t>
      </w:r>
      <w:r w:rsidR="00B57AFD" w:rsidRPr="00F413DB">
        <w:rPr>
          <w:rFonts w:ascii="Times New Roman" w:hAnsi="Times New Roman" w:cs="Times New Roman"/>
          <w:bCs w:val="0"/>
          <w:szCs w:val="24"/>
          <w:lang w:val="en-GB"/>
        </w:rPr>
        <w:t>International Hypoglycaemia Study Group. Glucose concen</w:t>
      </w:r>
      <w:r w:rsidR="00DE12CF">
        <w:rPr>
          <w:rFonts w:ascii="Times New Roman" w:hAnsi="Times New Roman" w:cs="Times New Roman"/>
          <w:bCs w:val="0"/>
          <w:szCs w:val="24"/>
          <w:lang w:val="en-GB"/>
        </w:rPr>
        <w:t xml:space="preserve">trations of less than 3.0 </w:t>
      </w:r>
      <w:proofErr w:type="spellStart"/>
      <w:r w:rsidR="00DE12CF">
        <w:rPr>
          <w:rFonts w:ascii="Times New Roman" w:hAnsi="Times New Roman" w:cs="Times New Roman"/>
          <w:bCs w:val="0"/>
          <w:szCs w:val="24"/>
          <w:lang w:val="en-GB"/>
        </w:rPr>
        <w:t>mmol</w:t>
      </w:r>
      <w:proofErr w:type="spellEnd"/>
      <w:r w:rsidR="00DE12CF">
        <w:rPr>
          <w:rFonts w:ascii="Times New Roman" w:hAnsi="Times New Roman" w:cs="Times New Roman"/>
          <w:bCs w:val="0"/>
          <w:szCs w:val="24"/>
          <w:lang w:val="en-GB"/>
        </w:rPr>
        <w:t>/L (54 mg/</w:t>
      </w:r>
      <w:proofErr w:type="spellStart"/>
      <w:r w:rsidR="00DE12CF">
        <w:rPr>
          <w:rFonts w:ascii="Times New Roman" w:hAnsi="Times New Roman" w:cs="Times New Roman"/>
          <w:bCs w:val="0"/>
          <w:szCs w:val="24"/>
          <w:lang w:val="en-GB"/>
        </w:rPr>
        <w:t>dL</w:t>
      </w:r>
      <w:proofErr w:type="spellEnd"/>
      <w:r w:rsidR="00DE12CF">
        <w:rPr>
          <w:rFonts w:ascii="Times New Roman" w:hAnsi="Times New Roman" w:cs="Times New Roman"/>
          <w:bCs w:val="0"/>
          <w:szCs w:val="24"/>
          <w:lang w:val="en-GB"/>
        </w:rPr>
        <w:t>)</w:t>
      </w:r>
      <w:r w:rsidR="00B57AFD" w:rsidRPr="00F413DB">
        <w:rPr>
          <w:rFonts w:ascii="Times New Roman" w:hAnsi="Times New Roman" w:cs="Times New Roman"/>
          <w:bCs w:val="0"/>
          <w:szCs w:val="24"/>
          <w:lang w:val="en-GB"/>
        </w:rPr>
        <w:t xml:space="preserve"> should be reported in clinical trials: a joint position statement of the American Diabetes Association</w:t>
      </w:r>
      <w:r w:rsidR="00DE12CF">
        <w:rPr>
          <w:rFonts w:ascii="Times New Roman" w:hAnsi="Times New Roman" w:cs="Times New Roman"/>
          <w:bCs w:val="0"/>
          <w:szCs w:val="24"/>
          <w:lang w:val="en-GB"/>
        </w:rPr>
        <w:t xml:space="preserve"> and the European Association</w:t>
      </w:r>
      <w:r w:rsidR="00B57AFD" w:rsidRPr="00F413DB">
        <w:rPr>
          <w:rFonts w:ascii="Times New Roman" w:hAnsi="Times New Roman" w:cs="Times New Roman"/>
          <w:bCs w:val="0"/>
          <w:szCs w:val="24"/>
          <w:lang w:val="en-GB"/>
        </w:rPr>
        <w:t xml:space="preserve"> for the Study of Diabetes. </w:t>
      </w:r>
      <w:r w:rsidR="00B57AFD" w:rsidRPr="00DE12CF">
        <w:rPr>
          <w:rFonts w:ascii="Times New Roman" w:hAnsi="Times New Roman" w:cs="Times New Roman"/>
          <w:bCs w:val="0"/>
          <w:szCs w:val="24"/>
          <w:lang w:val="en-GB"/>
        </w:rPr>
        <w:t>Diabetes Care 2017</w:t>
      </w:r>
      <w:proofErr w:type="gramStart"/>
      <w:r w:rsidR="00B57AFD" w:rsidRPr="00DE12CF">
        <w:rPr>
          <w:rFonts w:ascii="Times New Roman" w:hAnsi="Times New Roman" w:cs="Times New Roman"/>
          <w:bCs w:val="0"/>
          <w:szCs w:val="24"/>
          <w:lang w:val="en-GB"/>
        </w:rPr>
        <w:t>;40:155</w:t>
      </w:r>
      <w:proofErr w:type="gramEnd"/>
      <w:r w:rsidR="00B57AFD" w:rsidRPr="00DE12CF">
        <w:rPr>
          <w:rFonts w:ascii="Times New Roman" w:hAnsi="Times New Roman" w:cs="Times New Roman"/>
          <w:bCs w:val="0"/>
          <w:szCs w:val="24"/>
          <w:lang w:val="en-GB"/>
        </w:rPr>
        <w:t>-</w:t>
      </w:r>
      <w:r w:rsidR="007A69B0" w:rsidRPr="00DE12CF">
        <w:rPr>
          <w:rFonts w:ascii="Times New Roman" w:hAnsi="Times New Roman" w:cs="Times New Roman"/>
          <w:bCs w:val="0"/>
          <w:szCs w:val="24"/>
          <w:lang w:val="en-GB"/>
        </w:rPr>
        <w:t>15</w:t>
      </w:r>
      <w:r w:rsidR="00D2041A" w:rsidRPr="00DE12CF">
        <w:rPr>
          <w:rFonts w:ascii="Times New Roman" w:hAnsi="Times New Roman" w:cs="Times New Roman"/>
          <w:bCs w:val="0"/>
          <w:szCs w:val="24"/>
          <w:lang w:val="en-GB"/>
        </w:rPr>
        <w:t>7</w:t>
      </w:r>
    </w:p>
    <w:p w14:paraId="6D9DAA2B" w14:textId="77777777" w:rsidR="00FC7E0F" w:rsidRPr="00DE12CF" w:rsidRDefault="00FC7E0F" w:rsidP="00B1258B">
      <w:pPr>
        <w:jc w:val="both"/>
        <w:rPr>
          <w:rFonts w:ascii="Times New Roman" w:hAnsi="Times New Roman" w:cs="Times New Roman"/>
          <w:bCs w:val="0"/>
          <w:szCs w:val="24"/>
          <w:lang w:val="en-GB"/>
        </w:rPr>
      </w:pPr>
    </w:p>
    <w:p w14:paraId="005E7AED" w14:textId="73D9B834" w:rsidR="00B57AFD" w:rsidRPr="00F413DB" w:rsidRDefault="00382E01" w:rsidP="00B1258B">
      <w:pPr>
        <w:jc w:val="both"/>
        <w:rPr>
          <w:rFonts w:ascii="Times New Roman" w:hAnsi="Times New Roman" w:cs="Times New Roman"/>
          <w:bCs w:val="0"/>
          <w:szCs w:val="24"/>
          <w:lang w:val="en-GB"/>
        </w:rPr>
      </w:pPr>
      <w:r w:rsidRPr="000143C4">
        <w:rPr>
          <w:rFonts w:ascii="Times New Roman" w:hAnsi="Times New Roman" w:cs="Times New Roman"/>
          <w:bCs w:val="0"/>
          <w:szCs w:val="24"/>
          <w:lang w:val="en-GB"/>
        </w:rPr>
        <w:t xml:space="preserve">4. </w:t>
      </w:r>
      <w:proofErr w:type="spellStart"/>
      <w:r w:rsidR="00B57AFD" w:rsidRPr="000143C4">
        <w:rPr>
          <w:rFonts w:ascii="Times New Roman" w:hAnsi="Times New Roman" w:cs="Times New Roman"/>
          <w:bCs w:val="0"/>
          <w:szCs w:val="24"/>
          <w:lang w:val="en-GB"/>
        </w:rPr>
        <w:t>Hermanns</w:t>
      </w:r>
      <w:proofErr w:type="spellEnd"/>
      <w:r w:rsidR="00B57AFD" w:rsidRPr="000143C4">
        <w:rPr>
          <w:rFonts w:ascii="Times New Roman" w:hAnsi="Times New Roman" w:cs="Times New Roman"/>
          <w:bCs w:val="0"/>
          <w:szCs w:val="24"/>
          <w:lang w:val="en-GB"/>
        </w:rPr>
        <w:t xml:space="preserve"> N, </w:t>
      </w:r>
      <w:proofErr w:type="spellStart"/>
      <w:r w:rsidR="00B57AFD" w:rsidRPr="000143C4">
        <w:rPr>
          <w:rFonts w:ascii="Times New Roman" w:hAnsi="Times New Roman" w:cs="Times New Roman"/>
          <w:bCs w:val="0"/>
          <w:szCs w:val="24"/>
          <w:lang w:val="en-GB"/>
        </w:rPr>
        <w:t>Kulzer</w:t>
      </w:r>
      <w:proofErr w:type="spellEnd"/>
      <w:r w:rsidR="00B57AFD" w:rsidRPr="000143C4">
        <w:rPr>
          <w:rFonts w:ascii="Times New Roman" w:hAnsi="Times New Roman" w:cs="Times New Roman"/>
          <w:bCs w:val="0"/>
          <w:szCs w:val="24"/>
          <w:lang w:val="en-GB"/>
        </w:rPr>
        <w:t xml:space="preserve"> B, </w:t>
      </w:r>
      <w:proofErr w:type="spellStart"/>
      <w:r w:rsidR="00B57AFD" w:rsidRPr="000143C4">
        <w:rPr>
          <w:rFonts w:ascii="Times New Roman" w:hAnsi="Times New Roman" w:cs="Times New Roman"/>
          <w:bCs w:val="0"/>
          <w:szCs w:val="24"/>
          <w:lang w:val="en-GB"/>
        </w:rPr>
        <w:t>Krichbaum</w:t>
      </w:r>
      <w:proofErr w:type="spellEnd"/>
      <w:r w:rsidR="00B57AFD" w:rsidRPr="000143C4">
        <w:rPr>
          <w:rFonts w:ascii="Times New Roman" w:hAnsi="Times New Roman" w:cs="Times New Roman"/>
          <w:bCs w:val="0"/>
          <w:szCs w:val="24"/>
          <w:lang w:val="en-GB"/>
        </w:rPr>
        <w:t xml:space="preserve"> M</w:t>
      </w:r>
      <w:r w:rsidR="0051739A" w:rsidRPr="000143C4">
        <w:rPr>
          <w:rFonts w:ascii="Times New Roman" w:hAnsi="Times New Roman" w:cs="Times New Roman"/>
          <w:bCs w:val="0"/>
          <w:szCs w:val="24"/>
          <w:lang w:val="en-GB"/>
        </w:rPr>
        <w:t>,</w:t>
      </w:r>
      <w:r w:rsidR="00B57AFD" w:rsidRPr="000143C4">
        <w:rPr>
          <w:rFonts w:ascii="Times New Roman" w:hAnsi="Times New Roman" w:cs="Times New Roman"/>
          <w:bCs w:val="0"/>
          <w:szCs w:val="24"/>
          <w:lang w:val="en-GB"/>
        </w:rPr>
        <w:t xml:space="preserve"> </w:t>
      </w:r>
      <w:r w:rsidR="000143C4" w:rsidRPr="000143C4">
        <w:rPr>
          <w:rFonts w:ascii="Times New Roman" w:hAnsi="Times New Roman" w:cs="Times New Roman"/>
          <w:bCs w:val="0"/>
          <w:szCs w:val="24"/>
          <w:lang w:val="en-GB"/>
        </w:rPr>
        <w:t xml:space="preserve">Kubiak T, </w:t>
      </w:r>
      <w:proofErr w:type="spellStart"/>
      <w:r w:rsidR="000143C4" w:rsidRPr="000143C4">
        <w:rPr>
          <w:rFonts w:ascii="Times New Roman" w:hAnsi="Times New Roman" w:cs="Times New Roman"/>
          <w:bCs w:val="0"/>
          <w:szCs w:val="24"/>
          <w:lang w:val="en-GB"/>
        </w:rPr>
        <w:t>Haak</w:t>
      </w:r>
      <w:proofErr w:type="spellEnd"/>
      <w:r w:rsidR="000143C4" w:rsidRPr="000143C4">
        <w:rPr>
          <w:rFonts w:ascii="Times New Roman" w:hAnsi="Times New Roman" w:cs="Times New Roman"/>
          <w:bCs w:val="0"/>
          <w:szCs w:val="24"/>
          <w:lang w:val="en-GB"/>
        </w:rPr>
        <w:t xml:space="preserve"> T.</w:t>
      </w:r>
      <w:r w:rsidR="00B57AFD" w:rsidRPr="000143C4">
        <w:rPr>
          <w:rFonts w:ascii="Times New Roman" w:hAnsi="Times New Roman" w:cs="Times New Roman"/>
          <w:bCs w:val="0"/>
          <w:szCs w:val="24"/>
          <w:lang w:val="en-GB"/>
        </w:rPr>
        <w:t xml:space="preserve"> </w:t>
      </w:r>
      <w:r w:rsidR="00B57AFD" w:rsidRPr="00F413DB">
        <w:rPr>
          <w:rFonts w:ascii="Times New Roman" w:hAnsi="Times New Roman" w:cs="Times New Roman"/>
          <w:bCs w:val="0"/>
          <w:szCs w:val="24"/>
          <w:lang w:val="en-GB"/>
        </w:rPr>
        <w:t xml:space="preserve">Long-term effect </w:t>
      </w:r>
      <w:r w:rsidR="0051739A" w:rsidRPr="00F413DB">
        <w:rPr>
          <w:rFonts w:ascii="Times New Roman" w:hAnsi="Times New Roman" w:cs="Times New Roman"/>
          <w:bCs w:val="0"/>
          <w:szCs w:val="24"/>
          <w:lang w:val="en-GB"/>
        </w:rPr>
        <w:t>of an education program (</w:t>
      </w:r>
      <w:proofErr w:type="spellStart"/>
      <w:r w:rsidR="0051739A" w:rsidRPr="00F413DB">
        <w:rPr>
          <w:rFonts w:ascii="Times New Roman" w:hAnsi="Times New Roman" w:cs="Times New Roman"/>
          <w:bCs w:val="0"/>
          <w:szCs w:val="24"/>
          <w:lang w:val="en-GB"/>
        </w:rPr>
        <w:t>HyPOS</w:t>
      </w:r>
      <w:proofErr w:type="spellEnd"/>
      <w:r w:rsidR="0051739A" w:rsidRPr="00F413DB">
        <w:rPr>
          <w:rFonts w:ascii="Times New Roman" w:hAnsi="Times New Roman" w:cs="Times New Roman"/>
          <w:bCs w:val="0"/>
          <w:szCs w:val="24"/>
          <w:lang w:val="en-GB"/>
        </w:rPr>
        <w:t xml:space="preserve">) </w:t>
      </w:r>
      <w:r w:rsidR="00B57AFD" w:rsidRPr="00F413DB">
        <w:rPr>
          <w:rFonts w:ascii="Times New Roman" w:hAnsi="Times New Roman" w:cs="Times New Roman"/>
          <w:bCs w:val="0"/>
          <w:szCs w:val="24"/>
          <w:lang w:val="en-GB"/>
        </w:rPr>
        <w:t xml:space="preserve">on the incidence of severe </w:t>
      </w:r>
      <w:proofErr w:type="spellStart"/>
      <w:r w:rsidR="00B57AFD" w:rsidRPr="00F413DB">
        <w:rPr>
          <w:rFonts w:ascii="Times New Roman" w:hAnsi="Times New Roman" w:cs="Times New Roman"/>
          <w:bCs w:val="0"/>
          <w:szCs w:val="24"/>
          <w:lang w:val="en-GB"/>
        </w:rPr>
        <w:t>hypoglycemia</w:t>
      </w:r>
      <w:proofErr w:type="spellEnd"/>
      <w:r w:rsidR="00B57AFD" w:rsidRPr="00F413DB">
        <w:rPr>
          <w:rFonts w:ascii="Times New Roman" w:hAnsi="Times New Roman" w:cs="Times New Roman"/>
          <w:bCs w:val="0"/>
          <w:szCs w:val="24"/>
          <w:lang w:val="en-GB"/>
        </w:rPr>
        <w:t xml:space="preserve"> in patients with type 1 diabetes. Diabetes Care 2010</w:t>
      </w:r>
      <w:proofErr w:type="gramStart"/>
      <w:r w:rsidR="00B57AFD" w:rsidRPr="00F413DB">
        <w:rPr>
          <w:rFonts w:ascii="Times New Roman" w:hAnsi="Times New Roman" w:cs="Times New Roman"/>
          <w:bCs w:val="0"/>
          <w:szCs w:val="24"/>
          <w:lang w:val="en-GB"/>
        </w:rPr>
        <w:t>;33:e</w:t>
      </w:r>
      <w:r w:rsidR="007A69B0">
        <w:rPr>
          <w:rFonts w:ascii="Times New Roman" w:hAnsi="Times New Roman" w:cs="Times New Roman"/>
          <w:bCs w:val="0"/>
          <w:szCs w:val="24"/>
          <w:lang w:val="en-GB"/>
        </w:rPr>
        <w:t>3</w:t>
      </w:r>
      <w:r w:rsidR="00D2041A">
        <w:rPr>
          <w:rFonts w:ascii="Times New Roman" w:hAnsi="Times New Roman" w:cs="Times New Roman"/>
          <w:bCs w:val="0"/>
          <w:szCs w:val="24"/>
          <w:lang w:val="en-GB"/>
        </w:rPr>
        <w:t>6</w:t>
      </w:r>
      <w:proofErr w:type="gramEnd"/>
    </w:p>
    <w:p w14:paraId="439E9304" w14:textId="77777777" w:rsidR="00B57AFD" w:rsidRPr="00F413DB" w:rsidRDefault="00B57AFD" w:rsidP="00B1258B">
      <w:pPr>
        <w:jc w:val="both"/>
        <w:rPr>
          <w:rFonts w:ascii="Times New Roman" w:hAnsi="Times New Roman" w:cs="Times New Roman"/>
          <w:bCs w:val="0"/>
          <w:szCs w:val="24"/>
          <w:lang w:val="en-GB"/>
        </w:rPr>
      </w:pPr>
    </w:p>
    <w:p w14:paraId="433544E7" w14:textId="45DD27A3" w:rsidR="00B57AFD" w:rsidRPr="00F413DB" w:rsidRDefault="00382E01" w:rsidP="00B1258B">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5. </w:t>
      </w:r>
      <w:r w:rsidR="00B57AFD" w:rsidRPr="00F413DB">
        <w:rPr>
          <w:rFonts w:ascii="Times New Roman" w:hAnsi="Times New Roman" w:cs="Times New Roman"/>
          <w:bCs w:val="0"/>
          <w:szCs w:val="24"/>
          <w:lang w:val="en-GB"/>
        </w:rPr>
        <w:t xml:space="preserve">Ly TT, Nicholas JA, </w:t>
      </w:r>
      <w:proofErr w:type="spellStart"/>
      <w:r w:rsidR="00B57AFD" w:rsidRPr="00F413DB">
        <w:rPr>
          <w:rFonts w:ascii="Times New Roman" w:hAnsi="Times New Roman" w:cs="Times New Roman"/>
          <w:bCs w:val="0"/>
          <w:szCs w:val="24"/>
          <w:lang w:val="en-GB"/>
        </w:rPr>
        <w:t>Retterath</w:t>
      </w:r>
      <w:proofErr w:type="spellEnd"/>
      <w:r w:rsidR="00B57AFD" w:rsidRPr="00F413DB">
        <w:rPr>
          <w:rFonts w:ascii="Times New Roman" w:hAnsi="Times New Roman" w:cs="Times New Roman"/>
          <w:bCs w:val="0"/>
          <w:szCs w:val="24"/>
          <w:lang w:val="en-GB"/>
        </w:rPr>
        <w:t xml:space="preserve"> A</w:t>
      </w:r>
      <w:r w:rsidR="0051739A" w:rsidRPr="00F413DB">
        <w:rPr>
          <w:rFonts w:ascii="Times New Roman" w:hAnsi="Times New Roman" w:cs="Times New Roman"/>
          <w:bCs w:val="0"/>
          <w:szCs w:val="24"/>
          <w:lang w:val="en-GB"/>
        </w:rPr>
        <w:t>,</w:t>
      </w:r>
      <w:r w:rsidR="00B57AFD" w:rsidRPr="00F413DB">
        <w:rPr>
          <w:rFonts w:ascii="Times New Roman" w:hAnsi="Times New Roman" w:cs="Times New Roman"/>
          <w:bCs w:val="0"/>
          <w:szCs w:val="24"/>
          <w:lang w:val="en-GB"/>
        </w:rPr>
        <w:t xml:space="preserve"> </w:t>
      </w:r>
      <w:r w:rsidR="00F25521">
        <w:rPr>
          <w:rFonts w:ascii="Times New Roman" w:hAnsi="Times New Roman" w:cs="Times New Roman"/>
          <w:bCs w:val="0"/>
          <w:szCs w:val="24"/>
          <w:lang w:val="en-GB"/>
        </w:rPr>
        <w:t>Lim EM, Davis EA, Jones TW</w:t>
      </w:r>
      <w:r w:rsidR="00B57AFD" w:rsidRPr="00F413DB">
        <w:rPr>
          <w:rFonts w:ascii="Times New Roman" w:hAnsi="Times New Roman" w:cs="Times New Roman"/>
          <w:bCs w:val="0"/>
          <w:szCs w:val="24"/>
          <w:lang w:val="en-GB"/>
        </w:rPr>
        <w:t xml:space="preserve">. Effect of sensor-augmented insulin pump therapy and automated insulin suspension vs standard insulin pump therapy on </w:t>
      </w:r>
      <w:proofErr w:type="spellStart"/>
      <w:r w:rsidR="00B57AFD" w:rsidRPr="00F413DB">
        <w:rPr>
          <w:rFonts w:ascii="Times New Roman" w:hAnsi="Times New Roman" w:cs="Times New Roman"/>
          <w:bCs w:val="0"/>
          <w:szCs w:val="24"/>
          <w:lang w:val="en-GB"/>
        </w:rPr>
        <w:t>hypoglycemia</w:t>
      </w:r>
      <w:proofErr w:type="spellEnd"/>
      <w:r w:rsidR="00B57AFD" w:rsidRPr="00F413DB">
        <w:rPr>
          <w:rFonts w:ascii="Times New Roman" w:hAnsi="Times New Roman" w:cs="Times New Roman"/>
          <w:bCs w:val="0"/>
          <w:szCs w:val="24"/>
          <w:lang w:val="en-GB"/>
        </w:rPr>
        <w:t xml:space="preserve"> in patients with type 1 diabetes: a </w:t>
      </w:r>
      <w:r w:rsidR="00F25521">
        <w:rPr>
          <w:rFonts w:ascii="Times New Roman" w:hAnsi="Times New Roman" w:cs="Times New Roman"/>
          <w:bCs w:val="0"/>
          <w:szCs w:val="24"/>
          <w:lang w:val="en-GB"/>
        </w:rPr>
        <w:t>randomized clinical trial. JAMA</w:t>
      </w:r>
      <w:r w:rsidR="00B57AFD" w:rsidRPr="00F413DB">
        <w:rPr>
          <w:rFonts w:ascii="Times New Roman" w:hAnsi="Times New Roman" w:cs="Times New Roman"/>
          <w:bCs w:val="0"/>
          <w:szCs w:val="24"/>
          <w:lang w:val="en-GB"/>
        </w:rPr>
        <w:t xml:space="preserve"> 2013</w:t>
      </w:r>
      <w:proofErr w:type="gramStart"/>
      <w:r w:rsidR="00B57AFD" w:rsidRPr="00F413DB">
        <w:rPr>
          <w:rFonts w:ascii="Times New Roman" w:hAnsi="Times New Roman" w:cs="Times New Roman"/>
          <w:bCs w:val="0"/>
          <w:szCs w:val="24"/>
          <w:lang w:val="en-GB"/>
        </w:rPr>
        <w:t>;310:1240</w:t>
      </w:r>
      <w:proofErr w:type="gramEnd"/>
      <w:r w:rsidR="00B57AFD" w:rsidRPr="00F413DB">
        <w:rPr>
          <w:rFonts w:ascii="Times New Roman" w:hAnsi="Times New Roman" w:cs="Times New Roman"/>
          <w:bCs w:val="0"/>
          <w:szCs w:val="24"/>
          <w:lang w:val="en-GB"/>
        </w:rPr>
        <w:t>-</w:t>
      </w:r>
      <w:r w:rsidR="007A69B0">
        <w:rPr>
          <w:rFonts w:ascii="Times New Roman" w:hAnsi="Times New Roman" w:cs="Times New Roman"/>
          <w:bCs w:val="0"/>
          <w:szCs w:val="24"/>
          <w:lang w:val="en-GB"/>
        </w:rPr>
        <w:t>124</w:t>
      </w:r>
      <w:r w:rsidR="00D2041A">
        <w:rPr>
          <w:rFonts w:ascii="Times New Roman" w:hAnsi="Times New Roman" w:cs="Times New Roman"/>
          <w:bCs w:val="0"/>
          <w:szCs w:val="24"/>
          <w:lang w:val="en-GB"/>
        </w:rPr>
        <w:t>7</w:t>
      </w:r>
    </w:p>
    <w:p w14:paraId="2A83DA43" w14:textId="77777777" w:rsidR="00B57AFD" w:rsidRPr="00F413DB" w:rsidRDefault="00B57AFD" w:rsidP="00B1258B">
      <w:pPr>
        <w:jc w:val="both"/>
        <w:rPr>
          <w:rFonts w:ascii="Times New Roman" w:hAnsi="Times New Roman" w:cs="Times New Roman"/>
          <w:bCs w:val="0"/>
          <w:szCs w:val="24"/>
          <w:lang w:val="en-GB"/>
        </w:rPr>
      </w:pPr>
    </w:p>
    <w:p w14:paraId="33386117" w14:textId="28099353" w:rsidR="009B1924" w:rsidRPr="00F413DB" w:rsidRDefault="00382E01" w:rsidP="00B1258B">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6. </w:t>
      </w:r>
      <w:r w:rsidR="00B34B19" w:rsidRPr="00F413DB">
        <w:rPr>
          <w:rFonts w:ascii="Times New Roman" w:hAnsi="Times New Roman" w:cs="Times New Roman"/>
          <w:bCs w:val="0"/>
          <w:szCs w:val="24"/>
          <w:lang w:val="en-GB"/>
        </w:rPr>
        <w:t>Heinemann L,</w:t>
      </w:r>
      <w:r w:rsidR="0026044D" w:rsidRPr="00F413DB">
        <w:rPr>
          <w:rFonts w:ascii="Times New Roman" w:hAnsi="Times New Roman" w:cs="Times New Roman"/>
          <w:bCs w:val="0"/>
          <w:szCs w:val="24"/>
          <w:lang w:val="en-GB"/>
        </w:rPr>
        <w:t xml:space="preserve"> </w:t>
      </w:r>
      <w:proofErr w:type="spellStart"/>
      <w:r w:rsidR="0026044D" w:rsidRPr="00F413DB">
        <w:rPr>
          <w:rFonts w:ascii="Times New Roman" w:hAnsi="Times New Roman" w:cs="Times New Roman"/>
          <w:bCs w:val="0"/>
          <w:szCs w:val="24"/>
          <w:lang w:val="en-GB"/>
        </w:rPr>
        <w:t>Freckmann</w:t>
      </w:r>
      <w:proofErr w:type="spellEnd"/>
      <w:r w:rsidR="0026044D" w:rsidRPr="00F413DB">
        <w:rPr>
          <w:rFonts w:ascii="Times New Roman" w:hAnsi="Times New Roman" w:cs="Times New Roman"/>
          <w:bCs w:val="0"/>
          <w:szCs w:val="24"/>
          <w:lang w:val="en-GB"/>
        </w:rPr>
        <w:t xml:space="preserve"> G, </w:t>
      </w:r>
      <w:proofErr w:type="spellStart"/>
      <w:r w:rsidR="0026044D" w:rsidRPr="00F413DB">
        <w:rPr>
          <w:rFonts w:ascii="Times New Roman" w:hAnsi="Times New Roman" w:cs="Times New Roman"/>
          <w:bCs w:val="0"/>
          <w:szCs w:val="24"/>
          <w:lang w:val="en-GB"/>
        </w:rPr>
        <w:t>Ehrmann</w:t>
      </w:r>
      <w:proofErr w:type="spellEnd"/>
      <w:r w:rsidR="0026044D" w:rsidRPr="00F413DB">
        <w:rPr>
          <w:rFonts w:ascii="Times New Roman" w:hAnsi="Times New Roman" w:cs="Times New Roman"/>
          <w:bCs w:val="0"/>
          <w:szCs w:val="24"/>
          <w:lang w:val="en-GB"/>
        </w:rPr>
        <w:t xml:space="preserve"> D</w:t>
      </w:r>
      <w:r w:rsidR="0051739A" w:rsidRPr="00F413DB">
        <w:rPr>
          <w:rFonts w:ascii="Times New Roman" w:hAnsi="Times New Roman" w:cs="Times New Roman"/>
          <w:bCs w:val="0"/>
          <w:szCs w:val="24"/>
          <w:lang w:val="en-GB"/>
        </w:rPr>
        <w:t>,</w:t>
      </w:r>
      <w:r w:rsidR="0026044D" w:rsidRPr="00F413DB">
        <w:rPr>
          <w:rFonts w:ascii="Times New Roman" w:hAnsi="Times New Roman" w:cs="Times New Roman"/>
          <w:bCs w:val="0"/>
          <w:szCs w:val="24"/>
          <w:lang w:val="en-GB"/>
        </w:rPr>
        <w:t xml:space="preserve"> et al. Real-time continuous glucose monitoring in adults with type 1</w:t>
      </w:r>
      <w:r w:rsidR="0051739A" w:rsidRPr="00F413DB">
        <w:rPr>
          <w:rFonts w:ascii="Times New Roman" w:hAnsi="Times New Roman" w:cs="Times New Roman"/>
          <w:bCs w:val="0"/>
          <w:szCs w:val="24"/>
          <w:lang w:val="en-GB"/>
        </w:rPr>
        <w:t xml:space="preserve"> diabetes and impaired </w:t>
      </w:r>
      <w:proofErr w:type="spellStart"/>
      <w:r w:rsidR="0051739A" w:rsidRPr="00F413DB">
        <w:rPr>
          <w:rFonts w:ascii="Times New Roman" w:hAnsi="Times New Roman" w:cs="Times New Roman"/>
          <w:bCs w:val="0"/>
          <w:szCs w:val="24"/>
          <w:lang w:val="en-GB"/>
        </w:rPr>
        <w:t>hypoglyc</w:t>
      </w:r>
      <w:r w:rsidR="0026044D" w:rsidRPr="00F413DB">
        <w:rPr>
          <w:rFonts w:ascii="Times New Roman" w:hAnsi="Times New Roman" w:cs="Times New Roman"/>
          <w:bCs w:val="0"/>
          <w:szCs w:val="24"/>
          <w:lang w:val="en-GB"/>
        </w:rPr>
        <w:t>em</w:t>
      </w:r>
      <w:r w:rsidR="0051739A" w:rsidRPr="00F413DB">
        <w:rPr>
          <w:rFonts w:ascii="Times New Roman" w:hAnsi="Times New Roman" w:cs="Times New Roman"/>
          <w:bCs w:val="0"/>
          <w:szCs w:val="24"/>
          <w:lang w:val="en-GB"/>
        </w:rPr>
        <w:t>ia</w:t>
      </w:r>
      <w:proofErr w:type="spellEnd"/>
      <w:r w:rsidR="0051739A" w:rsidRPr="00F413DB">
        <w:rPr>
          <w:rFonts w:ascii="Times New Roman" w:hAnsi="Times New Roman" w:cs="Times New Roman"/>
          <w:bCs w:val="0"/>
          <w:szCs w:val="24"/>
          <w:lang w:val="en-GB"/>
        </w:rPr>
        <w:t xml:space="preserve"> awareness or severe </w:t>
      </w:r>
      <w:proofErr w:type="spellStart"/>
      <w:r w:rsidR="0051739A" w:rsidRPr="00F413DB">
        <w:rPr>
          <w:rFonts w:ascii="Times New Roman" w:hAnsi="Times New Roman" w:cs="Times New Roman"/>
          <w:bCs w:val="0"/>
          <w:szCs w:val="24"/>
          <w:lang w:val="en-GB"/>
        </w:rPr>
        <w:t>hypoglyc</w:t>
      </w:r>
      <w:r w:rsidR="0026044D" w:rsidRPr="00F413DB">
        <w:rPr>
          <w:rFonts w:ascii="Times New Roman" w:hAnsi="Times New Roman" w:cs="Times New Roman"/>
          <w:bCs w:val="0"/>
          <w:szCs w:val="24"/>
          <w:lang w:val="en-GB"/>
        </w:rPr>
        <w:t>emia</w:t>
      </w:r>
      <w:proofErr w:type="spellEnd"/>
      <w:r w:rsidR="0026044D" w:rsidRPr="00F413DB">
        <w:rPr>
          <w:rFonts w:ascii="Times New Roman" w:hAnsi="Times New Roman" w:cs="Times New Roman"/>
          <w:bCs w:val="0"/>
          <w:szCs w:val="24"/>
          <w:lang w:val="en-GB"/>
        </w:rPr>
        <w:t xml:space="preserve"> treated with multiple daily insulin injections (</w:t>
      </w:r>
      <w:proofErr w:type="spellStart"/>
      <w:r w:rsidR="0026044D" w:rsidRPr="00F413DB">
        <w:rPr>
          <w:rFonts w:ascii="Times New Roman" w:hAnsi="Times New Roman" w:cs="Times New Roman"/>
          <w:bCs w:val="0"/>
          <w:szCs w:val="24"/>
          <w:lang w:val="en-GB"/>
        </w:rPr>
        <w:t>HypoDE</w:t>
      </w:r>
      <w:proofErr w:type="spellEnd"/>
      <w:r w:rsidR="0026044D" w:rsidRPr="00F413DB">
        <w:rPr>
          <w:rFonts w:ascii="Times New Roman" w:hAnsi="Times New Roman" w:cs="Times New Roman"/>
          <w:bCs w:val="0"/>
          <w:szCs w:val="24"/>
          <w:lang w:val="en-GB"/>
        </w:rPr>
        <w:t>): a multicentre, randomised controlled trial. Lancet 2018</w:t>
      </w:r>
      <w:proofErr w:type="gramStart"/>
      <w:r w:rsidR="0026044D" w:rsidRPr="00F413DB">
        <w:rPr>
          <w:rFonts w:ascii="Times New Roman" w:hAnsi="Times New Roman" w:cs="Times New Roman"/>
          <w:bCs w:val="0"/>
          <w:szCs w:val="24"/>
          <w:lang w:val="en-GB"/>
        </w:rPr>
        <w:t>;391:1367</w:t>
      </w:r>
      <w:proofErr w:type="gramEnd"/>
      <w:r w:rsidR="0026044D" w:rsidRPr="00F413DB">
        <w:rPr>
          <w:rFonts w:ascii="Times New Roman" w:hAnsi="Times New Roman" w:cs="Times New Roman"/>
          <w:bCs w:val="0"/>
          <w:szCs w:val="24"/>
          <w:lang w:val="en-GB"/>
        </w:rPr>
        <w:t>-</w:t>
      </w:r>
      <w:r w:rsidR="00D823EB">
        <w:rPr>
          <w:rFonts w:ascii="Times New Roman" w:hAnsi="Times New Roman" w:cs="Times New Roman"/>
          <w:bCs w:val="0"/>
          <w:szCs w:val="24"/>
          <w:lang w:val="en-GB"/>
        </w:rPr>
        <w:t>13</w:t>
      </w:r>
      <w:r w:rsidR="00D2041A">
        <w:rPr>
          <w:rFonts w:ascii="Times New Roman" w:hAnsi="Times New Roman" w:cs="Times New Roman"/>
          <w:bCs w:val="0"/>
          <w:szCs w:val="24"/>
          <w:lang w:val="en-GB"/>
        </w:rPr>
        <w:t>77</w:t>
      </w:r>
    </w:p>
    <w:p w14:paraId="487676D1" w14:textId="77777777" w:rsidR="008C522C" w:rsidRPr="00F413DB" w:rsidRDefault="008C522C" w:rsidP="00B1258B">
      <w:pPr>
        <w:jc w:val="both"/>
        <w:rPr>
          <w:rFonts w:ascii="Times New Roman" w:hAnsi="Times New Roman" w:cs="Times New Roman"/>
          <w:bCs w:val="0"/>
          <w:szCs w:val="24"/>
          <w:lang w:val="en-GB"/>
        </w:rPr>
      </w:pPr>
    </w:p>
    <w:p w14:paraId="3488C19C" w14:textId="2AF2B61E" w:rsidR="008C522C" w:rsidRPr="00F413DB" w:rsidRDefault="00382E01" w:rsidP="00B1258B">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7. </w:t>
      </w:r>
      <w:proofErr w:type="spellStart"/>
      <w:r w:rsidR="008C522C" w:rsidRPr="00F413DB">
        <w:rPr>
          <w:rFonts w:ascii="Times New Roman" w:hAnsi="Times New Roman" w:cs="Times New Roman"/>
          <w:bCs w:val="0"/>
          <w:szCs w:val="24"/>
          <w:lang w:val="en-GB"/>
        </w:rPr>
        <w:t>Kahkoska</w:t>
      </w:r>
      <w:proofErr w:type="spellEnd"/>
      <w:r w:rsidR="008C522C" w:rsidRPr="00F413DB">
        <w:rPr>
          <w:rFonts w:ascii="Times New Roman" w:hAnsi="Times New Roman" w:cs="Times New Roman"/>
          <w:bCs w:val="0"/>
          <w:szCs w:val="24"/>
          <w:lang w:val="en-GB"/>
        </w:rPr>
        <w:t xml:space="preserve"> AR, </w:t>
      </w:r>
      <w:proofErr w:type="spellStart"/>
      <w:r w:rsidR="008C522C" w:rsidRPr="00F413DB">
        <w:rPr>
          <w:rFonts w:ascii="Times New Roman" w:hAnsi="Times New Roman" w:cs="Times New Roman"/>
          <w:bCs w:val="0"/>
          <w:szCs w:val="24"/>
          <w:lang w:val="en-GB"/>
        </w:rPr>
        <w:t>Buse</w:t>
      </w:r>
      <w:proofErr w:type="spellEnd"/>
      <w:r w:rsidR="008C522C" w:rsidRPr="00F413DB">
        <w:rPr>
          <w:rFonts w:ascii="Times New Roman" w:hAnsi="Times New Roman" w:cs="Times New Roman"/>
          <w:bCs w:val="0"/>
          <w:szCs w:val="24"/>
          <w:lang w:val="en-GB"/>
        </w:rPr>
        <w:t xml:space="preserve"> JB. </w:t>
      </w:r>
      <w:proofErr w:type="spellStart"/>
      <w:r w:rsidR="008C522C" w:rsidRPr="00F413DB">
        <w:rPr>
          <w:rFonts w:ascii="Times New Roman" w:hAnsi="Times New Roman" w:cs="Times New Roman"/>
          <w:bCs w:val="0"/>
          <w:szCs w:val="24"/>
          <w:lang w:val="en-GB"/>
        </w:rPr>
        <w:t>Primum</w:t>
      </w:r>
      <w:proofErr w:type="spellEnd"/>
      <w:r w:rsidR="008C522C" w:rsidRPr="00F413DB">
        <w:rPr>
          <w:rFonts w:ascii="Times New Roman" w:hAnsi="Times New Roman" w:cs="Times New Roman"/>
          <w:bCs w:val="0"/>
          <w:szCs w:val="24"/>
          <w:lang w:val="en-GB"/>
        </w:rPr>
        <w:t xml:space="preserve"> non </w:t>
      </w:r>
      <w:proofErr w:type="spellStart"/>
      <w:r w:rsidR="008C522C" w:rsidRPr="00F413DB">
        <w:rPr>
          <w:rFonts w:ascii="Times New Roman" w:hAnsi="Times New Roman" w:cs="Times New Roman"/>
          <w:bCs w:val="0"/>
          <w:szCs w:val="24"/>
          <w:lang w:val="en-GB"/>
        </w:rPr>
        <w:t>nocere</w:t>
      </w:r>
      <w:proofErr w:type="spellEnd"/>
      <w:r w:rsidR="008C522C" w:rsidRPr="00F413DB">
        <w:rPr>
          <w:rFonts w:ascii="Times New Roman" w:hAnsi="Times New Roman" w:cs="Times New Roman"/>
          <w:bCs w:val="0"/>
          <w:szCs w:val="24"/>
          <w:lang w:val="en-GB"/>
        </w:rPr>
        <w:t xml:space="preserve">: refocusing our attention on severe </w:t>
      </w:r>
      <w:proofErr w:type="spellStart"/>
      <w:r w:rsidR="008C522C" w:rsidRPr="00F413DB">
        <w:rPr>
          <w:rFonts w:ascii="Times New Roman" w:hAnsi="Times New Roman" w:cs="Times New Roman"/>
          <w:bCs w:val="0"/>
          <w:szCs w:val="24"/>
          <w:lang w:val="en-GB"/>
        </w:rPr>
        <w:t>hypoglycemia</w:t>
      </w:r>
      <w:proofErr w:type="spellEnd"/>
      <w:r w:rsidR="008C522C" w:rsidRPr="00F413DB">
        <w:rPr>
          <w:rFonts w:ascii="Times New Roman" w:hAnsi="Times New Roman" w:cs="Times New Roman"/>
          <w:bCs w:val="0"/>
          <w:szCs w:val="24"/>
          <w:lang w:val="en-GB"/>
        </w:rPr>
        <w:t xml:space="preserve"> prevention. Diabetes Care 2018</w:t>
      </w:r>
      <w:proofErr w:type="gramStart"/>
      <w:r w:rsidR="008C522C" w:rsidRPr="00F413DB">
        <w:rPr>
          <w:rFonts w:ascii="Times New Roman" w:hAnsi="Times New Roman" w:cs="Times New Roman"/>
          <w:bCs w:val="0"/>
          <w:szCs w:val="24"/>
          <w:lang w:val="en-GB"/>
        </w:rPr>
        <w:t>;41:1557</w:t>
      </w:r>
      <w:proofErr w:type="gramEnd"/>
      <w:r w:rsidR="008C522C" w:rsidRPr="00F413DB">
        <w:rPr>
          <w:rFonts w:ascii="Times New Roman" w:hAnsi="Times New Roman" w:cs="Times New Roman"/>
          <w:bCs w:val="0"/>
          <w:szCs w:val="24"/>
          <w:lang w:val="en-GB"/>
        </w:rPr>
        <w:t>-</w:t>
      </w:r>
      <w:r w:rsidR="00D2041A">
        <w:rPr>
          <w:rFonts w:ascii="Times New Roman" w:hAnsi="Times New Roman" w:cs="Times New Roman"/>
          <w:bCs w:val="0"/>
          <w:szCs w:val="24"/>
          <w:lang w:val="en-GB"/>
        </w:rPr>
        <w:t>1559</w:t>
      </w:r>
      <w:r w:rsidR="008C522C" w:rsidRPr="00F413DB">
        <w:rPr>
          <w:rFonts w:ascii="Times New Roman" w:hAnsi="Times New Roman" w:cs="Times New Roman"/>
          <w:bCs w:val="0"/>
          <w:szCs w:val="24"/>
          <w:lang w:val="en-GB"/>
        </w:rPr>
        <w:t xml:space="preserve"> </w:t>
      </w:r>
    </w:p>
    <w:p w14:paraId="21943575" w14:textId="77777777" w:rsidR="00382E01" w:rsidRPr="00F413DB" w:rsidRDefault="00382E01" w:rsidP="00B1258B">
      <w:pPr>
        <w:jc w:val="both"/>
        <w:rPr>
          <w:rFonts w:ascii="Times New Roman" w:hAnsi="Times New Roman" w:cs="Times New Roman"/>
          <w:bCs w:val="0"/>
          <w:szCs w:val="24"/>
          <w:lang w:val="en-GB"/>
        </w:rPr>
      </w:pPr>
    </w:p>
    <w:p w14:paraId="48C15493" w14:textId="1F2062A9" w:rsidR="00382E01" w:rsidRPr="00F413DB" w:rsidRDefault="00382E01" w:rsidP="00382E01">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8. Little SA</w:t>
      </w:r>
      <w:r w:rsidR="0051739A" w:rsidRPr="00F413DB">
        <w:rPr>
          <w:rFonts w:ascii="Times New Roman" w:hAnsi="Times New Roman" w:cs="Times New Roman"/>
          <w:bCs w:val="0"/>
          <w:szCs w:val="24"/>
          <w:lang w:val="en-GB"/>
        </w:rPr>
        <w:t>, Leelarathna L, Walkinshaw E,</w:t>
      </w:r>
      <w:r w:rsidRPr="00F413DB">
        <w:rPr>
          <w:rFonts w:ascii="Times New Roman" w:hAnsi="Times New Roman" w:cs="Times New Roman"/>
          <w:bCs w:val="0"/>
          <w:szCs w:val="24"/>
          <w:lang w:val="en-GB"/>
        </w:rPr>
        <w:t xml:space="preserve"> et al. Recovery of </w:t>
      </w:r>
      <w:proofErr w:type="spellStart"/>
      <w:r w:rsidRPr="00F413DB">
        <w:rPr>
          <w:rFonts w:ascii="Times New Roman" w:hAnsi="Times New Roman" w:cs="Times New Roman"/>
          <w:bCs w:val="0"/>
          <w:szCs w:val="24"/>
          <w:lang w:val="en-GB"/>
        </w:rPr>
        <w:t>hypoglycemic</w:t>
      </w:r>
      <w:proofErr w:type="spellEnd"/>
      <w:r w:rsidRPr="00F413DB">
        <w:rPr>
          <w:rFonts w:ascii="Times New Roman" w:hAnsi="Times New Roman" w:cs="Times New Roman"/>
          <w:bCs w:val="0"/>
          <w:szCs w:val="24"/>
          <w:lang w:val="en-GB"/>
        </w:rPr>
        <w:t xml:space="preserve"> awareness in long-standing type 1 diabetes: a multi-</w:t>
      </w:r>
      <w:proofErr w:type="spellStart"/>
      <w:r w:rsidRPr="00F413DB">
        <w:rPr>
          <w:rFonts w:ascii="Times New Roman" w:hAnsi="Times New Roman" w:cs="Times New Roman"/>
          <w:bCs w:val="0"/>
          <w:szCs w:val="24"/>
          <w:lang w:val="en-GB"/>
        </w:rPr>
        <w:t>center</w:t>
      </w:r>
      <w:proofErr w:type="spellEnd"/>
      <w:r w:rsidRPr="00F413DB">
        <w:rPr>
          <w:rFonts w:ascii="Times New Roman" w:hAnsi="Times New Roman" w:cs="Times New Roman"/>
          <w:bCs w:val="0"/>
          <w:szCs w:val="24"/>
          <w:lang w:val="en-GB"/>
        </w:rPr>
        <w:t xml:space="preserve"> 2x2 factorial randomized controlled trial comparing insulin pump with multiple daily injections and continuous with conventional glucose self-monitori</w:t>
      </w:r>
      <w:r w:rsidR="006A349D">
        <w:rPr>
          <w:rFonts w:ascii="Times New Roman" w:hAnsi="Times New Roman" w:cs="Times New Roman"/>
          <w:bCs w:val="0"/>
          <w:szCs w:val="24"/>
          <w:lang w:val="en-GB"/>
        </w:rPr>
        <w:t>ng (</w:t>
      </w:r>
      <w:proofErr w:type="spellStart"/>
      <w:r w:rsidR="006A349D">
        <w:rPr>
          <w:rFonts w:ascii="Times New Roman" w:hAnsi="Times New Roman" w:cs="Times New Roman"/>
          <w:bCs w:val="0"/>
          <w:szCs w:val="24"/>
          <w:lang w:val="en-GB"/>
        </w:rPr>
        <w:t>HypoCOMPaSS</w:t>
      </w:r>
      <w:proofErr w:type="spellEnd"/>
      <w:r w:rsidR="006A349D">
        <w:rPr>
          <w:rFonts w:ascii="Times New Roman" w:hAnsi="Times New Roman" w:cs="Times New Roman"/>
          <w:bCs w:val="0"/>
          <w:szCs w:val="24"/>
          <w:lang w:val="en-GB"/>
        </w:rPr>
        <w:t>). Diabetes Care</w:t>
      </w:r>
      <w:r w:rsidRPr="00F413DB">
        <w:rPr>
          <w:rFonts w:ascii="Times New Roman" w:hAnsi="Times New Roman" w:cs="Times New Roman"/>
          <w:bCs w:val="0"/>
          <w:szCs w:val="24"/>
          <w:lang w:val="en-GB"/>
        </w:rPr>
        <w:t xml:space="preserve"> 2014</w:t>
      </w:r>
      <w:proofErr w:type="gramStart"/>
      <w:r w:rsidRPr="00F413DB">
        <w:rPr>
          <w:rFonts w:ascii="Times New Roman" w:hAnsi="Times New Roman" w:cs="Times New Roman"/>
          <w:bCs w:val="0"/>
          <w:szCs w:val="24"/>
          <w:lang w:val="en-GB"/>
        </w:rPr>
        <w:t>;37:2114</w:t>
      </w:r>
      <w:proofErr w:type="gramEnd"/>
      <w:r w:rsidRPr="00F413DB">
        <w:rPr>
          <w:rFonts w:ascii="Times New Roman" w:hAnsi="Times New Roman" w:cs="Times New Roman"/>
          <w:bCs w:val="0"/>
          <w:szCs w:val="24"/>
          <w:lang w:val="en-GB"/>
        </w:rPr>
        <w:t>-</w:t>
      </w:r>
      <w:r w:rsidR="00D2041A">
        <w:rPr>
          <w:rFonts w:ascii="Times New Roman" w:hAnsi="Times New Roman" w:cs="Times New Roman"/>
          <w:bCs w:val="0"/>
          <w:szCs w:val="24"/>
          <w:lang w:val="en-GB"/>
        </w:rPr>
        <w:t>2122</w:t>
      </w:r>
    </w:p>
    <w:p w14:paraId="4DD39328" w14:textId="77777777" w:rsidR="00382E01" w:rsidRPr="00F413DB" w:rsidRDefault="00382E01" w:rsidP="00B1258B">
      <w:pPr>
        <w:jc w:val="both"/>
        <w:rPr>
          <w:rFonts w:ascii="Times New Roman" w:hAnsi="Times New Roman" w:cs="Times New Roman"/>
          <w:bCs w:val="0"/>
          <w:szCs w:val="24"/>
          <w:lang w:val="en-GB"/>
        </w:rPr>
      </w:pPr>
    </w:p>
    <w:p w14:paraId="236006C7" w14:textId="1866661C" w:rsidR="005D6910" w:rsidRPr="00F413DB" w:rsidRDefault="00382E01" w:rsidP="00B1258B">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9. </w:t>
      </w:r>
      <w:r w:rsidR="005D6910" w:rsidRPr="00F413DB">
        <w:rPr>
          <w:rFonts w:ascii="Times New Roman" w:hAnsi="Times New Roman" w:cs="Times New Roman"/>
          <w:bCs w:val="0"/>
          <w:szCs w:val="24"/>
          <w:lang w:val="en-GB"/>
        </w:rPr>
        <w:t>Little SA</w:t>
      </w:r>
      <w:r w:rsidR="0051739A" w:rsidRPr="00F413DB">
        <w:rPr>
          <w:rFonts w:ascii="Times New Roman" w:hAnsi="Times New Roman" w:cs="Times New Roman"/>
          <w:bCs w:val="0"/>
          <w:szCs w:val="24"/>
          <w:lang w:val="en-GB"/>
        </w:rPr>
        <w:t>, Chadwick T, Choudhary P,</w:t>
      </w:r>
      <w:r w:rsidR="005D6910" w:rsidRPr="00F413DB">
        <w:rPr>
          <w:rFonts w:ascii="Times New Roman" w:hAnsi="Times New Roman" w:cs="Times New Roman"/>
          <w:bCs w:val="0"/>
          <w:szCs w:val="24"/>
          <w:lang w:val="en-GB"/>
        </w:rPr>
        <w:t xml:space="preserve"> et al. Comparison of Optimised MDI versus Pumps with or without Sensors in Severe </w:t>
      </w:r>
      <w:proofErr w:type="spellStart"/>
      <w:r w:rsidR="005D6910" w:rsidRPr="00F413DB">
        <w:rPr>
          <w:rFonts w:ascii="Times New Roman" w:hAnsi="Times New Roman" w:cs="Times New Roman"/>
          <w:bCs w:val="0"/>
          <w:szCs w:val="24"/>
          <w:lang w:val="en-GB"/>
        </w:rPr>
        <w:t>Hypoglycemia</w:t>
      </w:r>
      <w:proofErr w:type="spellEnd"/>
      <w:r w:rsidR="005D6910" w:rsidRPr="00F413DB">
        <w:rPr>
          <w:rFonts w:ascii="Times New Roman" w:hAnsi="Times New Roman" w:cs="Times New Roman"/>
          <w:bCs w:val="0"/>
          <w:szCs w:val="24"/>
          <w:lang w:val="en-GB"/>
        </w:rPr>
        <w:t xml:space="preserve"> (the Hypo </w:t>
      </w:r>
      <w:proofErr w:type="spellStart"/>
      <w:r w:rsidR="005D6910" w:rsidRPr="00F413DB">
        <w:rPr>
          <w:rFonts w:ascii="Times New Roman" w:hAnsi="Times New Roman" w:cs="Times New Roman"/>
          <w:bCs w:val="0"/>
          <w:szCs w:val="24"/>
          <w:lang w:val="en-GB"/>
        </w:rPr>
        <w:t>COMPaSS</w:t>
      </w:r>
      <w:proofErr w:type="spellEnd"/>
      <w:r w:rsidR="005D6910" w:rsidRPr="00F413DB">
        <w:rPr>
          <w:rFonts w:ascii="Times New Roman" w:hAnsi="Times New Roman" w:cs="Times New Roman"/>
          <w:bCs w:val="0"/>
          <w:szCs w:val="24"/>
          <w:lang w:val="en-GB"/>
        </w:rPr>
        <w:t xml:space="preserve"> tri</w:t>
      </w:r>
      <w:r w:rsidR="006A349D">
        <w:rPr>
          <w:rFonts w:ascii="Times New Roman" w:hAnsi="Times New Roman" w:cs="Times New Roman"/>
          <w:bCs w:val="0"/>
          <w:szCs w:val="24"/>
          <w:lang w:val="en-GB"/>
        </w:rPr>
        <w:t xml:space="preserve">al). BMC </w:t>
      </w:r>
      <w:proofErr w:type="spellStart"/>
      <w:r w:rsidR="006A349D">
        <w:rPr>
          <w:rFonts w:ascii="Times New Roman" w:hAnsi="Times New Roman" w:cs="Times New Roman"/>
          <w:bCs w:val="0"/>
          <w:szCs w:val="24"/>
          <w:lang w:val="en-GB"/>
        </w:rPr>
        <w:t>Endocr</w:t>
      </w:r>
      <w:proofErr w:type="spellEnd"/>
      <w:r w:rsidR="006A349D">
        <w:rPr>
          <w:rFonts w:ascii="Times New Roman" w:hAnsi="Times New Roman" w:cs="Times New Roman"/>
          <w:bCs w:val="0"/>
          <w:szCs w:val="24"/>
          <w:lang w:val="en-GB"/>
        </w:rPr>
        <w:t xml:space="preserve"> </w:t>
      </w:r>
      <w:proofErr w:type="spellStart"/>
      <w:r w:rsidR="006A349D">
        <w:rPr>
          <w:rFonts w:ascii="Times New Roman" w:hAnsi="Times New Roman" w:cs="Times New Roman"/>
          <w:bCs w:val="0"/>
          <w:szCs w:val="24"/>
          <w:lang w:val="en-GB"/>
        </w:rPr>
        <w:t>Disord</w:t>
      </w:r>
      <w:proofErr w:type="spellEnd"/>
      <w:r w:rsidR="00D2041A">
        <w:rPr>
          <w:rFonts w:ascii="Times New Roman" w:hAnsi="Times New Roman" w:cs="Times New Roman"/>
          <w:bCs w:val="0"/>
          <w:szCs w:val="24"/>
          <w:lang w:val="en-GB"/>
        </w:rPr>
        <w:t xml:space="preserve"> 2012</w:t>
      </w:r>
      <w:proofErr w:type="gramStart"/>
      <w:r w:rsidR="00D2041A">
        <w:rPr>
          <w:rFonts w:ascii="Times New Roman" w:hAnsi="Times New Roman" w:cs="Times New Roman"/>
          <w:bCs w:val="0"/>
          <w:szCs w:val="24"/>
          <w:lang w:val="en-GB"/>
        </w:rPr>
        <w:t>;12:33</w:t>
      </w:r>
      <w:proofErr w:type="gramEnd"/>
    </w:p>
    <w:p w14:paraId="30BA5A93" w14:textId="77777777" w:rsidR="00B57AFD" w:rsidRPr="00F413DB" w:rsidRDefault="00B57AFD" w:rsidP="00B1258B">
      <w:pPr>
        <w:jc w:val="both"/>
        <w:rPr>
          <w:rFonts w:ascii="Times New Roman" w:hAnsi="Times New Roman" w:cs="Times New Roman"/>
          <w:bCs w:val="0"/>
          <w:szCs w:val="24"/>
          <w:lang w:val="en-GB"/>
        </w:rPr>
      </w:pPr>
    </w:p>
    <w:p w14:paraId="5D710E25" w14:textId="2B680CD3" w:rsidR="00382E01" w:rsidRPr="00F413DB" w:rsidRDefault="00382E01" w:rsidP="00382E01">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10. Gold AE, Macleod KM, Frier BM. Frequency of severe </w:t>
      </w:r>
      <w:proofErr w:type="spellStart"/>
      <w:r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in patients with type 1 diabetes and impaired awareness of </w:t>
      </w:r>
      <w:proofErr w:type="spellStart"/>
      <w:r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Diab</w:t>
      </w:r>
      <w:r w:rsidR="00D2041A">
        <w:rPr>
          <w:rFonts w:ascii="Times New Roman" w:hAnsi="Times New Roman" w:cs="Times New Roman"/>
          <w:bCs w:val="0"/>
          <w:szCs w:val="24"/>
          <w:lang w:val="en-GB"/>
        </w:rPr>
        <w:t>etes Care 1994</w:t>
      </w:r>
      <w:proofErr w:type="gramStart"/>
      <w:r w:rsidR="00D2041A">
        <w:rPr>
          <w:rFonts w:ascii="Times New Roman" w:hAnsi="Times New Roman" w:cs="Times New Roman"/>
          <w:bCs w:val="0"/>
          <w:szCs w:val="24"/>
          <w:lang w:val="en-GB"/>
        </w:rPr>
        <w:t>;17:697</w:t>
      </w:r>
      <w:proofErr w:type="gramEnd"/>
      <w:r w:rsidR="00D2041A">
        <w:rPr>
          <w:rFonts w:ascii="Times New Roman" w:hAnsi="Times New Roman" w:cs="Times New Roman"/>
          <w:bCs w:val="0"/>
          <w:szCs w:val="24"/>
          <w:lang w:val="en-GB"/>
        </w:rPr>
        <w:t>-703</w:t>
      </w:r>
    </w:p>
    <w:p w14:paraId="553887B8" w14:textId="77777777" w:rsidR="00382E01" w:rsidRPr="00F413DB" w:rsidRDefault="00382E01" w:rsidP="00382E01">
      <w:pPr>
        <w:jc w:val="both"/>
        <w:rPr>
          <w:rFonts w:ascii="Times New Roman" w:hAnsi="Times New Roman" w:cs="Times New Roman"/>
          <w:bCs w:val="0"/>
          <w:szCs w:val="24"/>
          <w:lang w:val="en-GB"/>
        </w:rPr>
      </w:pPr>
    </w:p>
    <w:p w14:paraId="74BB755B" w14:textId="24F39F75" w:rsidR="00382E01" w:rsidRPr="00F413DB" w:rsidRDefault="00382E01" w:rsidP="00382E01">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11. Clarke WL, Cox DJ, </w:t>
      </w:r>
      <w:proofErr w:type="spellStart"/>
      <w:r w:rsidRPr="00F413DB">
        <w:rPr>
          <w:rFonts w:ascii="Times New Roman" w:hAnsi="Times New Roman" w:cs="Times New Roman"/>
          <w:bCs w:val="0"/>
          <w:szCs w:val="24"/>
          <w:lang w:val="en-GB"/>
        </w:rPr>
        <w:t>Gonder</w:t>
      </w:r>
      <w:proofErr w:type="spellEnd"/>
      <w:r w:rsidRPr="00F413DB">
        <w:rPr>
          <w:rFonts w:ascii="Times New Roman" w:hAnsi="Times New Roman" w:cs="Times New Roman"/>
          <w:bCs w:val="0"/>
          <w:szCs w:val="24"/>
          <w:lang w:val="en-GB"/>
        </w:rPr>
        <w:t xml:space="preserve">-Frederick LA, </w:t>
      </w:r>
      <w:r w:rsidR="00896E13">
        <w:rPr>
          <w:rFonts w:ascii="Times New Roman" w:hAnsi="Times New Roman" w:cs="Times New Roman"/>
          <w:bCs w:val="0"/>
          <w:szCs w:val="24"/>
          <w:lang w:val="en-GB"/>
        </w:rPr>
        <w:t xml:space="preserve">Julian D, Schlundt D, </w:t>
      </w:r>
      <w:proofErr w:type="spellStart"/>
      <w:r w:rsidR="00896E13">
        <w:rPr>
          <w:rFonts w:ascii="Times New Roman" w:hAnsi="Times New Roman" w:cs="Times New Roman"/>
          <w:bCs w:val="0"/>
          <w:szCs w:val="24"/>
          <w:lang w:val="en-GB"/>
        </w:rPr>
        <w:t>Polonsky</w:t>
      </w:r>
      <w:proofErr w:type="spellEnd"/>
      <w:r w:rsidR="00896E13">
        <w:rPr>
          <w:rFonts w:ascii="Times New Roman" w:hAnsi="Times New Roman" w:cs="Times New Roman"/>
          <w:bCs w:val="0"/>
          <w:szCs w:val="24"/>
          <w:lang w:val="en-GB"/>
        </w:rPr>
        <w:t xml:space="preserve"> W</w:t>
      </w:r>
      <w:r w:rsidRPr="00F413DB">
        <w:rPr>
          <w:rFonts w:ascii="Times New Roman" w:hAnsi="Times New Roman" w:cs="Times New Roman"/>
          <w:bCs w:val="0"/>
          <w:szCs w:val="24"/>
          <w:lang w:val="en-GB"/>
        </w:rPr>
        <w:t xml:space="preserve">. Reduced awareness of </w:t>
      </w:r>
      <w:proofErr w:type="spellStart"/>
      <w:r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in adults with IDDM: A prospective study of </w:t>
      </w:r>
      <w:proofErr w:type="spellStart"/>
      <w:r w:rsidRPr="00F413DB">
        <w:rPr>
          <w:rFonts w:ascii="Times New Roman" w:hAnsi="Times New Roman" w:cs="Times New Roman"/>
          <w:bCs w:val="0"/>
          <w:szCs w:val="24"/>
          <w:lang w:val="en-GB"/>
        </w:rPr>
        <w:t>hypoglycemic</w:t>
      </w:r>
      <w:proofErr w:type="spellEnd"/>
      <w:r w:rsidRPr="00F413DB">
        <w:rPr>
          <w:rFonts w:ascii="Times New Roman" w:hAnsi="Times New Roman" w:cs="Times New Roman"/>
          <w:bCs w:val="0"/>
          <w:szCs w:val="24"/>
          <w:lang w:val="en-GB"/>
        </w:rPr>
        <w:t xml:space="preserve"> frequency and associated symptoms. D</w:t>
      </w:r>
      <w:r w:rsidR="00D2041A">
        <w:rPr>
          <w:rFonts w:ascii="Times New Roman" w:hAnsi="Times New Roman" w:cs="Times New Roman"/>
          <w:bCs w:val="0"/>
          <w:szCs w:val="24"/>
          <w:lang w:val="en-GB"/>
        </w:rPr>
        <w:t>iabetes Care 1995</w:t>
      </w:r>
      <w:proofErr w:type="gramStart"/>
      <w:r w:rsidR="00D2041A">
        <w:rPr>
          <w:rFonts w:ascii="Times New Roman" w:hAnsi="Times New Roman" w:cs="Times New Roman"/>
          <w:bCs w:val="0"/>
          <w:szCs w:val="24"/>
          <w:lang w:val="en-GB"/>
        </w:rPr>
        <w:t>;18:517</w:t>
      </w:r>
      <w:proofErr w:type="gramEnd"/>
      <w:r w:rsidR="00D2041A">
        <w:rPr>
          <w:rFonts w:ascii="Times New Roman" w:hAnsi="Times New Roman" w:cs="Times New Roman"/>
          <w:bCs w:val="0"/>
          <w:szCs w:val="24"/>
          <w:lang w:val="en-GB"/>
        </w:rPr>
        <w:t>-522</w:t>
      </w:r>
    </w:p>
    <w:p w14:paraId="56922A41" w14:textId="77777777" w:rsidR="00382E01" w:rsidRPr="00F413DB" w:rsidRDefault="00382E01" w:rsidP="00382E01">
      <w:pPr>
        <w:jc w:val="both"/>
        <w:rPr>
          <w:rFonts w:ascii="Times New Roman" w:hAnsi="Times New Roman" w:cs="Times New Roman"/>
          <w:bCs w:val="0"/>
          <w:szCs w:val="24"/>
          <w:lang w:val="en-GB"/>
        </w:rPr>
      </w:pPr>
    </w:p>
    <w:p w14:paraId="406BE5BE" w14:textId="78071663" w:rsidR="00382E01" w:rsidRPr="00C513A9" w:rsidRDefault="00382E01" w:rsidP="00382E01">
      <w:pPr>
        <w:jc w:val="both"/>
        <w:rPr>
          <w:rFonts w:ascii="Times New Roman" w:hAnsi="Times New Roman" w:cs="Times New Roman"/>
          <w:bCs w:val="0"/>
          <w:szCs w:val="24"/>
          <w:lang w:val="de-CH"/>
        </w:rPr>
      </w:pPr>
      <w:r w:rsidRPr="00F413DB">
        <w:rPr>
          <w:rFonts w:ascii="Times New Roman" w:hAnsi="Times New Roman" w:cs="Times New Roman"/>
          <w:bCs w:val="0"/>
          <w:szCs w:val="24"/>
          <w:lang w:val="en-GB"/>
        </w:rPr>
        <w:t xml:space="preserve">12. Speight J, Barendse S, Singh H, </w:t>
      </w:r>
      <w:r w:rsidR="009C34E7" w:rsidRPr="00F413DB">
        <w:rPr>
          <w:rFonts w:ascii="Times New Roman" w:hAnsi="Times New Roman" w:cs="Times New Roman"/>
          <w:bCs w:val="0"/>
          <w:szCs w:val="24"/>
          <w:lang w:val="en-GB"/>
        </w:rPr>
        <w:t xml:space="preserve">et al. </w:t>
      </w:r>
      <w:r w:rsidRPr="00F413DB">
        <w:rPr>
          <w:rFonts w:ascii="Times New Roman" w:hAnsi="Times New Roman" w:cs="Times New Roman"/>
          <w:bCs w:val="0"/>
          <w:szCs w:val="24"/>
          <w:lang w:val="en-GB"/>
        </w:rPr>
        <w:t xml:space="preserve">Characterizing problematic </w:t>
      </w:r>
      <w:proofErr w:type="spellStart"/>
      <w:r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iterative design and preliminary psychometric validation of the </w:t>
      </w:r>
      <w:proofErr w:type="spellStart"/>
      <w:r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Awareness Q</w:t>
      </w:r>
      <w:r w:rsidR="009C34E7" w:rsidRPr="00F413DB">
        <w:rPr>
          <w:rFonts w:ascii="Times New Roman" w:hAnsi="Times New Roman" w:cs="Times New Roman"/>
          <w:bCs w:val="0"/>
          <w:szCs w:val="24"/>
          <w:lang w:val="en-GB"/>
        </w:rPr>
        <w:t>uestionnaire (</w:t>
      </w:r>
      <w:proofErr w:type="spellStart"/>
      <w:r w:rsidR="009C34E7" w:rsidRPr="00F413DB">
        <w:rPr>
          <w:rFonts w:ascii="Times New Roman" w:hAnsi="Times New Roman" w:cs="Times New Roman"/>
          <w:bCs w:val="0"/>
          <w:szCs w:val="24"/>
          <w:lang w:val="en-GB"/>
        </w:rPr>
        <w:t>HypoA</w:t>
      </w:r>
      <w:proofErr w:type="spellEnd"/>
      <w:r w:rsidR="009C34E7" w:rsidRPr="00F413DB">
        <w:rPr>
          <w:rFonts w:ascii="Times New Roman" w:hAnsi="Times New Roman" w:cs="Times New Roman"/>
          <w:bCs w:val="0"/>
          <w:szCs w:val="24"/>
          <w:lang w:val="en-GB"/>
        </w:rPr>
        <w:t xml:space="preserve">-Q). </w:t>
      </w:r>
      <w:r w:rsidR="009C34E7" w:rsidRPr="00C513A9">
        <w:rPr>
          <w:rFonts w:ascii="Times New Roman" w:hAnsi="Times New Roman" w:cs="Times New Roman"/>
          <w:bCs w:val="0"/>
          <w:szCs w:val="24"/>
          <w:lang w:val="de-CH"/>
        </w:rPr>
        <w:t>Diabet Med</w:t>
      </w:r>
      <w:r w:rsidR="00896E13">
        <w:rPr>
          <w:rFonts w:ascii="Times New Roman" w:hAnsi="Times New Roman" w:cs="Times New Roman"/>
          <w:bCs w:val="0"/>
          <w:szCs w:val="24"/>
          <w:lang w:val="de-CH"/>
        </w:rPr>
        <w:t xml:space="preserve"> </w:t>
      </w:r>
      <w:r w:rsidR="00D2041A">
        <w:rPr>
          <w:rFonts w:ascii="Times New Roman" w:hAnsi="Times New Roman" w:cs="Times New Roman"/>
          <w:bCs w:val="0"/>
          <w:szCs w:val="24"/>
          <w:lang w:val="de-CH"/>
        </w:rPr>
        <w:t>2016;33</w:t>
      </w:r>
      <w:r w:rsidRPr="00C513A9">
        <w:rPr>
          <w:rFonts w:ascii="Times New Roman" w:hAnsi="Times New Roman" w:cs="Times New Roman"/>
          <w:bCs w:val="0"/>
          <w:szCs w:val="24"/>
          <w:lang w:val="de-CH"/>
        </w:rPr>
        <w:t>:376-</w:t>
      </w:r>
      <w:r w:rsidR="00D2041A">
        <w:rPr>
          <w:rFonts w:ascii="Times New Roman" w:hAnsi="Times New Roman" w:cs="Times New Roman"/>
          <w:bCs w:val="0"/>
          <w:szCs w:val="24"/>
          <w:lang w:val="de-CH"/>
        </w:rPr>
        <w:t>3</w:t>
      </w:r>
      <w:r w:rsidRPr="00C513A9">
        <w:rPr>
          <w:rFonts w:ascii="Times New Roman" w:hAnsi="Times New Roman" w:cs="Times New Roman"/>
          <w:bCs w:val="0"/>
          <w:szCs w:val="24"/>
          <w:lang w:val="de-CH"/>
        </w:rPr>
        <w:t>85</w:t>
      </w:r>
    </w:p>
    <w:p w14:paraId="24687AEB" w14:textId="77777777" w:rsidR="00382E01" w:rsidRPr="00C513A9" w:rsidRDefault="00382E01" w:rsidP="00382E01">
      <w:pPr>
        <w:jc w:val="both"/>
        <w:rPr>
          <w:rFonts w:ascii="Times New Roman" w:hAnsi="Times New Roman" w:cs="Times New Roman"/>
          <w:bCs w:val="0"/>
          <w:szCs w:val="24"/>
          <w:lang w:val="de-CH"/>
        </w:rPr>
      </w:pPr>
    </w:p>
    <w:p w14:paraId="67AF6048" w14:textId="022DD8DB" w:rsidR="00382E01" w:rsidRPr="00F413DB" w:rsidRDefault="00382E01" w:rsidP="00382E01">
      <w:pPr>
        <w:jc w:val="both"/>
        <w:rPr>
          <w:rFonts w:ascii="Times New Roman" w:hAnsi="Times New Roman" w:cs="Times New Roman"/>
          <w:bCs w:val="0"/>
          <w:szCs w:val="24"/>
          <w:lang w:val="en-GB"/>
        </w:rPr>
      </w:pPr>
      <w:r w:rsidRPr="00C513A9">
        <w:rPr>
          <w:rFonts w:ascii="Times New Roman" w:hAnsi="Times New Roman" w:cs="Times New Roman"/>
          <w:bCs w:val="0"/>
          <w:szCs w:val="24"/>
          <w:lang w:val="de-CH"/>
        </w:rPr>
        <w:t xml:space="preserve">13. Gonder-Frederick LA, Schmidt KM, Vajda KA, </w:t>
      </w:r>
      <w:r w:rsidR="009C34E7" w:rsidRPr="00C513A9">
        <w:rPr>
          <w:rFonts w:ascii="Times New Roman" w:hAnsi="Times New Roman" w:cs="Times New Roman"/>
          <w:bCs w:val="0"/>
          <w:szCs w:val="24"/>
          <w:lang w:val="de-CH"/>
        </w:rPr>
        <w:t xml:space="preserve">et al. </w:t>
      </w:r>
      <w:r w:rsidRPr="00F413DB">
        <w:rPr>
          <w:rFonts w:ascii="Times New Roman" w:hAnsi="Times New Roman" w:cs="Times New Roman"/>
          <w:bCs w:val="0"/>
          <w:szCs w:val="24"/>
          <w:lang w:val="en-GB"/>
        </w:rPr>
        <w:t xml:space="preserve">Psychometric properties of the </w:t>
      </w:r>
      <w:proofErr w:type="spellStart"/>
      <w:r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Fear Survey-II for adults with</w:t>
      </w:r>
      <w:r w:rsidR="00C96CE9">
        <w:rPr>
          <w:rFonts w:ascii="Times New Roman" w:hAnsi="Times New Roman" w:cs="Times New Roman"/>
          <w:bCs w:val="0"/>
          <w:szCs w:val="24"/>
          <w:lang w:val="en-GB"/>
        </w:rPr>
        <w:t xml:space="preserve"> type 1 diabetes. Diabetes Care</w:t>
      </w:r>
      <w:r w:rsidRPr="00F413DB">
        <w:rPr>
          <w:rFonts w:ascii="Times New Roman" w:hAnsi="Times New Roman" w:cs="Times New Roman"/>
          <w:bCs w:val="0"/>
          <w:szCs w:val="24"/>
          <w:lang w:val="en-GB"/>
        </w:rPr>
        <w:t xml:space="preserve"> 2011</w:t>
      </w:r>
      <w:proofErr w:type="gramStart"/>
      <w:r w:rsidRPr="00F413DB">
        <w:rPr>
          <w:rFonts w:ascii="Times New Roman" w:hAnsi="Times New Roman" w:cs="Times New Roman"/>
          <w:bCs w:val="0"/>
          <w:szCs w:val="24"/>
          <w:lang w:val="en-GB"/>
        </w:rPr>
        <w:t>;34:801</w:t>
      </w:r>
      <w:proofErr w:type="gramEnd"/>
      <w:r w:rsidRPr="00F413DB">
        <w:rPr>
          <w:rFonts w:ascii="Times New Roman" w:hAnsi="Times New Roman" w:cs="Times New Roman"/>
          <w:bCs w:val="0"/>
          <w:szCs w:val="24"/>
          <w:lang w:val="en-GB"/>
        </w:rPr>
        <w:t>-</w:t>
      </w:r>
      <w:r w:rsidR="00D2041A">
        <w:rPr>
          <w:rFonts w:ascii="Times New Roman" w:hAnsi="Times New Roman" w:cs="Times New Roman"/>
          <w:bCs w:val="0"/>
          <w:szCs w:val="24"/>
          <w:lang w:val="en-GB"/>
        </w:rPr>
        <w:t>80</w:t>
      </w:r>
      <w:r w:rsidRPr="00F413DB">
        <w:rPr>
          <w:rFonts w:ascii="Times New Roman" w:hAnsi="Times New Roman" w:cs="Times New Roman"/>
          <w:bCs w:val="0"/>
          <w:szCs w:val="24"/>
          <w:lang w:val="en-GB"/>
        </w:rPr>
        <w:t>6</w:t>
      </w:r>
    </w:p>
    <w:p w14:paraId="4EEE974F" w14:textId="322F9D39" w:rsidR="00382E01" w:rsidRPr="00F413DB" w:rsidRDefault="00382E01" w:rsidP="00382E01">
      <w:pPr>
        <w:jc w:val="both"/>
        <w:rPr>
          <w:rFonts w:ascii="Times New Roman" w:hAnsi="Times New Roman" w:cs="Times New Roman"/>
          <w:bCs w:val="0"/>
          <w:szCs w:val="24"/>
          <w:lang w:val="en-GB"/>
        </w:rPr>
      </w:pPr>
    </w:p>
    <w:p w14:paraId="21ADCD1F" w14:textId="5F8CE441" w:rsidR="00382E01" w:rsidRPr="00F413DB" w:rsidRDefault="00382E01" w:rsidP="00382E01">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lastRenderedPageBreak/>
        <w:t xml:space="preserve">14. Singh H, Gonder-Frederick L, Schmidt K, et al. Assessing </w:t>
      </w:r>
      <w:proofErr w:type="spellStart"/>
      <w:r w:rsidRPr="00F413DB">
        <w:rPr>
          <w:rFonts w:ascii="Times New Roman" w:hAnsi="Times New Roman" w:cs="Times New Roman"/>
          <w:bCs w:val="0"/>
          <w:szCs w:val="24"/>
          <w:lang w:val="en-GB"/>
        </w:rPr>
        <w:t>hyperglycemia</w:t>
      </w:r>
      <w:proofErr w:type="spellEnd"/>
      <w:r w:rsidRPr="00F413DB">
        <w:rPr>
          <w:rFonts w:ascii="Times New Roman" w:hAnsi="Times New Roman" w:cs="Times New Roman"/>
          <w:bCs w:val="0"/>
          <w:szCs w:val="24"/>
          <w:lang w:val="en-GB"/>
        </w:rPr>
        <w:t xml:space="preserve"> avoidance in peopl</w:t>
      </w:r>
      <w:r w:rsidR="009C34E7" w:rsidRPr="00F413DB">
        <w:rPr>
          <w:rFonts w:ascii="Times New Roman" w:hAnsi="Times New Roman" w:cs="Times New Roman"/>
          <w:bCs w:val="0"/>
          <w:szCs w:val="24"/>
          <w:lang w:val="en-GB"/>
        </w:rPr>
        <w:t xml:space="preserve">e with type 1 diabetes. </w:t>
      </w:r>
      <w:proofErr w:type="spellStart"/>
      <w:r w:rsidR="009C34E7" w:rsidRPr="00F413DB">
        <w:rPr>
          <w:rFonts w:ascii="Times New Roman" w:hAnsi="Times New Roman" w:cs="Times New Roman"/>
          <w:bCs w:val="0"/>
          <w:szCs w:val="24"/>
          <w:lang w:val="en-GB"/>
        </w:rPr>
        <w:t>Diab</w:t>
      </w:r>
      <w:proofErr w:type="spellEnd"/>
      <w:r w:rsidR="009C34E7" w:rsidRPr="00F413DB">
        <w:rPr>
          <w:rFonts w:ascii="Times New Roman" w:hAnsi="Times New Roman" w:cs="Times New Roman"/>
          <w:bCs w:val="0"/>
          <w:szCs w:val="24"/>
          <w:lang w:val="en-GB"/>
        </w:rPr>
        <w:t xml:space="preserve"> </w:t>
      </w:r>
      <w:proofErr w:type="spellStart"/>
      <w:r w:rsidR="009C34E7" w:rsidRPr="00F413DB">
        <w:rPr>
          <w:rFonts w:ascii="Times New Roman" w:hAnsi="Times New Roman" w:cs="Times New Roman"/>
          <w:bCs w:val="0"/>
          <w:szCs w:val="24"/>
          <w:lang w:val="en-GB"/>
        </w:rPr>
        <w:t>Manag</w:t>
      </w:r>
      <w:proofErr w:type="spellEnd"/>
      <w:r w:rsidR="001C39DE">
        <w:rPr>
          <w:rFonts w:ascii="Times New Roman" w:hAnsi="Times New Roman" w:cs="Times New Roman"/>
          <w:bCs w:val="0"/>
          <w:szCs w:val="24"/>
          <w:lang w:val="en-GB"/>
        </w:rPr>
        <w:t xml:space="preserve"> 2014</w:t>
      </w:r>
      <w:proofErr w:type="gramStart"/>
      <w:r w:rsidR="001C39DE">
        <w:rPr>
          <w:rFonts w:ascii="Times New Roman" w:hAnsi="Times New Roman" w:cs="Times New Roman"/>
          <w:bCs w:val="0"/>
          <w:szCs w:val="24"/>
          <w:lang w:val="en-GB"/>
        </w:rPr>
        <w:t>;4</w:t>
      </w:r>
      <w:r w:rsidRPr="00F413DB">
        <w:rPr>
          <w:rFonts w:ascii="Times New Roman" w:hAnsi="Times New Roman" w:cs="Times New Roman"/>
          <w:bCs w:val="0"/>
          <w:szCs w:val="24"/>
          <w:lang w:val="en-GB"/>
        </w:rPr>
        <w:t>:263</w:t>
      </w:r>
      <w:proofErr w:type="gramEnd"/>
      <w:r w:rsidRPr="00F413DB">
        <w:rPr>
          <w:rFonts w:ascii="Times New Roman" w:hAnsi="Times New Roman" w:cs="Times New Roman"/>
          <w:bCs w:val="0"/>
          <w:szCs w:val="24"/>
          <w:lang w:val="en-GB"/>
        </w:rPr>
        <w:t>-</w:t>
      </w:r>
      <w:r w:rsidR="001C39DE">
        <w:rPr>
          <w:rFonts w:ascii="Times New Roman" w:hAnsi="Times New Roman" w:cs="Times New Roman"/>
          <w:bCs w:val="0"/>
          <w:szCs w:val="24"/>
          <w:lang w:val="en-GB"/>
        </w:rPr>
        <w:t>2</w:t>
      </w:r>
      <w:r w:rsidR="00FA56C9">
        <w:rPr>
          <w:rFonts w:ascii="Times New Roman" w:hAnsi="Times New Roman" w:cs="Times New Roman"/>
          <w:bCs w:val="0"/>
          <w:szCs w:val="24"/>
          <w:lang w:val="en-GB"/>
        </w:rPr>
        <w:t>71</w:t>
      </w:r>
    </w:p>
    <w:p w14:paraId="4E0D9C6C" w14:textId="5DEB29C2" w:rsidR="00382E01" w:rsidRPr="00F413DB" w:rsidRDefault="00382E01" w:rsidP="00382E01">
      <w:pPr>
        <w:jc w:val="both"/>
        <w:rPr>
          <w:rFonts w:ascii="Times New Roman" w:hAnsi="Times New Roman" w:cs="Times New Roman"/>
          <w:bCs w:val="0"/>
          <w:szCs w:val="24"/>
          <w:lang w:val="en-GB"/>
        </w:rPr>
      </w:pPr>
    </w:p>
    <w:p w14:paraId="30AD963C" w14:textId="362CF5BC" w:rsidR="00382E01" w:rsidRPr="00F413DB" w:rsidRDefault="00382E01" w:rsidP="00382E01">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15. Bradley C. The Diabetes Treatment Satisfaction Questionnaire. In</w:t>
      </w:r>
      <w:r w:rsidR="001C39DE">
        <w:rPr>
          <w:rFonts w:ascii="Times New Roman" w:hAnsi="Times New Roman" w:cs="Times New Roman"/>
          <w:bCs w:val="0"/>
          <w:szCs w:val="24"/>
          <w:lang w:val="en-GB"/>
        </w:rPr>
        <w:t xml:space="preserve"> </w:t>
      </w:r>
      <w:r w:rsidRPr="001C39DE">
        <w:rPr>
          <w:rFonts w:ascii="Times New Roman" w:hAnsi="Times New Roman" w:cs="Times New Roman"/>
          <w:bCs w:val="0"/>
          <w:i/>
          <w:szCs w:val="24"/>
          <w:lang w:val="en-GB"/>
        </w:rPr>
        <w:t>Handbook of Psychology and Diabetes</w:t>
      </w:r>
      <w:r w:rsidRPr="00F413DB">
        <w:rPr>
          <w:rFonts w:ascii="Times New Roman" w:hAnsi="Times New Roman" w:cs="Times New Roman"/>
          <w:bCs w:val="0"/>
          <w:szCs w:val="24"/>
          <w:lang w:val="en-GB"/>
        </w:rPr>
        <w:t>.</w:t>
      </w:r>
      <w:r w:rsidR="001C39DE">
        <w:rPr>
          <w:rFonts w:ascii="Times New Roman" w:hAnsi="Times New Roman" w:cs="Times New Roman"/>
          <w:bCs w:val="0"/>
          <w:szCs w:val="24"/>
          <w:lang w:val="en-GB"/>
        </w:rPr>
        <w:t xml:space="preserve"> Bradley C, Ed.</w:t>
      </w:r>
      <w:r w:rsidRPr="00F413DB">
        <w:rPr>
          <w:rFonts w:ascii="Times New Roman" w:hAnsi="Times New Roman" w:cs="Times New Roman"/>
          <w:bCs w:val="0"/>
          <w:szCs w:val="24"/>
          <w:lang w:val="en-GB"/>
        </w:rPr>
        <w:t xml:space="preserve"> Switzerland</w:t>
      </w:r>
      <w:r w:rsidR="003F6ED2">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Harwood Academic Publishers</w:t>
      </w:r>
      <w:proofErr w:type="gramStart"/>
      <w:r w:rsidR="001C39DE">
        <w:rPr>
          <w:rFonts w:ascii="Times New Roman" w:hAnsi="Times New Roman" w:cs="Times New Roman"/>
          <w:bCs w:val="0"/>
          <w:szCs w:val="24"/>
          <w:lang w:val="en-GB"/>
        </w:rPr>
        <w:t>,1994</w:t>
      </w:r>
      <w:proofErr w:type="gramEnd"/>
      <w:r w:rsidR="001C39DE">
        <w:rPr>
          <w:rFonts w:ascii="Times New Roman" w:hAnsi="Times New Roman" w:cs="Times New Roman"/>
          <w:bCs w:val="0"/>
          <w:szCs w:val="24"/>
          <w:lang w:val="en-GB"/>
        </w:rPr>
        <w:t>, p.111-132</w:t>
      </w:r>
    </w:p>
    <w:p w14:paraId="32897C57" w14:textId="77777777" w:rsidR="006B467C" w:rsidRPr="00F413DB" w:rsidRDefault="006B467C" w:rsidP="00382E01">
      <w:pPr>
        <w:jc w:val="both"/>
        <w:rPr>
          <w:rFonts w:ascii="Times New Roman" w:hAnsi="Times New Roman" w:cs="Times New Roman"/>
          <w:bCs w:val="0"/>
          <w:szCs w:val="24"/>
          <w:lang w:val="en-GB"/>
        </w:rPr>
      </w:pPr>
    </w:p>
    <w:p w14:paraId="7D2EA029" w14:textId="3A174A71" w:rsidR="006B467C" w:rsidRDefault="006B467C" w:rsidP="006B467C">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 xml:space="preserve">16. Suarez GA, </w:t>
      </w:r>
      <w:proofErr w:type="spellStart"/>
      <w:r w:rsidRPr="00F413DB">
        <w:rPr>
          <w:rFonts w:ascii="Times New Roman" w:hAnsi="Times New Roman" w:cs="Times New Roman"/>
          <w:bCs w:val="0"/>
          <w:szCs w:val="24"/>
          <w:lang w:val="en-GB"/>
        </w:rPr>
        <w:t>Opfer-Gehrking</w:t>
      </w:r>
      <w:proofErr w:type="spellEnd"/>
      <w:r w:rsidRPr="00F413DB">
        <w:rPr>
          <w:rFonts w:ascii="Times New Roman" w:hAnsi="Times New Roman" w:cs="Times New Roman"/>
          <w:bCs w:val="0"/>
          <w:szCs w:val="24"/>
          <w:lang w:val="en-GB"/>
        </w:rPr>
        <w:t xml:space="preserve"> TL, </w:t>
      </w:r>
      <w:proofErr w:type="spellStart"/>
      <w:r w:rsidRPr="00F413DB">
        <w:rPr>
          <w:rFonts w:ascii="Times New Roman" w:hAnsi="Times New Roman" w:cs="Times New Roman"/>
          <w:bCs w:val="0"/>
          <w:szCs w:val="24"/>
          <w:lang w:val="en-GB"/>
        </w:rPr>
        <w:t>Offord</w:t>
      </w:r>
      <w:proofErr w:type="spellEnd"/>
      <w:r w:rsidRPr="00F413DB">
        <w:rPr>
          <w:rFonts w:ascii="Times New Roman" w:hAnsi="Times New Roman" w:cs="Times New Roman"/>
          <w:bCs w:val="0"/>
          <w:szCs w:val="24"/>
          <w:lang w:val="en-GB"/>
        </w:rPr>
        <w:t xml:space="preserve"> KP, </w:t>
      </w:r>
      <w:r w:rsidR="008E1367">
        <w:rPr>
          <w:rFonts w:ascii="Times New Roman" w:hAnsi="Times New Roman" w:cs="Times New Roman"/>
          <w:bCs w:val="0"/>
          <w:szCs w:val="24"/>
          <w:lang w:val="en-GB"/>
        </w:rPr>
        <w:t>Atkinson EJ, O’Brien PC, Low PA</w:t>
      </w:r>
      <w:r w:rsidRPr="00F413DB">
        <w:rPr>
          <w:rFonts w:ascii="Times New Roman" w:hAnsi="Times New Roman" w:cs="Times New Roman"/>
          <w:bCs w:val="0"/>
          <w:szCs w:val="24"/>
          <w:lang w:val="en-GB"/>
        </w:rPr>
        <w:t>. The Autonomic Symptom Profile: a new instrument to assess autonomic</w:t>
      </w:r>
      <w:r w:rsidR="00023623">
        <w:rPr>
          <w:rFonts w:ascii="Times New Roman" w:hAnsi="Times New Roman" w:cs="Times New Roman"/>
          <w:bCs w:val="0"/>
          <w:szCs w:val="24"/>
          <w:lang w:val="en-GB"/>
        </w:rPr>
        <w:t xml:space="preserve"> symptoms. Neurology. 1999</w:t>
      </w:r>
      <w:proofErr w:type="gramStart"/>
      <w:r w:rsidR="00023623">
        <w:rPr>
          <w:rFonts w:ascii="Times New Roman" w:hAnsi="Times New Roman" w:cs="Times New Roman"/>
          <w:bCs w:val="0"/>
          <w:szCs w:val="24"/>
          <w:lang w:val="en-GB"/>
        </w:rPr>
        <w:t>;52:52</w:t>
      </w:r>
      <w:r w:rsidRPr="00F413DB">
        <w:rPr>
          <w:rFonts w:ascii="Times New Roman" w:hAnsi="Times New Roman" w:cs="Times New Roman"/>
          <w:bCs w:val="0"/>
          <w:szCs w:val="24"/>
          <w:lang w:val="en-GB"/>
        </w:rPr>
        <w:t>3</w:t>
      </w:r>
      <w:proofErr w:type="gramEnd"/>
      <w:r w:rsidR="00023623">
        <w:rPr>
          <w:rFonts w:ascii="Times New Roman" w:hAnsi="Times New Roman" w:cs="Times New Roman"/>
          <w:bCs w:val="0"/>
          <w:szCs w:val="24"/>
          <w:lang w:val="en-GB"/>
        </w:rPr>
        <w:t>-528</w:t>
      </w:r>
    </w:p>
    <w:p w14:paraId="2371AE61" w14:textId="77777777" w:rsidR="00C713BB" w:rsidRDefault="00C713BB" w:rsidP="006B467C">
      <w:pPr>
        <w:jc w:val="both"/>
        <w:rPr>
          <w:rFonts w:ascii="Times New Roman" w:hAnsi="Times New Roman" w:cs="Times New Roman"/>
          <w:bCs w:val="0"/>
          <w:szCs w:val="24"/>
          <w:lang w:val="en-GB"/>
        </w:rPr>
      </w:pPr>
    </w:p>
    <w:p w14:paraId="159B83EC" w14:textId="61AD8041" w:rsidR="00C713BB" w:rsidRPr="00C513A9" w:rsidRDefault="00C713BB" w:rsidP="006B467C">
      <w:pPr>
        <w:jc w:val="both"/>
        <w:rPr>
          <w:rFonts w:ascii="Times New Roman" w:hAnsi="Times New Roman" w:cs="Times New Roman"/>
          <w:bCs w:val="0"/>
          <w:szCs w:val="24"/>
          <w:lang w:val="de-CH"/>
        </w:rPr>
      </w:pPr>
      <w:r>
        <w:rPr>
          <w:rFonts w:ascii="Times New Roman" w:hAnsi="Times New Roman" w:cs="Times New Roman"/>
          <w:bCs w:val="0"/>
          <w:szCs w:val="24"/>
          <w:lang w:val="en-GB"/>
        </w:rPr>
        <w:t xml:space="preserve">17. </w:t>
      </w:r>
      <w:proofErr w:type="spellStart"/>
      <w:r>
        <w:rPr>
          <w:rFonts w:ascii="Times New Roman" w:hAnsi="Times New Roman" w:cs="Times New Roman"/>
          <w:bCs w:val="0"/>
          <w:szCs w:val="24"/>
          <w:lang w:val="en-GB"/>
        </w:rPr>
        <w:t>Shanmugam</w:t>
      </w:r>
      <w:proofErr w:type="spellEnd"/>
      <w:r>
        <w:rPr>
          <w:rFonts w:ascii="Times New Roman" w:hAnsi="Times New Roman" w:cs="Times New Roman"/>
          <w:bCs w:val="0"/>
          <w:szCs w:val="24"/>
          <w:lang w:val="en-GB"/>
        </w:rPr>
        <w:t xml:space="preserve"> V, Sell KW, </w:t>
      </w:r>
      <w:proofErr w:type="spellStart"/>
      <w:r>
        <w:rPr>
          <w:rFonts w:ascii="Times New Roman" w:hAnsi="Times New Roman" w:cs="Times New Roman"/>
          <w:bCs w:val="0"/>
          <w:szCs w:val="24"/>
          <w:lang w:val="en-GB"/>
        </w:rPr>
        <w:t>Saha</w:t>
      </w:r>
      <w:proofErr w:type="spellEnd"/>
      <w:r>
        <w:rPr>
          <w:rFonts w:ascii="Times New Roman" w:hAnsi="Times New Roman" w:cs="Times New Roman"/>
          <w:bCs w:val="0"/>
          <w:szCs w:val="24"/>
          <w:lang w:val="en-GB"/>
        </w:rPr>
        <w:t xml:space="preserve"> BK. Mistyping ACE heterozygotes. </w:t>
      </w:r>
      <w:r w:rsidRPr="00C513A9">
        <w:rPr>
          <w:rFonts w:ascii="Times New Roman" w:hAnsi="Times New Roman" w:cs="Times New Roman"/>
          <w:bCs w:val="0"/>
          <w:szCs w:val="24"/>
          <w:lang w:val="de-CH"/>
        </w:rPr>
        <w:t>PCR Methods. 1993;3:120-</w:t>
      </w:r>
      <w:r w:rsidR="0099338A">
        <w:rPr>
          <w:rFonts w:ascii="Times New Roman" w:hAnsi="Times New Roman" w:cs="Times New Roman"/>
          <w:bCs w:val="0"/>
          <w:szCs w:val="24"/>
          <w:lang w:val="de-CH"/>
        </w:rPr>
        <w:t>12</w:t>
      </w:r>
      <w:r w:rsidR="008E1367">
        <w:rPr>
          <w:rFonts w:ascii="Times New Roman" w:hAnsi="Times New Roman" w:cs="Times New Roman"/>
          <w:bCs w:val="0"/>
          <w:szCs w:val="24"/>
          <w:lang w:val="de-CH"/>
        </w:rPr>
        <w:t>1</w:t>
      </w:r>
      <w:r w:rsidRPr="00C513A9">
        <w:rPr>
          <w:rFonts w:ascii="Times New Roman" w:hAnsi="Times New Roman" w:cs="Times New Roman"/>
          <w:bCs w:val="0"/>
          <w:szCs w:val="24"/>
          <w:lang w:val="de-CH"/>
        </w:rPr>
        <w:t xml:space="preserve"> </w:t>
      </w:r>
    </w:p>
    <w:p w14:paraId="00C34686" w14:textId="77777777" w:rsidR="006B467C" w:rsidRPr="00C513A9" w:rsidRDefault="006B467C" w:rsidP="006B467C">
      <w:pPr>
        <w:jc w:val="both"/>
        <w:rPr>
          <w:rFonts w:ascii="Times New Roman" w:hAnsi="Times New Roman" w:cs="Times New Roman"/>
          <w:bCs w:val="0"/>
          <w:szCs w:val="24"/>
          <w:lang w:val="de-CH"/>
        </w:rPr>
      </w:pPr>
    </w:p>
    <w:p w14:paraId="5E753F72" w14:textId="3815CE25" w:rsidR="006B467C" w:rsidRPr="00C513A9" w:rsidRDefault="006B467C" w:rsidP="006B467C">
      <w:pPr>
        <w:jc w:val="both"/>
        <w:rPr>
          <w:rFonts w:ascii="Times New Roman" w:hAnsi="Times New Roman" w:cs="Times New Roman"/>
          <w:bCs w:val="0"/>
          <w:szCs w:val="24"/>
          <w:lang w:val="de-CH"/>
        </w:rPr>
      </w:pPr>
      <w:r w:rsidRPr="00C513A9">
        <w:rPr>
          <w:rFonts w:ascii="Times New Roman" w:hAnsi="Times New Roman" w:cs="Times New Roman"/>
          <w:bCs w:val="0"/>
          <w:szCs w:val="24"/>
          <w:lang w:val="de-CH"/>
        </w:rPr>
        <w:t>1</w:t>
      </w:r>
      <w:r w:rsidR="0001705D" w:rsidRPr="00C513A9">
        <w:rPr>
          <w:rFonts w:ascii="Times New Roman" w:hAnsi="Times New Roman" w:cs="Times New Roman"/>
          <w:bCs w:val="0"/>
          <w:szCs w:val="24"/>
          <w:lang w:val="de-CH"/>
        </w:rPr>
        <w:t>8</w:t>
      </w:r>
      <w:r w:rsidRPr="00C513A9">
        <w:rPr>
          <w:rFonts w:ascii="Times New Roman" w:hAnsi="Times New Roman" w:cs="Times New Roman"/>
          <w:bCs w:val="0"/>
          <w:szCs w:val="24"/>
          <w:lang w:val="de-CH"/>
        </w:rPr>
        <w:t>. Oram RA, Jones AG, Besser RE,</w:t>
      </w:r>
      <w:r w:rsidR="009C34E7" w:rsidRPr="00C513A9">
        <w:rPr>
          <w:rFonts w:ascii="Times New Roman" w:hAnsi="Times New Roman" w:cs="Times New Roman"/>
          <w:bCs w:val="0"/>
          <w:szCs w:val="24"/>
          <w:lang w:val="de-CH"/>
        </w:rPr>
        <w:t xml:space="preserve"> et al</w:t>
      </w:r>
      <w:r w:rsidRPr="00C513A9">
        <w:rPr>
          <w:rFonts w:ascii="Times New Roman" w:hAnsi="Times New Roman" w:cs="Times New Roman"/>
          <w:bCs w:val="0"/>
          <w:szCs w:val="24"/>
          <w:lang w:val="de-CH"/>
        </w:rPr>
        <w:t xml:space="preserve">. </w:t>
      </w:r>
      <w:r w:rsidRPr="00F413DB">
        <w:rPr>
          <w:rFonts w:ascii="Times New Roman" w:hAnsi="Times New Roman" w:cs="Times New Roman"/>
          <w:bCs w:val="0"/>
          <w:szCs w:val="24"/>
          <w:lang w:val="en-GB"/>
        </w:rPr>
        <w:t xml:space="preserve">The majority of patients with long-duration of type 1 diabetes are </w:t>
      </w:r>
      <w:r w:rsidR="008E1367">
        <w:rPr>
          <w:rFonts w:ascii="Times New Roman" w:hAnsi="Times New Roman" w:cs="Times New Roman"/>
          <w:bCs w:val="0"/>
          <w:szCs w:val="24"/>
          <w:lang w:val="en-GB"/>
        </w:rPr>
        <w:t xml:space="preserve">insulin </w:t>
      </w:r>
      <w:proofErr w:type="spellStart"/>
      <w:r w:rsidRPr="00F413DB">
        <w:rPr>
          <w:rFonts w:ascii="Times New Roman" w:hAnsi="Times New Roman" w:cs="Times New Roman"/>
          <w:bCs w:val="0"/>
          <w:szCs w:val="24"/>
          <w:lang w:val="en-GB"/>
        </w:rPr>
        <w:t>microsecretors</w:t>
      </w:r>
      <w:proofErr w:type="spellEnd"/>
      <w:r w:rsidRPr="00F413DB">
        <w:rPr>
          <w:rFonts w:ascii="Times New Roman" w:hAnsi="Times New Roman" w:cs="Times New Roman"/>
          <w:bCs w:val="0"/>
          <w:szCs w:val="24"/>
          <w:lang w:val="en-GB"/>
        </w:rPr>
        <w:t xml:space="preserve"> and have functioning beta cells</w:t>
      </w:r>
      <w:r w:rsidR="008E1367">
        <w:rPr>
          <w:rFonts w:ascii="Times New Roman" w:hAnsi="Times New Roman" w:cs="Times New Roman"/>
          <w:bCs w:val="0"/>
          <w:szCs w:val="24"/>
          <w:lang w:val="en-GB"/>
        </w:rPr>
        <w:t xml:space="preserve"> [published correction appears in </w:t>
      </w:r>
      <w:proofErr w:type="spellStart"/>
      <w:r w:rsidR="008E1367">
        <w:rPr>
          <w:rFonts w:ascii="Times New Roman" w:hAnsi="Times New Roman" w:cs="Times New Roman"/>
          <w:bCs w:val="0"/>
          <w:szCs w:val="24"/>
          <w:lang w:val="en-GB"/>
        </w:rPr>
        <w:t>Diabetologia</w:t>
      </w:r>
      <w:proofErr w:type="spellEnd"/>
      <w:r w:rsidR="008E1367">
        <w:rPr>
          <w:rFonts w:ascii="Times New Roman" w:hAnsi="Times New Roman" w:cs="Times New Roman"/>
          <w:bCs w:val="0"/>
          <w:szCs w:val="24"/>
          <w:lang w:val="en-GB"/>
        </w:rPr>
        <w:t xml:space="preserve"> 2014</w:t>
      </w:r>
      <w:proofErr w:type="gramStart"/>
      <w:r w:rsidR="008E1367">
        <w:rPr>
          <w:rFonts w:ascii="Times New Roman" w:hAnsi="Times New Roman" w:cs="Times New Roman"/>
          <w:bCs w:val="0"/>
          <w:szCs w:val="24"/>
          <w:lang w:val="en-GB"/>
        </w:rPr>
        <w:t>;57:262</w:t>
      </w:r>
      <w:proofErr w:type="gramEnd"/>
      <w:r w:rsidR="008E1367">
        <w:rPr>
          <w:rFonts w:ascii="Times New Roman" w:hAnsi="Times New Roman" w:cs="Times New Roman"/>
          <w:bCs w:val="0"/>
          <w:szCs w:val="24"/>
          <w:lang w:val="en-GB"/>
        </w:rPr>
        <w:t>]</w:t>
      </w:r>
      <w:r w:rsidRPr="00F413DB">
        <w:rPr>
          <w:rFonts w:ascii="Times New Roman" w:hAnsi="Times New Roman" w:cs="Times New Roman"/>
          <w:bCs w:val="0"/>
          <w:szCs w:val="24"/>
          <w:lang w:val="en-GB"/>
        </w:rPr>
        <w:t xml:space="preserve">. </w:t>
      </w:r>
      <w:r w:rsidR="008E1367">
        <w:rPr>
          <w:rFonts w:ascii="Times New Roman" w:hAnsi="Times New Roman" w:cs="Times New Roman"/>
          <w:bCs w:val="0"/>
          <w:szCs w:val="24"/>
          <w:lang w:val="de-CH"/>
        </w:rPr>
        <w:t>Diabetologia. 2014;57:187-91</w:t>
      </w:r>
    </w:p>
    <w:p w14:paraId="530FDE2B" w14:textId="77777777" w:rsidR="006B467C" w:rsidRPr="00C513A9" w:rsidRDefault="006B467C" w:rsidP="006B467C">
      <w:pPr>
        <w:jc w:val="both"/>
        <w:rPr>
          <w:rFonts w:ascii="Times New Roman" w:hAnsi="Times New Roman" w:cs="Times New Roman"/>
          <w:bCs w:val="0"/>
          <w:szCs w:val="24"/>
          <w:lang w:val="de-CH"/>
        </w:rPr>
      </w:pPr>
    </w:p>
    <w:p w14:paraId="22CAF030" w14:textId="4DDF0103" w:rsidR="006B467C" w:rsidRPr="00F413DB" w:rsidRDefault="006B467C" w:rsidP="006B467C">
      <w:pPr>
        <w:jc w:val="both"/>
        <w:rPr>
          <w:rFonts w:ascii="Times New Roman" w:hAnsi="Times New Roman" w:cs="Times New Roman"/>
          <w:bCs w:val="0"/>
          <w:szCs w:val="24"/>
          <w:lang w:val="en-GB"/>
        </w:rPr>
      </w:pPr>
      <w:r w:rsidRPr="00C513A9">
        <w:rPr>
          <w:rFonts w:ascii="Times New Roman" w:hAnsi="Times New Roman" w:cs="Times New Roman"/>
          <w:bCs w:val="0"/>
          <w:szCs w:val="24"/>
          <w:lang w:val="de-CH"/>
        </w:rPr>
        <w:t>1</w:t>
      </w:r>
      <w:r w:rsidR="0001705D" w:rsidRPr="00C513A9">
        <w:rPr>
          <w:rFonts w:ascii="Times New Roman" w:hAnsi="Times New Roman" w:cs="Times New Roman"/>
          <w:bCs w:val="0"/>
          <w:szCs w:val="24"/>
          <w:lang w:val="de-CH"/>
        </w:rPr>
        <w:t>9</w:t>
      </w:r>
      <w:r w:rsidRPr="00C513A9">
        <w:rPr>
          <w:rFonts w:ascii="Times New Roman" w:hAnsi="Times New Roman" w:cs="Times New Roman"/>
          <w:bCs w:val="0"/>
          <w:szCs w:val="24"/>
          <w:lang w:val="de-CH"/>
        </w:rPr>
        <w:t>. Greenbaum CJ, Mandrup-Poulsen T, McGee PF</w:t>
      </w:r>
      <w:r w:rsidR="009C34E7" w:rsidRPr="00C513A9">
        <w:rPr>
          <w:rFonts w:ascii="Times New Roman" w:hAnsi="Times New Roman" w:cs="Times New Roman"/>
          <w:bCs w:val="0"/>
          <w:szCs w:val="24"/>
          <w:lang w:val="de-CH"/>
        </w:rPr>
        <w:t>,</w:t>
      </w:r>
      <w:r w:rsidRPr="00C513A9">
        <w:rPr>
          <w:rFonts w:ascii="Times New Roman" w:hAnsi="Times New Roman" w:cs="Times New Roman"/>
          <w:bCs w:val="0"/>
          <w:szCs w:val="24"/>
          <w:lang w:val="de-CH"/>
        </w:rPr>
        <w:t xml:space="preserve"> et al. </w:t>
      </w:r>
      <w:r w:rsidRPr="00F413DB">
        <w:rPr>
          <w:rFonts w:ascii="Times New Roman" w:hAnsi="Times New Roman" w:cs="Times New Roman"/>
          <w:bCs w:val="0"/>
          <w:szCs w:val="24"/>
          <w:lang w:val="en-GB"/>
        </w:rPr>
        <w:t xml:space="preserve">Type 1 Diabetes Trial Net Research Group; European C-peptide Trial Study Group. Mixed-meal tolerance test versus glucagon stimulation test for the assessment of </w:t>
      </w:r>
      <w:r w:rsidR="008E1367">
        <w:rPr>
          <w:rFonts w:ascii="Times New Roman" w:hAnsi="Times New Roman" w:cs="Times New Roman"/>
          <w:bCs w:val="0"/>
          <w:szCs w:val="24"/>
          <w:lang w:val="en-GB"/>
        </w:rPr>
        <w:t>β</w:t>
      </w:r>
      <w:r w:rsidRPr="00F413DB">
        <w:rPr>
          <w:rFonts w:ascii="Times New Roman" w:hAnsi="Times New Roman" w:cs="Times New Roman"/>
          <w:bCs w:val="0"/>
          <w:szCs w:val="24"/>
          <w:lang w:val="en-GB"/>
        </w:rPr>
        <w:t>-cell function in therapeutic trial</w:t>
      </w:r>
      <w:r w:rsidR="008E1367">
        <w:rPr>
          <w:rFonts w:ascii="Times New Roman" w:hAnsi="Times New Roman" w:cs="Times New Roman"/>
          <w:bCs w:val="0"/>
          <w:szCs w:val="24"/>
          <w:lang w:val="en-GB"/>
        </w:rPr>
        <w:t>s</w:t>
      </w:r>
      <w:r w:rsidRPr="00F413DB">
        <w:rPr>
          <w:rFonts w:ascii="Times New Roman" w:hAnsi="Times New Roman" w:cs="Times New Roman"/>
          <w:bCs w:val="0"/>
          <w:szCs w:val="24"/>
          <w:lang w:val="en-GB"/>
        </w:rPr>
        <w:t xml:space="preserve"> in type 1 diabetes. Diabetes Care 2008</w:t>
      </w:r>
      <w:proofErr w:type="gramStart"/>
      <w:r w:rsidRPr="00F413DB">
        <w:rPr>
          <w:rFonts w:ascii="Times New Roman" w:hAnsi="Times New Roman" w:cs="Times New Roman"/>
          <w:bCs w:val="0"/>
          <w:szCs w:val="24"/>
          <w:lang w:val="en-GB"/>
        </w:rPr>
        <w:t>;31:1966</w:t>
      </w:r>
      <w:proofErr w:type="gramEnd"/>
      <w:r w:rsidRPr="00F413DB">
        <w:rPr>
          <w:rFonts w:ascii="Times New Roman" w:hAnsi="Times New Roman" w:cs="Times New Roman"/>
          <w:bCs w:val="0"/>
          <w:szCs w:val="24"/>
          <w:lang w:val="en-GB"/>
        </w:rPr>
        <w:t>-</w:t>
      </w:r>
      <w:r w:rsidR="008E1367">
        <w:rPr>
          <w:rFonts w:ascii="Times New Roman" w:hAnsi="Times New Roman" w:cs="Times New Roman"/>
          <w:bCs w:val="0"/>
          <w:szCs w:val="24"/>
          <w:lang w:val="en-GB"/>
        </w:rPr>
        <w:t>19</w:t>
      </w:r>
      <w:r w:rsidRPr="00F413DB">
        <w:rPr>
          <w:rFonts w:ascii="Times New Roman" w:hAnsi="Times New Roman" w:cs="Times New Roman"/>
          <w:bCs w:val="0"/>
          <w:szCs w:val="24"/>
          <w:lang w:val="en-GB"/>
        </w:rPr>
        <w:t>71.</w:t>
      </w:r>
    </w:p>
    <w:p w14:paraId="5F73EBEC" w14:textId="77777777" w:rsidR="006B467C" w:rsidRPr="00F413DB" w:rsidRDefault="006B467C" w:rsidP="00382E01">
      <w:pPr>
        <w:jc w:val="both"/>
        <w:rPr>
          <w:rFonts w:ascii="Times New Roman" w:hAnsi="Times New Roman" w:cs="Times New Roman"/>
          <w:bCs w:val="0"/>
          <w:szCs w:val="24"/>
          <w:lang w:val="en-GB"/>
        </w:rPr>
      </w:pPr>
    </w:p>
    <w:p w14:paraId="7FF4DA26" w14:textId="7402F50F" w:rsidR="005D6910" w:rsidRPr="00F413DB" w:rsidRDefault="0001705D" w:rsidP="005D6910">
      <w:pPr>
        <w:jc w:val="both"/>
        <w:rPr>
          <w:rFonts w:ascii="Times New Roman" w:hAnsi="Times New Roman" w:cs="Times New Roman"/>
          <w:bCs w:val="0"/>
          <w:szCs w:val="24"/>
          <w:lang w:val="en-GB"/>
        </w:rPr>
      </w:pPr>
      <w:r>
        <w:rPr>
          <w:rFonts w:ascii="Times New Roman" w:hAnsi="Times New Roman" w:cs="Times New Roman"/>
          <w:bCs w:val="0"/>
          <w:szCs w:val="24"/>
          <w:lang w:val="en-GB"/>
        </w:rPr>
        <w:t>20</w:t>
      </w:r>
      <w:r w:rsidR="006B467C" w:rsidRPr="00F413DB">
        <w:rPr>
          <w:rFonts w:ascii="Times New Roman" w:hAnsi="Times New Roman" w:cs="Times New Roman"/>
          <w:bCs w:val="0"/>
          <w:szCs w:val="24"/>
          <w:lang w:val="en-GB"/>
        </w:rPr>
        <w:t xml:space="preserve">. </w:t>
      </w:r>
      <w:r w:rsidR="005D6910" w:rsidRPr="00F413DB">
        <w:rPr>
          <w:rFonts w:ascii="Times New Roman" w:hAnsi="Times New Roman" w:cs="Times New Roman"/>
          <w:bCs w:val="0"/>
          <w:szCs w:val="24"/>
          <w:lang w:val="en-GB"/>
        </w:rPr>
        <w:t>Little SA</w:t>
      </w:r>
      <w:r w:rsidR="009C34E7" w:rsidRPr="00F413DB">
        <w:rPr>
          <w:rFonts w:ascii="Times New Roman" w:hAnsi="Times New Roman" w:cs="Times New Roman"/>
          <w:bCs w:val="0"/>
          <w:szCs w:val="24"/>
          <w:lang w:val="en-GB"/>
        </w:rPr>
        <w:t>, Speight J, Leelarathna L,</w:t>
      </w:r>
      <w:r w:rsidR="005D6910" w:rsidRPr="00F413DB">
        <w:rPr>
          <w:rFonts w:ascii="Times New Roman" w:hAnsi="Times New Roman" w:cs="Times New Roman"/>
          <w:bCs w:val="0"/>
          <w:szCs w:val="24"/>
          <w:lang w:val="en-GB"/>
        </w:rPr>
        <w:t xml:space="preserve"> </w:t>
      </w:r>
      <w:proofErr w:type="gramStart"/>
      <w:r w:rsidR="005D6910" w:rsidRPr="00F413DB">
        <w:rPr>
          <w:rFonts w:ascii="Times New Roman" w:hAnsi="Times New Roman" w:cs="Times New Roman"/>
          <w:bCs w:val="0"/>
          <w:szCs w:val="24"/>
          <w:lang w:val="en-GB"/>
        </w:rPr>
        <w:t>et</w:t>
      </w:r>
      <w:proofErr w:type="gramEnd"/>
      <w:r w:rsidR="005D6910" w:rsidRPr="00F413DB">
        <w:rPr>
          <w:rFonts w:ascii="Times New Roman" w:hAnsi="Times New Roman" w:cs="Times New Roman"/>
          <w:bCs w:val="0"/>
          <w:szCs w:val="24"/>
          <w:lang w:val="en-GB"/>
        </w:rPr>
        <w:t xml:space="preserve"> al. Sustained reduction in severe </w:t>
      </w:r>
      <w:proofErr w:type="spellStart"/>
      <w:r w:rsidR="005D6910" w:rsidRPr="00F413DB">
        <w:rPr>
          <w:rFonts w:ascii="Times New Roman" w:hAnsi="Times New Roman" w:cs="Times New Roman"/>
          <w:bCs w:val="0"/>
          <w:szCs w:val="24"/>
          <w:lang w:val="en-GB"/>
        </w:rPr>
        <w:t>hypoglycemia</w:t>
      </w:r>
      <w:proofErr w:type="spellEnd"/>
      <w:r w:rsidR="005D6910" w:rsidRPr="00F413DB">
        <w:rPr>
          <w:rFonts w:ascii="Times New Roman" w:hAnsi="Times New Roman" w:cs="Times New Roman"/>
          <w:bCs w:val="0"/>
          <w:szCs w:val="24"/>
          <w:lang w:val="en-GB"/>
        </w:rPr>
        <w:t xml:space="preserve"> in adults with type 1 diabetes complicated by impaired awareness of </w:t>
      </w:r>
      <w:proofErr w:type="spellStart"/>
      <w:r w:rsidR="005D6910" w:rsidRPr="00F413DB">
        <w:rPr>
          <w:rFonts w:ascii="Times New Roman" w:hAnsi="Times New Roman" w:cs="Times New Roman"/>
          <w:bCs w:val="0"/>
          <w:szCs w:val="24"/>
          <w:lang w:val="en-GB"/>
        </w:rPr>
        <w:t>hypoglycemia</w:t>
      </w:r>
      <w:proofErr w:type="spellEnd"/>
      <w:r w:rsidR="005D6910" w:rsidRPr="00F413DB">
        <w:rPr>
          <w:rFonts w:ascii="Times New Roman" w:hAnsi="Times New Roman" w:cs="Times New Roman"/>
          <w:bCs w:val="0"/>
          <w:szCs w:val="24"/>
          <w:lang w:val="en-GB"/>
        </w:rPr>
        <w:t xml:space="preserve">: </w:t>
      </w:r>
      <w:r w:rsidR="00942F92">
        <w:rPr>
          <w:rFonts w:ascii="Times New Roman" w:hAnsi="Times New Roman" w:cs="Times New Roman"/>
          <w:bCs w:val="0"/>
          <w:szCs w:val="24"/>
          <w:lang w:val="en-GB"/>
        </w:rPr>
        <w:t>two</w:t>
      </w:r>
      <w:r w:rsidR="005D6910" w:rsidRPr="00F413DB">
        <w:rPr>
          <w:rFonts w:ascii="Times New Roman" w:hAnsi="Times New Roman" w:cs="Times New Roman"/>
          <w:bCs w:val="0"/>
          <w:szCs w:val="24"/>
          <w:lang w:val="en-GB"/>
        </w:rPr>
        <w:t xml:space="preserve">-year follow-up in the </w:t>
      </w:r>
      <w:proofErr w:type="spellStart"/>
      <w:r w:rsidR="005D6910" w:rsidRPr="00F413DB">
        <w:rPr>
          <w:rFonts w:ascii="Times New Roman" w:hAnsi="Times New Roman" w:cs="Times New Roman"/>
          <w:bCs w:val="0"/>
          <w:szCs w:val="24"/>
          <w:lang w:val="en-GB"/>
        </w:rPr>
        <w:t>HypoCOMPaSS</w:t>
      </w:r>
      <w:proofErr w:type="spellEnd"/>
      <w:r w:rsidR="005D6910" w:rsidRPr="00F413DB">
        <w:rPr>
          <w:rFonts w:ascii="Times New Roman" w:hAnsi="Times New Roman" w:cs="Times New Roman"/>
          <w:bCs w:val="0"/>
          <w:szCs w:val="24"/>
          <w:lang w:val="en-GB"/>
        </w:rPr>
        <w:t xml:space="preserve"> randomized clinical trial. </w:t>
      </w:r>
      <w:r w:rsidR="00942F92">
        <w:rPr>
          <w:rFonts w:ascii="Times New Roman" w:hAnsi="Times New Roman" w:cs="Times New Roman"/>
          <w:bCs w:val="0"/>
          <w:szCs w:val="24"/>
          <w:lang w:val="en-GB"/>
        </w:rPr>
        <w:t>Diabetes Care 2018</w:t>
      </w:r>
      <w:proofErr w:type="gramStart"/>
      <w:r w:rsidR="00942F92">
        <w:rPr>
          <w:rFonts w:ascii="Times New Roman" w:hAnsi="Times New Roman" w:cs="Times New Roman"/>
          <w:bCs w:val="0"/>
          <w:szCs w:val="24"/>
          <w:lang w:val="en-GB"/>
        </w:rPr>
        <w:t>;41</w:t>
      </w:r>
      <w:r w:rsidR="00B856EE" w:rsidRPr="00F413DB">
        <w:rPr>
          <w:rFonts w:ascii="Times New Roman" w:hAnsi="Times New Roman" w:cs="Times New Roman"/>
          <w:bCs w:val="0"/>
          <w:szCs w:val="24"/>
          <w:lang w:val="en-GB"/>
        </w:rPr>
        <w:t>:1600</w:t>
      </w:r>
      <w:proofErr w:type="gramEnd"/>
      <w:r w:rsidR="00B856EE" w:rsidRPr="00F413DB">
        <w:rPr>
          <w:rFonts w:ascii="Times New Roman" w:hAnsi="Times New Roman" w:cs="Times New Roman"/>
          <w:bCs w:val="0"/>
          <w:szCs w:val="24"/>
          <w:lang w:val="en-GB"/>
        </w:rPr>
        <w:t>-</w:t>
      </w:r>
      <w:r w:rsidR="00942F92">
        <w:rPr>
          <w:rFonts w:ascii="Times New Roman" w:hAnsi="Times New Roman" w:cs="Times New Roman"/>
          <w:bCs w:val="0"/>
          <w:szCs w:val="24"/>
          <w:lang w:val="en-GB"/>
        </w:rPr>
        <w:t>160</w:t>
      </w:r>
      <w:r w:rsidR="00B856EE" w:rsidRPr="00F413DB">
        <w:rPr>
          <w:rFonts w:ascii="Times New Roman" w:hAnsi="Times New Roman" w:cs="Times New Roman"/>
          <w:bCs w:val="0"/>
          <w:szCs w:val="24"/>
          <w:lang w:val="en-GB"/>
        </w:rPr>
        <w:t>7</w:t>
      </w:r>
      <w:r w:rsidR="005D6910" w:rsidRPr="00F413DB">
        <w:rPr>
          <w:rFonts w:ascii="Times New Roman" w:hAnsi="Times New Roman" w:cs="Times New Roman"/>
          <w:bCs w:val="0"/>
          <w:szCs w:val="24"/>
          <w:lang w:val="en-GB"/>
        </w:rPr>
        <w:t xml:space="preserve"> </w:t>
      </w:r>
    </w:p>
    <w:p w14:paraId="1E0CD85A" w14:textId="77777777" w:rsidR="005D6910" w:rsidRPr="00F413DB" w:rsidRDefault="005D6910" w:rsidP="00B1258B">
      <w:pPr>
        <w:jc w:val="both"/>
        <w:rPr>
          <w:rFonts w:ascii="Times New Roman" w:hAnsi="Times New Roman" w:cs="Times New Roman"/>
          <w:bCs w:val="0"/>
          <w:szCs w:val="24"/>
          <w:lang w:val="en-GB"/>
        </w:rPr>
      </w:pPr>
    </w:p>
    <w:p w14:paraId="0DFF1A49" w14:textId="07310F67" w:rsidR="00E2011A" w:rsidRPr="00F413DB" w:rsidRDefault="006B467C" w:rsidP="00951E4B">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2</w:t>
      </w:r>
      <w:r w:rsidR="0001705D">
        <w:rPr>
          <w:rFonts w:ascii="Times New Roman" w:hAnsi="Times New Roman" w:cs="Times New Roman"/>
          <w:bCs w:val="0"/>
          <w:szCs w:val="24"/>
          <w:lang w:val="en-GB"/>
        </w:rPr>
        <w:t>1</w:t>
      </w:r>
      <w:r w:rsidRPr="00F413DB">
        <w:rPr>
          <w:rFonts w:ascii="Times New Roman" w:hAnsi="Times New Roman" w:cs="Times New Roman"/>
          <w:bCs w:val="0"/>
          <w:szCs w:val="24"/>
          <w:lang w:val="en-GB"/>
        </w:rPr>
        <w:t xml:space="preserve">. </w:t>
      </w:r>
      <w:r w:rsidR="00E2011A" w:rsidRPr="00F413DB">
        <w:rPr>
          <w:rFonts w:ascii="Times New Roman" w:hAnsi="Times New Roman" w:cs="Times New Roman"/>
          <w:bCs w:val="0"/>
          <w:szCs w:val="24"/>
          <w:lang w:val="en-GB"/>
        </w:rPr>
        <w:t xml:space="preserve">Geddes J, Wright RJ, </w:t>
      </w:r>
      <w:proofErr w:type="spellStart"/>
      <w:r w:rsidR="00E2011A" w:rsidRPr="00F413DB">
        <w:rPr>
          <w:rFonts w:ascii="Times New Roman" w:hAnsi="Times New Roman" w:cs="Times New Roman"/>
          <w:bCs w:val="0"/>
          <w:szCs w:val="24"/>
          <w:lang w:val="en-GB"/>
        </w:rPr>
        <w:t>Zammitt</w:t>
      </w:r>
      <w:proofErr w:type="spellEnd"/>
      <w:r w:rsidR="00E2011A" w:rsidRPr="00F413DB">
        <w:rPr>
          <w:rFonts w:ascii="Times New Roman" w:hAnsi="Times New Roman" w:cs="Times New Roman"/>
          <w:bCs w:val="0"/>
          <w:szCs w:val="24"/>
          <w:lang w:val="en-GB"/>
        </w:rPr>
        <w:t xml:space="preserve"> NN</w:t>
      </w:r>
      <w:r w:rsidR="009C34E7" w:rsidRPr="00F413DB">
        <w:rPr>
          <w:rFonts w:ascii="Times New Roman" w:hAnsi="Times New Roman" w:cs="Times New Roman"/>
          <w:bCs w:val="0"/>
          <w:szCs w:val="24"/>
          <w:lang w:val="en-GB"/>
        </w:rPr>
        <w:t>,</w:t>
      </w:r>
      <w:r w:rsidR="00E2011A" w:rsidRPr="00F413DB">
        <w:rPr>
          <w:rFonts w:ascii="Times New Roman" w:hAnsi="Times New Roman" w:cs="Times New Roman"/>
          <w:bCs w:val="0"/>
          <w:szCs w:val="24"/>
          <w:lang w:val="en-GB"/>
        </w:rPr>
        <w:t xml:space="preserve"> </w:t>
      </w:r>
      <w:proofErr w:type="spellStart"/>
      <w:r w:rsidR="008F4FD5">
        <w:rPr>
          <w:rFonts w:ascii="Times New Roman" w:hAnsi="Times New Roman" w:cs="Times New Roman"/>
          <w:bCs w:val="0"/>
          <w:szCs w:val="24"/>
          <w:lang w:val="en-GB"/>
        </w:rPr>
        <w:t>Deary</w:t>
      </w:r>
      <w:proofErr w:type="spellEnd"/>
      <w:r w:rsidR="008F4FD5">
        <w:rPr>
          <w:rFonts w:ascii="Times New Roman" w:hAnsi="Times New Roman" w:cs="Times New Roman"/>
          <w:bCs w:val="0"/>
          <w:szCs w:val="24"/>
          <w:lang w:val="en-GB"/>
        </w:rPr>
        <w:t xml:space="preserve"> IJ, </w:t>
      </w:r>
      <w:proofErr w:type="spellStart"/>
      <w:r w:rsidR="008F4FD5">
        <w:rPr>
          <w:rFonts w:ascii="Times New Roman" w:hAnsi="Times New Roman" w:cs="Times New Roman"/>
          <w:bCs w:val="0"/>
          <w:szCs w:val="24"/>
          <w:lang w:val="en-GB"/>
        </w:rPr>
        <w:t>Frier</w:t>
      </w:r>
      <w:proofErr w:type="spellEnd"/>
      <w:r w:rsidR="008F4FD5">
        <w:rPr>
          <w:rFonts w:ascii="Times New Roman" w:hAnsi="Times New Roman" w:cs="Times New Roman"/>
          <w:bCs w:val="0"/>
          <w:szCs w:val="24"/>
          <w:lang w:val="en-GB"/>
        </w:rPr>
        <w:t xml:space="preserve"> BM</w:t>
      </w:r>
      <w:r w:rsidR="00E2011A" w:rsidRPr="00F413DB">
        <w:rPr>
          <w:rFonts w:ascii="Times New Roman" w:hAnsi="Times New Roman" w:cs="Times New Roman"/>
          <w:bCs w:val="0"/>
          <w:szCs w:val="24"/>
          <w:lang w:val="en-GB"/>
        </w:rPr>
        <w:t xml:space="preserve">. An evaluation of methods of assessing impaired awareness of </w:t>
      </w:r>
      <w:proofErr w:type="spellStart"/>
      <w:r w:rsidR="00E2011A" w:rsidRPr="00F413DB">
        <w:rPr>
          <w:rFonts w:ascii="Times New Roman" w:hAnsi="Times New Roman" w:cs="Times New Roman"/>
          <w:bCs w:val="0"/>
          <w:szCs w:val="24"/>
          <w:lang w:val="en-GB"/>
        </w:rPr>
        <w:t>hypoglycemia</w:t>
      </w:r>
      <w:proofErr w:type="spellEnd"/>
      <w:r w:rsidR="00E2011A" w:rsidRPr="00F413DB">
        <w:rPr>
          <w:rFonts w:ascii="Times New Roman" w:hAnsi="Times New Roman" w:cs="Times New Roman"/>
          <w:bCs w:val="0"/>
          <w:szCs w:val="24"/>
          <w:lang w:val="en-GB"/>
        </w:rPr>
        <w:t xml:space="preserve"> in type 1 diabetes. Diabetes Care 2007</w:t>
      </w:r>
      <w:proofErr w:type="gramStart"/>
      <w:r w:rsidR="00E2011A" w:rsidRPr="00F413DB">
        <w:rPr>
          <w:rFonts w:ascii="Times New Roman" w:hAnsi="Times New Roman" w:cs="Times New Roman"/>
          <w:bCs w:val="0"/>
          <w:szCs w:val="24"/>
          <w:lang w:val="en-GB"/>
        </w:rPr>
        <w:t>;30:1868</w:t>
      </w:r>
      <w:proofErr w:type="gramEnd"/>
      <w:r w:rsidR="00E2011A" w:rsidRPr="00F413DB">
        <w:rPr>
          <w:rFonts w:ascii="Times New Roman" w:hAnsi="Times New Roman" w:cs="Times New Roman"/>
          <w:bCs w:val="0"/>
          <w:szCs w:val="24"/>
          <w:lang w:val="en-GB"/>
        </w:rPr>
        <w:t>-</w:t>
      </w:r>
      <w:r w:rsidR="008F4FD5">
        <w:rPr>
          <w:rFonts w:ascii="Times New Roman" w:hAnsi="Times New Roman" w:cs="Times New Roman"/>
          <w:bCs w:val="0"/>
          <w:szCs w:val="24"/>
          <w:lang w:val="en-GB"/>
        </w:rPr>
        <w:t>1870</w:t>
      </w:r>
    </w:p>
    <w:p w14:paraId="0EA02CA0" w14:textId="77777777" w:rsidR="00E2011A" w:rsidRPr="00F413DB" w:rsidRDefault="00E2011A" w:rsidP="00951E4B">
      <w:pPr>
        <w:jc w:val="both"/>
        <w:rPr>
          <w:rFonts w:ascii="Times New Roman" w:hAnsi="Times New Roman" w:cs="Times New Roman"/>
          <w:bCs w:val="0"/>
          <w:szCs w:val="24"/>
          <w:lang w:val="en-GB"/>
        </w:rPr>
      </w:pPr>
    </w:p>
    <w:p w14:paraId="7D150011" w14:textId="7BD86B47" w:rsidR="00E2011A" w:rsidRPr="00F413DB" w:rsidRDefault="006B467C" w:rsidP="00951E4B">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2</w:t>
      </w:r>
      <w:r w:rsidR="0001705D">
        <w:rPr>
          <w:rFonts w:ascii="Times New Roman" w:hAnsi="Times New Roman" w:cs="Times New Roman"/>
          <w:bCs w:val="0"/>
          <w:szCs w:val="24"/>
          <w:lang w:val="en-GB"/>
        </w:rPr>
        <w:t>2</w:t>
      </w:r>
      <w:r w:rsidRPr="00F413DB">
        <w:rPr>
          <w:rFonts w:ascii="Times New Roman" w:hAnsi="Times New Roman" w:cs="Times New Roman"/>
          <w:bCs w:val="0"/>
          <w:szCs w:val="24"/>
          <w:lang w:val="en-GB"/>
        </w:rPr>
        <w:t xml:space="preserve">. </w:t>
      </w:r>
      <w:r w:rsidR="006700FE" w:rsidRPr="00F413DB">
        <w:rPr>
          <w:rFonts w:ascii="Times New Roman" w:hAnsi="Times New Roman" w:cs="Times New Roman"/>
          <w:bCs w:val="0"/>
          <w:szCs w:val="24"/>
          <w:lang w:val="en-GB"/>
        </w:rPr>
        <w:t>Byrne ML, Hopkins D, Littlejohn W</w:t>
      </w:r>
      <w:r w:rsidR="009C34E7" w:rsidRPr="00F413DB">
        <w:rPr>
          <w:rFonts w:ascii="Times New Roman" w:hAnsi="Times New Roman" w:cs="Times New Roman"/>
          <w:bCs w:val="0"/>
          <w:szCs w:val="24"/>
          <w:lang w:val="en-GB"/>
        </w:rPr>
        <w:t>,</w:t>
      </w:r>
      <w:r w:rsidR="006700FE" w:rsidRPr="00F413DB">
        <w:rPr>
          <w:rFonts w:ascii="Times New Roman" w:hAnsi="Times New Roman" w:cs="Times New Roman"/>
          <w:bCs w:val="0"/>
          <w:szCs w:val="24"/>
          <w:lang w:val="en-GB"/>
        </w:rPr>
        <w:t xml:space="preserve"> et al. Outcomes for adults with type 1 diabete</w:t>
      </w:r>
      <w:r w:rsidR="009C34E7" w:rsidRPr="00F413DB">
        <w:rPr>
          <w:rFonts w:ascii="Times New Roman" w:hAnsi="Times New Roman" w:cs="Times New Roman"/>
          <w:bCs w:val="0"/>
          <w:szCs w:val="24"/>
          <w:lang w:val="en-GB"/>
        </w:rPr>
        <w:t xml:space="preserve">s referred with severe </w:t>
      </w:r>
      <w:proofErr w:type="spellStart"/>
      <w:r w:rsidR="009C34E7" w:rsidRPr="00F413DB">
        <w:rPr>
          <w:rFonts w:ascii="Times New Roman" w:hAnsi="Times New Roman" w:cs="Times New Roman"/>
          <w:bCs w:val="0"/>
          <w:szCs w:val="24"/>
          <w:lang w:val="en-GB"/>
        </w:rPr>
        <w:t>hypoglyc</w:t>
      </w:r>
      <w:r w:rsidR="006700FE" w:rsidRPr="00F413DB">
        <w:rPr>
          <w:rFonts w:ascii="Times New Roman" w:hAnsi="Times New Roman" w:cs="Times New Roman"/>
          <w:bCs w:val="0"/>
          <w:szCs w:val="24"/>
          <w:lang w:val="en-GB"/>
        </w:rPr>
        <w:t>emia</w:t>
      </w:r>
      <w:proofErr w:type="spellEnd"/>
      <w:r w:rsidR="006700FE" w:rsidRPr="00F413DB">
        <w:rPr>
          <w:rFonts w:ascii="Times New Roman" w:hAnsi="Times New Roman" w:cs="Times New Roman"/>
          <w:bCs w:val="0"/>
          <w:szCs w:val="24"/>
          <w:lang w:val="en-GB"/>
        </w:rPr>
        <w:t xml:space="preserve"> and/or referred for islet transplan</w:t>
      </w:r>
      <w:r w:rsidR="009C34E7" w:rsidRPr="00F413DB">
        <w:rPr>
          <w:rFonts w:ascii="Times New Roman" w:hAnsi="Times New Roman" w:cs="Times New Roman"/>
          <w:bCs w:val="0"/>
          <w:szCs w:val="24"/>
          <w:lang w:val="en-GB"/>
        </w:rPr>
        <w:t xml:space="preserve">tation to a specialist </w:t>
      </w:r>
      <w:proofErr w:type="spellStart"/>
      <w:r w:rsidR="009C34E7" w:rsidRPr="00F413DB">
        <w:rPr>
          <w:rFonts w:ascii="Times New Roman" w:hAnsi="Times New Roman" w:cs="Times New Roman"/>
          <w:bCs w:val="0"/>
          <w:szCs w:val="24"/>
          <w:lang w:val="en-GB"/>
        </w:rPr>
        <w:t>hypoglyc</w:t>
      </w:r>
      <w:r w:rsidR="006700FE" w:rsidRPr="00F413DB">
        <w:rPr>
          <w:rFonts w:ascii="Times New Roman" w:hAnsi="Times New Roman" w:cs="Times New Roman"/>
          <w:bCs w:val="0"/>
          <w:szCs w:val="24"/>
          <w:lang w:val="en-GB"/>
        </w:rPr>
        <w:t>emia</w:t>
      </w:r>
      <w:proofErr w:type="spellEnd"/>
      <w:r w:rsidR="006700FE" w:rsidRPr="00F413DB">
        <w:rPr>
          <w:rFonts w:ascii="Times New Roman" w:hAnsi="Times New Roman" w:cs="Times New Roman"/>
          <w:bCs w:val="0"/>
          <w:szCs w:val="24"/>
          <w:lang w:val="en-GB"/>
        </w:rPr>
        <w:t xml:space="preserve"> service. </w:t>
      </w:r>
      <w:proofErr w:type="spellStart"/>
      <w:r w:rsidR="006700FE" w:rsidRPr="00F413DB">
        <w:rPr>
          <w:rFonts w:ascii="Times New Roman" w:hAnsi="Times New Roman" w:cs="Times New Roman"/>
          <w:bCs w:val="0"/>
          <w:szCs w:val="24"/>
          <w:lang w:val="en-GB"/>
        </w:rPr>
        <w:t>Horm</w:t>
      </w:r>
      <w:proofErr w:type="spellEnd"/>
      <w:r w:rsidR="006700FE" w:rsidRPr="00F413DB">
        <w:rPr>
          <w:rFonts w:ascii="Times New Roman" w:hAnsi="Times New Roman" w:cs="Times New Roman"/>
          <w:bCs w:val="0"/>
          <w:szCs w:val="24"/>
          <w:lang w:val="en-GB"/>
        </w:rPr>
        <w:t xml:space="preserve"> </w:t>
      </w:r>
      <w:proofErr w:type="spellStart"/>
      <w:r w:rsidR="006700FE" w:rsidRPr="00F413DB">
        <w:rPr>
          <w:rFonts w:ascii="Times New Roman" w:hAnsi="Times New Roman" w:cs="Times New Roman"/>
          <w:bCs w:val="0"/>
          <w:szCs w:val="24"/>
          <w:lang w:val="en-GB"/>
        </w:rPr>
        <w:t>Metab</w:t>
      </w:r>
      <w:proofErr w:type="spellEnd"/>
      <w:r w:rsidR="006700FE" w:rsidRPr="00F413DB">
        <w:rPr>
          <w:rFonts w:ascii="Times New Roman" w:hAnsi="Times New Roman" w:cs="Times New Roman"/>
          <w:bCs w:val="0"/>
          <w:szCs w:val="24"/>
          <w:lang w:val="en-GB"/>
        </w:rPr>
        <w:t xml:space="preserve"> Res 2015</w:t>
      </w:r>
      <w:proofErr w:type="gramStart"/>
      <w:r w:rsidR="006700FE" w:rsidRPr="00F413DB">
        <w:rPr>
          <w:rFonts w:ascii="Times New Roman" w:hAnsi="Times New Roman" w:cs="Times New Roman"/>
          <w:bCs w:val="0"/>
          <w:szCs w:val="24"/>
          <w:lang w:val="en-GB"/>
        </w:rPr>
        <w:t>;47</w:t>
      </w:r>
      <w:r w:rsidR="000129BD">
        <w:rPr>
          <w:rFonts w:ascii="Times New Roman" w:hAnsi="Times New Roman" w:cs="Times New Roman"/>
          <w:bCs w:val="0"/>
          <w:szCs w:val="24"/>
          <w:lang w:val="en-GB"/>
        </w:rPr>
        <w:t>:9</w:t>
      </w:r>
      <w:proofErr w:type="gramEnd"/>
      <w:r w:rsidR="000129BD">
        <w:rPr>
          <w:rFonts w:ascii="Times New Roman" w:hAnsi="Times New Roman" w:cs="Times New Roman"/>
          <w:bCs w:val="0"/>
          <w:szCs w:val="24"/>
          <w:lang w:val="en-GB"/>
        </w:rPr>
        <w:t>-15</w:t>
      </w:r>
    </w:p>
    <w:p w14:paraId="6877B50C" w14:textId="77777777" w:rsidR="009D3F3A" w:rsidRPr="00F413DB" w:rsidRDefault="009D3F3A" w:rsidP="00951E4B">
      <w:pPr>
        <w:jc w:val="both"/>
        <w:rPr>
          <w:rFonts w:ascii="Times New Roman" w:hAnsi="Times New Roman" w:cs="Times New Roman"/>
          <w:bCs w:val="0"/>
          <w:szCs w:val="24"/>
          <w:lang w:val="en-GB"/>
        </w:rPr>
      </w:pPr>
    </w:p>
    <w:p w14:paraId="0A6D0FC4" w14:textId="28CD1843" w:rsidR="009D3F3A" w:rsidRDefault="006B467C" w:rsidP="00951E4B">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2</w:t>
      </w:r>
      <w:r w:rsidR="0001705D">
        <w:rPr>
          <w:rFonts w:ascii="Times New Roman" w:hAnsi="Times New Roman" w:cs="Times New Roman"/>
          <w:bCs w:val="0"/>
          <w:szCs w:val="24"/>
          <w:lang w:val="en-GB"/>
        </w:rPr>
        <w:t>3</w:t>
      </w:r>
      <w:r w:rsidRPr="00F413DB">
        <w:rPr>
          <w:rFonts w:ascii="Times New Roman" w:hAnsi="Times New Roman" w:cs="Times New Roman"/>
          <w:bCs w:val="0"/>
          <w:szCs w:val="24"/>
          <w:lang w:val="en-GB"/>
        </w:rPr>
        <w:t xml:space="preserve">. </w:t>
      </w:r>
      <w:r w:rsidR="009D3F3A" w:rsidRPr="00F413DB">
        <w:rPr>
          <w:rFonts w:ascii="Times New Roman" w:hAnsi="Times New Roman" w:cs="Times New Roman"/>
          <w:bCs w:val="0"/>
          <w:szCs w:val="24"/>
          <w:lang w:val="en-GB"/>
        </w:rPr>
        <w:t xml:space="preserve">Rogers HA, </w:t>
      </w:r>
      <w:proofErr w:type="spellStart"/>
      <w:r w:rsidR="009D3F3A" w:rsidRPr="00F413DB">
        <w:rPr>
          <w:rFonts w:ascii="Times New Roman" w:hAnsi="Times New Roman" w:cs="Times New Roman"/>
          <w:bCs w:val="0"/>
          <w:szCs w:val="24"/>
          <w:lang w:val="en-GB"/>
        </w:rPr>
        <w:t>deZoysa</w:t>
      </w:r>
      <w:proofErr w:type="spellEnd"/>
      <w:r w:rsidR="009D3F3A" w:rsidRPr="00F413DB">
        <w:rPr>
          <w:rFonts w:ascii="Times New Roman" w:hAnsi="Times New Roman" w:cs="Times New Roman"/>
          <w:bCs w:val="0"/>
          <w:szCs w:val="24"/>
          <w:lang w:val="en-GB"/>
        </w:rPr>
        <w:t xml:space="preserve"> N, </w:t>
      </w:r>
      <w:proofErr w:type="spellStart"/>
      <w:r w:rsidR="009D3F3A" w:rsidRPr="00F413DB">
        <w:rPr>
          <w:rFonts w:ascii="Times New Roman" w:hAnsi="Times New Roman" w:cs="Times New Roman"/>
          <w:bCs w:val="0"/>
          <w:szCs w:val="24"/>
          <w:lang w:val="en-GB"/>
        </w:rPr>
        <w:t>Amiel</w:t>
      </w:r>
      <w:proofErr w:type="spellEnd"/>
      <w:r w:rsidR="009D3F3A" w:rsidRPr="00F413DB">
        <w:rPr>
          <w:rFonts w:ascii="Times New Roman" w:hAnsi="Times New Roman" w:cs="Times New Roman"/>
          <w:bCs w:val="0"/>
          <w:szCs w:val="24"/>
          <w:lang w:val="en-GB"/>
        </w:rPr>
        <w:t xml:space="preserve"> SA.</w:t>
      </w:r>
      <w:r w:rsidR="009C34E7" w:rsidRPr="00F413DB">
        <w:rPr>
          <w:rFonts w:ascii="Times New Roman" w:hAnsi="Times New Roman" w:cs="Times New Roman"/>
          <w:bCs w:val="0"/>
          <w:szCs w:val="24"/>
          <w:lang w:val="en-GB"/>
        </w:rPr>
        <w:t xml:space="preserve"> Patient experience of </w:t>
      </w:r>
      <w:proofErr w:type="spellStart"/>
      <w:r w:rsidR="009C34E7" w:rsidRPr="00F413DB">
        <w:rPr>
          <w:rFonts w:ascii="Times New Roman" w:hAnsi="Times New Roman" w:cs="Times New Roman"/>
          <w:bCs w:val="0"/>
          <w:szCs w:val="24"/>
          <w:lang w:val="en-GB"/>
        </w:rPr>
        <w:t>hypoglyc</w:t>
      </w:r>
      <w:r w:rsidR="000129BD">
        <w:rPr>
          <w:rFonts w:ascii="Times New Roman" w:hAnsi="Times New Roman" w:cs="Times New Roman"/>
          <w:bCs w:val="0"/>
          <w:szCs w:val="24"/>
          <w:lang w:val="en-GB"/>
        </w:rPr>
        <w:t>emia</w:t>
      </w:r>
      <w:proofErr w:type="spellEnd"/>
      <w:r w:rsidR="000129BD">
        <w:rPr>
          <w:rFonts w:ascii="Times New Roman" w:hAnsi="Times New Roman" w:cs="Times New Roman"/>
          <w:bCs w:val="0"/>
          <w:szCs w:val="24"/>
          <w:lang w:val="en-GB"/>
        </w:rPr>
        <w:t xml:space="preserve"> unawareness in t</w:t>
      </w:r>
      <w:r w:rsidR="009D3F3A" w:rsidRPr="00F413DB">
        <w:rPr>
          <w:rFonts w:ascii="Times New Roman" w:hAnsi="Times New Roman" w:cs="Times New Roman"/>
          <w:bCs w:val="0"/>
          <w:szCs w:val="24"/>
          <w:lang w:val="en-GB"/>
        </w:rPr>
        <w:t xml:space="preserve">ype 1 diabetes: are patients appropriately concerned? </w:t>
      </w:r>
      <w:proofErr w:type="spellStart"/>
      <w:r w:rsidR="009D3F3A" w:rsidRPr="00F413DB">
        <w:rPr>
          <w:rFonts w:ascii="Times New Roman" w:hAnsi="Times New Roman" w:cs="Times New Roman"/>
          <w:bCs w:val="0"/>
          <w:szCs w:val="24"/>
          <w:lang w:val="en-GB"/>
        </w:rPr>
        <w:t>Diabet</w:t>
      </w:r>
      <w:proofErr w:type="spellEnd"/>
      <w:r w:rsidR="009D3F3A" w:rsidRPr="00F413DB">
        <w:rPr>
          <w:rFonts w:ascii="Times New Roman" w:hAnsi="Times New Roman" w:cs="Times New Roman"/>
          <w:bCs w:val="0"/>
          <w:szCs w:val="24"/>
          <w:lang w:val="en-GB"/>
        </w:rPr>
        <w:t xml:space="preserve"> Med 2012</w:t>
      </w:r>
      <w:proofErr w:type="gramStart"/>
      <w:r w:rsidR="009D3F3A" w:rsidRPr="00F413DB">
        <w:rPr>
          <w:rFonts w:ascii="Times New Roman" w:hAnsi="Times New Roman" w:cs="Times New Roman"/>
          <w:bCs w:val="0"/>
          <w:szCs w:val="24"/>
          <w:lang w:val="en-GB"/>
        </w:rPr>
        <w:t>;29:321</w:t>
      </w:r>
      <w:proofErr w:type="gramEnd"/>
      <w:r w:rsidR="009D3F3A" w:rsidRPr="00F413DB">
        <w:rPr>
          <w:rFonts w:ascii="Times New Roman" w:hAnsi="Times New Roman" w:cs="Times New Roman"/>
          <w:bCs w:val="0"/>
          <w:szCs w:val="24"/>
          <w:lang w:val="en-GB"/>
        </w:rPr>
        <w:t>-</w:t>
      </w:r>
      <w:r w:rsidR="000129BD">
        <w:rPr>
          <w:rFonts w:ascii="Times New Roman" w:hAnsi="Times New Roman" w:cs="Times New Roman"/>
          <w:bCs w:val="0"/>
          <w:szCs w:val="24"/>
          <w:lang w:val="en-GB"/>
        </w:rPr>
        <w:t>32</w:t>
      </w:r>
      <w:r w:rsidR="009D3F3A" w:rsidRPr="00F413DB">
        <w:rPr>
          <w:rFonts w:ascii="Times New Roman" w:hAnsi="Times New Roman" w:cs="Times New Roman"/>
          <w:bCs w:val="0"/>
          <w:szCs w:val="24"/>
          <w:lang w:val="en-GB"/>
        </w:rPr>
        <w:t xml:space="preserve">7 </w:t>
      </w:r>
    </w:p>
    <w:p w14:paraId="11C04CA8" w14:textId="77777777" w:rsidR="0001705D" w:rsidRPr="00F413DB" w:rsidRDefault="0001705D" w:rsidP="00951E4B">
      <w:pPr>
        <w:jc w:val="both"/>
        <w:rPr>
          <w:rFonts w:ascii="Times New Roman" w:hAnsi="Times New Roman" w:cs="Times New Roman"/>
          <w:bCs w:val="0"/>
          <w:szCs w:val="24"/>
          <w:lang w:val="en-GB"/>
        </w:rPr>
      </w:pPr>
    </w:p>
    <w:p w14:paraId="0F498001" w14:textId="7E8A9D29" w:rsidR="0001705D" w:rsidRPr="00F413DB" w:rsidRDefault="0001705D" w:rsidP="0001705D">
      <w:pPr>
        <w:jc w:val="both"/>
        <w:rPr>
          <w:rFonts w:ascii="Times New Roman" w:hAnsi="Times New Roman" w:cs="Times New Roman"/>
          <w:bCs w:val="0"/>
          <w:szCs w:val="24"/>
          <w:lang w:val="en-GB"/>
        </w:rPr>
      </w:pPr>
      <w:r>
        <w:rPr>
          <w:rFonts w:ascii="Times New Roman" w:hAnsi="Times New Roman" w:cs="Times New Roman"/>
          <w:bCs w:val="0"/>
          <w:szCs w:val="24"/>
          <w:lang w:val="en-GB"/>
        </w:rPr>
        <w:t>24. Speight J, Barends</w:t>
      </w:r>
      <w:r w:rsidR="007D534F">
        <w:rPr>
          <w:rFonts w:ascii="Times New Roman" w:hAnsi="Times New Roman" w:cs="Times New Roman"/>
          <w:bCs w:val="0"/>
          <w:szCs w:val="24"/>
          <w:lang w:val="en-GB"/>
        </w:rPr>
        <w:t>e SM, Singh H, et al. Cognitive,</w:t>
      </w:r>
      <w:r>
        <w:rPr>
          <w:rFonts w:ascii="Times New Roman" w:hAnsi="Times New Roman" w:cs="Times New Roman"/>
          <w:bCs w:val="0"/>
          <w:szCs w:val="24"/>
          <w:lang w:val="en-GB"/>
        </w:rPr>
        <w:t xml:space="preserve"> behavio</w:t>
      </w:r>
      <w:r w:rsidR="007D534F">
        <w:rPr>
          <w:rFonts w:ascii="Times New Roman" w:hAnsi="Times New Roman" w:cs="Times New Roman"/>
          <w:bCs w:val="0"/>
          <w:szCs w:val="24"/>
          <w:lang w:val="en-GB"/>
        </w:rPr>
        <w:t>u</w:t>
      </w:r>
      <w:r>
        <w:rPr>
          <w:rFonts w:ascii="Times New Roman" w:hAnsi="Times New Roman" w:cs="Times New Roman"/>
          <w:bCs w:val="0"/>
          <w:szCs w:val="24"/>
          <w:lang w:val="en-GB"/>
        </w:rPr>
        <w:t xml:space="preserve">ral and psychological barriers to the prevention of severe </w:t>
      </w:r>
      <w:proofErr w:type="spellStart"/>
      <w:r>
        <w:rPr>
          <w:rFonts w:ascii="Times New Roman" w:hAnsi="Times New Roman" w:cs="Times New Roman"/>
          <w:bCs w:val="0"/>
          <w:szCs w:val="24"/>
          <w:lang w:val="en-GB"/>
        </w:rPr>
        <w:t>hypoglycemia</w:t>
      </w:r>
      <w:proofErr w:type="spellEnd"/>
      <w:r>
        <w:rPr>
          <w:rFonts w:ascii="Times New Roman" w:hAnsi="Times New Roman" w:cs="Times New Roman"/>
          <w:bCs w:val="0"/>
          <w:szCs w:val="24"/>
          <w:lang w:val="en-GB"/>
        </w:rPr>
        <w:t>: a qualitative study of adults with</w:t>
      </w:r>
      <w:r w:rsidR="007D534F">
        <w:rPr>
          <w:rFonts w:ascii="Times New Roman" w:hAnsi="Times New Roman" w:cs="Times New Roman"/>
          <w:bCs w:val="0"/>
          <w:szCs w:val="24"/>
          <w:lang w:val="en-GB"/>
        </w:rPr>
        <w:t xml:space="preserve"> type 1 diabetes. SAGE Open Med 2014</w:t>
      </w:r>
      <w:proofErr w:type="gramStart"/>
      <w:r w:rsidR="007D534F">
        <w:rPr>
          <w:rFonts w:ascii="Times New Roman" w:hAnsi="Times New Roman" w:cs="Times New Roman"/>
          <w:bCs w:val="0"/>
          <w:szCs w:val="24"/>
          <w:lang w:val="en-GB"/>
        </w:rPr>
        <w:t>;2:2050312114527443</w:t>
      </w:r>
      <w:proofErr w:type="gramEnd"/>
    </w:p>
    <w:p w14:paraId="5A3425C4" w14:textId="77777777" w:rsidR="003B428E" w:rsidRPr="00F413DB" w:rsidRDefault="003B428E" w:rsidP="00785F98">
      <w:pPr>
        <w:jc w:val="both"/>
        <w:rPr>
          <w:rFonts w:ascii="Times New Roman" w:hAnsi="Times New Roman" w:cs="Times New Roman"/>
          <w:bCs w:val="0"/>
          <w:szCs w:val="24"/>
          <w:lang w:val="en-GB"/>
        </w:rPr>
      </w:pPr>
    </w:p>
    <w:p w14:paraId="490945F4" w14:textId="72E1088D" w:rsidR="0034467E" w:rsidRPr="00C513A9" w:rsidRDefault="008617A3" w:rsidP="0034467E">
      <w:pPr>
        <w:jc w:val="both"/>
        <w:rPr>
          <w:rFonts w:ascii="Times New Roman" w:hAnsi="Times New Roman" w:cs="Times New Roman"/>
          <w:bCs w:val="0"/>
          <w:szCs w:val="24"/>
          <w:lang w:val="de-CH"/>
        </w:rPr>
      </w:pPr>
      <w:r w:rsidRPr="00F413DB">
        <w:rPr>
          <w:rFonts w:ascii="Times New Roman" w:hAnsi="Times New Roman" w:cs="Times New Roman"/>
          <w:bCs w:val="0"/>
          <w:szCs w:val="24"/>
          <w:lang w:val="en-GB"/>
        </w:rPr>
        <w:t>2</w:t>
      </w:r>
      <w:r w:rsidR="0001705D">
        <w:rPr>
          <w:rFonts w:ascii="Times New Roman" w:hAnsi="Times New Roman" w:cs="Times New Roman"/>
          <w:bCs w:val="0"/>
          <w:szCs w:val="24"/>
          <w:lang w:val="en-GB"/>
        </w:rPr>
        <w:t>5</w:t>
      </w:r>
      <w:r w:rsidRPr="00F413DB">
        <w:rPr>
          <w:rFonts w:ascii="Times New Roman" w:hAnsi="Times New Roman" w:cs="Times New Roman"/>
          <w:bCs w:val="0"/>
          <w:szCs w:val="24"/>
          <w:lang w:val="en-GB"/>
        </w:rPr>
        <w:t xml:space="preserve">. </w:t>
      </w:r>
      <w:proofErr w:type="spellStart"/>
      <w:r w:rsidR="0034467E" w:rsidRPr="00F413DB">
        <w:rPr>
          <w:rFonts w:ascii="Times New Roman" w:hAnsi="Times New Roman" w:cs="Times New Roman"/>
          <w:bCs w:val="0"/>
          <w:szCs w:val="24"/>
          <w:lang w:val="en-GB"/>
        </w:rPr>
        <w:t>Anderbro</w:t>
      </w:r>
      <w:proofErr w:type="spellEnd"/>
      <w:r w:rsidR="0034467E" w:rsidRPr="00F413DB">
        <w:rPr>
          <w:rFonts w:ascii="Times New Roman" w:hAnsi="Times New Roman" w:cs="Times New Roman"/>
          <w:bCs w:val="0"/>
          <w:szCs w:val="24"/>
          <w:lang w:val="en-GB"/>
        </w:rPr>
        <w:t xml:space="preserve"> T, </w:t>
      </w:r>
      <w:proofErr w:type="spellStart"/>
      <w:r w:rsidR="0034467E" w:rsidRPr="00F413DB">
        <w:rPr>
          <w:rFonts w:ascii="Times New Roman" w:hAnsi="Times New Roman" w:cs="Times New Roman"/>
          <w:bCs w:val="0"/>
          <w:szCs w:val="24"/>
          <w:lang w:val="en-GB"/>
        </w:rPr>
        <w:t>Amsberg</w:t>
      </w:r>
      <w:proofErr w:type="spellEnd"/>
      <w:r w:rsidR="0034467E" w:rsidRPr="00F413DB">
        <w:rPr>
          <w:rFonts w:ascii="Times New Roman" w:hAnsi="Times New Roman" w:cs="Times New Roman"/>
          <w:bCs w:val="0"/>
          <w:szCs w:val="24"/>
          <w:lang w:val="en-GB"/>
        </w:rPr>
        <w:t xml:space="preserve"> S, Adamson U, </w:t>
      </w:r>
      <w:r w:rsidR="009C34E7" w:rsidRPr="00F413DB">
        <w:rPr>
          <w:rFonts w:ascii="Times New Roman" w:hAnsi="Times New Roman" w:cs="Times New Roman"/>
          <w:bCs w:val="0"/>
          <w:szCs w:val="24"/>
          <w:lang w:val="en-GB"/>
        </w:rPr>
        <w:t>et al</w:t>
      </w:r>
      <w:r w:rsidR="0034467E" w:rsidRPr="00F413DB">
        <w:rPr>
          <w:rFonts w:ascii="Times New Roman" w:hAnsi="Times New Roman" w:cs="Times New Roman"/>
          <w:bCs w:val="0"/>
          <w:szCs w:val="24"/>
          <w:lang w:val="en-GB"/>
        </w:rPr>
        <w:t xml:space="preserve">. Fear of </w:t>
      </w:r>
      <w:proofErr w:type="spellStart"/>
      <w:r w:rsidR="0034467E" w:rsidRPr="00F413DB">
        <w:rPr>
          <w:rFonts w:ascii="Times New Roman" w:hAnsi="Times New Roman" w:cs="Times New Roman"/>
          <w:bCs w:val="0"/>
          <w:szCs w:val="24"/>
          <w:lang w:val="en-GB"/>
        </w:rPr>
        <w:t>hypoglycemia</w:t>
      </w:r>
      <w:proofErr w:type="spellEnd"/>
      <w:r w:rsidR="0034467E" w:rsidRPr="00F413DB">
        <w:rPr>
          <w:rFonts w:ascii="Times New Roman" w:hAnsi="Times New Roman" w:cs="Times New Roman"/>
          <w:bCs w:val="0"/>
          <w:szCs w:val="24"/>
          <w:lang w:val="en-GB"/>
        </w:rPr>
        <w:t xml:space="preserve"> in adults with type 1 diabetes. </w:t>
      </w:r>
      <w:r w:rsidR="007D534F">
        <w:rPr>
          <w:rFonts w:ascii="Times New Roman" w:hAnsi="Times New Roman" w:cs="Times New Roman"/>
          <w:bCs w:val="0"/>
          <w:szCs w:val="24"/>
          <w:lang w:val="de-CH"/>
        </w:rPr>
        <w:t>Diabet Med</w:t>
      </w:r>
      <w:r w:rsidR="0034467E" w:rsidRPr="00C513A9">
        <w:rPr>
          <w:rFonts w:ascii="Times New Roman" w:hAnsi="Times New Roman" w:cs="Times New Roman"/>
          <w:bCs w:val="0"/>
          <w:szCs w:val="24"/>
          <w:lang w:val="de-CH"/>
        </w:rPr>
        <w:t xml:space="preserve"> 2010;27:1151-</w:t>
      </w:r>
      <w:r w:rsidR="007D534F">
        <w:rPr>
          <w:rFonts w:ascii="Times New Roman" w:hAnsi="Times New Roman" w:cs="Times New Roman"/>
          <w:bCs w:val="0"/>
          <w:szCs w:val="24"/>
          <w:lang w:val="de-CH"/>
        </w:rPr>
        <w:t>1158</w:t>
      </w:r>
    </w:p>
    <w:p w14:paraId="03CD799C" w14:textId="77777777" w:rsidR="0034467E" w:rsidRPr="00C513A9" w:rsidRDefault="0034467E" w:rsidP="0034467E">
      <w:pPr>
        <w:jc w:val="both"/>
        <w:rPr>
          <w:rFonts w:ascii="Times New Roman" w:hAnsi="Times New Roman" w:cs="Times New Roman"/>
          <w:bCs w:val="0"/>
          <w:szCs w:val="24"/>
          <w:lang w:val="de-CH"/>
        </w:rPr>
      </w:pPr>
    </w:p>
    <w:p w14:paraId="054F50CF" w14:textId="4546AFF0" w:rsidR="00807706" w:rsidRPr="00C513A9" w:rsidRDefault="008617A3" w:rsidP="00785F98">
      <w:pPr>
        <w:jc w:val="both"/>
        <w:rPr>
          <w:rFonts w:ascii="Times New Roman" w:hAnsi="Times New Roman" w:cs="Times New Roman"/>
          <w:bCs w:val="0"/>
          <w:szCs w:val="24"/>
          <w:lang w:val="de-CH"/>
        </w:rPr>
      </w:pPr>
      <w:r w:rsidRPr="00C513A9">
        <w:rPr>
          <w:rFonts w:ascii="Times New Roman" w:hAnsi="Times New Roman" w:cs="Times New Roman"/>
          <w:bCs w:val="0"/>
          <w:szCs w:val="24"/>
          <w:lang w:val="de-CH"/>
        </w:rPr>
        <w:t>2</w:t>
      </w:r>
      <w:r w:rsidR="0001705D" w:rsidRPr="00C513A9">
        <w:rPr>
          <w:rFonts w:ascii="Times New Roman" w:hAnsi="Times New Roman" w:cs="Times New Roman"/>
          <w:bCs w:val="0"/>
          <w:szCs w:val="24"/>
          <w:lang w:val="de-CH"/>
        </w:rPr>
        <w:t>6</w:t>
      </w:r>
      <w:r w:rsidRPr="00C513A9">
        <w:rPr>
          <w:rFonts w:ascii="Times New Roman" w:hAnsi="Times New Roman" w:cs="Times New Roman"/>
          <w:bCs w:val="0"/>
          <w:szCs w:val="24"/>
          <w:lang w:val="de-CH"/>
        </w:rPr>
        <w:t xml:space="preserve">. </w:t>
      </w:r>
      <w:r w:rsidR="0034467E" w:rsidRPr="00C513A9">
        <w:rPr>
          <w:rFonts w:ascii="Times New Roman" w:hAnsi="Times New Roman" w:cs="Times New Roman"/>
          <w:bCs w:val="0"/>
          <w:szCs w:val="24"/>
          <w:lang w:val="de-CH"/>
        </w:rPr>
        <w:t xml:space="preserve">Anderbro T, Gonder-Frederick L, Bolinder J, </w:t>
      </w:r>
      <w:r w:rsidR="009C34E7" w:rsidRPr="00C513A9">
        <w:rPr>
          <w:rFonts w:ascii="Times New Roman" w:hAnsi="Times New Roman" w:cs="Times New Roman"/>
          <w:bCs w:val="0"/>
          <w:szCs w:val="24"/>
          <w:lang w:val="de-CH"/>
        </w:rPr>
        <w:t xml:space="preserve">et al. </w:t>
      </w:r>
      <w:r w:rsidR="009C34E7" w:rsidRPr="00F413DB">
        <w:rPr>
          <w:rFonts w:ascii="Times New Roman" w:hAnsi="Times New Roman" w:cs="Times New Roman"/>
          <w:bCs w:val="0"/>
          <w:szCs w:val="24"/>
          <w:lang w:val="en-GB"/>
        </w:rPr>
        <w:t xml:space="preserve">Fear of </w:t>
      </w:r>
      <w:proofErr w:type="spellStart"/>
      <w:r w:rsidR="009C34E7" w:rsidRPr="00F413DB">
        <w:rPr>
          <w:rFonts w:ascii="Times New Roman" w:hAnsi="Times New Roman" w:cs="Times New Roman"/>
          <w:bCs w:val="0"/>
          <w:szCs w:val="24"/>
          <w:lang w:val="en-GB"/>
        </w:rPr>
        <w:t>hypoglyc</w:t>
      </w:r>
      <w:r w:rsidR="0034467E" w:rsidRPr="00F413DB">
        <w:rPr>
          <w:rFonts w:ascii="Times New Roman" w:hAnsi="Times New Roman" w:cs="Times New Roman"/>
          <w:bCs w:val="0"/>
          <w:szCs w:val="24"/>
          <w:lang w:val="en-GB"/>
        </w:rPr>
        <w:t>emia</w:t>
      </w:r>
      <w:proofErr w:type="spellEnd"/>
      <w:r w:rsidR="0034467E" w:rsidRPr="00F413DB">
        <w:rPr>
          <w:rFonts w:ascii="Times New Roman" w:hAnsi="Times New Roman" w:cs="Times New Roman"/>
          <w:bCs w:val="0"/>
          <w:szCs w:val="24"/>
          <w:lang w:val="en-GB"/>
        </w:rPr>
        <w:t xml:space="preserve">: relationship to </w:t>
      </w:r>
      <w:proofErr w:type="spellStart"/>
      <w:r w:rsidR="0034467E" w:rsidRPr="00F413DB">
        <w:rPr>
          <w:rFonts w:ascii="Times New Roman" w:hAnsi="Times New Roman" w:cs="Times New Roman"/>
          <w:bCs w:val="0"/>
          <w:szCs w:val="24"/>
          <w:lang w:val="en-GB"/>
        </w:rPr>
        <w:t>hypoglycemic</w:t>
      </w:r>
      <w:proofErr w:type="spellEnd"/>
      <w:r w:rsidR="0034467E" w:rsidRPr="00F413DB">
        <w:rPr>
          <w:rFonts w:ascii="Times New Roman" w:hAnsi="Times New Roman" w:cs="Times New Roman"/>
          <w:bCs w:val="0"/>
          <w:szCs w:val="24"/>
          <w:lang w:val="en-GB"/>
        </w:rPr>
        <w:t xml:space="preserve"> risk and psychological factors. </w:t>
      </w:r>
      <w:r w:rsidR="0034467E" w:rsidRPr="00C513A9">
        <w:rPr>
          <w:rFonts w:ascii="Times New Roman" w:hAnsi="Times New Roman" w:cs="Times New Roman"/>
          <w:bCs w:val="0"/>
          <w:szCs w:val="24"/>
          <w:lang w:val="de-CH"/>
        </w:rPr>
        <w:t>Acta Diabetol 2015;52:581-</w:t>
      </w:r>
      <w:r w:rsidR="007D534F">
        <w:rPr>
          <w:rFonts w:ascii="Times New Roman" w:hAnsi="Times New Roman" w:cs="Times New Roman"/>
          <w:bCs w:val="0"/>
          <w:szCs w:val="24"/>
          <w:lang w:val="de-CH"/>
        </w:rPr>
        <w:t>589</w:t>
      </w:r>
    </w:p>
    <w:p w14:paraId="4EDBC5FA" w14:textId="77777777" w:rsidR="00807706" w:rsidRPr="00C513A9" w:rsidRDefault="00807706" w:rsidP="00785F98">
      <w:pPr>
        <w:jc w:val="both"/>
        <w:rPr>
          <w:rFonts w:ascii="Times New Roman" w:hAnsi="Times New Roman" w:cs="Times New Roman"/>
          <w:bCs w:val="0"/>
          <w:szCs w:val="24"/>
          <w:lang w:val="de-CH"/>
        </w:rPr>
      </w:pPr>
    </w:p>
    <w:p w14:paraId="08E92F1B" w14:textId="34F1AC7B" w:rsidR="00E22517" w:rsidRPr="00F413DB" w:rsidRDefault="00AC6858" w:rsidP="00E22517">
      <w:pPr>
        <w:jc w:val="both"/>
        <w:rPr>
          <w:rFonts w:ascii="Times New Roman" w:hAnsi="Times New Roman" w:cs="Times New Roman"/>
          <w:bCs w:val="0"/>
          <w:szCs w:val="24"/>
          <w:lang w:val="en-GB"/>
        </w:rPr>
      </w:pPr>
      <w:r w:rsidRPr="00C513A9">
        <w:rPr>
          <w:rFonts w:ascii="Times New Roman" w:hAnsi="Times New Roman" w:cs="Times New Roman"/>
          <w:bCs w:val="0"/>
          <w:szCs w:val="24"/>
          <w:lang w:val="de-CH"/>
        </w:rPr>
        <w:t>2</w:t>
      </w:r>
      <w:r w:rsidR="0001705D" w:rsidRPr="00C513A9">
        <w:rPr>
          <w:rFonts w:ascii="Times New Roman" w:hAnsi="Times New Roman" w:cs="Times New Roman"/>
          <w:bCs w:val="0"/>
          <w:szCs w:val="24"/>
          <w:lang w:val="de-CH"/>
        </w:rPr>
        <w:t>7</w:t>
      </w:r>
      <w:r w:rsidRPr="00C513A9">
        <w:rPr>
          <w:rFonts w:ascii="Times New Roman" w:hAnsi="Times New Roman" w:cs="Times New Roman"/>
          <w:bCs w:val="0"/>
          <w:szCs w:val="24"/>
          <w:lang w:val="de-CH"/>
        </w:rPr>
        <w:t xml:space="preserve">. </w:t>
      </w:r>
      <w:r w:rsidR="00E22517" w:rsidRPr="00C513A9">
        <w:rPr>
          <w:rFonts w:ascii="Times New Roman" w:hAnsi="Times New Roman" w:cs="Times New Roman"/>
          <w:bCs w:val="0"/>
          <w:szCs w:val="24"/>
          <w:lang w:val="de-CH"/>
        </w:rPr>
        <w:t xml:space="preserve">Gonder-Frederick LA, Vajda KA, Schmidt KM, </w:t>
      </w:r>
      <w:r w:rsidRPr="00C513A9">
        <w:rPr>
          <w:rFonts w:ascii="Times New Roman" w:hAnsi="Times New Roman" w:cs="Times New Roman"/>
          <w:bCs w:val="0"/>
          <w:szCs w:val="24"/>
          <w:lang w:val="de-CH"/>
        </w:rPr>
        <w:t xml:space="preserve">et al. </w:t>
      </w:r>
      <w:r w:rsidRPr="00F413DB">
        <w:rPr>
          <w:rFonts w:ascii="Times New Roman" w:hAnsi="Times New Roman" w:cs="Times New Roman"/>
          <w:bCs w:val="0"/>
          <w:szCs w:val="24"/>
          <w:lang w:val="en-GB"/>
        </w:rPr>
        <w:t>Examining the Behavio</w:t>
      </w:r>
      <w:r w:rsidR="007D534F">
        <w:rPr>
          <w:rFonts w:ascii="Times New Roman" w:hAnsi="Times New Roman" w:cs="Times New Roman"/>
          <w:bCs w:val="0"/>
          <w:szCs w:val="24"/>
          <w:lang w:val="en-GB"/>
        </w:rPr>
        <w:t>u</w:t>
      </w:r>
      <w:r w:rsidR="00E22517" w:rsidRPr="00F413DB">
        <w:rPr>
          <w:rFonts w:ascii="Times New Roman" w:hAnsi="Times New Roman" w:cs="Times New Roman"/>
          <w:bCs w:val="0"/>
          <w:szCs w:val="24"/>
          <w:lang w:val="en-GB"/>
        </w:rPr>
        <w:t xml:space="preserve">r subscale of the </w:t>
      </w:r>
      <w:proofErr w:type="spellStart"/>
      <w:r w:rsidR="00E22517" w:rsidRPr="00F413DB">
        <w:rPr>
          <w:rFonts w:ascii="Times New Roman" w:hAnsi="Times New Roman" w:cs="Times New Roman"/>
          <w:bCs w:val="0"/>
          <w:szCs w:val="24"/>
          <w:lang w:val="en-GB"/>
        </w:rPr>
        <w:t>Hypoglycemia</w:t>
      </w:r>
      <w:proofErr w:type="spellEnd"/>
      <w:r w:rsidR="00E22517" w:rsidRPr="00F413DB">
        <w:rPr>
          <w:rFonts w:ascii="Times New Roman" w:hAnsi="Times New Roman" w:cs="Times New Roman"/>
          <w:bCs w:val="0"/>
          <w:szCs w:val="24"/>
          <w:lang w:val="en-GB"/>
        </w:rPr>
        <w:t xml:space="preserve"> Fear Survey: an </w:t>
      </w:r>
      <w:r w:rsidR="007D534F">
        <w:rPr>
          <w:rFonts w:ascii="Times New Roman" w:hAnsi="Times New Roman" w:cs="Times New Roman"/>
          <w:bCs w:val="0"/>
          <w:szCs w:val="24"/>
          <w:lang w:val="en-GB"/>
        </w:rPr>
        <w:t xml:space="preserve">international study. </w:t>
      </w:r>
      <w:proofErr w:type="spellStart"/>
      <w:r w:rsidR="007D534F">
        <w:rPr>
          <w:rFonts w:ascii="Times New Roman" w:hAnsi="Times New Roman" w:cs="Times New Roman"/>
          <w:bCs w:val="0"/>
          <w:szCs w:val="24"/>
          <w:lang w:val="en-GB"/>
        </w:rPr>
        <w:t>Diabet</w:t>
      </w:r>
      <w:proofErr w:type="spellEnd"/>
      <w:r w:rsidR="007D534F">
        <w:rPr>
          <w:rFonts w:ascii="Times New Roman" w:hAnsi="Times New Roman" w:cs="Times New Roman"/>
          <w:bCs w:val="0"/>
          <w:szCs w:val="24"/>
          <w:lang w:val="en-GB"/>
        </w:rPr>
        <w:t xml:space="preserve"> Med</w:t>
      </w:r>
      <w:r w:rsidR="00E22517" w:rsidRPr="00F413DB">
        <w:rPr>
          <w:rFonts w:ascii="Times New Roman" w:hAnsi="Times New Roman" w:cs="Times New Roman"/>
          <w:bCs w:val="0"/>
          <w:szCs w:val="24"/>
          <w:lang w:val="en-GB"/>
        </w:rPr>
        <w:t xml:space="preserve"> 2013</w:t>
      </w:r>
      <w:proofErr w:type="gramStart"/>
      <w:r w:rsidR="00E22517" w:rsidRPr="00F413DB">
        <w:rPr>
          <w:rFonts w:ascii="Times New Roman" w:hAnsi="Times New Roman" w:cs="Times New Roman"/>
          <w:bCs w:val="0"/>
          <w:szCs w:val="24"/>
          <w:lang w:val="en-GB"/>
        </w:rPr>
        <w:t>;30:603</w:t>
      </w:r>
      <w:proofErr w:type="gramEnd"/>
      <w:r w:rsidR="00E22517" w:rsidRPr="00F413DB">
        <w:rPr>
          <w:rFonts w:ascii="Times New Roman" w:hAnsi="Times New Roman" w:cs="Times New Roman"/>
          <w:bCs w:val="0"/>
          <w:szCs w:val="24"/>
          <w:lang w:val="en-GB"/>
        </w:rPr>
        <w:t>-</w:t>
      </w:r>
      <w:r w:rsidR="007D534F">
        <w:rPr>
          <w:rFonts w:ascii="Times New Roman" w:hAnsi="Times New Roman" w:cs="Times New Roman"/>
          <w:bCs w:val="0"/>
          <w:szCs w:val="24"/>
          <w:lang w:val="en-GB"/>
        </w:rPr>
        <w:t>609</w:t>
      </w:r>
    </w:p>
    <w:p w14:paraId="68C5D780" w14:textId="77777777" w:rsidR="00E22517" w:rsidRPr="00F413DB" w:rsidRDefault="00E22517" w:rsidP="00785F98">
      <w:pPr>
        <w:jc w:val="both"/>
        <w:rPr>
          <w:rFonts w:ascii="Times New Roman" w:hAnsi="Times New Roman" w:cs="Times New Roman"/>
          <w:bCs w:val="0"/>
          <w:szCs w:val="24"/>
          <w:lang w:val="en-GB"/>
        </w:rPr>
      </w:pPr>
    </w:p>
    <w:p w14:paraId="5E364481" w14:textId="7C0CDFD1" w:rsidR="00AC6858" w:rsidRPr="00F413DB" w:rsidRDefault="00AC6858" w:rsidP="00AC6858">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2</w:t>
      </w:r>
      <w:r w:rsidR="0001705D">
        <w:rPr>
          <w:rFonts w:ascii="Times New Roman" w:hAnsi="Times New Roman" w:cs="Times New Roman"/>
          <w:bCs w:val="0"/>
          <w:szCs w:val="24"/>
          <w:lang w:val="en-GB"/>
        </w:rPr>
        <w:t>8</w:t>
      </w:r>
      <w:r w:rsidRPr="00F413DB">
        <w:rPr>
          <w:rFonts w:ascii="Times New Roman" w:hAnsi="Times New Roman" w:cs="Times New Roman"/>
          <w:bCs w:val="0"/>
          <w:szCs w:val="24"/>
          <w:lang w:val="en-GB"/>
        </w:rPr>
        <w:t xml:space="preserve">. Heller SR, Cryer PE. Reduced neuroendocrine and symptomatic responses to subsequent </w:t>
      </w:r>
      <w:proofErr w:type="spellStart"/>
      <w:r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after 1 episode of </w:t>
      </w:r>
      <w:proofErr w:type="spellStart"/>
      <w:r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w:t>
      </w:r>
      <w:r w:rsidR="0037427A">
        <w:rPr>
          <w:rFonts w:ascii="Times New Roman" w:hAnsi="Times New Roman" w:cs="Times New Roman"/>
          <w:bCs w:val="0"/>
          <w:szCs w:val="24"/>
          <w:lang w:val="en-GB"/>
        </w:rPr>
        <w:t>in nondiabetic humans. Diabetes 1991</w:t>
      </w:r>
      <w:proofErr w:type="gramStart"/>
      <w:r w:rsidR="0037427A">
        <w:rPr>
          <w:rFonts w:ascii="Times New Roman" w:hAnsi="Times New Roman" w:cs="Times New Roman"/>
          <w:bCs w:val="0"/>
          <w:szCs w:val="24"/>
          <w:lang w:val="en-GB"/>
        </w:rPr>
        <w:t>;40</w:t>
      </w:r>
      <w:r w:rsidRPr="00F413DB">
        <w:rPr>
          <w:rFonts w:ascii="Times New Roman" w:hAnsi="Times New Roman" w:cs="Times New Roman"/>
          <w:bCs w:val="0"/>
          <w:szCs w:val="24"/>
          <w:lang w:val="en-GB"/>
        </w:rPr>
        <w:t>:223</w:t>
      </w:r>
      <w:proofErr w:type="gramEnd"/>
      <w:r w:rsidRPr="00F413DB">
        <w:rPr>
          <w:rFonts w:ascii="Times New Roman" w:hAnsi="Times New Roman" w:cs="Times New Roman"/>
          <w:bCs w:val="0"/>
          <w:szCs w:val="24"/>
          <w:lang w:val="en-GB"/>
        </w:rPr>
        <w:t>-</w:t>
      </w:r>
      <w:r w:rsidR="0037427A">
        <w:rPr>
          <w:rFonts w:ascii="Times New Roman" w:hAnsi="Times New Roman" w:cs="Times New Roman"/>
          <w:bCs w:val="0"/>
          <w:szCs w:val="24"/>
          <w:lang w:val="en-GB"/>
        </w:rPr>
        <w:t>22</w:t>
      </w:r>
      <w:r w:rsidRPr="00F413DB">
        <w:rPr>
          <w:rFonts w:ascii="Times New Roman" w:hAnsi="Times New Roman" w:cs="Times New Roman"/>
          <w:bCs w:val="0"/>
          <w:szCs w:val="24"/>
          <w:lang w:val="en-GB"/>
        </w:rPr>
        <w:t>6</w:t>
      </w:r>
    </w:p>
    <w:p w14:paraId="62EF0312" w14:textId="77777777" w:rsidR="00AC6858" w:rsidRPr="00F413DB" w:rsidRDefault="00AC6858" w:rsidP="00AC6858">
      <w:pPr>
        <w:jc w:val="both"/>
        <w:rPr>
          <w:rFonts w:ascii="Times New Roman" w:hAnsi="Times New Roman" w:cs="Times New Roman"/>
          <w:bCs w:val="0"/>
          <w:szCs w:val="24"/>
          <w:lang w:val="en-GB"/>
        </w:rPr>
      </w:pPr>
    </w:p>
    <w:p w14:paraId="0655AD33" w14:textId="314B5BAB" w:rsidR="00AC6858" w:rsidRPr="00F413DB" w:rsidRDefault="00AC6858" w:rsidP="00AC6858">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lastRenderedPageBreak/>
        <w:t>2</w:t>
      </w:r>
      <w:r w:rsidR="0001705D">
        <w:rPr>
          <w:rFonts w:ascii="Times New Roman" w:hAnsi="Times New Roman" w:cs="Times New Roman"/>
          <w:bCs w:val="0"/>
          <w:szCs w:val="24"/>
          <w:lang w:val="en-GB"/>
        </w:rPr>
        <w:t>9</w:t>
      </w:r>
      <w:r w:rsidRPr="00F413DB">
        <w:rPr>
          <w:rFonts w:ascii="Times New Roman" w:hAnsi="Times New Roman" w:cs="Times New Roman"/>
          <w:bCs w:val="0"/>
          <w:szCs w:val="24"/>
          <w:lang w:val="en-GB"/>
        </w:rPr>
        <w:t xml:space="preserve">. </w:t>
      </w:r>
      <w:proofErr w:type="spellStart"/>
      <w:r w:rsidRPr="00F413DB">
        <w:rPr>
          <w:rFonts w:ascii="Times New Roman" w:hAnsi="Times New Roman" w:cs="Times New Roman"/>
          <w:bCs w:val="0"/>
          <w:szCs w:val="24"/>
          <w:lang w:val="en-GB"/>
        </w:rPr>
        <w:t>Fanelli</w:t>
      </w:r>
      <w:proofErr w:type="spellEnd"/>
      <w:r w:rsidRPr="00F413DB">
        <w:rPr>
          <w:rFonts w:ascii="Times New Roman" w:hAnsi="Times New Roman" w:cs="Times New Roman"/>
          <w:bCs w:val="0"/>
          <w:szCs w:val="24"/>
          <w:lang w:val="en-GB"/>
        </w:rPr>
        <w:t xml:space="preserve"> CG, </w:t>
      </w:r>
      <w:proofErr w:type="spellStart"/>
      <w:r w:rsidRPr="00F413DB">
        <w:rPr>
          <w:rFonts w:ascii="Times New Roman" w:hAnsi="Times New Roman" w:cs="Times New Roman"/>
          <w:bCs w:val="0"/>
          <w:szCs w:val="24"/>
          <w:lang w:val="en-GB"/>
        </w:rPr>
        <w:t>Epifano</w:t>
      </w:r>
      <w:proofErr w:type="spellEnd"/>
      <w:r w:rsidRPr="00F413DB">
        <w:rPr>
          <w:rFonts w:ascii="Times New Roman" w:hAnsi="Times New Roman" w:cs="Times New Roman"/>
          <w:bCs w:val="0"/>
          <w:szCs w:val="24"/>
          <w:lang w:val="en-GB"/>
        </w:rPr>
        <w:t xml:space="preserve"> L, </w:t>
      </w:r>
      <w:proofErr w:type="spellStart"/>
      <w:r w:rsidRPr="00F413DB">
        <w:rPr>
          <w:rFonts w:ascii="Times New Roman" w:hAnsi="Times New Roman" w:cs="Times New Roman"/>
          <w:bCs w:val="0"/>
          <w:szCs w:val="24"/>
          <w:lang w:val="en-GB"/>
        </w:rPr>
        <w:t>Rambotti</w:t>
      </w:r>
      <w:proofErr w:type="spellEnd"/>
      <w:r w:rsidRPr="00F413DB">
        <w:rPr>
          <w:rFonts w:ascii="Times New Roman" w:hAnsi="Times New Roman" w:cs="Times New Roman"/>
          <w:bCs w:val="0"/>
          <w:szCs w:val="24"/>
          <w:lang w:val="en-GB"/>
        </w:rPr>
        <w:t xml:space="preserve"> AM, et al. Meticulous prevention of </w:t>
      </w:r>
      <w:proofErr w:type="spellStart"/>
      <w:r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normalizes the </w:t>
      </w:r>
      <w:proofErr w:type="spellStart"/>
      <w:r w:rsidRPr="00F413DB">
        <w:rPr>
          <w:rFonts w:ascii="Times New Roman" w:hAnsi="Times New Roman" w:cs="Times New Roman"/>
          <w:bCs w:val="0"/>
          <w:szCs w:val="24"/>
          <w:lang w:val="en-GB"/>
        </w:rPr>
        <w:t>glycemic</w:t>
      </w:r>
      <w:proofErr w:type="spellEnd"/>
      <w:r w:rsidRPr="00F413DB">
        <w:rPr>
          <w:rFonts w:ascii="Times New Roman" w:hAnsi="Times New Roman" w:cs="Times New Roman"/>
          <w:bCs w:val="0"/>
          <w:szCs w:val="24"/>
          <w:lang w:val="en-GB"/>
        </w:rPr>
        <w:t xml:space="preserve"> thresholds and magnitude of most of neuroendocrine responses to, symptoms of, and cognitive function during </w:t>
      </w:r>
      <w:proofErr w:type="spellStart"/>
      <w:r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in intensively treated patients with short-term IDDM. Diabetes</w:t>
      </w:r>
      <w:r w:rsidR="0033148A">
        <w:rPr>
          <w:rFonts w:ascii="Times New Roman" w:hAnsi="Times New Roman" w:cs="Times New Roman"/>
          <w:bCs w:val="0"/>
          <w:szCs w:val="24"/>
          <w:lang w:val="en-GB"/>
        </w:rPr>
        <w:t xml:space="preserve"> 1993</w:t>
      </w:r>
      <w:proofErr w:type="gramStart"/>
      <w:r w:rsidR="0033148A">
        <w:rPr>
          <w:rFonts w:ascii="Times New Roman" w:hAnsi="Times New Roman" w:cs="Times New Roman"/>
          <w:bCs w:val="0"/>
          <w:szCs w:val="24"/>
          <w:lang w:val="en-GB"/>
        </w:rPr>
        <w:t>;42</w:t>
      </w:r>
      <w:r w:rsidRPr="00F413DB">
        <w:rPr>
          <w:rFonts w:ascii="Times New Roman" w:hAnsi="Times New Roman" w:cs="Times New Roman"/>
          <w:bCs w:val="0"/>
          <w:szCs w:val="24"/>
          <w:lang w:val="en-GB"/>
        </w:rPr>
        <w:t>:1683</w:t>
      </w:r>
      <w:proofErr w:type="gramEnd"/>
      <w:r w:rsidRPr="00F413DB">
        <w:rPr>
          <w:rFonts w:ascii="Times New Roman" w:hAnsi="Times New Roman" w:cs="Times New Roman"/>
          <w:bCs w:val="0"/>
          <w:szCs w:val="24"/>
          <w:lang w:val="en-GB"/>
        </w:rPr>
        <w:t>-</w:t>
      </w:r>
      <w:r w:rsidR="0033148A">
        <w:rPr>
          <w:rFonts w:ascii="Times New Roman" w:hAnsi="Times New Roman" w:cs="Times New Roman"/>
          <w:bCs w:val="0"/>
          <w:szCs w:val="24"/>
          <w:lang w:val="en-GB"/>
        </w:rPr>
        <w:t>168</w:t>
      </w:r>
      <w:r w:rsidRPr="00F413DB">
        <w:rPr>
          <w:rFonts w:ascii="Times New Roman" w:hAnsi="Times New Roman" w:cs="Times New Roman"/>
          <w:bCs w:val="0"/>
          <w:szCs w:val="24"/>
          <w:lang w:val="en-GB"/>
        </w:rPr>
        <w:t>9</w:t>
      </w:r>
    </w:p>
    <w:p w14:paraId="6046EB2C" w14:textId="77777777" w:rsidR="00807706" w:rsidRPr="00F413DB" w:rsidRDefault="00807706" w:rsidP="00785F98">
      <w:pPr>
        <w:jc w:val="both"/>
        <w:rPr>
          <w:rFonts w:ascii="Times New Roman" w:hAnsi="Times New Roman" w:cs="Times New Roman"/>
          <w:bCs w:val="0"/>
          <w:szCs w:val="24"/>
          <w:lang w:val="en-GB"/>
        </w:rPr>
      </w:pPr>
    </w:p>
    <w:p w14:paraId="2BD3DB0C" w14:textId="29BBEC93" w:rsidR="00AC6858" w:rsidRPr="00F413DB" w:rsidRDefault="0001705D" w:rsidP="00AC6858">
      <w:pPr>
        <w:jc w:val="both"/>
        <w:rPr>
          <w:rFonts w:ascii="Times New Roman" w:hAnsi="Times New Roman" w:cs="Times New Roman"/>
          <w:bCs w:val="0"/>
          <w:szCs w:val="24"/>
          <w:lang w:val="en-GB"/>
        </w:rPr>
      </w:pPr>
      <w:r>
        <w:rPr>
          <w:rFonts w:ascii="Times New Roman" w:hAnsi="Times New Roman" w:cs="Times New Roman"/>
          <w:bCs w:val="0"/>
          <w:szCs w:val="24"/>
          <w:lang w:val="en-GB"/>
        </w:rPr>
        <w:t>30</w:t>
      </w:r>
      <w:r w:rsidR="00AC6858" w:rsidRPr="00F413DB">
        <w:rPr>
          <w:rFonts w:ascii="Times New Roman" w:hAnsi="Times New Roman" w:cs="Times New Roman"/>
          <w:bCs w:val="0"/>
          <w:szCs w:val="24"/>
          <w:lang w:val="en-GB"/>
        </w:rPr>
        <w:t xml:space="preserve">. Olsen SE, </w:t>
      </w:r>
      <w:proofErr w:type="spellStart"/>
      <w:r w:rsidR="00AC6858" w:rsidRPr="00F413DB">
        <w:rPr>
          <w:rFonts w:ascii="Times New Roman" w:hAnsi="Times New Roman" w:cs="Times New Roman"/>
          <w:bCs w:val="0"/>
          <w:szCs w:val="24"/>
          <w:lang w:val="en-GB"/>
        </w:rPr>
        <w:t>Bjorgaas</w:t>
      </w:r>
      <w:proofErr w:type="spellEnd"/>
      <w:r w:rsidR="00AC6858" w:rsidRPr="00F413DB">
        <w:rPr>
          <w:rFonts w:ascii="Times New Roman" w:hAnsi="Times New Roman" w:cs="Times New Roman"/>
          <w:bCs w:val="0"/>
          <w:szCs w:val="24"/>
          <w:lang w:val="en-GB"/>
        </w:rPr>
        <w:t xml:space="preserve"> MR, </w:t>
      </w:r>
      <w:proofErr w:type="spellStart"/>
      <w:r w:rsidR="00AC6858" w:rsidRPr="00F413DB">
        <w:rPr>
          <w:rFonts w:ascii="Times New Roman" w:hAnsi="Times New Roman" w:cs="Times New Roman"/>
          <w:bCs w:val="0"/>
          <w:szCs w:val="24"/>
          <w:lang w:val="en-GB"/>
        </w:rPr>
        <w:t>Asvold</w:t>
      </w:r>
      <w:proofErr w:type="spellEnd"/>
      <w:r w:rsidR="00AC6858" w:rsidRPr="00F413DB">
        <w:rPr>
          <w:rFonts w:ascii="Times New Roman" w:hAnsi="Times New Roman" w:cs="Times New Roman"/>
          <w:bCs w:val="0"/>
          <w:szCs w:val="24"/>
          <w:lang w:val="en-GB"/>
        </w:rPr>
        <w:t xml:space="preserve"> BO, et al. Impaired awareness of </w:t>
      </w:r>
      <w:proofErr w:type="spellStart"/>
      <w:r w:rsidR="00AC6858" w:rsidRPr="00F413DB">
        <w:rPr>
          <w:rFonts w:ascii="Times New Roman" w:hAnsi="Times New Roman" w:cs="Times New Roman"/>
          <w:bCs w:val="0"/>
          <w:szCs w:val="24"/>
          <w:lang w:val="en-GB"/>
        </w:rPr>
        <w:t>hypoglycemia</w:t>
      </w:r>
      <w:proofErr w:type="spellEnd"/>
      <w:r w:rsidR="00AC6858" w:rsidRPr="00F413DB">
        <w:rPr>
          <w:rFonts w:ascii="Times New Roman" w:hAnsi="Times New Roman" w:cs="Times New Roman"/>
          <w:bCs w:val="0"/>
          <w:szCs w:val="24"/>
          <w:lang w:val="en-GB"/>
        </w:rPr>
        <w:t xml:space="preserve"> in adults with type 1 diabetes is not associated with autonomic dysfunction or perip</w:t>
      </w:r>
      <w:r w:rsidR="00A36577">
        <w:rPr>
          <w:rFonts w:ascii="Times New Roman" w:hAnsi="Times New Roman" w:cs="Times New Roman"/>
          <w:bCs w:val="0"/>
          <w:szCs w:val="24"/>
          <w:lang w:val="en-GB"/>
        </w:rPr>
        <w:t>heral neuropathy. Diabetes Care</w:t>
      </w:r>
      <w:r w:rsidR="00AC6858" w:rsidRPr="00F413DB">
        <w:rPr>
          <w:rFonts w:ascii="Times New Roman" w:hAnsi="Times New Roman" w:cs="Times New Roman"/>
          <w:bCs w:val="0"/>
          <w:szCs w:val="24"/>
          <w:lang w:val="en-GB"/>
        </w:rPr>
        <w:t xml:space="preserve"> 2016</w:t>
      </w:r>
      <w:proofErr w:type="gramStart"/>
      <w:r w:rsidR="00AC6858" w:rsidRPr="00F413DB">
        <w:rPr>
          <w:rFonts w:ascii="Times New Roman" w:hAnsi="Times New Roman" w:cs="Times New Roman"/>
          <w:bCs w:val="0"/>
          <w:szCs w:val="24"/>
          <w:lang w:val="en-GB"/>
        </w:rPr>
        <w:t>;39:426</w:t>
      </w:r>
      <w:proofErr w:type="gramEnd"/>
      <w:r w:rsidR="00AC6858" w:rsidRPr="00F413DB">
        <w:rPr>
          <w:rFonts w:ascii="Times New Roman" w:hAnsi="Times New Roman" w:cs="Times New Roman"/>
          <w:bCs w:val="0"/>
          <w:szCs w:val="24"/>
          <w:lang w:val="en-GB"/>
        </w:rPr>
        <w:t>-</w:t>
      </w:r>
      <w:r w:rsidR="00A36577">
        <w:rPr>
          <w:rFonts w:ascii="Times New Roman" w:hAnsi="Times New Roman" w:cs="Times New Roman"/>
          <w:bCs w:val="0"/>
          <w:szCs w:val="24"/>
          <w:lang w:val="en-GB"/>
        </w:rPr>
        <w:t>4</w:t>
      </w:r>
      <w:r w:rsidR="00AC6858" w:rsidRPr="00F413DB">
        <w:rPr>
          <w:rFonts w:ascii="Times New Roman" w:hAnsi="Times New Roman" w:cs="Times New Roman"/>
          <w:bCs w:val="0"/>
          <w:szCs w:val="24"/>
          <w:lang w:val="en-GB"/>
        </w:rPr>
        <w:t>33.</w:t>
      </w:r>
    </w:p>
    <w:p w14:paraId="548299CC" w14:textId="77777777" w:rsidR="00AC6858" w:rsidRPr="00F413DB" w:rsidRDefault="00AC6858" w:rsidP="00AC6858">
      <w:pPr>
        <w:jc w:val="both"/>
        <w:rPr>
          <w:rFonts w:ascii="Times New Roman" w:hAnsi="Times New Roman" w:cs="Times New Roman"/>
          <w:bCs w:val="0"/>
          <w:szCs w:val="24"/>
          <w:lang w:val="en-GB"/>
        </w:rPr>
      </w:pPr>
    </w:p>
    <w:p w14:paraId="55C7B1F5" w14:textId="1C06BE28" w:rsidR="00AC6858" w:rsidRPr="00F413DB" w:rsidRDefault="00AC6858" w:rsidP="00AC6858">
      <w:pPr>
        <w:rPr>
          <w:rFonts w:ascii="Times New Roman" w:hAnsi="Times New Roman" w:cs="Times New Roman"/>
          <w:bCs w:val="0"/>
          <w:szCs w:val="24"/>
          <w:lang w:val="en-GB"/>
        </w:rPr>
      </w:pPr>
      <w:r w:rsidRPr="00F413DB">
        <w:rPr>
          <w:rFonts w:ascii="Times New Roman" w:hAnsi="Times New Roman" w:cs="Times New Roman"/>
          <w:bCs w:val="0"/>
          <w:szCs w:val="24"/>
          <w:lang w:val="en-GB"/>
        </w:rPr>
        <w:t>3</w:t>
      </w:r>
      <w:r w:rsidR="0001705D">
        <w:rPr>
          <w:rFonts w:ascii="Times New Roman" w:hAnsi="Times New Roman" w:cs="Times New Roman"/>
          <w:bCs w:val="0"/>
          <w:szCs w:val="24"/>
          <w:lang w:val="en-GB"/>
        </w:rPr>
        <w:t>1</w:t>
      </w:r>
      <w:r w:rsidRPr="00F413DB">
        <w:rPr>
          <w:rFonts w:ascii="Times New Roman" w:hAnsi="Times New Roman" w:cs="Times New Roman"/>
          <w:bCs w:val="0"/>
          <w:szCs w:val="24"/>
          <w:lang w:val="en-GB"/>
        </w:rPr>
        <w:t>. Pedersen-</w:t>
      </w:r>
      <w:proofErr w:type="spellStart"/>
      <w:r w:rsidRPr="00F413DB">
        <w:rPr>
          <w:rFonts w:ascii="Times New Roman" w:hAnsi="Times New Roman" w:cs="Times New Roman"/>
          <w:bCs w:val="0"/>
          <w:szCs w:val="24"/>
          <w:lang w:val="en-GB"/>
        </w:rPr>
        <w:t>Bjergaard</w:t>
      </w:r>
      <w:proofErr w:type="spellEnd"/>
      <w:r w:rsidRPr="00F413DB">
        <w:rPr>
          <w:rFonts w:ascii="Times New Roman" w:hAnsi="Times New Roman" w:cs="Times New Roman"/>
          <w:bCs w:val="0"/>
          <w:szCs w:val="24"/>
          <w:lang w:val="en-GB"/>
        </w:rPr>
        <w:t xml:space="preserve"> U, </w:t>
      </w:r>
      <w:proofErr w:type="spellStart"/>
      <w:r w:rsidRPr="00F413DB">
        <w:rPr>
          <w:rFonts w:ascii="Times New Roman" w:hAnsi="Times New Roman" w:cs="Times New Roman"/>
          <w:bCs w:val="0"/>
          <w:szCs w:val="24"/>
          <w:lang w:val="en-GB"/>
        </w:rPr>
        <w:t>Pramming</w:t>
      </w:r>
      <w:proofErr w:type="spellEnd"/>
      <w:r w:rsidRPr="00F413DB">
        <w:rPr>
          <w:rFonts w:ascii="Times New Roman" w:hAnsi="Times New Roman" w:cs="Times New Roman"/>
          <w:bCs w:val="0"/>
          <w:szCs w:val="24"/>
          <w:lang w:val="en-GB"/>
        </w:rPr>
        <w:t xml:space="preserve"> S, Heller SR</w:t>
      </w:r>
      <w:r w:rsidR="00A36577">
        <w:rPr>
          <w:rFonts w:ascii="Times New Roman" w:hAnsi="Times New Roman" w:cs="Times New Roman"/>
          <w:bCs w:val="0"/>
          <w:szCs w:val="24"/>
          <w:lang w:val="en-GB"/>
        </w:rPr>
        <w:t>, et al</w:t>
      </w:r>
      <w:r w:rsidRPr="00F413DB">
        <w:rPr>
          <w:rFonts w:ascii="Times New Roman" w:hAnsi="Times New Roman" w:cs="Times New Roman"/>
          <w:bCs w:val="0"/>
          <w:szCs w:val="24"/>
          <w:lang w:val="en-GB"/>
        </w:rPr>
        <w:t xml:space="preserve">. Severe </w:t>
      </w:r>
      <w:proofErr w:type="spellStart"/>
      <w:r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in 1076 adult patients with type 1 diabetes: influence of risk markers and se</w:t>
      </w:r>
      <w:r w:rsidR="00A36577">
        <w:rPr>
          <w:rFonts w:ascii="Times New Roman" w:hAnsi="Times New Roman" w:cs="Times New Roman"/>
          <w:bCs w:val="0"/>
          <w:szCs w:val="24"/>
          <w:lang w:val="en-GB"/>
        </w:rPr>
        <w:t xml:space="preserve">lection. Diabetes </w:t>
      </w:r>
      <w:proofErr w:type="spellStart"/>
      <w:r w:rsidR="00A36577">
        <w:rPr>
          <w:rFonts w:ascii="Times New Roman" w:hAnsi="Times New Roman" w:cs="Times New Roman"/>
          <w:bCs w:val="0"/>
          <w:szCs w:val="24"/>
          <w:lang w:val="en-GB"/>
        </w:rPr>
        <w:t>Metab</w:t>
      </w:r>
      <w:proofErr w:type="spellEnd"/>
      <w:r w:rsidR="00A36577">
        <w:rPr>
          <w:rFonts w:ascii="Times New Roman" w:hAnsi="Times New Roman" w:cs="Times New Roman"/>
          <w:bCs w:val="0"/>
          <w:szCs w:val="24"/>
          <w:lang w:val="en-GB"/>
        </w:rPr>
        <w:t xml:space="preserve"> Res Rev </w:t>
      </w:r>
      <w:r w:rsidRPr="00F413DB">
        <w:rPr>
          <w:rFonts w:ascii="Times New Roman" w:hAnsi="Times New Roman" w:cs="Times New Roman"/>
          <w:bCs w:val="0"/>
          <w:szCs w:val="24"/>
          <w:lang w:val="en-GB"/>
        </w:rPr>
        <w:t>2004</w:t>
      </w:r>
      <w:proofErr w:type="gramStart"/>
      <w:r w:rsidRPr="00F413DB">
        <w:rPr>
          <w:rFonts w:ascii="Times New Roman" w:hAnsi="Times New Roman" w:cs="Times New Roman"/>
          <w:bCs w:val="0"/>
          <w:szCs w:val="24"/>
          <w:lang w:val="en-GB"/>
        </w:rPr>
        <w:t>;20</w:t>
      </w:r>
      <w:r w:rsidR="00A36577">
        <w:rPr>
          <w:rFonts w:ascii="Times New Roman" w:hAnsi="Times New Roman" w:cs="Times New Roman"/>
          <w:bCs w:val="0"/>
          <w:szCs w:val="24"/>
          <w:lang w:val="en-GB"/>
        </w:rPr>
        <w:t>:479</w:t>
      </w:r>
      <w:proofErr w:type="gramEnd"/>
      <w:r w:rsidR="00A36577">
        <w:rPr>
          <w:rFonts w:ascii="Times New Roman" w:hAnsi="Times New Roman" w:cs="Times New Roman"/>
          <w:bCs w:val="0"/>
          <w:szCs w:val="24"/>
          <w:lang w:val="en-GB"/>
        </w:rPr>
        <w:t>-486</w:t>
      </w:r>
    </w:p>
    <w:p w14:paraId="11052DAA" w14:textId="77777777" w:rsidR="00AC6858" w:rsidRPr="00F413DB" w:rsidRDefault="00AC6858" w:rsidP="00AC6858">
      <w:pPr>
        <w:rPr>
          <w:rFonts w:ascii="Times New Roman" w:hAnsi="Times New Roman" w:cs="Times New Roman"/>
          <w:bCs w:val="0"/>
          <w:szCs w:val="24"/>
          <w:lang w:val="en-GB"/>
        </w:rPr>
      </w:pPr>
    </w:p>
    <w:p w14:paraId="66DCC718" w14:textId="1C4D579B" w:rsidR="00AC6858" w:rsidRPr="00F413DB" w:rsidRDefault="00AC6858" w:rsidP="00AC6858">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3</w:t>
      </w:r>
      <w:r w:rsidR="0001705D">
        <w:rPr>
          <w:rFonts w:ascii="Times New Roman" w:hAnsi="Times New Roman" w:cs="Times New Roman"/>
          <w:bCs w:val="0"/>
          <w:szCs w:val="24"/>
          <w:lang w:val="en-GB"/>
        </w:rPr>
        <w:t>2</w:t>
      </w:r>
      <w:r w:rsidRPr="00F413DB">
        <w:rPr>
          <w:rFonts w:ascii="Times New Roman" w:hAnsi="Times New Roman" w:cs="Times New Roman"/>
          <w:bCs w:val="0"/>
          <w:szCs w:val="24"/>
          <w:lang w:val="en-GB"/>
        </w:rPr>
        <w:t xml:space="preserve">. Stephenson JM, </w:t>
      </w:r>
      <w:proofErr w:type="spellStart"/>
      <w:r w:rsidRPr="00F413DB">
        <w:rPr>
          <w:rFonts w:ascii="Times New Roman" w:hAnsi="Times New Roman" w:cs="Times New Roman"/>
          <w:bCs w:val="0"/>
          <w:szCs w:val="24"/>
          <w:lang w:val="en-GB"/>
        </w:rPr>
        <w:t>Kempler</w:t>
      </w:r>
      <w:proofErr w:type="spellEnd"/>
      <w:r w:rsidRPr="00F413DB">
        <w:rPr>
          <w:rFonts w:ascii="Times New Roman" w:hAnsi="Times New Roman" w:cs="Times New Roman"/>
          <w:bCs w:val="0"/>
          <w:szCs w:val="24"/>
          <w:lang w:val="en-GB"/>
        </w:rPr>
        <w:t xml:space="preserve"> P, </w:t>
      </w:r>
      <w:proofErr w:type="spellStart"/>
      <w:r w:rsidRPr="00F413DB">
        <w:rPr>
          <w:rFonts w:ascii="Times New Roman" w:hAnsi="Times New Roman" w:cs="Times New Roman"/>
          <w:bCs w:val="0"/>
          <w:szCs w:val="24"/>
          <w:lang w:val="en-GB"/>
        </w:rPr>
        <w:t>Perin</w:t>
      </w:r>
      <w:proofErr w:type="spellEnd"/>
      <w:r w:rsidRPr="00F413DB">
        <w:rPr>
          <w:rFonts w:ascii="Times New Roman" w:hAnsi="Times New Roman" w:cs="Times New Roman"/>
          <w:bCs w:val="0"/>
          <w:szCs w:val="24"/>
          <w:lang w:val="en-GB"/>
        </w:rPr>
        <w:t xml:space="preserve"> PC, </w:t>
      </w:r>
      <w:r w:rsidR="00A36577">
        <w:rPr>
          <w:rFonts w:ascii="Times New Roman" w:hAnsi="Times New Roman" w:cs="Times New Roman"/>
          <w:bCs w:val="0"/>
          <w:szCs w:val="24"/>
          <w:lang w:val="en-GB"/>
        </w:rPr>
        <w:t>Fuller JH</w:t>
      </w:r>
      <w:r w:rsidRPr="00F413DB">
        <w:rPr>
          <w:rFonts w:ascii="Times New Roman" w:hAnsi="Times New Roman" w:cs="Times New Roman"/>
          <w:bCs w:val="0"/>
          <w:szCs w:val="24"/>
          <w:lang w:val="en-GB"/>
        </w:rPr>
        <w:t xml:space="preserve">. Is autonomic neuropathy a risk factor for severe </w:t>
      </w:r>
      <w:proofErr w:type="spellStart"/>
      <w:r w:rsidR="00A36577">
        <w:rPr>
          <w:rFonts w:ascii="Times New Roman" w:hAnsi="Times New Roman" w:cs="Times New Roman"/>
          <w:bCs w:val="0"/>
          <w:szCs w:val="24"/>
          <w:lang w:val="en-GB"/>
        </w:rPr>
        <w:t>hypoglyemia</w:t>
      </w:r>
      <w:proofErr w:type="spellEnd"/>
      <w:r w:rsidR="00A36577">
        <w:rPr>
          <w:rFonts w:ascii="Times New Roman" w:hAnsi="Times New Roman" w:cs="Times New Roman"/>
          <w:bCs w:val="0"/>
          <w:szCs w:val="24"/>
          <w:lang w:val="en-GB"/>
        </w:rPr>
        <w:t>? The EURODIAB IDDM Complications S</w:t>
      </w:r>
      <w:r w:rsidRPr="00F413DB">
        <w:rPr>
          <w:rFonts w:ascii="Times New Roman" w:hAnsi="Times New Roman" w:cs="Times New Roman"/>
          <w:bCs w:val="0"/>
          <w:szCs w:val="24"/>
          <w:lang w:val="en-GB"/>
        </w:rPr>
        <w:t xml:space="preserve">tudy. </w:t>
      </w:r>
      <w:proofErr w:type="spellStart"/>
      <w:r w:rsidRPr="00F413DB">
        <w:rPr>
          <w:rFonts w:ascii="Times New Roman" w:hAnsi="Times New Roman" w:cs="Times New Roman"/>
          <w:bCs w:val="0"/>
          <w:szCs w:val="24"/>
          <w:lang w:val="en-GB"/>
        </w:rPr>
        <w:t>Diabe</w:t>
      </w:r>
      <w:r w:rsidR="00A36577">
        <w:rPr>
          <w:rFonts w:ascii="Times New Roman" w:hAnsi="Times New Roman" w:cs="Times New Roman"/>
          <w:bCs w:val="0"/>
          <w:szCs w:val="24"/>
          <w:lang w:val="en-GB"/>
        </w:rPr>
        <w:t>tologia</w:t>
      </w:r>
      <w:proofErr w:type="spellEnd"/>
      <w:r w:rsidRPr="00F413DB">
        <w:rPr>
          <w:rFonts w:ascii="Times New Roman" w:hAnsi="Times New Roman" w:cs="Times New Roman"/>
          <w:bCs w:val="0"/>
          <w:szCs w:val="24"/>
          <w:lang w:val="en-GB"/>
        </w:rPr>
        <w:t xml:space="preserve"> 1996</w:t>
      </w:r>
      <w:proofErr w:type="gramStart"/>
      <w:r w:rsidRPr="00F413DB">
        <w:rPr>
          <w:rFonts w:ascii="Times New Roman" w:hAnsi="Times New Roman" w:cs="Times New Roman"/>
          <w:bCs w:val="0"/>
          <w:szCs w:val="24"/>
          <w:lang w:val="en-GB"/>
        </w:rPr>
        <w:t>;39:1372</w:t>
      </w:r>
      <w:proofErr w:type="gramEnd"/>
      <w:r w:rsidRPr="00F413DB">
        <w:rPr>
          <w:rFonts w:ascii="Times New Roman" w:hAnsi="Times New Roman" w:cs="Times New Roman"/>
          <w:bCs w:val="0"/>
          <w:szCs w:val="24"/>
          <w:lang w:val="en-GB"/>
        </w:rPr>
        <w:t>-</w:t>
      </w:r>
      <w:r w:rsidR="00A36577">
        <w:rPr>
          <w:rFonts w:ascii="Times New Roman" w:hAnsi="Times New Roman" w:cs="Times New Roman"/>
          <w:bCs w:val="0"/>
          <w:szCs w:val="24"/>
          <w:lang w:val="en-GB"/>
        </w:rPr>
        <w:t>137</w:t>
      </w:r>
      <w:r w:rsidRPr="00F413DB">
        <w:rPr>
          <w:rFonts w:ascii="Times New Roman" w:hAnsi="Times New Roman" w:cs="Times New Roman"/>
          <w:bCs w:val="0"/>
          <w:szCs w:val="24"/>
          <w:lang w:val="en-GB"/>
        </w:rPr>
        <w:t>6</w:t>
      </w:r>
    </w:p>
    <w:p w14:paraId="3ECECD11" w14:textId="77777777" w:rsidR="00AC6858" w:rsidRPr="00F413DB" w:rsidRDefault="00AC6858" w:rsidP="00AC6858">
      <w:pPr>
        <w:jc w:val="both"/>
        <w:rPr>
          <w:rFonts w:ascii="Times New Roman" w:hAnsi="Times New Roman" w:cs="Times New Roman"/>
          <w:bCs w:val="0"/>
          <w:szCs w:val="24"/>
          <w:lang w:val="en-GB"/>
        </w:rPr>
      </w:pPr>
    </w:p>
    <w:p w14:paraId="0EB59333" w14:textId="753B14BA" w:rsidR="00AC6858" w:rsidRPr="00F413DB" w:rsidRDefault="00AC6858" w:rsidP="00A640DA">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3</w:t>
      </w:r>
      <w:r w:rsidR="0001705D">
        <w:rPr>
          <w:rFonts w:ascii="Times New Roman" w:hAnsi="Times New Roman" w:cs="Times New Roman"/>
          <w:bCs w:val="0"/>
          <w:szCs w:val="24"/>
          <w:lang w:val="en-GB"/>
        </w:rPr>
        <w:t>3</w:t>
      </w:r>
      <w:r w:rsidRPr="00F413DB">
        <w:rPr>
          <w:rFonts w:ascii="Times New Roman" w:hAnsi="Times New Roman" w:cs="Times New Roman"/>
          <w:bCs w:val="0"/>
          <w:szCs w:val="24"/>
          <w:lang w:val="en-GB"/>
        </w:rPr>
        <w:t xml:space="preserve">. Aleppo G, Calhoun P, Foster NC, </w:t>
      </w:r>
      <w:proofErr w:type="spellStart"/>
      <w:r w:rsidR="00A36577">
        <w:rPr>
          <w:rFonts w:ascii="Times New Roman" w:hAnsi="Times New Roman" w:cs="Times New Roman"/>
          <w:bCs w:val="0"/>
          <w:szCs w:val="24"/>
          <w:lang w:val="en-GB"/>
        </w:rPr>
        <w:t>Maahs</w:t>
      </w:r>
      <w:proofErr w:type="spellEnd"/>
      <w:r w:rsidR="00A36577">
        <w:rPr>
          <w:rFonts w:ascii="Times New Roman" w:hAnsi="Times New Roman" w:cs="Times New Roman"/>
          <w:bCs w:val="0"/>
          <w:szCs w:val="24"/>
          <w:lang w:val="en-GB"/>
        </w:rPr>
        <w:t xml:space="preserve"> DM, Shah VN, Miller KM; T1D Exchange Clinic Network.</w:t>
      </w:r>
      <w:r w:rsidRPr="00F413DB">
        <w:rPr>
          <w:rFonts w:ascii="Times New Roman" w:hAnsi="Times New Roman" w:cs="Times New Roman"/>
          <w:bCs w:val="0"/>
          <w:szCs w:val="24"/>
          <w:lang w:val="en-GB"/>
        </w:rPr>
        <w:t xml:space="preserve"> Reported gastroparesis in adults with type 1 diabetes (T1D) from the T1D Exchange clinic regi</w:t>
      </w:r>
      <w:r w:rsidR="00A36577">
        <w:rPr>
          <w:rFonts w:ascii="Times New Roman" w:hAnsi="Times New Roman" w:cs="Times New Roman"/>
          <w:bCs w:val="0"/>
          <w:szCs w:val="24"/>
          <w:lang w:val="en-GB"/>
        </w:rPr>
        <w:t>stry.  J Diabetes Complications</w:t>
      </w:r>
      <w:r w:rsidRPr="00F413DB">
        <w:rPr>
          <w:rFonts w:ascii="Times New Roman" w:hAnsi="Times New Roman" w:cs="Times New Roman"/>
          <w:bCs w:val="0"/>
          <w:szCs w:val="24"/>
          <w:lang w:val="en-GB"/>
        </w:rPr>
        <w:t xml:space="preserve"> 2017</w:t>
      </w:r>
      <w:proofErr w:type="gramStart"/>
      <w:r w:rsidRPr="00F413DB">
        <w:rPr>
          <w:rFonts w:ascii="Times New Roman" w:hAnsi="Times New Roman" w:cs="Times New Roman"/>
          <w:bCs w:val="0"/>
          <w:szCs w:val="24"/>
          <w:lang w:val="en-GB"/>
        </w:rPr>
        <w:t>;31:1669</w:t>
      </w:r>
      <w:proofErr w:type="gramEnd"/>
      <w:r w:rsidRPr="00F413DB">
        <w:rPr>
          <w:rFonts w:ascii="Times New Roman" w:hAnsi="Times New Roman" w:cs="Times New Roman"/>
          <w:bCs w:val="0"/>
          <w:szCs w:val="24"/>
          <w:lang w:val="en-GB"/>
        </w:rPr>
        <w:t>-</w:t>
      </w:r>
      <w:r w:rsidR="00A36577">
        <w:rPr>
          <w:rFonts w:ascii="Times New Roman" w:hAnsi="Times New Roman" w:cs="Times New Roman"/>
          <w:bCs w:val="0"/>
          <w:szCs w:val="24"/>
          <w:lang w:val="en-GB"/>
        </w:rPr>
        <w:t>16</w:t>
      </w:r>
      <w:r w:rsidRPr="00F413DB">
        <w:rPr>
          <w:rFonts w:ascii="Times New Roman" w:hAnsi="Times New Roman" w:cs="Times New Roman"/>
          <w:bCs w:val="0"/>
          <w:szCs w:val="24"/>
          <w:lang w:val="en-GB"/>
        </w:rPr>
        <w:t>73.</w:t>
      </w:r>
    </w:p>
    <w:p w14:paraId="45950F4A" w14:textId="77777777" w:rsidR="00DE0D92" w:rsidRPr="00F413DB" w:rsidRDefault="00DE0D92" w:rsidP="00AC6858">
      <w:pPr>
        <w:jc w:val="both"/>
        <w:rPr>
          <w:rFonts w:ascii="Times New Roman" w:hAnsi="Times New Roman" w:cs="Times New Roman"/>
          <w:bCs w:val="0"/>
          <w:szCs w:val="24"/>
          <w:lang w:val="en-GB"/>
        </w:rPr>
      </w:pPr>
    </w:p>
    <w:p w14:paraId="666CA71D" w14:textId="05B7F591" w:rsidR="00DE0D92" w:rsidRDefault="00DE0D92" w:rsidP="00DE0D92">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34. Pedersen-</w:t>
      </w:r>
      <w:proofErr w:type="spellStart"/>
      <w:r w:rsidRPr="00F413DB">
        <w:rPr>
          <w:rFonts w:ascii="Times New Roman" w:hAnsi="Times New Roman" w:cs="Times New Roman"/>
          <w:bCs w:val="0"/>
          <w:szCs w:val="24"/>
          <w:lang w:val="en-GB"/>
        </w:rPr>
        <w:t>Bjergaard</w:t>
      </w:r>
      <w:proofErr w:type="spellEnd"/>
      <w:r w:rsidRPr="00F413DB">
        <w:rPr>
          <w:rFonts w:ascii="Times New Roman" w:hAnsi="Times New Roman" w:cs="Times New Roman"/>
          <w:bCs w:val="0"/>
          <w:szCs w:val="24"/>
          <w:lang w:val="en-GB"/>
        </w:rPr>
        <w:t xml:space="preserve"> U, </w:t>
      </w:r>
      <w:proofErr w:type="spellStart"/>
      <w:r w:rsidRPr="00F413DB">
        <w:rPr>
          <w:rFonts w:ascii="Times New Roman" w:hAnsi="Times New Roman" w:cs="Times New Roman"/>
          <w:bCs w:val="0"/>
          <w:szCs w:val="24"/>
          <w:lang w:val="en-GB"/>
        </w:rPr>
        <w:t>Agerholm</w:t>
      </w:r>
      <w:proofErr w:type="spellEnd"/>
      <w:r w:rsidRPr="00F413DB">
        <w:rPr>
          <w:rFonts w:ascii="Times New Roman" w:hAnsi="Times New Roman" w:cs="Times New Roman"/>
          <w:bCs w:val="0"/>
          <w:szCs w:val="24"/>
          <w:lang w:val="en-GB"/>
        </w:rPr>
        <w:t>-Lars</w:t>
      </w:r>
      <w:r w:rsidR="000C2A2C">
        <w:rPr>
          <w:rFonts w:ascii="Times New Roman" w:hAnsi="Times New Roman" w:cs="Times New Roman"/>
          <w:bCs w:val="0"/>
          <w:szCs w:val="24"/>
          <w:lang w:val="en-GB"/>
        </w:rPr>
        <w:t xml:space="preserve">en B, </w:t>
      </w:r>
      <w:proofErr w:type="spellStart"/>
      <w:r w:rsidR="000C2A2C">
        <w:rPr>
          <w:rFonts w:ascii="Times New Roman" w:hAnsi="Times New Roman" w:cs="Times New Roman"/>
          <w:bCs w:val="0"/>
          <w:szCs w:val="24"/>
          <w:lang w:val="en-GB"/>
        </w:rPr>
        <w:t>Pramming</w:t>
      </w:r>
      <w:proofErr w:type="spellEnd"/>
      <w:r w:rsidR="000C2A2C">
        <w:rPr>
          <w:rFonts w:ascii="Times New Roman" w:hAnsi="Times New Roman" w:cs="Times New Roman"/>
          <w:bCs w:val="0"/>
          <w:szCs w:val="24"/>
          <w:lang w:val="en-GB"/>
        </w:rPr>
        <w:t xml:space="preserve"> S, </w:t>
      </w:r>
      <w:proofErr w:type="spellStart"/>
      <w:r w:rsidR="000C2A2C">
        <w:rPr>
          <w:rFonts w:ascii="Times New Roman" w:hAnsi="Times New Roman" w:cs="Times New Roman"/>
          <w:bCs w:val="0"/>
          <w:szCs w:val="24"/>
          <w:lang w:val="en-GB"/>
        </w:rPr>
        <w:t>Hougaard</w:t>
      </w:r>
      <w:proofErr w:type="spellEnd"/>
      <w:r w:rsidR="000C2A2C">
        <w:rPr>
          <w:rFonts w:ascii="Times New Roman" w:hAnsi="Times New Roman" w:cs="Times New Roman"/>
          <w:bCs w:val="0"/>
          <w:szCs w:val="24"/>
          <w:lang w:val="en-GB"/>
        </w:rPr>
        <w:t xml:space="preserve"> P, </w:t>
      </w:r>
      <w:proofErr w:type="spellStart"/>
      <w:r w:rsidR="000C2A2C">
        <w:rPr>
          <w:rFonts w:ascii="Times New Roman" w:hAnsi="Times New Roman" w:cs="Times New Roman"/>
          <w:bCs w:val="0"/>
          <w:szCs w:val="24"/>
          <w:lang w:val="en-GB"/>
        </w:rPr>
        <w:t>Thorsteinsson</w:t>
      </w:r>
      <w:proofErr w:type="spellEnd"/>
      <w:r w:rsidR="000C2A2C">
        <w:rPr>
          <w:rFonts w:ascii="Times New Roman" w:hAnsi="Times New Roman" w:cs="Times New Roman"/>
          <w:bCs w:val="0"/>
          <w:szCs w:val="24"/>
          <w:lang w:val="en-GB"/>
        </w:rPr>
        <w:t xml:space="preserve"> B</w:t>
      </w:r>
      <w:r w:rsidRPr="00F413DB">
        <w:rPr>
          <w:rFonts w:ascii="Times New Roman" w:hAnsi="Times New Roman" w:cs="Times New Roman"/>
          <w:bCs w:val="0"/>
          <w:szCs w:val="24"/>
          <w:lang w:val="en-GB"/>
        </w:rPr>
        <w:t xml:space="preserve">. Prediction of severe </w:t>
      </w:r>
      <w:proofErr w:type="spellStart"/>
      <w:r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by angiotensin-converting enzyme activity and genotype in type 1 diabetes. </w:t>
      </w:r>
      <w:proofErr w:type="spellStart"/>
      <w:r w:rsidRPr="00F413DB">
        <w:rPr>
          <w:rFonts w:ascii="Times New Roman" w:hAnsi="Times New Roman" w:cs="Times New Roman"/>
          <w:bCs w:val="0"/>
          <w:szCs w:val="24"/>
          <w:lang w:val="en-GB"/>
        </w:rPr>
        <w:t>Diabetologia</w:t>
      </w:r>
      <w:proofErr w:type="spellEnd"/>
      <w:r w:rsidRPr="00F413DB">
        <w:rPr>
          <w:rFonts w:ascii="Times New Roman" w:hAnsi="Times New Roman" w:cs="Times New Roman"/>
          <w:bCs w:val="0"/>
          <w:szCs w:val="24"/>
          <w:lang w:val="en-GB"/>
        </w:rPr>
        <w:t xml:space="preserve"> 2003</w:t>
      </w:r>
      <w:proofErr w:type="gramStart"/>
      <w:r w:rsidRPr="00F413DB">
        <w:rPr>
          <w:rFonts w:ascii="Times New Roman" w:hAnsi="Times New Roman" w:cs="Times New Roman"/>
          <w:bCs w:val="0"/>
          <w:szCs w:val="24"/>
          <w:lang w:val="en-GB"/>
        </w:rPr>
        <w:t>;46</w:t>
      </w:r>
      <w:r w:rsidR="000C2A2C">
        <w:rPr>
          <w:rFonts w:ascii="Times New Roman" w:hAnsi="Times New Roman" w:cs="Times New Roman"/>
          <w:bCs w:val="0"/>
          <w:szCs w:val="24"/>
          <w:lang w:val="en-GB"/>
        </w:rPr>
        <w:t>:</w:t>
      </w:r>
      <w:r w:rsidRPr="00F413DB">
        <w:rPr>
          <w:rFonts w:ascii="Times New Roman" w:hAnsi="Times New Roman" w:cs="Times New Roman"/>
          <w:bCs w:val="0"/>
          <w:szCs w:val="24"/>
          <w:lang w:val="en-GB"/>
        </w:rPr>
        <w:t>89</w:t>
      </w:r>
      <w:proofErr w:type="gramEnd"/>
      <w:r w:rsidRPr="00F413DB">
        <w:rPr>
          <w:rFonts w:ascii="Times New Roman" w:hAnsi="Times New Roman" w:cs="Times New Roman"/>
          <w:bCs w:val="0"/>
          <w:szCs w:val="24"/>
          <w:lang w:val="en-GB"/>
        </w:rPr>
        <w:t>-96.</w:t>
      </w:r>
    </w:p>
    <w:p w14:paraId="6DE19047" w14:textId="77777777" w:rsidR="0001705D" w:rsidRDefault="0001705D" w:rsidP="00DE0D92">
      <w:pPr>
        <w:jc w:val="both"/>
        <w:rPr>
          <w:rFonts w:ascii="Times New Roman" w:hAnsi="Times New Roman" w:cs="Times New Roman"/>
          <w:bCs w:val="0"/>
          <w:szCs w:val="24"/>
          <w:lang w:val="en-GB"/>
        </w:rPr>
      </w:pPr>
    </w:p>
    <w:p w14:paraId="32DE09F4" w14:textId="70C92C8B" w:rsidR="0001705D" w:rsidRPr="00F413DB" w:rsidRDefault="0001705D" w:rsidP="0001705D">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3</w:t>
      </w:r>
      <w:r w:rsidR="00A640DA">
        <w:rPr>
          <w:rFonts w:ascii="Times New Roman" w:hAnsi="Times New Roman" w:cs="Times New Roman"/>
          <w:bCs w:val="0"/>
          <w:szCs w:val="24"/>
          <w:lang w:val="en-GB"/>
        </w:rPr>
        <w:t>5</w:t>
      </w:r>
      <w:r w:rsidRPr="00F413DB">
        <w:rPr>
          <w:rFonts w:ascii="Times New Roman" w:hAnsi="Times New Roman" w:cs="Times New Roman"/>
          <w:bCs w:val="0"/>
          <w:szCs w:val="24"/>
          <w:lang w:val="en-GB"/>
        </w:rPr>
        <w:t xml:space="preserve">. </w:t>
      </w:r>
      <w:proofErr w:type="spellStart"/>
      <w:r w:rsidRPr="00F413DB">
        <w:rPr>
          <w:rFonts w:ascii="Times New Roman" w:hAnsi="Times New Roman" w:cs="Times New Roman"/>
          <w:bCs w:val="0"/>
          <w:szCs w:val="24"/>
          <w:lang w:val="en-GB"/>
        </w:rPr>
        <w:t>Neupane</w:t>
      </w:r>
      <w:proofErr w:type="spellEnd"/>
      <w:r w:rsidRPr="00F413DB">
        <w:rPr>
          <w:rFonts w:ascii="Times New Roman" w:hAnsi="Times New Roman" w:cs="Times New Roman"/>
          <w:bCs w:val="0"/>
          <w:szCs w:val="24"/>
          <w:lang w:val="en-GB"/>
        </w:rPr>
        <w:t xml:space="preserve"> S, </w:t>
      </w:r>
      <w:proofErr w:type="spellStart"/>
      <w:r w:rsidRPr="00F413DB">
        <w:rPr>
          <w:rFonts w:ascii="Times New Roman" w:hAnsi="Times New Roman" w:cs="Times New Roman"/>
          <w:bCs w:val="0"/>
          <w:szCs w:val="24"/>
          <w:lang w:val="en-GB"/>
        </w:rPr>
        <w:t>Leelarathna</w:t>
      </w:r>
      <w:proofErr w:type="spellEnd"/>
      <w:r w:rsidRPr="00F413DB">
        <w:rPr>
          <w:rFonts w:ascii="Times New Roman" w:hAnsi="Times New Roman" w:cs="Times New Roman"/>
          <w:bCs w:val="0"/>
          <w:szCs w:val="24"/>
          <w:lang w:val="en-GB"/>
        </w:rPr>
        <w:t xml:space="preserve"> L, Little SA, et al. Risk of </w:t>
      </w:r>
      <w:proofErr w:type="spellStart"/>
      <w:r w:rsidRPr="00F413DB">
        <w:rPr>
          <w:rFonts w:ascii="Times New Roman" w:hAnsi="Times New Roman" w:cs="Times New Roman"/>
          <w:bCs w:val="0"/>
          <w:szCs w:val="24"/>
          <w:lang w:val="en-GB"/>
        </w:rPr>
        <w:t>hypoglycemia</w:t>
      </w:r>
      <w:proofErr w:type="spellEnd"/>
      <w:r w:rsidRPr="00F413DB">
        <w:rPr>
          <w:rFonts w:ascii="Times New Roman" w:hAnsi="Times New Roman" w:cs="Times New Roman"/>
          <w:bCs w:val="0"/>
          <w:szCs w:val="24"/>
          <w:lang w:val="en-GB"/>
        </w:rPr>
        <w:t xml:space="preserve"> in type 1 diabetes is associated with homozygous deletion (DD) allelic variation in the angiotensin-converting enzyme (ACE) in the Hypo</w:t>
      </w:r>
      <w:r w:rsidR="0055795C">
        <w:rPr>
          <w:rFonts w:ascii="Times New Roman" w:hAnsi="Times New Roman" w:cs="Times New Roman"/>
          <w:bCs w:val="0"/>
          <w:szCs w:val="24"/>
          <w:lang w:val="en-GB"/>
        </w:rPr>
        <w:t>-</w:t>
      </w:r>
      <w:proofErr w:type="spellStart"/>
      <w:r w:rsidRPr="00F413DB">
        <w:rPr>
          <w:rFonts w:ascii="Times New Roman" w:hAnsi="Times New Roman" w:cs="Times New Roman"/>
          <w:bCs w:val="0"/>
          <w:szCs w:val="24"/>
          <w:lang w:val="en-GB"/>
        </w:rPr>
        <w:t>COMPaSS</w:t>
      </w:r>
      <w:proofErr w:type="spellEnd"/>
      <w:r w:rsidRPr="00F413DB">
        <w:rPr>
          <w:rFonts w:ascii="Times New Roman" w:hAnsi="Times New Roman" w:cs="Times New Roman"/>
          <w:bCs w:val="0"/>
          <w:szCs w:val="24"/>
          <w:lang w:val="en-GB"/>
        </w:rPr>
        <w:t xml:space="preserve"> study. </w:t>
      </w:r>
      <w:proofErr w:type="spellStart"/>
      <w:r w:rsidRPr="00F413DB">
        <w:rPr>
          <w:rFonts w:ascii="Times New Roman" w:hAnsi="Times New Roman" w:cs="Times New Roman"/>
          <w:bCs w:val="0"/>
          <w:szCs w:val="24"/>
          <w:lang w:val="en-GB"/>
        </w:rPr>
        <w:t>Diabet</w:t>
      </w:r>
      <w:proofErr w:type="spellEnd"/>
      <w:r w:rsidRPr="00F413DB">
        <w:rPr>
          <w:rFonts w:ascii="Times New Roman" w:hAnsi="Times New Roman" w:cs="Times New Roman"/>
          <w:bCs w:val="0"/>
          <w:szCs w:val="24"/>
          <w:lang w:val="en-GB"/>
        </w:rPr>
        <w:t xml:space="preserve"> Med 2014</w:t>
      </w:r>
      <w:proofErr w:type="gramStart"/>
      <w:r w:rsidRPr="00F413DB">
        <w:rPr>
          <w:rFonts w:ascii="Times New Roman" w:hAnsi="Times New Roman" w:cs="Times New Roman"/>
          <w:bCs w:val="0"/>
          <w:szCs w:val="24"/>
          <w:lang w:val="en-GB"/>
        </w:rPr>
        <w:t>;31:19</w:t>
      </w:r>
      <w:proofErr w:type="gramEnd"/>
    </w:p>
    <w:p w14:paraId="1BB8F1A5" w14:textId="77777777" w:rsidR="00807706" w:rsidRPr="00F413DB" w:rsidRDefault="00807706" w:rsidP="00785F98">
      <w:pPr>
        <w:jc w:val="both"/>
        <w:rPr>
          <w:rFonts w:ascii="Times New Roman" w:hAnsi="Times New Roman" w:cs="Times New Roman"/>
          <w:bCs w:val="0"/>
          <w:szCs w:val="24"/>
          <w:lang w:val="en-GB"/>
        </w:rPr>
      </w:pPr>
    </w:p>
    <w:p w14:paraId="3073F3AB" w14:textId="17D97E78" w:rsidR="00E22517" w:rsidRPr="00F413DB" w:rsidRDefault="00AC2CE0" w:rsidP="00E22517">
      <w:pPr>
        <w:jc w:val="both"/>
        <w:rPr>
          <w:rFonts w:ascii="Times New Roman" w:hAnsi="Times New Roman" w:cs="Times New Roman"/>
          <w:bCs w:val="0"/>
          <w:szCs w:val="24"/>
          <w:lang w:val="en-GB"/>
        </w:rPr>
      </w:pPr>
      <w:r w:rsidRPr="00F413DB">
        <w:rPr>
          <w:rFonts w:ascii="Times New Roman" w:hAnsi="Times New Roman" w:cs="Times New Roman"/>
          <w:bCs w:val="0"/>
          <w:szCs w:val="24"/>
          <w:lang w:val="en-GB"/>
        </w:rPr>
        <w:t>3</w:t>
      </w:r>
      <w:r w:rsidR="008A51C9">
        <w:rPr>
          <w:rFonts w:ascii="Times New Roman" w:hAnsi="Times New Roman" w:cs="Times New Roman"/>
          <w:bCs w:val="0"/>
          <w:szCs w:val="24"/>
          <w:lang w:val="en-GB"/>
        </w:rPr>
        <w:t>6</w:t>
      </w:r>
      <w:r w:rsidRPr="00F413DB">
        <w:rPr>
          <w:rFonts w:ascii="Times New Roman" w:hAnsi="Times New Roman" w:cs="Times New Roman"/>
          <w:bCs w:val="0"/>
          <w:szCs w:val="24"/>
          <w:lang w:val="en-GB"/>
        </w:rPr>
        <w:t xml:space="preserve">. </w:t>
      </w:r>
      <w:r w:rsidR="00E22517" w:rsidRPr="00F413DB">
        <w:rPr>
          <w:rFonts w:ascii="Times New Roman" w:hAnsi="Times New Roman" w:cs="Times New Roman"/>
          <w:bCs w:val="0"/>
          <w:szCs w:val="24"/>
          <w:lang w:val="en-GB"/>
        </w:rPr>
        <w:t>The Diabetes Control and Complications Trial Research Group. Effect of intensive therapy on residual beta-cell function in patients with type 1 diabetes in the diabetes control and complications trial. A randomized, c</w:t>
      </w:r>
      <w:r w:rsidR="008A51C9">
        <w:rPr>
          <w:rFonts w:ascii="Times New Roman" w:hAnsi="Times New Roman" w:cs="Times New Roman"/>
          <w:bCs w:val="0"/>
          <w:szCs w:val="24"/>
          <w:lang w:val="en-GB"/>
        </w:rPr>
        <w:t>ontrolled trial. Ann Intern Med</w:t>
      </w:r>
      <w:r w:rsidR="00E22517" w:rsidRPr="00F413DB">
        <w:rPr>
          <w:rFonts w:ascii="Times New Roman" w:hAnsi="Times New Roman" w:cs="Times New Roman"/>
          <w:bCs w:val="0"/>
          <w:szCs w:val="24"/>
          <w:lang w:val="en-GB"/>
        </w:rPr>
        <w:t xml:space="preserve"> 1998</w:t>
      </w:r>
      <w:proofErr w:type="gramStart"/>
      <w:r w:rsidR="00E22517" w:rsidRPr="00F413DB">
        <w:rPr>
          <w:rFonts w:ascii="Times New Roman" w:hAnsi="Times New Roman" w:cs="Times New Roman"/>
          <w:bCs w:val="0"/>
          <w:szCs w:val="24"/>
          <w:lang w:val="en-GB"/>
        </w:rPr>
        <w:t>;128:517</w:t>
      </w:r>
      <w:proofErr w:type="gramEnd"/>
      <w:r w:rsidR="00E22517" w:rsidRPr="00F413DB">
        <w:rPr>
          <w:rFonts w:ascii="Times New Roman" w:hAnsi="Times New Roman" w:cs="Times New Roman"/>
          <w:bCs w:val="0"/>
          <w:szCs w:val="24"/>
          <w:lang w:val="en-GB"/>
        </w:rPr>
        <w:t>-</w:t>
      </w:r>
      <w:r w:rsidR="008A51C9">
        <w:rPr>
          <w:rFonts w:ascii="Times New Roman" w:hAnsi="Times New Roman" w:cs="Times New Roman"/>
          <w:bCs w:val="0"/>
          <w:szCs w:val="24"/>
          <w:lang w:val="en-GB"/>
        </w:rPr>
        <w:t>523</w:t>
      </w:r>
    </w:p>
    <w:p w14:paraId="1C623F48" w14:textId="77777777" w:rsidR="00E22517" w:rsidRPr="00F413DB" w:rsidRDefault="00E22517" w:rsidP="00785F98">
      <w:pPr>
        <w:jc w:val="both"/>
        <w:rPr>
          <w:rFonts w:ascii="Times New Roman" w:hAnsi="Times New Roman" w:cs="Times New Roman"/>
          <w:bCs w:val="0"/>
          <w:szCs w:val="24"/>
          <w:lang w:val="en-GB"/>
        </w:rPr>
      </w:pPr>
    </w:p>
    <w:p w14:paraId="6F878532" w14:textId="46CD593A" w:rsidR="00E22517" w:rsidRPr="00F413DB" w:rsidRDefault="008A51C9" w:rsidP="00E22517">
      <w:pPr>
        <w:jc w:val="both"/>
        <w:rPr>
          <w:rFonts w:ascii="Times New Roman" w:hAnsi="Times New Roman" w:cs="Times New Roman"/>
          <w:bCs w:val="0"/>
          <w:szCs w:val="24"/>
          <w:lang w:val="en-GB"/>
        </w:rPr>
      </w:pPr>
      <w:r>
        <w:rPr>
          <w:rFonts w:ascii="Times New Roman" w:hAnsi="Times New Roman" w:cs="Times New Roman"/>
          <w:bCs w:val="0"/>
          <w:szCs w:val="24"/>
          <w:lang w:val="en-GB"/>
        </w:rPr>
        <w:t>37</w:t>
      </w:r>
      <w:r w:rsidR="00AC2CE0" w:rsidRPr="00F413DB">
        <w:rPr>
          <w:rFonts w:ascii="Times New Roman" w:hAnsi="Times New Roman" w:cs="Times New Roman"/>
          <w:bCs w:val="0"/>
          <w:szCs w:val="24"/>
          <w:lang w:val="en-GB"/>
        </w:rPr>
        <w:t xml:space="preserve">. </w:t>
      </w:r>
      <w:r w:rsidR="00E22517" w:rsidRPr="00F413DB">
        <w:rPr>
          <w:rFonts w:ascii="Times New Roman" w:hAnsi="Times New Roman" w:cs="Times New Roman"/>
          <w:bCs w:val="0"/>
          <w:szCs w:val="24"/>
          <w:lang w:val="en-GB"/>
        </w:rPr>
        <w:t xml:space="preserve">Fukuda M, Tanaka A, </w:t>
      </w:r>
      <w:proofErr w:type="spellStart"/>
      <w:r w:rsidR="00E22517" w:rsidRPr="00F413DB">
        <w:rPr>
          <w:rFonts w:ascii="Times New Roman" w:hAnsi="Times New Roman" w:cs="Times New Roman"/>
          <w:bCs w:val="0"/>
          <w:szCs w:val="24"/>
          <w:lang w:val="en-GB"/>
        </w:rPr>
        <w:t>Tahara</w:t>
      </w:r>
      <w:proofErr w:type="spellEnd"/>
      <w:r w:rsidR="00E22517" w:rsidRPr="00F413DB">
        <w:rPr>
          <w:rFonts w:ascii="Times New Roman" w:hAnsi="Times New Roman" w:cs="Times New Roman"/>
          <w:bCs w:val="0"/>
          <w:szCs w:val="24"/>
          <w:lang w:val="en-GB"/>
        </w:rPr>
        <w:t xml:space="preserve"> Y, </w:t>
      </w:r>
      <w:r w:rsidR="00AC2CE0" w:rsidRPr="00F413DB">
        <w:rPr>
          <w:rFonts w:ascii="Times New Roman" w:hAnsi="Times New Roman" w:cs="Times New Roman"/>
          <w:bCs w:val="0"/>
          <w:szCs w:val="24"/>
          <w:lang w:val="en-GB"/>
        </w:rPr>
        <w:t>et al</w:t>
      </w:r>
      <w:r w:rsidR="00E22517" w:rsidRPr="00F413DB">
        <w:rPr>
          <w:rFonts w:ascii="Times New Roman" w:hAnsi="Times New Roman" w:cs="Times New Roman"/>
          <w:bCs w:val="0"/>
          <w:szCs w:val="24"/>
          <w:lang w:val="en-GB"/>
        </w:rPr>
        <w:t>. Correlation between minimal secretory capacity of pancreatic beta-cells and stabilit</w:t>
      </w:r>
      <w:r w:rsidR="007321EF">
        <w:rPr>
          <w:rFonts w:ascii="Times New Roman" w:hAnsi="Times New Roman" w:cs="Times New Roman"/>
          <w:bCs w:val="0"/>
          <w:szCs w:val="24"/>
          <w:lang w:val="en-GB"/>
        </w:rPr>
        <w:t>y of diabetic control. Diabetes</w:t>
      </w:r>
      <w:r w:rsidR="00E22517" w:rsidRPr="00F413DB">
        <w:rPr>
          <w:rFonts w:ascii="Times New Roman" w:hAnsi="Times New Roman" w:cs="Times New Roman"/>
          <w:bCs w:val="0"/>
          <w:szCs w:val="24"/>
          <w:lang w:val="en-GB"/>
        </w:rPr>
        <w:t xml:space="preserve"> 1988</w:t>
      </w:r>
      <w:proofErr w:type="gramStart"/>
      <w:r w:rsidR="00E22517" w:rsidRPr="00F413DB">
        <w:rPr>
          <w:rFonts w:ascii="Times New Roman" w:hAnsi="Times New Roman" w:cs="Times New Roman"/>
          <w:bCs w:val="0"/>
          <w:szCs w:val="24"/>
          <w:lang w:val="en-GB"/>
        </w:rPr>
        <w:t>;37:81</w:t>
      </w:r>
      <w:proofErr w:type="gramEnd"/>
      <w:r w:rsidR="00E22517" w:rsidRPr="00F413DB">
        <w:rPr>
          <w:rFonts w:ascii="Times New Roman" w:hAnsi="Times New Roman" w:cs="Times New Roman"/>
          <w:bCs w:val="0"/>
          <w:szCs w:val="24"/>
          <w:lang w:val="en-GB"/>
        </w:rPr>
        <w:t>-</w:t>
      </w:r>
      <w:r w:rsidR="007321EF">
        <w:rPr>
          <w:rFonts w:ascii="Times New Roman" w:hAnsi="Times New Roman" w:cs="Times New Roman"/>
          <w:bCs w:val="0"/>
          <w:szCs w:val="24"/>
          <w:lang w:val="en-GB"/>
        </w:rPr>
        <w:t>8</w:t>
      </w:r>
      <w:r w:rsidR="00E22517" w:rsidRPr="00F413DB">
        <w:rPr>
          <w:rFonts w:ascii="Times New Roman" w:hAnsi="Times New Roman" w:cs="Times New Roman"/>
          <w:bCs w:val="0"/>
          <w:szCs w:val="24"/>
          <w:lang w:val="en-GB"/>
        </w:rPr>
        <w:t>8</w:t>
      </w:r>
    </w:p>
    <w:p w14:paraId="6A2BA6C1" w14:textId="77777777" w:rsidR="00E22517" w:rsidRPr="00F413DB" w:rsidRDefault="00E22517" w:rsidP="00E22517">
      <w:pPr>
        <w:jc w:val="both"/>
        <w:rPr>
          <w:rFonts w:ascii="Times New Roman" w:hAnsi="Times New Roman" w:cs="Times New Roman"/>
          <w:bCs w:val="0"/>
          <w:szCs w:val="24"/>
          <w:lang w:val="en-GB"/>
        </w:rPr>
      </w:pPr>
    </w:p>
    <w:p w14:paraId="6A9C0B7B" w14:textId="70EF844D" w:rsidR="000E1740" w:rsidRPr="00F413DB" w:rsidRDefault="008A51C9" w:rsidP="00E22517">
      <w:pPr>
        <w:jc w:val="both"/>
        <w:rPr>
          <w:rFonts w:ascii="Times New Roman" w:hAnsi="Times New Roman" w:cs="Times New Roman"/>
          <w:bCs w:val="0"/>
          <w:szCs w:val="24"/>
          <w:lang w:val="en-GB"/>
        </w:rPr>
      </w:pPr>
      <w:r>
        <w:rPr>
          <w:rFonts w:ascii="Times New Roman" w:hAnsi="Times New Roman" w:cs="Times New Roman"/>
          <w:bCs w:val="0"/>
          <w:szCs w:val="24"/>
          <w:lang w:val="en-GB"/>
        </w:rPr>
        <w:t>38</w:t>
      </w:r>
      <w:r w:rsidR="00AD3702" w:rsidRPr="00F413DB">
        <w:rPr>
          <w:rFonts w:ascii="Times New Roman" w:hAnsi="Times New Roman" w:cs="Times New Roman"/>
          <w:bCs w:val="0"/>
          <w:szCs w:val="24"/>
          <w:lang w:val="en-GB"/>
        </w:rPr>
        <w:t xml:space="preserve">. </w:t>
      </w:r>
      <w:r w:rsidR="000E1740" w:rsidRPr="00F413DB">
        <w:rPr>
          <w:rFonts w:ascii="Times New Roman" w:hAnsi="Times New Roman" w:cs="Times New Roman"/>
          <w:bCs w:val="0"/>
          <w:szCs w:val="24"/>
          <w:lang w:val="en-GB"/>
        </w:rPr>
        <w:t>Choudhary P, Geddes J, Freeman JV</w:t>
      </w:r>
      <w:r w:rsidR="00AD3702" w:rsidRPr="00F413DB">
        <w:rPr>
          <w:rFonts w:ascii="Times New Roman" w:hAnsi="Times New Roman" w:cs="Times New Roman"/>
          <w:bCs w:val="0"/>
          <w:szCs w:val="24"/>
          <w:lang w:val="en-GB"/>
        </w:rPr>
        <w:t>,</w:t>
      </w:r>
      <w:r w:rsidR="000E1740" w:rsidRPr="00F413DB">
        <w:rPr>
          <w:rFonts w:ascii="Times New Roman" w:hAnsi="Times New Roman" w:cs="Times New Roman"/>
          <w:bCs w:val="0"/>
          <w:szCs w:val="24"/>
          <w:lang w:val="en-GB"/>
        </w:rPr>
        <w:t xml:space="preserve"> </w:t>
      </w:r>
      <w:r w:rsidR="007321EF">
        <w:rPr>
          <w:rFonts w:ascii="Times New Roman" w:hAnsi="Times New Roman" w:cs="Times New Roman"/>
          <w:bCs w:val="0"/>
          <w:szCs w:val="24"/>
          <w:lang w:val="en-GB"/>
        </w:rPr>
        <w:t xml:space="preserve">Emery CJ, Heller SR, </w:t>
      </w:r>
      <w:proofErr w:type="spellStart"/>
      <w:r w:rsidR="007321EF">
        <w:rPr>
          <w:rFonts w:ascii="Times New Roman" w:hAnsi="Times New Roman" w:cs="Times New Roman"/>
          <w:bCs w:val="0"/>
          <w:szCs w:val="24"/>
          <w:lang w:val="en-GB"/>
        </w:rPr>
        <w:t>Frier</w:t>
      </w:r>
      <w:proofErr w:type="spellEnd"/>
      <w:r w:rsidR="007321EF">
        <w:rPr>
          <w:rFonts w:ascii="Times New Roman" w:hAnsi="Times New Roman" w:cs="Times New Roman"/>
          <w:bCs w:val="0"/>
          <w:szCs w:val="24"/>
          <w:lang w:val="en-GB"/>
        </w:rPr>
        <w:t xml:space="preserve"> BM</w:t>
      </w:r>
      <w:r w:rsidR="000E1740" w:rsidRPr="00F413DB">
        <w:rPr>
          <w:rFonts w:ascii="Times New Roman" w:hAnsi="Times New Roman" w:cs="Times New Roman"/>
          <w:bCs w:val="0"/>
          <w:szCs w:val="24"/>
          <w:lang w:val="en-GB"/>
        </w:rPr>
        <w:t>. Frequency of bioch</w:t>
      </w:r>
      <w:r w:rsidR="00AD3702" w:rsidRPr="00F413DB">
        <w:rPr>
          <w:rFonts w:ascii="Times New Roman" w:hAnsi="Times New Roman" w:cs="Times New Roman"/>
          <w:bCs w:val="0"/>
          <w:szCs w:val="24"/>
          <w:lang w:val="en-GB"/>
        </w:rPr>
        <w:t xml:space="preserve">emical </w:t>
      </w:r>
      <w:proofErr w:type="spellStart"/>
      <w:r w:rsidR="00AD3702" w:rsidRPr="00F413DB">
        <w:rPr>
          <w:rFonts w:ascii="Times New Roman" w:hAnsi="Times New Roman" w:cs="Times New Roman"/>
          <w:bCs w:val="0"/>
          <w:szCs w:val="24"/>
          <w:lang w:val="en-GB"/>
        </w:rPr>
        <w:t>hypoglyc</w:t>
      </w:r>
      <w:r w:rsidR="000E1740" w:rsidRPr="00F413DB">
        <w:rPr>
          <w:rFonts w:ascii="Times New Roman" w:hAnsi="Times New Roman" w:cs="Times New Roman"/>
          <w:bCs w:val="0"/>
          <w:szCs w:val="24"/>
          <w:lang w:val="en-GB"/>
        </w:rPr>
        <w:t>emia</w:t>
      </w:r>
      <w:proofErr w:type="spellEnd"/>
      <w:r w:rsidR="000E1740" w:rsidRPr="00F413DB">
        <w:rPr>
          <w:rFonts w:ascii="Times New Roman" w:hAnsi="Times New Roman" w:cs="Times New Roman"/>
          <w:bCs w:val="0"/>
          <w:szCs w:val="24"/>
          <w:lang w:val="en-GB"/>
        </w:rPr>
        <w:t xml:space="preserve"> in adults with </w:t>
      </w:r>
      <w:r w:rsidR="007321EF">
        <w:rPr>
          <w:rFonts w:ascii="Times New Roman" w:hAnsi="Times New Roman" w:cs="Times New Roman"/>
          <w:bCs w:val="0"/>
          <w:szCs w:val="24"/>
          <w:lang w:val="en-GB"/>
        </w:rPr>
        <w:t>t</w:t>
      </w:r>
      <w:r w:rsidR="000E1740" w:rsidRPr="00F413DB">
        <w:rPr>
          <w:rFonts w:ascii="Times New Roman" w:hAnsi="Times New Roman" w:cs="Times New Roman"/>
          <w:bCs w:val="0"/>
          <w:szCs w:val="24"/>
          <w:lang w:val="en-GB"/>
        </w:rPr>
        <w:t>ype 1 diabetes with and without</w:t>
      </w:r>
      <w:r w:rsidR="00AD3702" w:rsidRPr="00F413DB">
        <w:rPr>
          <w:rFonts w:ascii="Times New Roman" w:hAnsi="Times New Roman" w:cs="Times New Roman"/>
          <w:bCs w:val="0"/>
          <w:szCs w:val="24"/>
          <w:lang w:val="en-GB"/>
        </w:rPr>
        <w:t xml:space="preserve"> impaired awareness of </w:t>
      </w:r>
      <w:proofErr w:type="spellStart"/>
      <w:r w:rsidR="00AD3702" w:rsidRPr="00F413DB">
        <w:rPr>
          <w:rFonts w:ascii="Times New Roman" w:hAnsi="Times New Roman" w:cs="Times New Roman"/>
          <w:bCs w:val="0"/>
          <w:szCs w:val="24"/>
          <w:lang w:val="en-GB"/>
        </w:rPr>
        <w:t>hypoglyc</w:t>
      </w:r>
      <w:r w:rsidR="000E1740" w:rsidRPr="00F413DB">
        <w:rPr>
          <w:rFonts w:ascii="Times New Roman" w:hAnsi="Times New Roman" w:cs="Times New Roman"/>
          <w:bCs w:val="0"/>
          <w:szCs w:val="24"/>
          <w:lang w:val="en-GB"/>
        </w:rPr>
        <w:t>emia</w:t>
      </w:r>
      <w:proofErr w:type="spellEnd"/>
      <w:r w:rsidR="000E1740" w:rsidRPr="00F413DB">
        <w:rPr>
          <w:rFonts w:ascii="Times New Roman" w:hAnsi="Times New Roman" w:cs="Times New Roman"/>
          <w:bCs w:val="0"/>
          <w:szCs w:val="24"/>
          <w:lang w:val="en-GB"/>
        </w:rPr>
        <w:t xml:space="preserve">: no identifiable differences using continuous glucose monitoring. </w:t>
      </w:r>
      <w:proofErr w:type="spellStart"/>
      <w:r w:rsidR="000E1740" w:rsidRPr="00F413DB">
        <w:rPr>
          <w:rFonts w:ascii="Times New Roman" w:hAnsi="Times New Roman" w:cs="Times New Roman"/>
          <w:bCs w:val="0"/>
          <w:szCs w:val="24"/>
          <w:lang w:val="en-GB"/>
        </w:rPr>
        <w:t>Diabet</w:t>
      </w:r>
      <w:proofErr w:type="spellEnd"/>
      <w:r w:rsidR="000E1740" w:rsidRPr="00F413DB">
        <w:rPr>
          <w:rFonts w:ascii="Times New Roman" w:hAnsi="Times New Roman" w:cs="Times New Roman"/>
          <w:bCs w:val="0"/>
          <w:szCs w:val="24"/>
          <w:lang w:val="en-GB"/>
        </w:rPr>
        <w:t xml:space="preserve"> Med 2010</w:t>
      </w:r>
      <w:proofErr w:type="gramStart"/>
      <w:r w:rsidR="000E1740" w:rsidRPr="00F413DB">
        <w:rPr>
          <w:rFonts w:ascii="Times New Roman" w:hAnsi="Times New Roman" w:cs="Times New Roman"/>
          <w:bCs w:val="0"/>
          <w:szCs w:val="24"/>
          <w:lang w:val="en-GB"/>
        </w:rPr>
        <w:t>;27:666</w:t>
      </w:r>
      <w:proofErr w:type="gramEnd"/>
      <w:r w:rsidR="000E1740" w:rsidRPr="00F413DB">
        <w:rPr>
          <w:rFonts w:ascii="Times New Roman" w:hAnsi="Times New Roman" w:cs="Times New Roman"/>
          <w:bCs w:val="0"/>
          <w:szCs w:val="24"/>
          <w:lang w:val="en-GB"/>
        </w:rPr>
        <w:t>-</w:t>
      </w:r>
      <w:r w:rsidR="007321EF">
        <w:rPr>
          <w:rFonts w:ascii="Times New Roman" w:hAnsi="Times New Roman" w:cs="Times New Roman"/>
          <w:bCs w:val="0"/>
          <w:szCs w:val="24"/>
          <w:lang w:val="en-GB"/>
        </w:rPr>
        <w:t>6</w:t>
      </w:r>
      <w:r w:rsidR="000E1740" w:rsidRPr="00F413DB">
        <w:rPr>
          <w:rFonts w:ascii="Times New Roman" w:hAnsi="Times New Roman" w:cs="Times New Roman"/>
          <w:bCs w:val="0"/>
          <w:szCs w:val="24"/>
          <w:lang w:val="en-GB"/>
        </w:rPr>
        <w:t>72.</w:t>
      </w:r>
    </w:p>
    <w:p w14:paraId="72C35515" w14:textId="77777777" w:rsidR="00E22517" w:rsidRPr="00F413DB" w:rsidRDefault="00E22517" w:rsidP="00E22517">
      <w:pPr>
        <w:jc w:val="both"/>
        <w:rPr>
          <w:rFonts w:ascii="Times New Roman" w:hAnsi="Times New Roman" w:cs="Times New Roman"/>
          <w:bCs w:val="0"/>
          <w:szCs w:val="24"/>
          <w:lang w:val="en-GB"/>
        </w:rPr>
      </w:pPr>
    </w:p>
    <w:p w14:paraId="03873BDF" w14:textId="77777777" w:rsidR="00E22517" w:rsidRPr="00F413DB" w:rsidRDefault="00E22517" w:rsidP="00E22517">
      <w:pPr>
        <w:rPr>
          <w:rFonts w:ascii="Times New Roman" w:hAnsi="Times New Roman" w:cs="Times New Roman"/>
          <w:bCs w:val="0"/>
          <w:szCs w:val="24"/>
          <w:lang w:val="en-GB"/>
        </w:rPr>
      </w:pPr>
    </w:p>
    <w:p w14:paraId="00F015B8" w14:textId="77777777" w:rsidR="00E22517" w:rsidRPr="00E22517" w:rsidRDefault="00E22517" w:rsidP="00E22517">
      <w:pPr>
        <w:jc w:val="both"/>
        <w:rPr>
          <w:rFonts w:ascii="Times" w:hAnsi="Times" w:cs="Times New Roman"/>
          <w:bCs w:val="0"/>
          <w:sz w:val="22"/>
          <w:szCs w:val="22"/>
          <w:lang w:val="en-GB"/>
        </w:rPr>
      </w:pPr>
    </w:p>
    <w:p w14:paraId="7CC85DC2" w14:textId="77777777" w:rsidR="00E22517" w:rsidRDefault="00E22517" w:rsidP="00E22517">
      <w:pPr>
        <w:rPr>
          <w:lang w:val="en-GB"/>
        </w:rPr>
      </w:pPr>
    </w:p>
    <w:p w14:paraId="57AFBF7A" w14:textId="77777777" w:rsidR="00E2011A" w:rsidRDefault="00E2011A">
      <w:pPr>
        <w:rPr>
          <w:lang w:val="en-GB"/>
        </w:rPr>
      </w:pPr>
    </w:p>
    <w:p w14:paraId="6EBA6D83" w14:textId="01082AC3" w:rsidR="00400CE0" w:rsidRDefault="00400CE0">
      <w:pPr>
        <w:rPr>
          <w:lang w:val="en-GB"/>
        </w:rPr>
      </w:pPr>
      <w:r>
        <w:rPr>
          <w:lang w:val="en-GB"/>
        </w:rPr>
        <w:br w:type="page"/>
      </w:r>
    </w:p>
    <w:p w14:paraId="0C518311" w14:textId="77777777" w:rsidR="00E2011A" w:rsidRDefault="00E2011A">
      <w:pPr>
        <w:rPr>
          <w:lang w:val="en-GB"/>
        </w:rPr>
      </w:pPr>
    </w:p>
    <w:tbl>
      <w:tblPr>
        <w:tblStyle w:val="TableGridLight1"/>
        <w:tblW w:w="10085" w:type="dxa"/>
        <w:tblLook w:val="06A0" w:firstRow="1" w:lastRow="0" w:firstColumn="1" w:lastColumn="0" w:noHBand="1" w:noVBand="1"/>
      </w:tblPr>
      <w:tblGrid>
        <w:gridCol w:w="3333"/>
        <w:gridCol w:w="1499"/>
        <w:gridCol w:w="2029"/>
        <w:gridCol w:w="2206"/>
        <w:gridCol w:w="1018"/>
      </w:tblGrid>
      <w:tr w:rsidR="00351932" w:rsidRPr="005A751D" w14:paraId="6AA8782D" w14:textId="77777777" w:rsidTr="00B71A17">
        <w:trPr>
          <w:trHeight w:val="243"/>
        </w:trPr>
        <w:tc>
          <w:tcPr>
            <w:tcW w:w="3333" w:type="dxa"/>
            <w:vAlign w:val="center"/>
          </w:tcPr>
          <w:p w14:paraId="25EED21D" w14:textId="77777777" w:rsidR="00351932" w:rsidRPr="00F413DB" w:rsidRDefault="00351932" w:rsidP="009B249D">
            <w:pPr>
              <w:rPr>
                <w:sz w:val="20"/>
                <w:szCs w:val="20"/>
                <w:lang w:val="en-GB"/>
              </w:rPr>
            </w:pPr>
          </w:p>
        </w:tc>
        <w:tc>
          <w:tcPr>
            <w:tcW w:w="1499" w:type="dxa"/>
            <w:vAlign w:val="center"/>
          </w:tcPr>
          <w:p w14:paraId="55FF6273" w14:textId="77777777" w:rsidR="00351932" w:rsidRPr="00F413DB" w:rsidRDefault="00351932" w:rsidP="009B249D">
            <w:pPr>
              <w:jc w:val="center"/>
              <w:rPr>
                <w:b/>
                <w:sz w:val="20"/>
                <w:szCs w:val="20"/>
                <w:lang w:val="en-GB"/>
              </w:rPr>
            </w:pPr>
          </w:p>
        </w:tc>
        <w:tc>
          <w:tcPr>
            <w:tcW w:w="2029" w:type="dxa"/>
            <w:vAlign w:val="center"/>
          </w:tcPr>
          <w:p w14:paraId="1AB4F615" w14:textId="00A37B71" w:rsidR="00351932" w:rsidRPr="00F413DB" w:rsidRDefault="00351932" w:rsidP="00B71A17">
            <w:pPr>
              <w:jc w:val="center"/>
              <w:rPr>
                <w:sz w:val="20"/>
                <w:szCs w:val="20"/>
                <w:lang w:val="en-GB"/>
              </w:rPr>
            </w:pPr>
            <w:r w:rsidRPr="00F413DB">
              <w:rPr>
                <w:sz w:val="20"/>
                <w:szCs w:val="20"/>
                <w:lang w:val="en-GB"/>
              </w:rPr>
              <w:t xml:space="preserve">Complete </w:t>
            </w:r>
            <w:r w:rsidR="00B71A17">
              <w:rPr>
                <w:sz w:val="20"/>
                <w:szCs w:val="20"/>
                <w:lang w:val="en-GB"/>
              </w:rPr>
              <w:t>r</w:t>
            </w:r>
            <w:r w:rsidRPr="00F413DB">
              <w:rPr>
                <w:sz w:val="20"/>
                <w:szCs w:val="20"/>
                <w:lang w:val="en-GB"/>
              </w:rPr>
              <w:t>esponse</w:t>
            </w:r>
            <w:r w:rsidR="00B71A17">
              <w:rPr>
                <w:sz w:val="20"/>
                <w:szCs w:val="20"/>
                <w:lang w:val="en-GB"/>
              </w:rPr>
              <w:t>,</w:t>
            </w:r>
            <w:r w:rsidR="00DE582B">
              <w:rPr>
                <w:sz w:val="20"/>
                <w:szCs w:val="20"/>
                <w:lang w:val="en-GB"/>
              </w:rPr>
              <w:t xml:space="preserve"> </w:t>
            </w:r>
            <w:r w:rsidRPr="00686F2A">
              <w:rPr>
                <w:i/>
                <w:sz w:val="20"/>
                <w:szCs w:val="20"/>
                <w:lang w:val="en-GB"/>
              </w:rPr>
              <w:t>n</w:t>
            </w:r>
            <w:r w:rsidRPr="00F413DB">
              <w:rPr>
                <w:sz w:val="20"/>
                <w:szCs w:val="20"/>
                <w:lang w:val="en-GB"/>
              </w:rPr>
              <w:t>=43 (60.6%)</w:t>
            </w:r>
          </w:p>
        </w:tc>
        <w:tc>
          <w:tcPr>
            <w:tcW w:w="2206" w:type="dxa"/>
            <w:vAlign w:val="center"/>
          </w:tcPr>
          <w:p w14:paraId="67906366" w14:textId="52EA7067" w:rsidR="00351932" w:rsidRPr="00F413DB" w:rsidRDefault="00351932" w:rsidP="00B71A17">
            <w:pPr>
              <w:jc w:val="center"/>
              <w:rPr>
                <w:sz w:val="20"/>
                <w:szCs w:val="20"/>
                <w:lang w:val="en-GB"/>
              </w:rPr>
            </w:pPr>
            <w:r w:rsidRPr="00F413DB">
              <w:rPr>
                <w:sz w:val="20"/>
                <w:szCs w:val="20"/>
                <w:lang w:val="en-GB"/>
              </w:rPr>
              <w:t xml:space="preserve">Incomplete </w:t>
            </w:r>
            <w:r w:rsidR="00B71A17">
              <w:rPr>
                <w:sz w:val="20"/>
                <w:szCs w:val="20"/>
                <w:lang w:val="en-GB"/>
              </w:rPr>
              <w:t>r</w:t>
            </w:r>
            <w:r w:rsidRPr="00F413DB">
              <w:rPr>
                <w:sz w:val="20"/>
                <w:szCs w:val="20"/>
                <w:lang w:val="en-GB"/>
              </w:rPr>
              <w:t>espons</w:t>
            </w:r>
            <w:r w:rsidR="00DE582B">
              <w:rPr>
                <w:sz w:val="20"/>
                <w:szCs w:val="20"/>
                <w:lang w:val="en-GB"/>
              </w:rPr>
              <w:t>e</w:t>
            </w:r>
            <w:r w:rsidR="00B71A17">
              <w:rPr>
                <w:sz w:val="20"/>
                <w:szCs w:val="20"/>
                <w:lang w:val="en-GB"/>
              </w:rPr>
              <w:t>,</w:t>
            </w:r>
            <w:r w:rsidR="00DE582B">
              <w:rPr>
                <w:sz w:val="20"/>
                <w:szCs w:val="20"/>
                <w:lang w:val="en-GB"/>
              </w:rPr>
              <w:t xml:space="preserve"> </w:t>
            </w:r>
            <w:r w:rsidRPr="00686F2A">
              <w:rPr>
                <w:i/>
                <w:sz w:val="20"/>
                <w:szCs w:val="20"/>
                <w:lang w:val="en-GB"/>
              </w:rPr>
              <w:t>n</w:t>
            </w:r>
            <w:r w:rsidRPr="00F413DB">
              <w:rPr>
                <w:sz w:val="20"/>
                <w:szCs w:val="20"/>
                <w:lang w:val="en-GB"/>
              </w:rPr>
              <w:t>=28 (39.4%)</w:t>
            </w:r>
          </w:p>
        </w:tc>
        <w:tc>
          <w:tcPr>
            <w:tcW w:w="1018" w:type="dxa"/>
            <w:vAlign w:val="center"/>
          </w:tcPr>
          <w:p w14:paraId="29422C41" w14:textId="708A5E5D" w:rsidR="00351932" w:rsidRPr="00F413DB" w:rsidRDefault="00B71A17" w:rsidP="00B71A17">
            <w:pPr>
              <w:jc w:val="center"/>
              <w:rPr>
                <w:sz w:val="20"/>
                <w:szCs w:val="20"/>
                <w:lang w:val="en-GB"/>
              </w:rPr>
            </w:pPr>
            <w:r>
              <w:rPr>
                <w:i/>
                <w:sz w:val="20"/>
                <w:szCs w:val="20"/>
                <w:lang w:val="en-GB"/>
              </w:rPr>
              <w:t xml:space="preserve">P </w:t>
            </w:r>
            <w:r w:rsidR="00351932" w:rsidRPr="00F413DB">
              <w:rPr>
                <w:sz w:val="20"/>
                <w:szCs w:val="20"/>
                <w:lang w:val="en-GB"/>
              </w:rPr>
              <w:t>value</w:t>
            </w:r>
          </w:p>
        </w:tc>
      </w:tr>
      <w:tr w:rsidR="00351932" w:rsidRPr="005A751D" w14:paraId="17DA765B" w14:textId="77777777" w:rsidTr="00B71A17">
        <w:trPr>
          <w:trHeight w:val="262"/>
        </w:trPr>
        <w:tc>
          <w:tcPr>
            <w:tcW w:w="3333" w:type="dxa"/>
            <w:vAlign w:val="center"/>
          </w:tcPr>
          <w:p w14:paraId="5C1749E3" w14:textId="77777777" w:rsidR="00351932" w:rsidRPr="002053A0" w:rsidRDefault="00351932" w:rsidP="009B249D">
            <w:pPr>
              <w:rPr>
                <w:b/>
                <w:sz w:val="20"/>
                <w:szCs w:val="20"/>
                <w:lang w:val="en-GB"/>
              </w:rPr>
            </w:pPr>
            <w:r w:rsidRPr="002053A0">
              <w:rPr>
                <w:b/>
                <w:sz w:val="20"/>
                <w:szCs w:val="20"/>
                <w:lang w:val="en-GB"/>
              </w:rPr>
              <w:t xml:space="preserve">Severe </w:t>
            </w:r>
            <w:proofErr w:type="spellStart"/>
            <w:r w:rsidRPr="002053A0">
              <w:rPr>
                <w:b/>
                <w:sz w:val="20"/>
                <w:szCs w:val="20"/>
                <w:lang w:val="en-GB"/>
              </w:rPr>
              <w:t>hypoglycemia</w:t>
            </w:r>
            <w:proofErr w:type="spellEnd"/>
          </w:p>
        </w:tc>
        <w:tc>
          <w:tcPr>
            <w:tcW w:w="1499" w:type="dxa"/>
            <w:vAlign w:val="center"/>
          </w:tcPr>
          <w:p w14:paraId="047A66C1" w14:textId="77777777" w:rsidR="00351932" w:rsidRPr="002053A0" w:rsidRDefault="00351932" w:rsidP="009B249D">
            <w:pPr>
              <w:jc w:val="center"/>
              <w:rPr>
                <w:b/>
                <w:sz w:val="20"/>
                <w:szCs w:val="20"/>
                <w:lang w:val="en-GB"/>
              </w:rPr>
            </w:pPr>
          </w:p>
        </w:tc>
        <w:tc>
          <w:tcPr>
            <w:tcW w:w="2029" w:type="dxa"/>
            <w:vAlign w:val="center"/>
          </w:tcPr>
          <w:p w14:paraId="66C4B30F" w14:textId="77777777" w:rsidR="00351932" w:rsidRPr="002053A0" w:rsidRDefault="00351932" w:rsidP="009B249D">
            <w:pPr>
              <w:jc w:val="center"/>
              <w:rPr>
                <w:b/>
                <w:sz w:val="20"/>
                <w:szCs w:val="20"/>
                <w:lang w:val="en-GB"/>
              </w:rPr>
            </w:pPr>
          </w:p>
        </w:tc>
        <w:tc>
          <w:tcPr>
            <w:tcW w:w="2206" w:type="dxa"/>
            <w:vAlign w:val="center"/>
          </w:tcPr>
          <w:p w14:paraId="23162217" w14:textId="77777777" w:rsidR="00351932" w:rsidRPr="002053A0" w:rsidRDefault="00351932" w:rsidP="009B249D">
            <w:pPr>
              <w:jc w:val="center"/>
              <w:rPr>
                <w:b/>
                <w:sz w:val="20"/>
                <w:szCs w:val="20"/>
                <w:lang w:val="en-GB"/>
              </w:rPr>
            </w:pPr>
          </w:p>
        </w:tc>
        <w:tc>
          <w:tcPr>
            <w:tcW w:w="1018" w:type="dxa"/>
            <w:vAlign w:val="center"/>
          </w:tcPr>
          <w:p w14:paraId="23268574" w14:textId="77777777" w:rsidR="00351932" w:rsidRPr="002053A0" w:rsidRDefault="00351932" w:rsidP="009B249D">
            <w:pPr>
              <w:jc w:val="center"/>
              <w:rPr>
                <w:b/>
                <w:sz w:val="20"/>
                <w:szCs w:val="20"/>
                <w:lang w:val="en-GB"/>
              </w:rPr>
            </w:pPr>
          </w:p>
        </w:tc>
      </w:tr>
      <w:tr w:rsidR="00B71A17" w:rsidRPr="005A751D" w14:paraId="22A30E1D" w14:textId="77777777" w:rsidTr="00B71A17">
        <w:trPr>
          <w:trHeight w:val="305"/>
        </w:trPr>
        <w:tc>
          <w:tcPr>
            <w:tcW w:w="3333" w:type="dxa"/>
            <w:vMerge w:val="restart"/>
            <w:vAlign w:val="center"/>
          </w:tcPr>
          <w:p w14:paraId="32FB31EA" w14:textId="64D38314" w:rsidR="00B71A17" w:rsidRPr="002053A0" w:rsidRDefault="00B71A17" w:rsidP="009B249D">
            <w:pPr>
              <w:ind w:left="360"/>
              <w:rPr>
                <w:sz w:val="20"/>
                <w:szCs w:val="20"/>
                <w:lang w:val="en-GB"/>
              </w:rPr>
            </w:pPr>
            <w:r w:rsidRPr="002053A0">
              <w:rPr>
                <w:sz w:val="20"/>
                <w:szCs w:val="20"/>
                <w:lang w:val="en-GB"/>
              </w:rPr>
              <w:t>Events (person-year)</w:t>
            </w:r>
          </w:p>
        </w:tc>
        <w:tc>
          <w:tcPr>
            <w:tcW w:w="1499" w:type="dxa"/>
            <w:vAlign w:val="center"/>
          </w:tcPr>
          <w:p w14:paraId="69B6A1F7" w14:textId="77777777" w:rsidR="00B71A17" w:rsidRPr="002053A0" w:rsidRDefault="00B71A17" w:rsidP="009B249D">
            <w:pPr>
              <w:jc w:val="center"/>
              <w:rPr>
                <w:sz w:val="20"/>
                <w:szCs w:val="20"/>
                <w:lang w:val="en-GB"/>
              </w:rPr>
            </w:pPr>
            <w:r w:rsidRPr="002053A0">
              <w:rPr>
                <w:sz w:val="20"/>
                <w:szCs w:val="20"/>
                <w:lang w:val="en-GB"/>
              </w:rPr>
              <w:t>Baseline</w:t>
            </w:r>
          </w:p>
        </w:tc>
        <w:tc>
          <w:tcPr>
            <w:tcW w:w="2029" w:type="dxa"/>
            <w:vAlign w:val="center"/>
          </w:tcPr>
          <w:p w14:paraId="1E707745" w14:textId="77777777" w:rsidR="00B71A17" w:rsidRPr="002053A0" w:rsidRDefault="00B71A17" w:rsidP="009B249D">
            <w:pPr>
              <w:jc w:val="center"/>
              <w:rPr>
                <w:sz w:val="20"/>
                <w:szCs w:val="20"/>
                <w:lang w:val="en-GB"/>
              </w:rPr>
            </w:pPr>
            <w:r w:rsidRPr="002053A0">
              <w:rPr>
                <w:sz w:val="20"/>
                <w:szCs w:val="20"/>
                <w:lang w:val="en-GB"/>
              </w:rPr>
              <w:t>6.4±10.8 (43)</w:t>
            </w:r>
          </w:p>
        </w:tc>
        <w:tc>
          <w:tcPr>
            <w:tcW w:w="2206" w:type="dxa"/>
            <w:vAlign w:val="center"/>
          </w:tcPr>
          <w:p w14:paraId="5B9C532E" w14:textId="77777777" w:rsidR="00B71A17" w:rsidRPr="002053A0" w:rsidRDefault="00B71A17" w:rsidP="009B249D">
            <w:pPr>
              <w:jc w:val="center"/>
              <w:rPr>
                <w:sz w:val="20"/>
                <w:szCs w:val="20"/>
                <w:lang w:val="en-GB"/>
              </w:rPr>
            </w:pPr>
            <w:r w:rsidRPr="002053A0">
              <w:rPr>
                <w:sz w:val="20"/>
                <w:szCs w:val="20"/>
                <w:lang w:val="en-GB"/>
              </w:rPr>
              <w:t>16.9±16.3 (28)</w:t>
            </w:r>
          </w:p>
        </w:tc>
        <w:tc>
          <w:tcPr>
            <w:tcW w:w="1018" w:type="dxa"/>
            <w:vAlign w:val="center"/>
          </w:tcPr>
          <w:p w14:paraId="172FDFA2" w14:textId="77777777" w:rsidR="00B71A17" w:rsidRPr="002053A0" w:rsidRDefault="00B71A17" w:rsidP="009B249D">
            <w:pPr>
              <w:jc w:val="center"/>
              <w:rPr>
                <w:sz w:val="20"/>
                <w:szCs w:val="20"/>
                <w:lang w:val="en-GB"/>
              </w:rPr>
            </w:pPr>
            <w:r w:rsidRPr="002053A0">
              <w:rPr>
                <w:sz w:val="20"/>
                <w:szCs w:val="20"/>
                <w:lang w:val="en-GB"/>
              </w:rPr>
              <w:t>0.002</w:t>
            </w:r>
          </w:p>
        </w:tc>
      </w:tr>
      <w:tr w:rsidR="00B71A17" w:rsidRPr="005A751D" w14:paraId="3C88EF2A" w14:textId="77777777" w:rsidTr="00B71A17">
        <w:trPr>
          <w:trHeight w:val="262"/>
        </w:trPr>
        <w:tc>
          <w:tcPr>
            <w:tcW w:w="3333" w:type="dxa"/>
            <w:vMerge/>
            <w:vAlign w:val="center"/>
          </w:tcPr>
          <w:p w14:paraId="64613437" w14:textId="77777777" w:rsidR="00B71A17" w:rsidRPr="002053A0" w:rsidRDefault="00B71A17" w:rsidP="009B249D">
            <w:pPr>
              <w:pStyle w:val="ListParagraph"/>
              <w:rPr>
                <w:sz w:val="20"/>
                <w:szCs w:val="20"/>
                <w:lang w:val="en-GB"/>
              </w:rPr>
            </w:pPr>
          </w:p>
        </w:tc>
        <w:tc>
          <w:tcPr>
            <w:tcW w:w="1499" w:type="dxa"/>
            <w:vAlign w:val="center"/>
          </w:tcPr>
          <w:p w14:paraId="001D1F57" w14:textId="628B78C8" w:rsidR="00B71A17" w:rsidRPr="002053A0" w:rsidRDefault="00B71A17" w:rsidP="009B249D">
            <w:pPr>
              <w:jc w:val="center"/>
              <w:rPr>
                <w:sz w:val="20"/>
                <w:szCs w:val="20"/>
                <w:lang w:val="en-GB"/>
              </w:rPr>
            </w:pPr>
            <w:r>
              <w:rPr>
                <w:sz w:val="20"/>
                <w:szCs w:val="20"/>
                <w:lang w:val="en-GB"/>
              </w:rPr>
              <w:t>24 months</w:t>
            </w:r>
          </w:p>
        </w:tc>
        <w:tc>
          <w:tcPr>
            <w:tcW w:w="2029" w:type="dxa"/>
            <w:vAlign w:val="center"/>
          </w:tcPr>
          <w:p w14:paraId="7847FBA8" w14:textId="77777777" w:rsidR="00B71A17" w:rsidRPr="002053A0" w:rsidRDefault="00B71A17" w:rsidP="009B249D">
            <w:pPr>
              <w:jc w:val="center"/>
              <w:rPr>
                <w:sz w:val="20"/>
                <w:szCs w:val="20"/>
                <w:lang w:val="en-GB"/>
              </w:rPr>
            </w:pPr>
            <w:r w:rsidRPr="002053A0">
              <w:rPr>
                <w:sz w:val="20"/>
                <w:szCs w:val="20"/>
                <w:lang w:val="en-GB"/>
              </w:rPr>
              <w:t>-</w:t>
            </w:r>
          </w:p>
        </w:tc>
        <w:tc>
          <w:tcPr>
            <w:tcW w:w="2206" w:type="dxa"/>
            <w:vAlign w:val="center"/>
          </w:tcPr>
          <w:p w14:paraId="7C8E5EEE" w14:textId="77777777" w:rsidR="00B71A17" w:rsidRPr="002053A0" w:rsidRDefault="00B71A17" w:rsidP="009B249D">
            <w:pPr>
              <w:jc w:val="center"/>
              <w:rPr>
                <w:sz w:val="20"/>
                <w:szCs w:val="20"/>
                <w:lang w:val="en-GB"/>
              </w:rPr>
            </w:pPr>
            <w:r w:rsidRPr="002053A0">
              <w:rPr>
                <w:sz w:val="20"/>
                <w:szCs w:val="20"/>
                <w:lang w:val="en-GB"/>
              </w:rPr>
              <w:t>1.5±1.0 (19)</w:t>
            </w:r>
          </w:p>
        </w:tc>
        <w:tc>
          <w:tcPr>
            <w:tcW w:w="1018" w:type="dxa"/>
            <w:vAlign w:val="center"/>
          </w:tcPr>
          <w:p w14:paraId="7CDCC545" w14:textId="77777777" w:rsidR="00B71A17" w:rsidRPr="002053A0" w:rsidRDefault="00B71A17" w:rsidP="009B249D">
            <w:pPr>
              <w:jc w:val="center"/>
              <w:rPr>
                <w:sz w:val="20"/>
                <w:szCs w:val="20"/>
                <w:lang w:val="en-GB"/>
              </w:rPr>
            </w:pPr>
          </w:p>
        </w:tc>
      </w:tr>
      <w:tr w:rsidR="00351932" w:rsidRPr="005A751D" w14:paraId="0436B883" w14:textId="77777777" w:rsidTr="00B71A17">
        <w:trPr>
          <w:trHeight w:val="77"/>
        </w:trPr>
        <w:tc>
          <w:tcPr>
            <w:tcW w:w="3333" w:type="dxa"/>
            <w:vAlign w:val="center"/>
          </w:tcPr>
          <w:p w14:paraId="6C4BE4EA" w14:textId="5474C8B6" w:rsidR="00351932" w:rsidRPr="002053A0" w:rsidRDefault="00351932" w:rsidP="009B249D">
            <w:pPr>
              <w:rPr>
                <w:b/>
                <w:sz w:val="20"/>
                <w:szCs w:val="20"/>
                <w:lang w:val="en-GB"/>
              </w:rPr>
            </w:pPr>
            <w:r w:rsidRPr="002053A0">
              <w:rPr>
                <w:b/>
                <w:sz w:val="20"/>
                <w:szCs w:val="20"/>
                <w:lang w:val="en-GB"/>
              </w:rPr>
              <w:t>Impaired awareness of</w:t>
            </w:r>
            <w:r w:rsidR="00E87EB3">
              <w:rPr>
                <w:b/>
                <w:sz w:val="20"/>
                <w:szCs w:val="20"/>
                <w:lang w:val="en-GB"/>
              </w:rPr>
              <w:t xml:space="preserve"> hypoglycaemia</w:t>
            </w:r>
          </w:p>
        </w:tc>
        <w:tc>
          <w:tcPr>
            <w:tcW w:w="1499" w:type="dxa"/>
            <w:vAlign w:val="center"/>
          </w:tcPr>
          <w:p w14:paraId="3699C9DD" w14:textId="77777777" w:rsidR="00351932" w:rsidRPr="002053A0" w:rsidRDefault="00351932" w:rsidP="009B249D">
            <w:pPr>
              <w:jc w:val="center"/>
              <w:rPr>
                <w:sz w:val="20"/>
                <w:szCs w:val="20"/>
                <w:lang w:val="en-GB"/>
              </w:rPr>
            </w:pPr>
          </w:p>
        </w:tc>
        <w:tc>
          <w:tcPr>
            <w:tcW w:w="2029" w:type="dxa"/>
            <w:vAlign w:val="center"/>
          </w:tcPr>
          <w:p w14:paraId="44E1E9A5" w14:textId="77777777" w:rsidR="00351932" w:rsidRPr="002053A0" w:rsidRDefault="00351932" w:rsidP="009B249D">
            <w:pPr>
              <w:jc w:val="center"/>
              <w:rPr>
                <w:sz w:val="20"/>
                <w:szCs w:val="20"/>
                <w:lang w:val="en-GB"/>
              </w:rPr>
            </w:pPr>
          </w:p>
        </w:tc>
        <w:tc>
          <w:tcPr>
            <w:tcW w:w="2206" w:type="dxa"/>
            <w:vAlign w:val="center"/>
          </w:tcPr>
          <w:p w14:paraId="29CD27EC" w14:textId="77777777" w:rsidR="00351932" w:rsidRPr="002053A0" w:rsidRDefault="00351932" w:rsidP="009B249D">
            <w:pPr>
              <w:jc w:val="center"/>
              <w:rPr>
                <w:sz w:val="20"/>
                <w:szCs w:val="20"/>
                <w:lang w:val="en-GB"/>
              </w:rPr>
            </w:pPr>
          </w:p>
        </w:tc>
        <w:tc>
          <w:tcPr>
            <w:tcW w:w="1018" w:type="dxa"/>
            <w:vAlign w:val="center"/>
          </w:tcPr>
          <w:p w14:paraId="3E815F6D" w14:textId="77777777" w:rsidR="00351932" w:rsidRPr="002053A0" w:rsidRDefault="00351932" w:rsidP="009B249D">
            <w:pPr>
              <w:jc w:val="center"/>
              <w:rPr>
                <w:sz w:val="20"/>
                <w:szCs w:val="20"/>
                <w:lang w:val="en-GB"/>
              </w:rPr>
            </w:pPr>
          </w:p>
        </w:tc>
      </w:tr>
      <w:tr w:rsidR="00B71A17" w:rsidRPr="005A751D" w14:paraId="6BE641B1" w14:textId="77777777" w:rsidTr="00B71A17">
        <w:trPr>
          <w:trHeight w:val="403"/>
        </w:trPr>
        <w:tc>
          <w:tcPr>
            <w:tcW w:w="3333" w:type="dxa"/>
            <w:vMerge w:val="restart"/>
            <w:vAlign w:val="center"/>
          </w:tcPr>
          <w:p w14:paraId="425119E2" w14:textId="77777777" w:rsidR="00B71A17" w:rsidRPr="002053A0" w:rsidRDefault="00B71A17" w:rsidP="009B249D">
            <w:pPr>
              <w:ind w:left="360"/>
              <w:rPr>
                <w:sz w:val="20"/>
                <w:szCs w:val="20"/>
                <w:lang w:val="en-GB"/>
              </w:rPr>
            </w:pPr>
            <w:r w:rsidRPr="002053A0">
              <w:rPr>
                <w:sz w:val="20"/>
                <w:szCs w:val="20"/>
                <w:lang w:val="en-GB"/>
              </w:rPr>
              <w:t>Gold score</w:t>
            </w:r>
          </w:p>
        </w:tc>
        <w:tc>
          <w:tcPr>
            <w:tcW w:w="1499" w:type="dxa"/>
            <w:vAlign w:val="center"/>
          </w:tcPr>
          <w:p w14:paraId="3C5AD7F5" w14:textId="77777777" w:rsidR="00B71A17" w:rsidRPr="002053A0" w:rsidRDefault="00B71A17" w:rsidP="009B249D">
            <w:pPr>
              <w:jc w:val="center"/>
              <w:rPr>
                <w:sz w:val="20"/>
                <w:szCs w:val="20"/>
                <w:lang w:val="en-GB"/>
              </w:rPr>
            </w:pPr>
            <w:r w:rsidRPr="002053A0">
              <w:rPr>
                <w:sz w:val="20"/>
                <w:szCs w:val="20"/>
                <w:lang w:val="en-GB"/>
              </w:rPr>
              <w:t>Baseline</w:t>
            </w:r>
          </w:p>
        </w:tc>
        <w:tc>
          <w:tcPr>
            <w:tcW w:w="2029" w:type="dxa"/>
            <w:vAlign w:val="center"/>
          </w:tcPr>
          <w:p w14:paraId="041B9837" w14:textId="77777777" w:rsidR="00B71A17" w:rsidRPr="002053A0" w:rsidRDefault="00B71A17" w:rsidP="009B249D">
            <w:pPr>
              <w:jc w:val="center"/>
              <w:rPr>
                <w:sz w:val="20"/>
                <w:szCs w:val="20"/>
                <w:lang w:val="en-GB"/>
              </w:rPr>
            </w:pPr>
            <w:r w:rsidRPr="002053A0">
              <w:rPr>
                <w:sz w:val="20"/>
                <w:szCs w:val="20"/>
                <w:lang w:val="en-GB"/>
              </w:rPr>
              <w:t>4.8±1.2 (43)</w:t>
            </w:r>
          </w:p>
        </w:tc>
        <w:tc>
          <w:tcPr>
            <w:tcW w:w="2206" w:type="dxa"/>
            <w:vAlign w:val="center"/>
          </w:tcPr>
          <w:p w14:paraId="31AB3106" w14:textId="77777777" w:rsidR="00B71A17" w:rsidRPr="002053A0" w:rsidRDefault="00B71A17" w:rsidP="009B249D">
            <w:pPr>
              <w:jc w:val="center"/>
              <w:rPr>
                <w:sz w:val="20"/>
                <w:szCs w:val="20"/>
                <w:lang w:val="en-GB"/>
              </w:rPr>
            </w:pPr>
            <w:r w:rsidRPr="002053A0">
              <w:rPr>
                <w:sz w:val="20"/>
                <w:szCs w:val="20"/>
                <w:lang w:val="en-GB"/>
              </w:rPr>
              <w:t>5.1±1.1 (28)</w:t>
            </w:r>
          </w:p>
        </w:tc>
        <w:tc>
          <w:tcPr>
            <w:tcW w:w="1018" w:type="dxa"/>
            <w:vAlign w:val="center"/>
          </w:tcPr>
          <w:p w14:paraId="0F84921E" w14:textId="77777777" w:rsidR="00B71A17" w:rsidRPr="002053A0" w:rsidRDefault="00B71A17" w:rsidP="009B249D">
            <w:pPr>
              <w:jc w:val="center"/>
              <w:rPr>
                <w:sz w:val="20"/>
                <w:szCs w:val="20"/>
                <w:lang w:val="en-GB"/>
              </w:rPr>
            </w:pPr>
            <w:r w:rsidRPr="002053A0">
              <w:rPr>
                <w:sz w:val="20"/>
                <w:szCs w:val="20"/>
                <w:lang w:val="en-GB"/>
              </w:rPr>
              <w:t>0.28</w:t>
            </w:r>
          </w:p>
        </w:tc>
      </w:tr>
      <w:tr w:rsidR="00B71A17" w:rsidRPr="005A751D" w14:paraId="50EB6028" w14:textId="77777777" w:rsidTr="00B71A17">
        <w:trPr>
          <w:trHeight w:val="257"/>
        </w:trPr>
        <w:tc>
          <w:tcPr>
            <w:tcW w:w="3333" w:type="dxa"/>
            <w:vMerge/>
            <w:vAlign w:val="center"/>
          </w:tcPr>
          <w:p w14:paraId="7B73175D" w14:textId="77777777" w:rsidR="00B71A17" w:rsidRPr="002053A0" w:rsidRDefault="00B71A17" w:rsidP="009B249D">
            <w:pPr>
              <w:rPr>
                <w:sz w:val="20"/>
                <w:szCs w:val="20"/>
                <w:lang w:val="en-GB"/>
              </w:rPr>
            </w:pPr>
          </w:p>
        </w:tc>
        <w:tc>
          <w:tcPr>
            <w:tcW w:w="1499" w:type="dxa"/>
            <w:vAlign w:val="center"/>
          </w:tcPr>
          <w:p w14:paraId="09543291" w14:textId="09A1E2D9" w:rsidR="00B71A17" w:rsidRPr="002053A0" w:rsidRDefault="00B71A17" w:rsidP="009B249D">
            <w:pPr>
              <w:jc w:val="center"/>
              <w:rPr>
                <w:sz w:val="20"/>
                <w:szCs w:val="20"/>
                <w:lang w:val="en-GB"/>
              </w:rPr>
            </w:pPr>
            <w:r>
              <w:rPr>
                <w:sz w:val="20"/>
                <w:szCs w:val="20"/>
                <w:lang w:val="en-GB"/>
              </w:rPr>
              <w:t>24 months</w:t>
            </w:r>
          </w:p>
        </w:tc>
        <w:tc>
          <w:tcPr>
            <w:tcW w:w="2029" w:type="dxa"/>
            <w:vAlign w:val="center"/>
          </w:tcPr>
          <w:p w14:paraId="7E2487D0" w14:textId="77777777" w:rsidR="00B71A17" w:rsidRPr="002053A0" w:rsidRDefault="00B71A17" w:rsidP="009B249D">
            <w:pPr>
              <w:jc w:val="center"/>
              <w:rPr>
                <w:sz w:val="20"/>
                <w:szCs w:val="20"/>
                <w:lang w:val="en-GB"/>
              </w:rPr>
            </w:pPr>
            <w:r w:rsidRPr="002053A0">
              <w:rPr>
                <w:sz w:val="20"/>
                <w:szCs w:val="20"/>
                <w:lang w:val="en-GB"/>
              </w:rPr>
              <w:t>3.2±1.9 (32)</w:t>
            </w:r>
          </w:p>
        </w:tc>
        <w:tc>
          <w:tcPr>
            <w:tcW w:w="2206" w:type="dxa"/>
            <w:vAlign w:val="center"/>
          </w:tcPr>
          <w:p w14:paraId="5A7B3E08" w14:textId="77777777" w:rsidR="00B71A17" w:rsidRPr="002053A0" w:rsidRDefault="00B71A17" w:rsidP="009B249D">
            <w:pPr>
              <w:jc w:val="center"/>
              <w:rPr>
                <w:sz w:val="20"/>
                <w:szCs w:val="20"/>
                <w:lang w:val="en-GB"/>
              </w:rPr>
            </w:pPr>
            <w:r w:rsidRPr="002053A0">
              <w:rPr>
                <w:sz w:val="20"/>
                <w:szCs w:val="20"/>
                <w:lang w:val="en-GB"/>
              </w:rPr>
              <w:t>4.2±1.8 (17)</w:t>
            </w:r>
          </w:p>
        </w:tc>
        <w:tc>
          <w:tcPr>
            <w:tcW w:w="1018" w:type="dxa"/>
            <w:vAlign w:val="center"/>
          </w:tcPr>
          <w:p w14:paraId="4507A255" w14:textId="77777777" w:rsidR="00B71A17" w:rsidRPr="002053A0" w:rsidRDefault="00B71A17" w:rsidP="009B249D">
            <w:pPr>
              <w:jc w:val="center"/>
              <w:rPr>
                <w:sz w:val="20"/>
                <w:szCs w:val="20"/>
                <w:lang w:val="en-GB"/>
              </w:rPr>
            </w:pPr>
            <w:r w:rsidRPr="002053A0">
              <w:rPr>
                <w:sz w:val="20"/>
                <w:szCs w:val="20"/>
                <w:lang w:val="en-GB"/>
              </w:rPr>
              <w:t>0.07</w:t>
            </w:r>
          </w:p>
        </w:tc>
      </w:tr>
      <w:tr w:rsidR="00B71A17" w:rsidRPr="005A751D" w14:paraId="4D14A814" w14:textId="77777777" w:rsidTr="00B71A17">
        <w:trPr>
          <w:trHeight w:val="279"/>
        </w:trPr>
        <w:tc>
          <w:tcPr>
            <w:tcW w:w="3333" w:type="dxa"/>
            <w:vMerge w:val="restart"/>
            <w:vAlign w:val="center"/>
          </w:tcPr>
          <w:p w14:paraId="70D4D118" w14:textId="77777777" w:rsidR="00B71A17" w:rsidRPr="002053A0" w:rsidRDefault="00B71A17" w:rsidP="009B249D">
            <w:pPr>
              <w:ind w:left="360"/>
              <w:rPr>
                <w:sz w:val="20"/>
                <w:szCs w:val="20"/>
                <w:lang w:val="en-GB"/>
              </w:rPr>
            </w:pPr>
            <w:r w:rsidRPr="002053A0">
              <w:rPr>
                <w:sz w:val="20"/>
                <w:szCs w:val="20"/>
                <w:lang w:val="en-GB"/>
              </w:rPr>
              <w:t>Clarke score</w:t>
            </w:r>
          </w:p>
        </w:tc>
        <w:tc>
          <w:tcPr>
            <w:tcW w:w="1499" w:type="dxa"/>
            <w:vAlign w:val="center"/>
          </w:tcPr>
          <w:p w14:paraId="2F667B82" w14:textId="77777777" w:rsidR="00B71A17" w:rsidRPr="002053A0" w:rsidRDefault="00B71A17" w:rsidP="009B249D">
            <w:pPr>
              <w:jc w:val="center"/>
              <w:rPr>
                <w:sz w:val="20"/>
                <w:szCs w:val="20"/>
                <w:lang w:val="en-GB"/>
              </w:rPr>
            </w:pPr>
            <w:r w:rsidRPr="002053A0">
              <w:rPr>
                <w:sz w:val="20"/>
                <w:szCs w:val="20"/>
                <w:lang w:val="en-GB"/>
              </w:rPr>
              <w:t>Baseline</w:t>
            </w:r>
          </w:p>
        </w:tc>
        <w:tc>
          <w:tcPr>
            <w:tcW w:w="2029" w:type="dxa"/>
            <w:vAlign w:val="center"/>
          </w:tcPr>
          <w:p w14:paraId="099CF263" w14:textId="77777777" w:rsidR="00B71A17" w:rsidRPr="002053A0" w:rsidRDefault="00B71A17" w:rsidP="009B249D">
            <w:pPr>
              <w:jc w:val="center"/>
              <w:rPr>
                <w:sz w:val="20"/>
                <w:szCs w:val="20"/>
                <w:lang w:val="en-GB"/>
              </w:rPr>
            </w:pPr>
            <w:r w:rsidRPr="002053A0">
              <w:rPr>
                <w:sz w:val="20"/>
                <w:szCs w:val="20"/>
                <w:lang w:val="en-GB"/>
              </w:rPr>
              <w:t>4.9±1.4 (39)</w:t>
            </w:r>
          </w:p>
        </w:tc>
        <w:tc>
          <w:tcPr>
            <w:tcW w:w="2206" w:type="dxa"/>
            <w:vAlign w:val="center"/>
          </w:tcPr>
          <w:p w14:paraId="650B705E" w14:textId="77777777" w:rsidR="00B71A17" w:rsidRPr="002053A0" w:rsidRDefault="00B71A17" w:rsidP="009B249D">
            <w:pPr>
              <w:jc w:val="center"/>
              <w:rPr>
                <w:sz w:val="20"/>
                <w:szCs w:val="20"/>
                <w:lang w:val="en-GB"/>
              </w:rPr>
            </w:pPr>
            <w:r w:rsidRPr="002053A0">
              <w:rPr>
                <w:sz w:val="20"/>
                <w:szCs w:val="20"/>
                <w:lang w:val="en-GB"/>
              </w:rPr>
              <w:t>5.4±1.6 (25)</w:t>
            </w:r>
          </w:p>
        </w:tc>
        <w:tc>
          <w:tcPr>
            <w:tcW w:w="1018" w:type="dxa"/>
            <w:vAlign w:val="center"/>
          </w:tcPr>
          <w:p w14:paraId="02E2AD07" w14:textId="77777777" w:rsidR="00B71A17" w:rsidRPr="002053A0" w:rsidRDefault="00B71A17" w:rsidP="009B249D">
            <w:pPr>
              <w:jc w:val="center"/>
              <w:rPr>
                <w:sz w:val="20"/>
                <w:szCs w:val="20"/>
                <w:lang w:val="en-GB"/>
              </w:rPr>
            </w:pPr>
            <w:r w:rsidRPr="002053A0">
              <w:rPr>
                <w:sz w:val="20"/>
                <w:szCs w:val="20"/>
                <w:lang w:val="en-GB"/>
              </w:rPr>
              <w:t>0.25</w:t>
            </w:r>
          </w:p>
        </w:tc>
      </w:tr>
      <w:tr w:rsidR="00B71A17" w:rsidRPr="005A751D" w14:paraId="00F02F11" w14:textId="77777777" w:rsidTr="00B71A17">
        <w:trPr>
          <w:trHeight w:val="309"/>
        </w:trPr>
        <w:tc>
          <w:tcPr>
            <w:tcW w:w="3333" w:type="dxa"/>
            <w:vMerge/>
            <w:vAlign w:val="center"/>
          </w:tcPr>
          <w:p w14:paraId="2C80EC7F" w14:textId="77777777" w:rsidR="00B71A17" w:rsidRPr="002053A0" w:rsidRDefault="00B71A17" w:rsidP="009B249D">
            <w:pPr>
              <w:rPr>
                <w:sz w:val="20"/>
                <w:szCs w:val="20"/>
                <w:lang w:val="en-GB"/>
              </w:rPr>
            </w:pPr>
          </w:p>
        </w:tc>
        <w:tc>
          <w:tcPr>
            <w:tcW w:w="1499" w:type="dxa"/>
            <w:vAlign w:val="center"/>
          </w:tcPr>
          <w:p w14:paraId="68FD9DD3" w14:textId="65C1503A" w:rsidR="00B71A17" w:rsidRPr="002053A0" w:rsidRDefault="00B71A17" w:rsidP="009B249D">
            <w:pPr>
              <w:jc w:val="center"/>
              <w:rPr>
                <w:sz w:val="20"/>
                <w:szCs w:val="20"/>
                <w:lang w:val="en-GB"/>
              </w:rPr>
            </w:pPr>
            <w:r>
              <w:rPr>
                <w:sz w:val="20"/>
                <w:szCs w:val="20"/>
                <w:lang w:val="en-GB"/>
              </w:rPr>
              <w:t>24 months</w:t>
            </w:r>
          </w:p>
        </w:tc>
        <w:tc>
          <w:tcPr>
            <w:tcW w:w="2029" w:type="dxa"/>
            <w:vAlign w:val="center"/>
          </w:tcPr>
          <w:p w14:paraId="649C91C0" w14:textId="77777777" w:rsidR="00B71A17" w:rsidRPr="002053A0" w:rsidRDefault="00B71A17" w:rsidP="009B249D">
            <w:pPr>
              <w:jc w:val="center"/>
              <w:rPr>
                <w:sz w:val="20"/>
                <w:szCs w:val="20"/>
                <w:lang w:val="en-GB"/>
              </w:rPr>
            </w:pPr>
            <w:r w:rsidRPr="002053A0">
              <w:rPr>
                <w:sz w:val="20"/>
                <w:szCs w:val="20"/>
                <w:lang w:val="en-GB"/>
              </w:rPr>
              <w:t>2.0±1.9 (31)</w:t>
            </w:r>
          </w:p>
        </w:tc>
        <w:tc>
          <w:tcPr>
            <w:tcW w:w="2206" w:type="dxa"/>
            <w:vAlign w:val="center"/>
          </w:tcPr>
          <w:p w14:paraId="65905461" w14:textId="77777777" w:rsidR="00B71A17" w:rsidRPr="002053A0" w:rsidRDefault="00B71A17" w:rsidP="009B249D">
            <w:pPr>
              <w:jc w:val="center"/>
              <w:rPr>
                <w:sz w:val="20"/>
                <w:szCs w:val="20"/>
                <w:lang w:val="en-GB"/>
              </w:rPr>
            </w:pPr>
            <w:r w:rsidRPr="002053A0">
              <w:rPr>
                <w:sz w:val="20"/>
                <w:szCs w:val="20"/>
                <w:lang w:val="en-GB"/>
              </w:rPr>
              <w:t>3.8±2.2 (13)</w:t>
            </w:r>
          </w:p>
        </w:tc>
        <w:tc>
          <w:tcPr>
            <w:tcW w:w="1018" w:type="dxa"/>
            <w:vAlign w:val="center"/>
          </w:tcPr>
          <w:p w14:paraId="6D020113" w14:textId="77777777" w:rsidR="00B71A17" w:rsidRPr="002053A0" w:rsidRDefault="00B71A17" w:rsidP="009B249D">
            <w:pPr>
              <w:jc w:val="center"/>
              <w:rPr>
                <w:sz w:val="20"/>
                <w:szCs w:val="20"/>
                <w:lang w:val="en-GB"/>
              </w:rPr>
            </w:pPr>
            <w:r w:rsidRPr="002053A0">
              <w:rPr>
                <w:sz w:val="20"/>
                <w:szCs w:val="20"/>
                <w:lang w:val="en-GB"/>
              </w:rPr>
              <w:t>0.01</w:t>
            </w:r>
          </w:p>
        </w:tc>
      </w:tr>
      <w:tr w:rsidR="00B71A17" w:rsidRPr="005A751D" w14:paraId="1772416B" w14:textId="77777777" w:rsidTr="00B71A17">
        <w:trPr>
          <w:trHeight w:val="293"/>
        </w:trPr>
        <w:tc>
          <w:tcPr>
            <w:tcW w:w="3333" w:type="dxa"/>
            <w:vMerge w:val="restart"/>
            <w:vAlign w:val="center"/>
          </w:tcPr>
          <w:p w14:paraId="194A47B7" w14:textId="391B0168" w:rsidR="00B71A17" w:rsidRPr="002053A0" w:rsidRDefault="00B71A17" w:rsidP="009B249D">
            <w:pPr>
              <w:ind w:left="360"/>
              <w:rPr>
                <w:sz w:val="20"/>
                <w:szCs w:val="20"/>
                <w:lang w:val="en-GB"/>
              </w:rPr>
            </w:pPr>
            <w:proofErr w:type="spellStart"/>
            <w:r>
              <w:rPr>
                <w:sz w:val="20"/>
                <w:szCs w:val="20"/>
                <w:lang w:val="en-GB"/>
              </w:rPr>
              <w:t>HypoA</w:t>
            </w:r>
            <w:proofErr w:type="spellEnd"/>
            <w:r>
              <w:rPr>
                <w:sz w:val="20"/>
                <w:szCs w:val="20"/>
                <w:lang w:val="en-GB"/>
              </w:rPr>
              <w:t>-Q Impaired Awareness</w:t>
            </w:r>
            <w:r w:rsidRPr="002053A0">
              <w:rPr>
                <w:sz w:val="20"/>
                <w:szCs w:val="20"/>
                <w:lang w:val="en-GB"/>
              </w:rPr>
              <w:t xml:space="preserve"> </w:t>
            </w:r>
            <w:r>
              <w:rPr>
                <w:sz w:val="20"/>
                <w:szCs w:val="20"/>
                <w:lang w:val="en-GB"/>
              </w:rPr>
              <w:t>sub</w:t>
            </w:r>
            <w:r w:rsidRPr="002053A0">
              <w:rPr>
                <w:sz w:val="20"/>
                <w:szCs w:val="20"/>
                <w:lang w:val="en-GB"/>
              </w:rPr>
              <w:t>scale</w:t>
            </w:r>
          </w:p>
        </w:tc>
        <w:tc>
          <w:tcPr>
            <w:tcW w:w="1499" w:type="dxa"/>
            <w:vAlign w:val="center"/>
          </w:tcPr>
          <w:p w14:paraId="51ADF539" w14:textId="77777777" w:rsidR="00B71A17" w:rsidRPr="002053A0" w:rsidRDefault="00B71A17" w:rsidP="009B249D">
            <w:pPr>
              <w:jc w:val="center"/>
              <w:rPr>
                <w:sz w:val="20"/>
                <w:szCs w:val="20"/>
                <w:lang w:val="en-GB"/>
              </w:rPr>
            </w:pPr>
            <w:r w:rsidRPr="002053A0">
              <w:rPr>
                <w:sz w:val="20"/>
                <w:szCs w:val="20"/>
                <w:lang w:val="en-GB"/>
              </w:rPr>
              <w:t>Baseline</w:t>
            </w:r>
          </w:p>
        </w:tc>
        <w:tc>
          <w:tcPr>
            <w:tcW w:w="2029" w:type="dxa"/>
            <w:vAlign w:val="center"/>
          </w:tcPr>
          <w:p w14:paraId="19A56476" w14:textId="77777777" w:rsidR="00B71A17" w:rsidRPr="002053A0" w:rsidRDefault="00B71A17" w:rsidP="009B249D">
            <w:pPr>
              <w:jc w:val="center"/>
              <w:rPr>
                <w:sz w:val="20"/>
                <w:szCs w:val="20"/>
                <w:lang w:val="en-GB"/>
              </w:rPr>
            </w:pPr>
            <w:r w:rsidRPr="002053A0">
              <w:rPr>
                <w:sz w:val="20"/>
                <w:szCs w:val="20"/>
                <w:lang w:val="en-GB"/>
              </w:rPr>
              <w:t>13.1±3.5 (42)</w:t>
            </w:r>
          </w:p>
        </w:tc>
        <w:tc>
          <w:tcPr>
            <w:tcW w:w="2206" w:type="dxa"/>
            <w:vAlign w:val="center"/>
          </w:tcPr>
          <w:p w14:paraId="790BCF71" w14:textId="77777777" w:rsidR="00B71A17" w:rsidRPr="002053A0" w:rsidRDefault="00B71A17" w:rsidP="009B249D">
            <w:pPr>
              <w:jc w:val="center"/>
              <w:rPr>
                <w:sz w:val="20"/>
                <w:szCs w:val="20"/>
                <w:lang w:val="en-GB"/>
              </w:rPr>
            </w:pPr>
            <w:r w:rsidRPr="002053A0">
              <w:rPr>
                <w:sz w:val="20"/>
                <w:szCs w:val="20"/>
                <w:lang w:val="en-GB"/>
              </w:rPr>
              <w:t>14.4±2.7 (25)</w:t>
            </w:r>
          </w:p>
        </w:tc>
        <w:tc>
          <w:tcPr>
            <w:tcW w:w="1018" w:type="dxa"/>
            <w:vAlign w:val="center"/>
          </w:tcPr>
          <w:p w14:paraId="55221451" w14:textId="77777777" w:rsidR="00B71A17" w:rsidRPr="002053A0" w:rsidRDefault="00B71A17" w:rsidP="009B249D">
            <w:pPr>
              <w:jc w:val="center"/>
              <w:rPr>
                <w:sz w:val="20"/>
                <w:szCs w:val="20"/>
                <w:lang w:val="en-GB"/>
              </w:rPr>
            </w:pPr>
            <w:r w:rsidRPr="002053A0">
              <w:rPr>
                <w:sz w:val="20"/>
                <w:szCs w:val="20"/>
                <w:lang w:val="en-GB"/>
              </w:rPr>
              <w:t>0.13</w:t>
            </w:r>
          </w:p>
        </w:tc>
      </w:tr>
      <w:tr w:rsidR="00B71A17" w:rsidRPr="005A751D" w14:paraId="360CFC21" w14:textId="77777777" w:rsidTr="00B71A17">
        <w:trPr>
          <w:trHeight w:val="79"/>
        </w:trPr>
        <w:tc>
          <w:tcPr>
            <w:tcW w:w="3333" w:type="dxa"/>
            <w:vMerge/>
            <w:vAlign w:val="center"/>
          </w:tcPr>
          <w:p w14:paraId="15445F1F" w14:textId="77777777" w:rsidR="00B71A17" w:rsidRPr="002053A0" w:rsidRDefault="00B71A17" w:rsidP="009B249D">
            <w:pPr>
              <w:rPr>
                <w:sz w:val="20"/>
                <w:szCs w:val="20"/>
                <w:lang w:val="en-GB"/>
              </w:rPr>
            </w:pPr>
          </w:p>
        </w:tc>
        <w:tc>
          <w:tcPr>
            <w:tcW w:w="1499" w:type="dxa"/>
            <w:vAlign w:val="center"/>
          </w:tcPr>
          <w:p w14:paraId="7B01D30B" w14:textId="74F444AC" w:rsidR="00B71A17" w:rsidRPr="002053A0" w:rsidRDefault="00B71A17" w:rsidP="009B249D">
            <w:pPr>
              <w:jc w:val="center"/>
              <w:rPr>
                <w:sz w:val="20"/>
                <w:szCs w:val="20"/>
                <w:lang w:val="en-GB"/>
              </w:rPr>
            </w:pPr>
            <w:r>
              <w:rPr>
                <w:sz w:val="20"/>
                <w:szCs w:val="20"/>
                <w:lang w:val="en-GB"/>
              </w:rPr>
              <w:t>24 months</w:t>
            </w:r>
          </w:p>
        </w:tc>
        <w:tc>
          <w:tcPr>
            <w:tcW w:w="2029" w:type="dxa"/>
            <w:vAlign w:val="center"/>
          </w:tcPr>
          <w:p w14:paraId="100A4256" w14:textId="77777777" w:rsidR="00B71A17" w:rsidRPr="002053A0" w:rsidRDefault="00B71A17" w:rsidP="009B249D">
            <w:pPr>
              <w:jc w:val="center"/>
              <w:rPr>
                <w:sz w:val="20"/>
                <w:szCs w:val="20"/>
                <w:lang w:val="en-GB"/>
              </w:rPr>
            </w:pPr>
            <w:r w:rsidRPr="002053A0">
              <w:rPr>
                <w:sz w:val="20"/>
                <w:szCs w:val="20"/>
                <w:lang w:val="en-GB"/>
              </w:rPr>
              <w:t>7.3±5.1 (34)</w:t>
            </w:r>
          </w:p>
        </w:tc>
        <w:tc>
          <w:tcPr>
            <w:tcW w:w="2206" w:type="dxa"/>
            <w:vAlign w:val="center"/>
          </w:tcPr>
          <w:p w14:paraId="749FA219" w14:textId="77777777" w:rsidR="00B71A17" w:rsidRPr="002053A0" w:rsidRDefault="00B71A17" w:rsidP="009B249D">
            <w:pPr>
              <w:jc w:val="center"/>
              <w:rPr>
                <w:sz w:val="20"/>
                <w:szCs w:val="20"/>
                <w:lang w:val="en-GB"/>
              </w:rPr>
            </w:pPr>
            <w:r w:rsidRPr="002053A0">
              <w:rPr>
                <w:sz w:val="20"/>
                <w:szCs w:val="20"/>
                <w:lang w:val="en-GB"/>
              </w:rPr>
              <w:t>10.3±4.3 (16)</w:t>
            </w:r>
          </w:p>
        </w:tc>
        <w:tc>
          <w:tcPr>
            <w:tcW w:w="1018" w:type="dxa"/>
            <w:vAlign w:val="center"/>
          </w:tcPr>
          <w:p w14:paraId="2B1A9683" w14:textId="77777777" w:rsidR="00B71A17" w:rsidRPr="002053A0" w:rsidRDefault="00B71A17" w:rsidP="009B249D">
            <w:pPr>
              <w:jc w:val="center"/>
              <w:rPr>
                <w:sz w:val="20"/>
                <w:szCs w:val="20"/>
                <w:lang w:val="en-GB"/>
              </w:rPr>
            </w:pPr>
            <w:r w:rsidRPr="002053A0">
              <w:rPr>
                <w:sz w:val="20"/>
                <w:szCs w:val="20"/>
                <w:lang w:val="en-GB"/>
              </w:rPr>
              <w:t>0.047</w:t>
            </w:r>
          </w:p>
        </w:tc>
      </w:tr>
      <w:tr w:rsidR="00B71A17" w:rsidRPr="005A751D" w14:paraId="0AD1C98D" w14:textId="77777777" w:rsidTr="00B71A17">
        <w:trPr>
          <w:trHeight w:val="272"/>
        </w:trPr>
        <w:tc>
          <w:tcPr>
            <w:tcW w:w="3333" w:type="dxa"/>
            <w:vMerge w:val="restart"/>
            <w:vAlign w:val="center"/>
          </w:tcPr>
          <w:p w14:paraId="2B313DFB" w14:textId="5C11CA12" w:rsidR="00B71A17" w:rsidRPr="002053A0" w:rsidRDefault="00B71A17" w:rsidP="009B249D">
            <w:pPr>
              <w:rPr>
                <w:b/>
                <w:sz w:val="20"/>
                <w:szCs w:val="20"/>
                <w:lang w:val="en-GB"/>
              </w:rPr>
            </w:pPr>
            <w:r w:rsidRPr="002053A0">
              <w:rPr>
                <w:b/>
                <w:sz w:val="20"/>
                <w:szCs w:val="20"/>
                <w:lang w:val="en-GB"/>
              </w:rPr>
              <w:t>Insulin dose  (unit</w:t>
            </w:r>
            <w:r>
              <w:rPr>
                <w:b/>
                <w:sz w:val="20"/>
                <w:szCs w:val="20"/>
                <w:lang w:val="en-GB"/>
              </w:rPr>
              <w:t>s</w:t>
            </w:r>
            <w:r w:rsidRPr="002053A0">
              <w:rPr>
                <w:b/>
                <w:sz w:val="20"/>
                <w:szCs w:val="20"/>
                <w:lang w:val="en-GB"/>
              </w:rPr>
              <w:t>/kg)</w:t>
            </w:r>
          </w:p>
        </w:tc>
        <w:tc>
          <w:tcPr>
            <w:tcW w:w="1499" w:type="dxa"/>
            <w:vAlign w:val="center"/>
          </w:tcPr>
          <w:p w14:paraId="1B237E4F" w14:textId="77777777" w:rsidR="00B71A17" w:rsidRPr="002053A0" w:rsidRDefault="00B71A17" w:rsidP="009B249D">
            <w:pPr>
              <w:jc w:val="center"/>
              <w:rPr>
                <w:sz w:val="20"/>
                <w:szCs w:val="20"/>
                <w:lang w:val="en-GB"/>
              </w:rPr>
            </w:pPr>
            <w:r w:rsidRPr="002053A0">
              <w:rPr>
                <w:sz w:val="20"/>
                <w:szCs w:val="20"/>
                <w:lang w:val="en-GB"/>
              </w:rPr>
              <w:t>Baseline</w:t>
            </w:r>
          </w:p>
        </w:tc>
        <w:tc>
          <w:tcPr>
            <w:tcW w:w="2029" w:type="dxa"/>
            <w:vAlign w:val="center"/>
          </w:tcPr>
          <w:p w14:paraId="3BB1520C" w14:textId="77777777" w:rsidR="00B71A17" w:rsidRPr="002053A0" w:rsidRDefault="00B71A17" w:rsidP="009B249D">
            <w:pPr>
              <w:jc w:val="center"/>
              <w:rPr>
                <w:sz w:val="20"/>
                <w:szCs w:val="20"/>
                <w:lang w:val="en-GB"/>
              </w:rPr>
            </w:pPr>
            <w:r w:rsidRPr="002053A0">
              <w:rPr>
                <w:sz w:val="20"/>
                <w:szCs w:val="20"/>
                <w:lang w:val="en-GB"/>
              </w:rPr>
              <w:t>0.69±0.25 (42)</w:t>
            </w:r>
          </w:p>
        </w:tc>
        <w:tc>
          <w:tcPr>
            <w:tcW w:w="2206" w:type="dxa"/>
            <w:vAlign w:val="center"/>
          </w:tcPr>
          <w:p w14:paraId="1CA57CCA" w14:textId="77777777" w:rsidR="00B71A17" w:rsidRPr="002053A0" w:rsidRDefault="00B71A17" w:rsidP="009B249D">
            <w:pPr>
              <w:jc w:val="center"/>
              <w:rPr>
                <w:sz w:val="20"/>
                <w:szCs w:val="20"/>
                <w:lang w:val="en-GB"/>
              </w:rPr>
            </w:pPr>
            <w:r w:rsidRPr="002053A0">
              <w:rPr>
                <w:sz w:val="20"/>
                <w:szCs w:val="20"/>
                <w:lang w:val="en-GB"/>
              </w:rPr>
              <w:t>0.61±0.22 (28)</w:t>
            </w:r>
          </w:p>
        </w:tc>
        <w:tc>
          <w:tcPr>
            <w:tcW w:w="1018" w:type="dxa"/>
            <w:vAlign w:val="center"/>
          </w:tcPr>
          <w:p w14:paraId="13B1107A" w14:textId="77777777" w:rsidR="00B71A17" w:rsidRPr="002053A0" w:rsidRDefault="00B71A17" w:rsidP="009B249D">
            <w:pPr>
              <w:jc w:val="center"/>
              <w:rPr>
                <w:sz w:val="20"/>
                <w:szCs w:val="20"/>
                <w:lang w:val="en-GB"/>
              </w:rPr>
            </w:pPr>
            <w:r w:rsidRPr="002053A0">
              <w:rPr>
                <w:sz w:val="20"/>
                <w:szCs w:val="20"/>
                <w:lang w:val="en-GB"/>
              </w:rPr>
              <w:t>0.15</w:t>
            </w:r>
          </w:p>
        </w:tc>
      </w:tr>
      <w:tr w:rsidR="00B71A17" w:rsidRPr="005A751D" w14:paraId="34732A89" w14:textId="77777777" w:rsidTr="00B71A17">
        <w:trPr>
          <w:trHeight w:val="272"/>
        </w:trPr>
        <w:tc>
          <w:tcPr>
            <w:tcW w:w="3333" w:type="dxa"/>
            <w:vMerge/>
            <w:vAlign w:val="center"/>
          </w:tcPr>
          <w:p w14:paraId="2D2DE6AA" w14:textId="77777777" w:rsidR="00B71A17" w:rsidRPr="002053A0" w:rsidRDefault="00B71A17" w:rsidP="009B249D">
            <w:pPr>
              <w:rPr>
                <w:b/>
                <w:sz w:val="20"/>
                <w:szCs w:val="20"/>
                <w:lang w:val="en-GB"/>
              </w:rPr>
            </w:pPr>
          </w:p>
        </w:tc>
        <w:tc>
          <w:tcPr>
            <w:tcW w:w="1499" w:type="dxa"/>
            <w:vAlign w:val="center"/>
          </w:tcPr>
          <w:p w14:paraId="54F6C353" w14:textId="1C292B85" w:rsidR="00B71A17" w:rsidRPr="002053A0" w:rsidRDefault="00B71A17" w:rsidP="009B249D">
            <w:pPr>
              <w:jc w:val="center"/>
              <w:rPr>
                <w:sz w:val="20"/>
                <w:szCs w:val="20"/>
                <w:lang w:val="en-GB"/>
              </w:rPr>
            </w:pPr>
            <w:r>
              <w:rPr>
                <w:sz w:val="20"/>
                <w:szCs w:val="20"/>
                <w:lang w:val="en-GB"/>
              </w:rPr>
              <w:t>24 months</w:t>
            </w:r>
          </w:p>
        </w:tc>
        <w:tc>
          <w:tcPr>
            <w:tcW w:w="2029" w:type="dxa"/>
            <w:vAlign w:val="center"/>
          </w:tcPr>
          <w:p w14:paraId="19B03081" w14:textId="77777777" w:rsidR="00B71A17" w:rsidRPr="002053A0" w:rsidRDefault="00B71A17" w:rsidP="009B249D">
            <w:pPr>
              <w:jc w:val="center"/>
              <w:rPr>
                <w:sz w:val="20"/>
                <w:szCs w:val="20"/>
                <w:lang w:val="en-GB"/>
              </w:rPr>
            </w:pPr>
            <w:r w:rsidRPr="002053A0">
              <w:rPr>
                <w:sz w:val="20"/>
                <w:szCs w:val="20"/>
                <w:lang w:val="en-GB"/>
              </w:rPr>
              <w:t>0.58±0.17 (28)</w:t>
            </w:r>
          </w:p>
        </w:tc>
        <w:tc>
          <w:tcPr>
            <w:tcW w:w="2206" w:type="dxa"/>
            <w:vAlign w:val="center"/>
          </w:tcPr>
          <w:p w14:paraId="1741872D" w14:textId="77777777" w:rsidR="00B71A17" w:rsidRPr="002053A0" w:rsidRDefault="00B71A17" w:rsidP="009B249D">
            <w:pPr>
              <w:jc w:val="center"/>
              <w:rPr>
                <w:sz w:val="20"/>
                <w:szCs w:val="20"/>
                <w:lang w:val="en-GB"/>
              </w:rPr>
            </w:pPr>
            <w:r w:rsidRPr="002053A0">
              <w:rPr>
                <w:sz w:val="20"/>
                <w:szCs w:val="20"/>
                <w:lang w:val="en-GB"/>
              </w:rPr>
              <w:t>0.45±0.11 (14)</w:t>
            </w:r>
          </w:p>
        </w:tc>
        <w:tc>
          <w:tcPr>
            <w:tcW w:w="1018" w:type="dxa"/>
            <w:vAlign w:val="center"/>
          </w:tcPr>
          <w:p w14:paraId="47EB99AC" w14:textId="77777777" w:rsidR="00B71A17" w:rsidRPr="002053A0" w:rsidRDefault="00B71A17" w:rsidP="009B249D">
            <w:pPr>
              <w:jc w:val="center"/>
              <w:rPr>
                <w:sz w:val="20"/>
                <w:szCs w:val="20"/>
                <w:lang w:val="en-GB"/>
              </w:rPr>
            </w:pPr>
            <w:r w:rsidRPr="002053A0">
              <w:rPr>
                <w:sz w:val="20"/>
                <w:szCs w:val="20"/>
                <w:lang w:val="en-GB"/>
              </w:rPr>
              <w:t>0.01</w:t>
            </w:r>
          </w:p>
        </w:tc>
      </w:tr>
      <w:tr w:rsidR="00B71A17" w:rsidRPr="005A751D" w14:paraId="02D9971D" w14:textId="77777777" w:rsidTr="00B71A17">
        <w:trPr>
          <w:trHeight w:val="272"/>
        </w:trPr>
        <w:tc>
          <w:tcPr>
            <w:tcW w:w="3333" w:type="dxa"/>
            <w:vMerge w:val="restart"/>
            <w:vAlign w:val="center"/>
          </w:tcPr>
          <w:p w14:paraId="41339573" w14:textId="77777777" w:rsidR="00B71A17" w:rsidRPr="002053A0" w:rsidRDefault="00B71A17" w:rsidP="009B249D">
            <w:pPr>
              <w:rPr>
                <w:b/>
                <w:sz w:val="20"/>
                <w:szCs w:val="20"/>
                <w:lang w:val="en-GB"/>
              </w:rPr>
            </w:pPr>
            <w:r w:rsidRPr="002053A0">
              <w:rPr>
                <w:b/>
                <w:sz w:val="20"/>
                <w:szCs w:val="20"/>
                <w:lang w:val="en-GB"/>
              </w:rPr>
              <w:t>HbA1c (</w:t>
            </w:r>
            <w:proofErr w:type="spellStart"/>
            <w:r w:rsidRPr="002053A0">
              <w:rPr>
                <w:b/>
                <w:sz w:val="20"/>
                <w:szCs w:val="20"/>
                <w:lang w:val="en-GB"/>
              </w:rPr>
              <w:t>mmol</w:t>
            </w:r>
            <w:proofErr w:type="spellEnd"/>
            <w:r w:rsidRPr="002053A0">
              <w:rPr>
                <w:b/>
                <w:sz w:val="20"/>
                <w:szCs w:val="20"/>
                <w:lang w:val="en-GB"/>
              </w:rPr>
              <w:t>/</w:t>
            </w:r>
            <w:proofErr w:type="spellStart"/>
            <w:r w:rsidRPr="002053A0">
              <w:rPr>
                <w:b/>
                <w:sz w:val="20"/>
                <w:szCs w:val="20"/>
                <w:lang w:val="en-GB"/>
              </w:rPr>
              <w:t>mol</w:t>
            </w:r>
            <w:proofErr w:type="spellEnd"/>
            <w:r w:rsidRPr="002053A0">
              <w:rPr>
                <w:b/>
                <w:sz w:val="20"/>
                <w:szCs w:val="20"/>
                <w:lang w:val="en-GB"/>
              </w:rPr>
              <w:t>)</w:t>
            </w:r>
          </w:p>
        </w:tc>
        <w:tc>
          <w:tcPr>
            <w:tcW w:w="1499" w:type="dxa"/>
            <w:vAlign w:val="center"/>
          </w:tcPr>
          <w:p w14:paraId="72F921C9" w14:textId="77777777" w:rsidR="00B71A17" w:rsidRPr="002053A0" w:rsidRDefault="00B71A17" w:rsidP="009B249D">
            <w:pPr>
              <w:jc w:val="center"/>
              <w:rPr>
                <w:sz w:val="20"/>
                <w:szCs w:val="20"/>
                <w:lang w:val="en-GB"/>
              </w:rPr>
            </w:pPr>
            <w:r w:rsidRPr="002053A0">
              <w:rPr>
                <w:sz w:val="20"/>
                <w:szCs w:val="20"/>
                <w:lang w:val="en-GB"/>
              </w:rPr>
              <w:t>Baseline</w:t>
            </w:r>
          </w:p>
        </w:tc>
        <w:tc>
          <w:tcPr>
            <w:tcW w:w="2029" w:type="dxa"/>
            <w:vAlign w:val="center"/>
          </w:tcPr>
          <w:p w14:paraId="5A920106" w14:textId="77777777" w:rsidR="00B71A17" w:rsidRPr="002053A0" w:rsidRDefault="00B71A17" w:rsidP="009B249D">
            <w:pPr>
              <w:jc w:val="center"/>
              <w:rPr>
                <w:sz w:val="20"/>
                <w:szCs w:val="20"/>
                <w:lang w:val="en-GB"/>
              </w:rPr>
            </w:pPr>
            <w:r w:rsidRPr="002053A0">
              <w:rPr>
                <w:sz w:val="20"/>
                <w:szCs w:val="20"/>
                <w:lang w:val="en-GB"/>
              </w:rPr>
              <w:t>65.1±10.1 (43)</w:t>
            </w:r>
          </w:p>
        </w:tc>
        <w:tc>
          <w:tcPr>
            <w:tcW w:w="2206" w:type="dxa"/>
            <w:vAlign w:val="center"/>
          </w:tcPr>
          <w:p w14:paraId="2E3E1753" w14:textId="77777777" w:rsidR="00B71A17" w:rsidRPr="002053A0" w:rsidRDefault="00B71A17" w:rsidP="009B249D">
            <w:pPr>
              <w:jc w:val="center"/>
              <w:rPr>
                <w:sz w:val="20"/>
                <w:szCs w:val="20"/>
                <w:lang w:val="en-GB"/>
              </w:rPr>
            </w:pPr>
            <w:r w:rsidRPr="002053A0">
              <w:rPr>
                <w:sz w:val="20"/>
                <w:szCs w:val="20"/>
                <w:lang w:val="en-GB"/>
              </w:rPr>
              <w:t>66.9±12.4 (28)</w:t>
            </w:r>
          </w:p>
        </w:tc>
        <w:tc>
          <w:tcPr>
            <w:tcW w:w="1018" w:type="dxa"/>
            <w:vAlign w:val="center"/>
          </w:tcPr>
          <w:p w14:paraId="1F11A452" w14:textId="77777777" w:rsidR="00B71A17" w:rsidRPr="002053A0" w:rsidRDefault="00B71A17" w:rsidP="009B249D">
            <w:pPr>
              <w:jc w:val="center"/>
              <w:rPr>
                <w:sz w:val="20"/>
                <w:szCs w:val="20"/>
                <w:lang w:val="en-GB"/>
              </w:rPr>
            </w:pPr>
            <w:r w:rsidRPr="002053A0">
              <w:rPr>
                <w:sz w:val="20"/>
                <w:szCs w:val="20"/>
                <w:lang w:val="en-GB"/>
              </w:rPr>
              <w:t>0.50</w:t>
            </w:r>
          </w:p>
        </w:tc>
      </w:tr>
      <w:tr w:rsidR="00B71A17" w:rsidRPr="005A751D" w14:paraId="59B6AA7B" w14:textId="77777777" w:rsidTr="00B71A17">
        <w:trPr>
          <w:trHeight w:val="224"/>
        </w:trPr>
        <w:tc>
          <w:tcPr>
            <w:tcW w:w="3333" w:type="dxa"/>
            <w:vMerge/>
            <w:vAlign w:val="center"/>
          </w:tcPr>
          <w:p w14:paraId="7086E549" w14:textId="77777777" w:rsidR="00B71A17" w:rsidRPr="002053A0" w:rsidRDefault="00B71A17" w:rsidP="009B249D">
            <w:pPr>
              <w:rPr>
                <w:sz w:val="20"/>
                <w:szCs w:val="20"/>
                <w:lang w:val="en-GB"/>
              </w:rPr>
            </w:pPr>
          </w:p>
        </w:tc>
        <w:tc>
          <w:tcPr>
            <w:tcW w:w="1499" w:type="dxa"/>
            <w:vAlign w:val="center"/>
          </w:tcPr>
          <w:p w14:paraId="021712BE" w14:textId="65760C79" w:rsidR="00B71A17" w:rsidRPr="002053A0" w:rsidRDefault="00B71A17" w:rsidP="009B249D">
            <w:pPr>
              <w:jc w:val="center"/>
              <w:rPr>
                <w:sz w:val="20"/>
                <w:szCs w:val="20"/>
                <w:lang w:val="en-GB"/>
              </w:rPr>
            </w:pPr>
            <w:r>
              <w:rPr>
                <w:sz w:val="20"/>
                <w:szCs w:val="20"/>
                <w:lang w:val="en-GB"/>
              </w:rPr>
              <w:t>24 months</w:t>
            </w:r>
          </w:p>
        </w:tc>
        <w:tc>
          <w:tcPr>
            <w:tcW w:w="2029" w:type="dxa"/>
            <w:vAlign w:val="center"/>
          </w:tcPr>
          <w:p w14:paraId="4A36B8BF" w14:textId="77777777" w:rsidR="00B71A17" w:rsidRPr="002053A0" w:rsidRDefault="00B71A17" w:rsidP="009B249D">
            <w:pPr>
              <w:jc w:val="center"/>
              <w:rPr>
                <w:sz w:val="20"/>
                <w:szCs w:val="20"/>
                <w:lang w:val="en-GB"/>
              </w:rPr>
            </w:pPr>
            <w:r w:rsidRPr="002053A0">
              <w:rPr>
                <w:sz w:val="20"/>
                <w:szCs w:val="20"/>
                <w:lang w:val="en-GB"/>
              </w:rPr>
              <w:t>62.9±10.1 (41)</w:t>
            </w:r>
          </w:p>
        </w:tc>
        <w:tc>
          <w:tcPr>
            <w:tcW w:w="2206" w:type="dxa"/>
            <w:vAlign w:val="center"/>
          </w:tcPr>
          <w:p w14:paraId="305A5A4C" w14:textId="77777777" w:rsidR="00B71A17" w:rsidRPr="002053A0" w:rsidRDefault="00B71A17" w:rsidP="009B249D">
            <w:pPr>
              <w:jc w:val="center"/>
              <w:rPr>
                <w:sz w:val="20"/>
                <w:szCs w:val="20"/>
                <w:lang w:val="en-GB"/>
              </w:rPr>
            </w:pPr>
            <w:r w:rsidRPr="002053A0">
              <w:rPr>
                <w:sz w:val="20"/>
                <w:szCs w:val="20"/>
                <w:lang w:val="en-GB"/>
              </w:rPr>
              <w:t>61.5±11.5 (20)</w:t>
            </w:r>
          </w:p>
        </w:tc>
        <w:tc>
          <w:tcPr>
            <w:tcW w:w="1018" w:type="dxa"/>
            <w:vAlign w:val="center"/>
          </w:tcPr>
          <w:p w14:paraId="1546D71A" w14:textId="77777777" w:rsidR="00B71A17" w:rsidRPr="002053A0" w:rsidRDefault="00B71A17" w:rsidP="009B249D">
            <w:pPr>
              <w:jc w:val="center"/>
              <w:rPr>
                <w:sz w:val="20"/>
                <w:szCs w:val="20"/>
                <w:lang w:val="en-GB"/>
              </w:rPr>
            </w:pPr>
            <w:r w:rsidRPr="002053A0">
              <w:rPr>
                <w:sz w:val="20"/>
                <w:szCs w:val="20"/>
                <w:lang w:val="en-GB"/>
              </w:rPr>
              <w:t>0.64</w:t>
            </w:r>
          </w:p>
        </w:tc>
      </w:tr>
      <w:tr w:rsidR="00351932" w:rsidRPr="005A751D" w14:paraId="563FC6D4" w14:textId="77777777" w:rsidTr="00B71A17">
        <w:trPr>
          <w:trHeight w:val="258"/>
        </w:trPr>
        <w:tc>
          <w:tcPr>
            <w:tcW w:w="3333" w:type="dxa"/>
            <w:vAlign w:val="center"/>
          </w:tcPr>
          <w:p w14:paraId="4FB706B3" w14:textId="740FB82F" w:rsidR="00351932" w:rsidRPr="002053A0" w:rsidRDefault="00B71A17" w:rsidP="009B249D">
            <w:pPr>
              <w:rPr>
                <w:b/>
                <w:sz w:val="20"/>
                <w:szCs w:val="20"/>
                <w:lang w:val="en-GB"/>
              </w:rPr>
            </w:pPr>
            <w:r>
              <w:rPr>
                <w:b/>
                <w:sz w:val="20"/>
                <w:szCs w:val="20"/>
                <w:lang w:val="en-GB"/>
              </w:rPr>
              <w:t>CGM (</w:t>
            </w:r>
            <w:proofErr w:type="spellStart"/>
            <w:r>
              <w:rPr>
                <w:b/>
                <w:sz w:val="20"/>
                <w:szCs w:val="20"/>
                <w:lang w:val="en-GB"/>
              </w:rPr>
              <w:t>mmol</w:t>
            </w:r>
            <w:proofErr w:type="spellEnd"/>
            <w:r>
              <w:rPr>
                <w:b/>
                <w:sz w:val="20"/>
                <w:szCs w:val="20"/>
                <w:lang w:val="en-GB"/>
              </w:rPr>
              <w:t>/L)</w:t>
            </w:r>
          </w:p>
        </w:tc>
        <w:tc>
          <w:tcPr>
            <w:tcW w:w="1499" w:type="dxa"/>
            <w:vAlign w:val="center"/>
          </w:tcPr>
          <w:p w14:paraId="3B88EEF3" w14:textId="77777777" w:rsidR="00351932" w:rsidRPr="002053A0" w:rsidRDefault="00351932" w:rsidP="009B249D">
            <w:pPr>
              <w:jc w:val="center"/>
              <w:rPr>
                <w:sz w:val="20"/>
                <w:szCs w:val="20"/>
                <w:lang w:val="en-GB"/>
              </w:rPr>
            </w:pPr>
          </w:p>
        </w:tc>
        <w:tc>
          <w:tcPr>
            <w:tcW w:w="2029" w:type="dxa"/>
            <w:vAlign w:val="center"/>
          </w:tcPr>
          <w:p w14:paraId="0F43A5AA" w14:textId="77777777" w:rsidR="00351932" w:rsidRPr="002053A0" w:rsidRDefault="00351932" w:rsidP="009B249D">
            <w:pPr>
              <w:jc w:val="center"/>
              <w:rPr>
                <w:sz w:val="20"/>
                <w:szCs w:val="20"/>
                <w:lang w:val="en-GB"/>
              </w:rPr>
            </w:pPr>
          </w:p>
        </w:tc>
        <w:tc>
          <w:tcPr>
            <w:tcW w:w="2206" w:type="dxa"/>
            <w:vAlign w:val="center"/>
          </w:tcPr>
          <w:p w14:paraId="313725E1" w14:textId="77777777" w:rsidR="00351932" w:rsidRPr="002053A0" w:rsidRDefault="00351932" w:rsidP="009B249D">
            <w:pPr>
              <w:jc w:val="center"/>
              <w:rPr>
                <w:sz w:val="20"/>
                <w:szCs w:val="20"/>
                <w:lang w:val="en-GB"/>
              </w:rPr>
            </w:pPr>
          </w:p>
        </w:tc>
        <w:tc>
          <w:tcPr>
            <w:tcW w:w="1018" w:type="dxa"/>
            <w:vAlign w:val="center"/>
          </w:tcPr>
          <w:p w14:paraId="2BB4E847" w14:textId="77777777" w:rsidR="00351932" w:rsidRPr="002053A0" w:rsidRDefault="00351932" w:rsidP="009B249D">
            <w:pPr>
              <w:jc w:val="center"/>
              <w:rPr>
                <w:sz w:val="20"/>
                <w:szCs w:val="20"/>
                <w:lang w:val="en-GB"/>
              </w:rPr>
            </w:pPr>
          </w:p>
        </w:tc>
      </w:tr>
      <w:tr w:rsidR="00B71A17" w:rsidRPr="005A751D" w14:paraId="5F16F789" w14:textId="77777777" w:rsidTr="00B71A17">
        <w:trPr>
          <w:trHeight w:val="309"/>
        </w:trPr>
        <w:tc>
          <w:tcPr>
            <w:tcW w:w="3333" w:type="dxa"/>
            <w:vMerge w:val="restart"/>
            <w:vAlign w:val="center"/>
          </w:tcPr>
          <w:p w14:paraId="67BBA774" w14:textId="54A8B074" w:rsidR="00B71A17" w:rsidRPr="002053A0" w:rsidRDefault="00B71A17" w:rsidP="009B249D">
            <w:pPr>
              <w:ind w:left="360"/>
              <w:rPr>
                <w:sz w:val="20"/>
                <w:szCs w:val="20"/>
                <w:lang w:val="en-GB"/>
              </w:rPr>
            </w:pPr>
            <w:r>
              <w:rPr>
                <w:sz w:val="20"/>
                <w:szCs w:val="20"/>
                <w:lang w:val="en-GB"/>
              </w:rPr>
              <w:t xml:space="preserve">%Time ≤3 </w:t>
            </w:r>
          </w:p>
        </w:tc>
        <w:tc>
          <w:tcPr>
            <w:tcW w:w="1499" w:type="dxa"/>
            <w:vAlign w:val="center"/>
          </w:tcPr>
          <w:p w14:paraId="2513F152" w14:textId="77777777" w:rsidR="00B71A17" w:rsidRPr="002053A0" w:rsidRDefault="00B71A17" w:rsidP="009B249D">
            <w:pPr>
              <w:jc w:val="center"/>
              <w:rPr>
                <w:sz w:val="20"/>
                <w:szCs w:val="20"/>
                <w:lang w:val="en-GB"/>
              </w:rPr>
            </w:pPr>
            <w:r w:rsidRPr="002053A0">
              <w:rPr>
                <w:sz w:val="20"/>
                <w:szCs w:val="20"/>
                <w:lang w:val="en-GB"/>
              </w:rPr>
              <w:t>Baseline</w:t>
            </w:r>
          </w:p>
        </w:tc>
        <w:tc>
          <w:tcPr>
            <w:tcW w:w="2029" w:type="dxa"/>
            <w:vAlign w:val="center"/>
          </w:tcPr>
          <w:p w14:paraId="091DAB03" w14:textId="77777777" w:rsidR="00B71A17" w:rsidRPr="002053A0" w:rsidRDefault="00B71A17" w:rsidP="009B249D">
            <w:pPr>
              <w:jc w:val="center"/>
              <w:rPr>
                <w:sz w:val="20"/>
                <w:szCs w:val="20"/>
                <w:lang w:val="en-GB"/>
              </w:rPr>
            </w:pPr>
            <w:r w:rsidRPr="002053A0">
              <w:rPr>
                <w:sz w:val="20"/>
                <w:szCs w:val="20"/>
                <w:lang w:val="en-GB"/>
              </w:rPr>
              <w:t>3.8±4.1 (42)</w:t>
            </w:r>
          </w:p>
        </w:tc>
        <w:tc>
          <w:tcPr>
            <w:tcW w:w="2206" w:type="dxa"/>
            <w:vAlign w:val="center"/>
          </w:tcPr>
          <w:p w14:paraId="52364BDC" w14:textId="77777777" w:rsidR="00B71A17" w:rsidRPr="002053A0" w:rsidRDefault="00B71A17" w:rsidP="009B249D">
            <w:pPr>
              <w:jc w:val="center"/>
              <w:rPr>
                <w:sz w:val="20"/>
                <w:szCs w:val="20"/>
                <w:lang w:val="en-GB"/>
              </w:rPr>
            </w:pPr>
            <w:r w:rsidRPr="002053A0">
              <w:rPr>
                <w:sz w:val="20"/>
                <w:szCs w:val="20"/>
                <w:lang w:val="en-GB"/>
              </w:rPr>
              <w:t>3.9±5.4 (28)</w:t>
            </w:r>
          </w:p>
        </w:tc>
        <w:tc>
          <w:tcPr>
            <w:tcW w:w="1018" w:type="dxa"/>
            <w:vAlign w:val="center"/>
          </w:tcPr>
          <w:p w14:paraId="0809127D" w14:textId="77777777" w:rsidR="00B71A17" w:rsidRPr="002053A0" w:rsidRDefault="00B71A17" w:rsidP="009B249D">
            <w:pPr>
              <w:jc w:val="center"/>
              <w:rPr>
                <w:sz w:val="20"/>
                <w:szCs w:val="20"/>
                <w:lang w:val="en-GB"/>
              </w:rPr>
            </w:pPr>
            <w:r w:rsidRPr="002053A0">
              <w:rPr>
                <w:sz w:val="20"/>
                <w:szCs w:val="20"/>
                <w:lang w:val="en-GB"/>
              </w:rPr>
              <w:t>0.91</w:t>
            </w:r>
          </w:p>
        </w:tc>
      </w:tr>
      <w:tr w:rsidR="00B71A17" w:rsidRPr="005A751D" w14:paraId="29C343A3" w14:textId="77777777" w:rsidTr="00B71A17">
        <w:trPr>
          <w:trHeight w:val="214"/>
        </w:trPr>
        <w:tc>
          <w:tcPr>
            <w:tcW w:w="3333" w:type="dxa"/>
            <w:vMerge/>
            <w:vAlign w:val="center"/>
          </w:tcPr>
          <w:p w14:paraId="0F233078" w14:textId="77777777" w:rsidR="00B71A17" w:rsidRPr="002053A0" w:rsidRDefault="00B71A17" w:rsidP="009B249D">
            <w:pPr>
              <w:rPr>
                <w:sz w:val="20"/>
                <w:szCs w:val="20"/>
                <w:lang w:val="en-GB"/>
              </w:rPr>
            </w:pPr>
          </w:p>
        </w:tc>
        <w:tc>
          <w:tcPr>
            <w:tcW w:w="1499" w:type="dxa"/>
            <w:vAlign w:val="center"/>
          </w:tcPr>
          <w:p w14:paraId="54071C12" w14:textId="588101FF" w:rsidR="00B71A17" w:rsidRPr="002053A0" w:rsidRDefault="00B71A17" w:rsidP="009B249D">
            <w:pPr>
              <w:jc w:val="center"/>
              <w:rPr>
                <w:sz w:val="20"/>
                <w:szCs w:val="20"/>
                <w:lang w:val="en-GB"/>
              </w:rPr>
            </w:pPr>
            <w:r>
              <w:rPr>
                <w:sz w:val="20"/>
                <w:szCs w:val="20"/>
                <w:lang w:val="en-GB"/>
              </w:rPr>
              <w:t>24 months</w:t>
            </w:r>
          </w:p>
        </w:tc>
        <w:tc>
          <w:tcPr>
            <w:tcW w:w="2029" w:type="dxa"/>
            <w:vAlign w:val="center"/>
          </w:tcPr>
          <w:p w14:paraId="2FCCCC63" w14:textId="77777777" w:rsidR="00B71A17" w:rsidRPr="002053A0" w:rsidRDefault="00B71A17" w:rsidP="009B249D">
            <w:pPr>
              <w:jc w:val="center"/>
              <w:rPr>
                <w:sz w:val="20"/>
                <w:szCs w:val="20"/>
                <w:lang w:val="en-GB"/>
              </w:rPr>
            </w:pPr>
            <w:r w:rsidRPr="002053A0">
              <w:rPr>
                <w:sz w:val="20"/>
                <w:szCs w:val="20"/>
                <w:lang w:val="en-GB"/>
              </w:rPr>
              <w:t>3.0±4.8 (33)</w:t>
            </w:r>
          </w:p>
        </w:tc>
        <w:tc>
          <w:tcPr>
            <w:tcW w:w="2206" w:type="dxa"/>
            <w:vAlign w:val="center"/>
          </w:tcPr>
          <w:p w14:paraId="5EC9B061" w14:textId="77777777" w:rsidR="00B71A17" w:rsidRPr="002053A0" w:rsidRDefault="00B71A17" w:rsidP="009B249D">
            <w:pPr>
              <w:jc w:val="center"/>
              <w:rPr>
                <w:sz w:val="20"/>
                <w:szCs w:val="20"/>
                <w:lang w:val="en-GB"/>
              </w:rPr>
            </w:pPr>
            <w:r w:rsidRPr="002053A0">
              <w:rPr>
                <w:sz w:val="20"/>
                <w:szCs w:val="20"/>
                <w:lang w:val="en-GB"/>
              </w:rPr>
              <w:t>1.4±2.1 (13)</w:t>
            </w:r>
          </w:p>
        </w:tc>
        <w:tc>
          <w:tcPr>
            <w:tcW w:w="1018" w:type="dxa"/>
            <w:vAlign w:val="center"/>
          </w:tcPr>
          <w:p w14:paraId="7A805ED6" w14:textId="77777777" w:rsidR="00B71A17" w:rsidRPr="002053A0" w:rsidRDefault="00B71A17" w:rsidP="009B249D">
            <w:pPr>
              <w:jc w:val="center"/>
              <w:rPr>
                <w:sz w:val="20"/>
                <w:szCs w:val="20"/>
                <w:lang w:val="en-GB"/>
              </w:rPr>
            </w:pPr>
            <w:r w:rsidRPr="002053A0">
              <w:rPr>
                <w:sz w:val="20"/>
                <w:szCs w:val="20"/>
                <w:lang w:val="en-GB"/>
              </w:rPr>
              <w:t>0.26</w:t>
            </w:r>
          </w:p>
        </w:tc>
      </w:tr>
      <w:tr w:rsidR="00B71A17" w:rsidRPr="005A751D" w14:paraId="7D63E3C4" w14:textId="77777777" w:rsidTr="00B71A17">
        <w:trPr>
          <w:trHeight w:val="77"/>
        </w:trPr>
        <w:tc>
          <w:tcPr>
            <w:tcW w:w="3333" w:type="dxa"/>
            <w:vMerge w:val="restart"/>
            <w:shd w:val="clear" w:color="auto" w:fill="auto"/>
            <w:vAlign w:val="center"/>
          </w:tcPr>
          <w:p w14:paraId="43067C7C" w14:textId="32AB17A1" w:rsidR="00B71A17" w:rsidRPr="002053A0" w:rsidRDefault="00B71A17" w:rsidP="00B71A17">
            <w:pPr>
              <w:ind w:left="360"/>
              <w:rPr>
                <w:sz w:val="20"/>
                <w:szCs w:val="20"/>
                <w:lang w:val="en-GB"/>
              </w:rPr>
            </w:pPr>
            <w:r w:rsidRPr="002053A0">
              <w:rPr>
                <w:sz w:val="20"/>
                <w:szCs w:val="20"/>
                <w:lang w:val="en-GB"/>
              </w:rPr>
              <w:t xml:space="preserve">% Time in range 3-10 </w:t>
            </w:r>
          </w:p>
        </w:tc>
        <w:tc>
          <w:tcPr>
            <w:tcW w:w="1499" w:type="dxa"/>
            <w:shd w:val="clear" w:color="auto" w:fill="auto"/>
            <w:vAlign w:val="center"/>
          </w:tcPr>
          <w:p w14:paraId="6AE28AB2" w14:textId="77777777" w:rsidR="00B71A17" w:rsidRPr="002053A0" w:rsidRDefault="00B71A17" w:rsidP="009B249D">
            <w:pPr>
              <w:jc w:val="center"/>
              <w:rPr>
                <w:sz w:val="20"/>
                <w:szCs w:val="20"/>
                <w:lang w:val="en-GB"/>
              </w:rPr>
            </w:pPr>
            <w:r w:rsidRPr="002053A0">
              <w:rPr>
                <w:sz w:val="20"/>
                <w:szCs w:val="20"/>
                <w:lang w:val="en-GB"/>
              </w:rPr>
              <w:t>Baseline</w:t>
            </w:r>
          </w:p>
        </w:tc>
        <w:tc>
          <w:tcPr>
            <w:tcW w:w="2029" w:type="dxa"/>
            <w:shd w:val="clear" w:color="auto" w:fill="auto"/>
            <w:vAlign w:val="center"/>
          </w:tcPr>
          <w:p w14:paraId="0FEFACDA" w14:textId="77777777" w:rsidR="00B71A17" w:rsidRPr="002053A0" w:rsidRDefault="00B71A17" w:rsidP="009B249D">
            <w:pPr>
              <w:jc w:val="center"/>
              <w:rPr>
                <w:sz w:val="20"/>
                <w:szCs w:val="20"/>
                <w:lang w:val="en-GB"/>
              </w:rPr>
            </w:pPr>
            <w:r w:rsidRPr="002053A0">
              <w:rPr>
                <w:sz w:val="20"/>
                <w:szCs w:val="20"/>
                <w:lang w:val="en-GB"/>
              </w:rPr>
              <w:t>57.2±17.5 (42)</w:t>
            </w:r>
          </w:p>
        </w:tc>
        <w:tc>
          <w:tcPr>
            <w:tcW w:w="2206" w:type="dxa"/>
            <w:shd w:val="clear" w:color="auto" w:fill="auto"/>
            <w:vAlign w:val="center"/>
          </w:tcPr>
          <w:p w14:paraId="78C6E71B" w14:textId="77777777" w:rsidR="00B71A17" w:rsidRPr="002053A0" w:rsidRDefault="00B71A17" w:rsidP="009B249D">
            <w:pPr>
              <w:jc w:val="center"/>
              <w:rPr>
                <w:sz w:val="20"/>
                <w:szCs w:val="20"/>
                <w:lang w:val="en-GB"/>
              </w:rPr>
            </w:pPr>
            <w:r w:rsidRPr="002053A0">
              <w:rPr>
                <w:sz w:val="20"/>
                <w:szCs w:val="20"/>
                <w:lang w:val="en-GB"/>
              </w:rPr>
              <w:t>56.8±18.9 (28)</w:t>
            </w:r>
          </w:p>
        </w:tc>
        <w:tc>
          <w:tcPr>
            <w:tcW w:w="1018" w:type="dxa"/>
            <w:shd w:val="clear" w:color="auto" w:fill="auto"/>
            <w:vAlign w:val="center"/>
          </w:tcPr>
          <w:p w14:paraId="019CF4B1" w14:textId="77777777" w:rsidR="00B71A17" w:rsidRPr="002053A0" w:rsidRDefault="00B71A17" w:rsidP="009B249D">
            <w:pPr>
              <w:jc w:val="center"/>
              <w:rPr>
                <w:sz w:val="20"/>
                <w:szCs w:val="20"/>
                <w:lang w:val="en-GB"/>
              </w:rPr>
            </w:pPr>
            <w:r w:rsidRPr="002053A0">
              <w:rPr>
                <w:sz w:val="20"/>
                <w:szCs w:val="20"/>
                <w:lang w:val="en-GB"/>
              </w:rPr>
              <w:t>0.94</w:t>
            </w:r>
          </w:p>
        </w:tc>
      </w:tr>
      <w:tr w:rsidR="00B71A17" w:rsidRPr="005A751D" w14:paraId="51B80BCE" w14:textId="77777777" w:rsidTr="00B71A17">
        <w:trPr>
          <w:trHeight w:val="233"/>
        </w:trPr>
        <w:tc>
          <w:tcPr>
            <w:tcW w:w="3333" w:type="dxa"/>
            <w:vMerge/>
            <w:shd w:val="clear" w:color="auto" w:fill="auto"/>
            <w:vAlign w:val="center"/>
          </w:tcPr>
          <w:p w14:paraId="7C25E29E" w14:textId="77777777" w:rsidR="00B71A17" w:rsidRPr="002053A0" w:rsidRDefault="00B71A17" w:rsidP="009B249D">
            <w:pPr>
              <w:rPr>
                <w:sz w:val="20"/>
                <w:szCs w:val="20"/>
                <w:lang w:val="en-GB"/>
              </w:rPr>
            </w:pPr>
          </w:p>
        </w:tc>
        <w:tc>
          <w:tcPr>
            <w:tcW w:w="1499" w:type="dxa"/>
            <w:shd w:val="clear" w:color="auto" w:fill="auto"/>
            <w:vAlign w:val="center"/>
          </w:tcPr>
          <w:p w14:paraId="5473BBE9" w14:textId="0DF291E3" w:rsidR="00B71A17" w:rsidRPr="002053A0" w:rsidRDefault="00B71A17" w:rsidP="009B249D">
            <w:pPr>
              <w:jc w:val="center"/>
              <w:rPr>
                <w:sz w:val="20"/>
                <w:szCs w:val="20"/>
                <w:lang w:val="en-GB"/>
              </w:rPr>
            </w:pPr>
            <w:r>
              <w:rPr>
                <w:sz w:val="20"/>
                <w:szCs w:val="20"/>
                <w:lang w:val="en-GB"/>
              </w:rPr>
              <w:t>24 months</w:t>
            </w:r>
          </w:p>
        </w:tc>
        <w:tc>
          <w:tcPr>
            <w:tcW w:w="2029" w:type="dxa"/>
            <w:shd w:val="clear" w:color="auto" w:fill="auto"/>
            <w:vAlign w:val="center"/>
          </w:tcPr>
          <w:p w14:paraId="76FCC4DD" w14:textId="77777777" w:rsidR="00B71A17" w:rsidRPr="002053A0" w:rsidRDefault="00B71A17" w:rsidP="009B249D">
            <w:pPr>
              <w:jc w:val="center"/>
              <w:rPr>
                <w:sz w:val="20"/>
                <w:szCs w:val="20"/>
                <w:lang w:val="en-GB"/>
              </w:rPr>
            </w:pPr>
            <w:r w:rsidRPr="002053A0">
              <w:rPr>
                <w:sz w:val="20"/>
                <w:szCs w:val="20"/>
                <w:lang w:val="en-GB"/>
              </w:rPr>
              <w:t>60.6±16.5 (33)</w:t>
            </w:r>
          </w:p>
        </w:tc>
        <w:tc>
          <w:tcPr>
            <w:tcW w:w="2206" w:type="dxa"/>
            <w:shd w:val="clear" w:color="auto" w:fill="auto"/>
            <w:vAlign w:val="center"/>
          </w:tcPr>
          <w:p w14:paraId="5A194FB7" w14:textId="77777777" w:rsidR="00B71A17" w:rsidRPr="002053A0" w:rsidRDefault="00B71A17" w:rsidP="009B249D">
            <w:pPr>
              <w:jc w:val="center"/>
              <w:rPr>
                <w:sz w:val="20"/>
                <w:szCs w:val="20"/>
                <w:lang w:val="en-GB"/>
              </w:rPr>
            </w:pPr>
            <w:r w:rsidRPr="002053A0">
              <w:rPr>
                <w:sz w:val="20"/>
                <w:szCs w:val="20"/>
                <w:lang w:val="en-GB"/>
              </w:rPr>
              <w:t>56.7±24.0 (13)</w:t>
            </w:r>
          </w:p>
        </w:tc>
        <w:tc>
          <w:tcPr>
            <w:tcW w:w="1018" w:type="dxa"/>
            <w:shd w:val="clear" w:color="auto" w:fill="auto"/>
            <w:vAlign w:val="center"/>
          </w:tcPr>
          <w:p w14:paraId="1813FC05" w14:textId="77777777" w:rsidR="00B71A17" w:rsidRPr="002053A0" w:rsidRDefault="00B71A17" w:rsidP="009B249D">
            <w:pPr>
              <w:jc w:val="center"/>
              <w:rPr>
                <w:sz w:val="20"/>
                <w:szCs w:val="20"/>
                <w:lang w:val="en-GB"/>
              </w:rPr>
            </w:pPr>
            <w:r w:rsidRPr="002053A0">
              <w:rPr>
                <w:sz w:val="20"/>
                <w:szCs w:val="20"/>
                <w:lang w:val="en-GB"/>
              </w:rPr>
              <w:t>0.53</w:t>
            </w:r>
          </w:p>
        </w:tc>
      </w:tr>
      <w:tr w:rsidR="00B71A17" w:rsidRPr="005A751D" w14:paraId="56B8405D" w14:textId="77777777" w:rsidTr="00B71A17">
        <w:trPr>
          <w:trHeight w:val="233"/>
        </w:trPr>
        <w:tc>
          <w:tcPr>
            <w:tcW w:w="3333" w:type="dxa"/>
            <w:vMerge w:val="restart"/>
            <w:vAlign w:val="center"/>
          </w:tcPr>
          <w:p w14:paraId="1CA9BC53" w14:textId="37CD9E7A" w:rsidR="00B71A17" w:rsidRPr="002053A0" w:rsidRDefault="00B71A17" w:rsidP="00B71A17">
            <w:pPr>
              <w:ind w:left="360"/>
              <w:rPr>
                <w:sz w:val="20"/>
                <w:szCs w:val="20"/>
                <w:lang w:val="en-GB"/>
              </w:rPr>
            </w:pPr>
            <w:r>
              <w:rPr>
                <w:sz w:val="20"/>
                <w:szCs w:val="20"/>
                <w:lang w:val="en-GB"/>
              </w:rPr>
              <w:t>% Baseline ≥10</w:t>
            </w:r>
          </w:p>
        </w:tc>
        <w:tc>
          <w:tcPr>
            <w:tcW w:w="1499" w:type="dxa"/>
            <w:vAlign w:val="center"/>
          </w:tcPr>
          <w:p w14:paraId="36AA7181" w14:textId="77777777" w:rsidR="00B71A17" w:rsidRPr="002053A0" w:rsidRDefault="00B71A17" w:rsidP="009B249D">
            <w:pPr>
              <w:jc w:val="center"/>
              <w:rPr>
                <w:sz w:val="20"/>
                <w:szCs w:val="20"/>
                <w:lang w:val="en-GB"/>
              </w:rPr>
            </w:pPr>
            <w:r w:rsidRPr="002053A0">
              <w:rPr>
                <w:sz w:val="20"/>
                <w:szCs w:val="20"/>
                <w:lang w:val="en-GB"/>
              </w:rPr>
              <w:t>Baseline</w:t>
            </w:r>
          </w:p>
        </w:tc>
        <w:tc>
          <w:tcPr>
            <w:tcW w:w="2029" w:type="dxa"/>
            <w:vAlign w:val="center"/>
          </w:tcPr>
          <w:p w14:paraId="43D121ED" w14:textId="77777777" w:rsidR="00B71A17" w:rsidRPr="002053A0" w:rsidRDefault="00B71A17" w:rsidP="009B249D">
            <w:pPr>
              <w:jc w:val="center"/>
              <w:rPr>
                <w:sz w:val="20"/>
                <w:szCs w:val="20"/>
                <w:lang w:val="en-GB"/>
              </w:rPr>
            </w:pPr>
            <w:r w:rsidRPr="002053A0">
              <w:rPr>
                <w:sz w:val="20"/>
                <w:szCs w:val="20"/>
                <w:lang w:val="en-GB"/>
              </w:rPr>
              <w:t>39.0±18.8 (42)</w:t>
            </w:r>
          </w:p>
        </w:tc>
        <w:tc>
          <w:tcPr>
            <w:tcW w:w="2206" w:type="dxa"/>
            <w:vAlign w:val="center"/>
          </w:tcPr>
          <w:p w14:paraId="490F668D" w14:textId="77777777" w:rsidR="00B71A17" w:rsidRPr="002053A0" w:rsidRDefault="00B71A17" w:rsidP="009B249D">
            <w:pPr>
              <w:jc w:val="center"/>
              <w:rPr>
                <w:sz w:val="20"/>
                <w:szCs w:val="20"/>
                <w:lang w:val="en-GB"/>
              </w:rPr>
            </w:pPr>
            <w:r w:rsidRPr="002053A0">
              <w:rPr>
                <w:sz w:val="20"/>
                <w:szCs w:val="20"/>
                <w:lang w:val="en-GB"/>
              </w:rPr>
              <w:t>39.2±19.7 (28)</w:t>
            </w:r>
          </w:p>
        </w:tc>
        <w:tc>
          <w:tcPr>
            <w:tcW w:w="1018" w:type="dxa"/>
            <w:vAlign w:val="center"/>
          </w:tcPr>
          <w:p w14:paraId="6EDE06D0" w14:textId="77777777" w:rsidR="00B71A17" w:rsidRPr="002053A0" w:rsidRDefault="00B71A17" w:rsidP="009B249D">
            <w:pPr>
              <w:jc w:val="center"/>
              <w:rPr>
                <w:sz w:val="20"/>
                <w:szCs w:val="20"/>
                <w:lang w:val="en-GB"/>
              </w:rPr>
            </w:pPr>
            <w:r w:rsidRPr="002053A0">
              <w:rPr>
                <w:sz w:val="20"/>
                <w:szCs w:val="20"/>
                <w:lang w:val="en-GB"/>
              </w:rPr>
              <w:t>0.97</w:t>
            </w:r>
          </w:p>
        </w:tc>
      </w:tr>
      <w:tr w:rsidR="00B71A17" w:rsidRPr="005A751D" w14:paraId="49B5386E" w14:textId="77777777" w:rsidTr="00B71A17">
        <w:trPr>
          <w:trHeight w:val="293"/>
        </w:trPr>
        <w:tc>
          <w:tcPr>
            <w:tcW w:w="3333" w:type="dxa"/>
            <w:vMerge/>
            <w:vAlign w:val="center"/>
          </w:tcPr>
          <w:p w14:paraId="758A11B7" w14:textId="77777777" w:rsidR="00B71A17" w:rsidRPr="002053A0" w:rsidRDefault="00B71A17" w:rsidP="009B249D">
            <w:pPr>
              <w:rPr>
                <w:sz w:val="20"/>
                <w:szCs w:val="20"/>
                <w:lang w:val="en-GB"/>
              </w:rPr>
            </w:pPr>
          </w:p>
        </w:tc>
        <w:tc>
          <w:tcPr>
            <w:tcW w:w="1499" w:type="dxa"/>
            <w:vAlign w:val="center"/>
          </w:tcPr>
          <w:p w14:paraId="4CD682D4" w14:textId="24A2E2E5" w:rsidR="00B71A17" w:rsidRPr="002053A0" w:rsidRDefault="00B71A17" w:rsidP="009B249D">
            <w:pPr>
              <w:jc w:val="center"/>
              <w:rPr>
                <w:sz w:val="20"/>
                <w:szCs w:val="20"/>
                <w:lang w:val="en-GB"/>
              </w:rPr>
            </w:pPr>
            <w:r>
              <w:rPr>
                <w:sz w:val="20"/>
                <w:szCs w:val="20"/>
                <w:lang w:val="en-GB"/>
              </w:rPr>
              <w:t>24 months</w:t>
            </w:r>
          </w:p>
        </w:tc>
        <w:tc>
          <w:tcPr>
            <w:tcW w:w="2029" w:type="dxa"/>
            <w:vAlign w:val="center"/>
          </w:tcPr>
          <w:p w14:paraId="5C65E7D7" w14:textId="77777777" w:rsidR="00B71A17" w:rsidRPr="002053A0" w:rsidRDefault="00B71A17" w:rsidP="009B249D">
            <w:pPr>
              <w:jc w:val="center"/>
              <w:rPr>
                <w:sz w:val="20"/>
                <w:szCs w:val="20"/>
                <w:lang w:val="en-GB"/>
              </w:rPr>
            </w:pPr>
            <w:r w:rsidRPr="002053A0">
              <w:rPr>
                <w:sz w:val="20"/>
                <w:szCs w:val="20"/>
                <w:lang w:val="en-GB"/>
              </w:rPr>
              <w:t>36.3±17.5 (33)</w:t>
            </w:r>
          </w:p>
        </w:tc>
        <w:tc>
          <w:tcPr>
            <w:tcW w:w="2206" w:type="dxa"/>
            <w:vAlign w:val="center"/>
          </w:tcPr>
          <w:p w14:paraId="4C7C015D" w14:textId="77777777" w:rsidR="00B71A17" w:rsidRPr="002053A0" w:rsidRDefault="00B71A17" w:rsidP="009B249D">
            <w:pPr>
              <w:jc w:val="center"/>
              <w:rPr>
                <w:sz w:val="20"/>
                <w:szCs w:val="20"/>
                <w:lang w:val="en-GB"/>
              </w:rPr>
            </w:pPr>
            <w:r w:rsidRPr="002053A0">
              <w:rPr>
                <w:sz w:val="20"/>
                <w:szCs w:val="20"/>
                <w:lang w:val="en-GB"/>
              </w:rPr>
              <w:t>41.8±24.4 (13)</w:t>
            </w:r>
          </w:p>
        </w:tc>
        <w:tc>
          <w:tcPr>
            <w:tcW w:w="1018" w:type="dxa"/>
            <w:vAlign w:val="center"/>
          </w:tcPr>
          <w:p w14:paraId="4C4D39F5" w14:textId="77777777" w:rsidR="00B71A17" w:rsidRPr="002053A0" w:rsidRDefault="00B71A17" w:rsidP="009B249D">
            <w:pPr>
              <w:jc w:val="center"/>
              <w:rPr>
                <w:sz w:val="20"/>
                <w:szCs w:val="20"/>
                <w:lang w:val="en-GB"/>
              </w:rPr>
            </w:pPr>
            <w:r w:rsidRPr="002053A0">
              <w:rPr>
                <w:sz w:val="20"/>
                <w:szCs w:val="20"/>
                <w:lang w:val="en-GB"/>
              </w:rPr>
              <w:t>0.40</w:t>
            </w:r>
          </w:p>
        </w:tc>
      </w:tr>
      <w:tr w:rsidR="00B71A17" w:rsidRPr="005A751D" w14:paraId="00FBFEB2" w14:textId="77777777" w:rsidTr="00B71A17">
        <w:trPr>
          <w:trHeight w:val="279"/>
        </w:trPr>
        <w:tc>
          <w:tcPr>
            <w:tcW w:w="3333" w:type="dxa"/>
            <w:vMerge w:val="restart"/>
            <w:vAlign w:val="center"/>
          </w:tcPr>
          <w:p w14:paraId="4842B84A" w14:textId="4710F7E1" w:rsidR="00B71A17" w:rsidRPr="002053A0" w:rsidRDefault="00B71A17" w:rsidP="00B71A17">
            <w:pPr>
              <w:ind w:left="360"/>
              <w:rPr>
                <w:sz w:val="20"/>
                <w:szCs w:val="20"/>
                <w:lang w:val="en-GB"/>
              </w:rPr>
            </w:pPr>
            <w:r>
              <w:rPr>
                <w:sz w:val="20"/>
                <w:szCs w:val="20"/>
                <w:lang w:val="en-GB"/>
              </w:rPr>
              <w:t xml:space="preserve">Sensor mean </w:t>
            </w:r>
          </w:p>
        </w:tc>
        <w:tc>
          <w:tcPr>
            <w:tcW w:w="1499" w:type="dxa"/>
            <w:vAlign w:val="center"/>
          </w:tcPr>
          <w:p w14:paraId="42A4D10A" w14:textId="77777777" w:rsidR="00B71A17" w:rsidRPr="002053A0" w:rsidRDefault="00B71A17" w:rsidP="009B249D">
            <w:pPr>
              <w:jc w:val="center"/>
              <w:rPr>
                <w:sz w:val="20"/>
                <w:szCs w:val="20"/>
                <w:lang w:val="en-GB"/>
              </w:rPr>
            </w:pPr>
            <w:r w:rsidRPr="002053A0">
              <w:rPr>
                <w:sz w:val="20"/>
                <w:szCs w:val="20"/>
                <w:lang w:val="en-GB"/>
              </w:rPr>
              <w:t>Baseline</w:t>
            </w:r>
          </w:p>
        </w:tc>
        <w:tc>
          <w:tcPr>
            <w:tcW w:w="2029" w:type="dxa"/>
            <w:vAlign w:val="center"/>
          </w:tcPr>
          <w:p w14:paraId="47F44486" w14:textId="77777777" w:rsidR="00B71A17" w:rsidRPr="002053A0" w:rsidRDefault="00B71A17" w:rsidP="009B249D">
            <w:pPr>
              <w:jc w:val="center"/>
              <w:rPr>
                <w:sz w:val="20"/>
                <w:szCs w:val="20"/>
                <w:lang w:val="en-GB"/>
              </w:rPr>
            </w:pPr>
            <w:r w:rsidRPr="002053A0">
              <w:rPr>
                <w:sz w:val="20"/>
                <w:szCs w:val="20"/>
                <w:lang w:val="en-GB"/>
              </w:rPr>
              <w:t>9.3±1.9 (42)</w:t>
            </w:r>
          </w:p>
        </w:tc>
        <w:tc>
          <w:tcPr>
            <w:tcW w:w="2206" w:type="dxa"/>
            <w:vAlign w:val="center"/>
          </w:tcPr>
          <w:p w14:paraId="00F5A4FF" w14:textId="77777777" w:rsidR="00B71A17" w:rsidRPr="002053A0" w:rsidRDefault="00B71A17" w:rsidP="009B249D">
            <w:pPr>
              <w:jc w:val="center"/>
              <w:rPr>
                <w:sz w:val="20"/>
                <w:szCs w:val="20"/>
                <w:lang w:val="en-GB"/>
              </w:rPr>
            </w:pPr>
            <w:r w:rsidRPr="002053A0">
              <w:rPr>
                <w:sz w:val="20"/>
                <w:szCs w:val="20"/>
                <w:lang w:val="en-GB"/>
              </w:rPr>
              <w:t>9.6±2.2 (28)</w:t>
            </w:r>
          </w:p>
        </w:tc>
        <w:tc>
          <w:tcPr>
            <w:tcW w:w="1018" w:type="dxa"/>
            <w:vAlign w:val="center"/>
          </w:tcPr>
          <w:p w14:paraId="6AC775B8" w14:textId="77777777" w:rsidR="00B71A17" w:rsidRPr="002053A0" w:rsidRDefault="00B71A17" w:rsidP="009B249D">
            <w:pPr>
              <w:jc w:val="center"/>
              <w:rPr>
                <w:sz w:val="20"/>
                <w:szCs w:val="20"/>
                <w:lang w:val="en-GB"/>
              </w:rPr>
            </w:pPr>
            <w:r w:rsidRPr="002053A0">
              <w:rPr>
                <w:sz w:val="20"/>
                <w:szCs w:val="20"/>
                <w:lang w:val="en-GB"/>
              </w:rPr>
              <w:t>0.58</w:t>
            </w:r>
          </w:p>
        </w:tc>
      </w:tr>
      <w:tr w:rsidR="00B71A17" w:rsidRPr="005A751D" w14:paraId="0EFD0004" w14:textId="77777777" w:rsidTr="00B71A17">
        <w:trPr>
          <w:trHeight w:val="224"/>
        </w:trPr>
        <w:tc>
          <w:tcPr>
            <w:tcW w:w="3333" w:type="dxa"/>
            <w:vMerge/>
            <w:vAlign w:val="center"/>
          </w:tcPr>
          <w:p w14:paraId="5E66B26D" w14:textId="77777777" w:rsidR="00B71A17" w:rsidRPr="002053A0" w:rsidRDefault="00B71A17" w:rsidP="009B249D">
            <w:pPr>
              <w:rPr>
                <w:sz w:val="20"/>
                <w:szCs w:val="20"/>
                <w:lang w:val="en-GB"/>
              </w:rPr>
            </w:pPr>
          </w:p>
        </w:tc>
        <w:tc>
          <w:tcPr>
            <w:tcW w:w="1499" w:type="dxa"/>
            <w:vAlign w:val="center"/>
          </w:tcPr>
          <w:p w14:paraId="24D7EF8B" w14:textId="1953CF00" w:rsidR="00B71A17" w:rsidRPr="002053A0" w:rsidRDefault="00B71A17" w:rsidP="009B249D">
            <w:pPr>
              <w:jc w:val="center"/>
              <w:rPr>
                <w:sz w:val="20"/>
                <w:szCs w:val="20"/>
                <w:lang w:val="en-GB"/>
              </w:rPr>
            </w:pPr>
            <w:r>
              <w:rPr>
                <w:sz w:val="20"/>
                <w:szCs w:val="20"/>
                <w:lang w:val="en-GB"/>
              </w:rPr>
              <w:t>24 months</w:t>
            </w:r>
          </w:p>
        </w:tc>
        <w:tc>
          <w:tcPr>
            <w:tcW w:w="2029" w:type="dxa"/>
            <w:vAlign w:val="center"/>
          </w:tcPr>
          <w:p w14:paraId="0B0D74AD" w14:textId="77777777" w:rsidR="00B71A17" w:rsidRPr="002053A0" w:rsidRDefault="00B71A17" w:rsidP="009B249D">
            <w:pPr>
              <w:jc w:val="center"/>
              <w:rPr>
                <w:sz w:val="20"/>
                <w:szCs w:val="20"/>
                <w:lang w:val="en-GB"/>
              </w:rPr>
            </w:pPr>
            <w:r w:rsidRPr="002053A0">
              <w:rPr>
                <w:sz w:val="20"/>
                <w:szCs w:val="20"/>
                <w:lang w:val="en-GB"/>
              </w:rPr>
              <w:t>9.3±2.0 (33)</w:t>
            </w:r>
          </w:p>
        </w:tc>
        <w:tc>
          <w:tcPr>
            <w:tcW w:w="2206" w:type="dxa"/>
            <w:vAlign w:val="center"/>
          </w:tcPr>
          <w:p w14:paraId="1E41C7C6" w14:textId="77777777" w:rsidR="00B71A17" w:rsidRPr="002053A0" w:rsidRDefault="00B71A17" w:rsidP="009B249D">
            <w:pPr>
              <w:jc w:val="center"/>
              <w:rPr>
                <w:sz w:val="20"/>
                <w:szCs w:val="20"/>
                <w:lang w:val="en-GB"/>
              </w:rPr>
            </w:pPr>
            <w:r w:rsidRPr="002053A0">
              <w:rPr>
                <w:sz w:val="20"/>
                <w:szCs w:val="20"/>
                <w:lang w:val="en-GB"/>
              </w:rPr>
              <w:t>9.7±2.4 (13)</w:t>
            </w:r>
          </w:p>
        </w:tc>
        <w:tc>
          <w:tcPr>
            <w:tcW w:w="1018" w:type="dxa"/>
            <w:vAlign w:val="center"/>
          </w:tcPr>
          <w:p w14:paraId="5C99AFE0" w14:textId="77777777" w:rsidR="00B71A17" w:rsidRPr="002053A0" w:rsidRDefault="00B71A17" w:rsidP="009B249D">
            <w:pPr>
              <w:jc w:val="center"/>
              <w:rPr>
                <w:sz w:val="20"/>
                <w:szCs w:val="20"/>
                <w:lang w:val="en-GB"/>
              </w:rPr>
            </w:pPr>
            <w:r w:rsidRPr="002053A0">
              <w:rPr>
                <w:sz w:val="20"/>
                <w:szCs w:val="20"/>
                <w:lang w:val="en-GB"/>
              </w:rPr>
              <w:t>0.63</w:t>
            </w:r>
          </w:p>
        </w:tc>
      </w:tr>
      <w:tr w:rsidR="00B71A17" w:rsidRPr="005A751D" w14:paraId="21998F53" w14:textId="77777777" w:rsidTr="00B71A17">
        <w:trPr>
          <w:trHeight w:val="279"/>
        </w:trPr>
        <w:tc>
          <w:tcPr>
            <w:tcW w:w="3333" w:type="dxa"/>
            <w:vMerge w:val="restart"/>
            <w:vAlign w:val="center"/>
          </w:tcPr>
          <w:p w14:paraId="1AF6528D" w14:textId="19DAD6FC" w:rsidR="00B71A17" w:rsidRPr="002053A0" w:rsidRDefault="00B71A17" w:rsidP="00B71A17">
            <w:pPr>
              <w:ind w:left="360"/>
              <w:rPr>
                <w:sz w:val="20"/>
                <w:szCs w:val="20"/>
                <w:lang w:val="en-GB"/>
              </w:rPr>
            </w:pPr>
            <w:r w:rsidRPr="002053A0">
              <w:rPr>
                <w:sz w:val="20"/>
                <w:szCs w:val="20"/>
                <w:lang w:val="en-GB"/>
              </w:rPr>
              <w:t xml:space="preserve">Glucose SD </w:t>
            </w:r>
          </w:p>
        </w:tc>
        <w:tc>
          <w:tcPr>
            <w:tcW w:w="1499" w:type="dxa"/>
            <w:vAlign w:val="center"/>
          </w:tcPr>
          <w:p w14:paraId="76C9AE6E" w14:textId="77777777" w:rsidR="00B71A17" w:rsidRPr="002053A0" w:rsidRDefault="00B71A17" w:rsidP="009B249D">
            <w:pPr>
              <w:jc w:val="center"/>
              <w:rPr>
                <w:sz w:val="20"/>
                <w:szCs w:val="20"/>
                <w:lang w:val="en-GB"/>
              </w:rPr>
            </w:pPr>
            <w:r w:rsidRPr="002053A0">
              <w:rPr>
                <w:sz w:val="20"/>
                <w:szCs w:val="20"/>
                <w:lang w:val="en-GB"/>
              </w:rPr>
              <w:t>Baseline</w:t>
            </w:r>
          </w:p>
        </w:tc>
        <w:tc>
          <w:tcPr>
            <w:tcW w:w="2029" w:type="dxa"/>
            <w:vAlign w:val="center"/>
          </w:tcPr>
          <w:p w14:paraId="3235AF8B" w14:textId="77777777" w:rsidR="00B71A17" w:rsidRPr="002053A0" w:rsidRDefault="00B71A17" w:rsidP="009B249D">
            <w:pPr>
              <w:jc w:val="center"/>
              <w:rPr>
                <w:sz w:val="20"/>
                <w:szCs w:val="20"/>
                <w:lang w:val="en-GB"/>
              </w:rPr>
            </w:pPr>
            <w:r w:rsidRPr="002053A0">
              <w:rPr>
                <w:sz w:val="20"/>
                <w:szCs w:val="20"/>
                <w:lang w:val="en-GB"/>
              </w:rPr>
              <w:t>3.8±0.8 (42)</w:t>
            </w:r>
          </w:p>
        </w:tc>
        <w:tc>
          <w:tcPr>
            <w:tcW w:w="2206" w:type="dxa"/>
            <w:vAlign w:val="center"/>
          </w:tcPr>
          <w:p w14:paraId="509C2B75" w14:textId="77777777" w:rsidR="00B71A17" w:rsidRPr="002053A0" w:rsidRDefault="00B71A17" w:rsidP="009B249D">
            <w:pPr>
              <w:jc w:val="center"/>
              <w:rPr>
                <w:sz w:val="20"/>
                <w:szCs w:val="20"/>
                <w:lang w:val="en-GB"/>
              </w:rPr>
            </w:pPr>
            <w:r w:rsidRPr="002053A0">
              <w:rPr>
                <w:sz w:val="20"/>
                <w:szCs w:val="20"/>
                <w:lang w:val="en-GB"/>
              </w:rPr>
              <w:t>4.0±1.2 (28)</w:t>
            </w:r>
          </w:p>
        </w:tc>
        <w:tc>
          <w:tcPr>
            <w:tcW w:w="1018" w:type="dxa"/>
            <w:vAlign w:val="center"/>
          </w:tcPr>
          <w:p w14:paraId="123BF7AE" w14:textId="77777777" w:rsidR="00B71A17" w:rsidRPr="002053A0" w:rsidRDefault="00B71A17" w:rsidP="009B249D">
            <w:pPr>
              <w:jc w:val="center"/>
              <w:rPr>
                <w:sz w:val="20"/>
                <w:szCs w:val="20"/>
                <w:lang w:val="en-GB"/>
              </w:rPr>
            </w:pPr>
            <w:r w:rsidRPr="002053A0">
              <w:rPr>
                <w:sz w:val="20"/>
                <w:szCs w:val="20"/>
                <w:lang w:val="en-GB"/>
              </w:rPr>
              <w:t>0.62</w:t>
            </w:r>
          </w:p>
        </w:tc>
      </w:tr>
      <w:tr w:rsidR="00B71A17" w:rsidRPr="005A751D" w14:paraId="4E604E8B" w14:textId="77777777" w:rsidTr="00B71A17">
        <w:trPr>
          <w:trHeight w:val="240"/>
        </w:trPr>
        <w:tc>
          <w:tcPr>
            <w:tcW w:w="3333" w:type="dxa"/>
            <w:vMerge/>
            <w:vAlign w:val="center"/>
          </w:tcPr>
          <w:p w14:paraId="1B1C3713" w14:textId="77777777" w:rsidR="00B71A17" w:rsidRPr="002053A0" w:rsidRDefault="00B71A17" w:rsidP="009B249D">
            <w:pPr>
              <w:rPr>
                <w:b/>
                <w:sz w:val="20"/>
                <w:szCs w:val="20"/>
                <w:lang w:val="en-GB"/>
              </w:rPr>
            </w:pPr>
          </w:p>
        </w:tc>
        <w:tc>
          <w:tcPr>
            <w:tcW w:w="1499" w:type="dxa"/>
            <w:vAlign w:val="center"/>
          </w:tcPr>
          <w:p w14:paraId="2479982A" w14:textId="08DCBABB" w:rsidR="00B71A17" w:rsidRPr="002053A0" w:rsidRDefault="00B71A17" w:rsidP="009B249D">
            <w:pPr>
              <w:jc w:val="center"/>
              <w:rPr>
                <w:sz w:val="20"/>
                <w:szCs w:val="20"/>
                <w:lang w:val="en-GB"/>
              </w:rPr>
            </w:pPr>
            <w:r>
              <w:rPr>
                <w:sz w:val="20"/>
                <w:szCs w:val="20"/>
                <w:lang w:val="en-GB"/>
              </w:rPr>
              <w:t>24 months</w:t>
            </w:r>
          </w:p>
        </w:tc>
        <w:tc>
          <w:tcPr>
            <w:tcW w:w="2029" w:type="dxa"/>
            <w:vAlign w:val="center"/>
          </w:tcPr>
          <w:p w14:paraId="67CF48F0" w14:textId="77777777" w:rsidR="00B71A17" w:rsidRPr="002053A0" w:rsidRDefault="00B71A17" w:rsidP="009B249D">
            <w:pPr>
              <w:jc w:val="center"/>
              <w:rPr>
                <w:sz w:val="20"/>
                <w:szCs w:val="20"/>
                <w:lang w:val="en-GB"/>
              </w:rPr>
            </w:pPr>
            <w:r w:rsidRPr="002053A0">
              <w:rPr>
                <w:sz w:val="20"/>
                <w:szCs w:val="20"/>
                <w:lang w:val="en-GB"/>
              </w:rPr>
              <w:t>3.8±0.9 (33)</w:t>
            </w:r>
          </w:p>
        </w:tc>
        <w:tc>
          <w:tcPr>
            <w:tcW w:w="2206" w:type="dxa"/>
            <w:vAlign w:val="center"/>
          </w:tcPr>
          <w:p w14:paraId="162E1C8C" w14:textId="77777777" w:rsidR="00B71A17" w:rsidRPr="002053A0" w:rsidRDefault="00B71A17" w:rsidP="009B249D">
            <w:pPr>
              <w:jc w:val="center"/>
              <w:rPr>
                <w:sz w:val="20"/>
                <w:szCs w:val="20"/>
                <w:lang w:val="en-GB"/>
              </w:rPr>
            </w:pPr>
            <w:r w:rsidRPr="002053A0">
              <w:rPr>
                <w:sz w:val="20"/>
                <w:szCs w:val="20"/>
                <w:lang w:val="en-GB"/>
              </w:rPr>
              <w:t>3.2±1.0 (13)</w:t>
            </w:r>
          </w:p>
        </w:tc>
        <w:tc>
          <w:tcPr>
            <w:tcW w:w="1018" w:type="dxa"/>
            <w:vAlign w:val="center"/>
          </w:tcPr>
          <w:p w14:paraId="0209D5EB" w14:textId="77777777" w:rsidR="00B71A17" w:rsidRPr="002053A0" w:rsidRDefault="00B71A17" w:rsidP="009B249D">
            <w:pPr>
              <w:jc w:val="center"/>
              <w:rPr>
                <w:sz w:val="20"/>
                <w:szCs w:val="20"/>
                <w:lang w:val="en-GB"/>
              </w:rPr>
            </w:pPr>
            <w:r w:rsidRPr="002053A0">
              <w:rPr>
                <w:sz w:val="20"/>
                <w:szCs w:val="20"/>
                <w:lang w:val="en-GB"/>
              </w:rPr>
              <w:t>0.06</w:t>
            </w:r>
          </w:p>
        </w:tc>
      </w:tr>
    </w:tbl>
    <w:p w14:paraId="62C14385" w14:textId="77777777" w:rsidR="00B77DB8" w:rsidRDefault="00B77DB8" w:rsidP="00351932">
      <w:pPr>
        <w:jc w:val="both"/>
        <w:rPr>
          <w:sz w:val="20"/>
          <w:szCs w:val="20"/>
          <w:lang w:val="en-GB"/>
        </w:rPr>
      </w:pPr>
    </w:p>
    <w:p w14:paraId="5FB210D9" w14:textId="3A7579AD" w:rsidR="00351932" w:rsidRPr="002053A0" w:rsidRDefault="00351932" w:rsidP="00351932">
      <w:pPr>
        <w:jc w:val="both"/>
        <w:rPr>
          <w:sz w:val="20"/>
          <w:szCs w:val="20"/>
          <w:lang w:val="en-GB"/>
        </w:rPr>
      </w:pPr>
      <w:r w:rsidRPr="002053A0">
        <w:rPr>
          <w:sz w:val="20"/>
          <w:szCs w:val="20"/>
          <w:lang w:val="en-GB"/>
        </w:rPr>
        <w:t xml:space="preserve">Table 1. Measures of </w:t>
      </w:r>
      <w:r w:rsidR="00B71A17">
        <w:rPr>
          <w:sz w:val="20"/>
          <w:szCs w:val="20"/>
          <w:lang w:val="en-GB"/>
        </w:rPr>
        <w:t>hypoglycaemia experience</w:t>
      </w:r>
      <w:r w:rsidRPr="002053A0">
        <w:rPr>
          <w:sz w:val="20"/>
          <w:szCs w:val="20"/>
          <w:lang w:val="en-GB"/>
        </w:rPr>
        <w:t xml:space="preserve">, </w:t>
      </w:r>
      <w:proofErr w:type="spellStart"/>
      <w:r w:rsidRPr="002053A0">
        <w:rPr>
          <w:sz w:val="20"/>
          <w:szCs w:val="20"/>
          <w:lang w:val="en-GB"/>
        </w:rPr>
        <w:t>hypoglycemia</w:t>
      </w:r>
      <w:proofErr w:type="spellEnd"/>
      <w:r w:rsidRPr="002053A0">
        <w:rPr>
          <w:sz w:val="20"/>
          <w:szCs w:val="20"/>
          <w:lang w:val="en-GB"/>
        </w:rPr>
        <w:t xml:space="preserve"> exposure and insulin dose at baseline and 24 months. Data are </w:t>
      </w:r>
      <w:proofErr w:type="spellStart"/>
      <w:r w:rsidRPr="002053A0">
        <w:rPr>
          <w:sz w:val="20"/>
          <w:szCs w:val="20"/>
          <w:lang w:val="en-GB"/>
        </w:rPr>
        <w:t>mean±SD</w:t>
      </w:r>
      <w:proofErr w:type="spellEnd"/>
      <w:r w:rsidRPr="002053A0">
        <w:rPr>
          <w:sz w:val="20"/>
          <w:szCs w:val="20"/>
          <w:lang w:val="en-GB"/>
        </w:rPr>
        <w:t xml:space="preserve"> (</w:t>
      </w:r>
      <w:r w:rsidRPr="00686F2A">
        <w:rPr>
          <w:i/>
          <w:sz w:val="20"/>
          <w:szCs w:val="20"/>
          <w:lang w:val="en-GB"/>
        </w:rPr>
        <w:t>n</w:t>
      </w:r>
      <w:r w:rsidRPr="002053A0">
        <w:rPr>
          <w:sz w:val="20"/>
          <w:szCs w:val="20"/>
          <w:lang w:val="en-GB"/>
        </w:rPr>
        <w:t>).</w:t>
      </w:r>
    </w:p>
    <w:p w14:paraId="4D3D4A52" w14:textId="77777777" w:rsidR="00351932" w:rsidRPr="002053A0" w:rsidRDefault="00351932" w:rsidP="00351932">
      <w:pPr>
        <w:jc w:val="both"/>
        <w:rPr>
          <w:sz w:val="20"/>
          <w:szCs w:val="20"/>
          <w:lang w:val="en-GB"/>
        </w:rPr>
      </w:pPr>
    </w:p>
    <w:p w14:paraId="4358FE6F" w14:textId="77777777" w:rsidR="00351932" w:rsidRPr="002053A0" w:rsidRDefault="00351932" w:rsidP="00351932">
      <w:pPr>
        <w:jc w:val="both"/>
        <w:rPr>
          <w:sz w:val="20"/>
          <w:szCs w:val="20"/>
          <w:lang w:val="en-GB"/>
        </w:rPr>
      </w:pPr>
    </w:p>
    <w:p w14:paraId="4825CF93" w14:textId="77777777" w:rsidR="00351932" w:rsidRPr="002053A0" w:rsidRDefault="00351932" w:rsidP="00351932">
      <w:pPr>
        <w:jc w:val="both"/>
        <w:rPr>
          <w:sz w:val="20"/>
          <w:szCs w:val="20"/>
          <w:lang w:val="en-GB"/>
        </w:rPr>
      </w:pPr>
    </w:p>
    <w:p w14:paraId="6D991FC7" w14:textId="77777777" w:rsidR="00351932" w:rsidRPr="002053A0" w:rsidRDefault="00351932" w:rsidP="00351932">
      <w:pPr>
        <w:jc w:val="both"/>
        <w:rPr>
          <w:sz w:val="20"/>
          <w:szCs w:val="20"/>
          <w:lang w:val="en-GB"/>
        </w:rPr>
      </w:pPr>
    </w:p>
    <w:p w14:paraId="26650C48" w14:textId="77777777" w:rsidR="00351932" w:rsidRPr="002053A0" w:rsidRDefault="00351932" w:rsidP="00351932">
      <w:pPr>
        <w:jc w:val="both"/>
        <w:rPr>
          <w:sz w:val="20"/>
          <w:szCs w:val="20"/>
          <w:lang w:val="en-GB"/>
        </w:rPr>
      </w:pPr>
    </w:p>
    <w:p w14:paraId="0D94EAB8" w14:textId="77777777" w:rsidR="00351932" w:rsidRPr="002053A0" w:rsidRDefault="00351932" w:rsidP="00351932">
      <w:pPr>
        <w:jc w:val="both"/>
        <w:rPr>
          <w:sz w:val="20"/>
          <w:szCs w:val="20"/>
          <w:lang w:val="en-GB"/>
        </w:rPr>
      </w:pPr>
    </w:p>
    <w:p w14:paraId="24FD500A" w14:textId="77777777" w:rsidR="00351932" w:rsidRPr="002053A0" w:rsidRDefault="00351932" w:rsidP="00351932">
      <w:pPr>
        <w:jc w:val="both"/>
        <w:rPr>
          <w:sz w:val="20"/>
          <w:szCs w:val="20"/>
          <w:lang w:val="en-GB"/>
        </w:rPr>
      </w:pPr>
    </w:p>
    <w:p w14:paraId="24F45624" w14:textId="77777777" w:rsidR="00351932" w:rsidRPr="002053A0" w:rsidRDefault="00351932" w:rsidP="00351932">
      <w:pPr>
        <w:jc w:val="both"/>
        <w:rPr>
          <w:sz w:val="20"/>
          <w:szCs w:val="20"/>
          <w:lang w:val="en-GB"/>
        </w:rPr>
      </w:pPr>
    </w:p>
    <w:p w14:paraId="4C9979FF" w14:textId="77777777" w:rsidR="00351932" w:rsidRPr="002053A0" w:rsidRDefault="00351932" w:rsidP="00351932">
      <w:pPr>
        <w:jc w:val="both"/>
        <w:rPr>
          <w:sz w:val="20"/>
          <w:szCs w:val="20"/>
          <w:lang w:val="en-GB"/>
        </w:rPr>
      </w:pPr>
    </w:p>
    <w:p w14:paraId="36E9FA16" w14:textId="77777777" w:rsidR="00351932" w:rsidRPr="002053A0" w:rsidRDefault="00351932" w:rsidP="00351932">
      <w:pPr>
        <w:jc w:val="both"/>
        <w:rPr>
          <w:sz w:val="20"/>
          <w:szCs w:val="20"/>
          <w:lang w:val="en-GB"/>
        </w:rPr>
      </w:pPr>
    </w:p>
    <w:p w14:paraId="492BFEA6" w14:textId="77777777" w:rsidR="00351932" w:rsidRPr="002053A0" w:rsidRDefault="00351932" w:rsidP="00351932">
      <w:pPr>
        <w:jc w:val="both"/>
        <w:rPr>
          <w:sz w:val="20"/>
          <w:szCs w:val="20"/>
          <w:lang w:val="en-GB"/>
        </w:rPr>
      </w:pPr>
    </w:p>
    <w:p w14:paraId="37D50C48" w14:textId="77777777" w:rsidR="00351932" w:rsidRPr="002053A0" w:rsidRDefault="00351932" w:rsidP="00351932">
      <w:pPr>
        <w:jc w:val="both"/>
        <w:rPr>
          <w:sz w:val="20"/>
          <w:szCs w:val="20"/>
          <w:lang w:val="en-GB"/>
        </w:rPr>
      </w:pPr>
    </w:p>
    <w:p w14:paraId="0345082B" w14:textId="77777777" w:rsidR="00351932" w:rsidRPr="002053A0" w:rsidRDefault="00351932" w:rsidP="00351932">
      <w:pPr>
        <w:jc w:val="both"/>
        <w:rPr>
          <w:sz w:val="20"/>
          <w:szCs w:val="20"/>
          <w:lang w:val="en-GB"/>
        </w:rPr>
      </w:pPr>
    </w:p>
    <w:p w14:paraId="0A56FD37" w14:textId="77777777" w:rsidR="00351932" w:rsidRPr="002053A0" w:rsidRDefault="00351932" w:rsidP="00351932">
      <w:pPr>
        <w:jc w:val="both"/>
        <w:rPr>
          <w:sz w:val="20"/>
          <w:szCs w:val="20"/>
          <w:lang w:val="en-GB"/>
        </w:rPr>
      </w:pPr>
    </w:p>
    <w:p w14:paraId="463CE52C" w14:textId="77777777" w:rsidR="00351932" w:rsidRPr="002053A0" w:rsidRDefault="00351932" w:rsidP="00351932">
      <w:pPr>
        <w:jc w:val="both"/>
        <w:rPr>
          <w:sz w:val="20"/>
          <w:szCs w:val="20"/>
          <w:lang w:val="en-GB"/>
        </w:rPr>
      </w:pPr>
    </w:p>
    <w:p w14:paraId="2930B0AD" w14:textId="77777777" w:rsidR="00351932" w:rsidRPr="002053A0" w:rsidRDefault="00351932" w:rsidP="00351932">
      <w:pPr>
        <w:jc w:val="both"/>
        <w:rPr>
          <w:sz w:val="20"/>
          <w:szCs w:val="20"/>
          <w:lang w:val="en-GB"/>
        </w:rPr>
      </w:pPr>
    </w:p>
    <w:p w14:paraId="4BF6B663" w14:textId="77777777" w:rsidR="00351932" w:rsidRPr="002053A0" w:rsidRDefault="00351932" w:rsidP="00351932">
      <w:pPr>
        <w:jc w:val="both"/>
        <w:rPr>
          <w:sz w:val="20"/>
          <w:szCs w:val="20"/>
          <w:lang w:val="en-GB"/>
        </w:rPr>
      </w:pPr>
    </w:p>
    <w:p w14:paraId="52BFD020" w14:textId="77777777" w:rsidR="00351932" w:rsidRPr="002053A0" w:rsidRDefault="00351932" w:rsidP="00351932">
      <w:pPr>
        <w:jc w:val="both"/>
        <w:rPr>
          <w:sz w:val="20"/>
          <w:szCs w:val="20"/>
          <w:lang w:val="en-GB"/>
        </w:rPr>
      </w:pPr>
    </w:p>
    <w:p w14:paraId="23A04580" w14:textId="77777777" w:rsidR="00351932" w:rsidRPr="002053A0" w:rsidRDefault="00351932" w:rsidP="00351932">
      <w:pPr>
        <w:jc w:val="both"/>
        <w:rPr>
          <w:sz w:val="20"/>
          <w:szCs w:val="20"/>
          <w:lang w:val="en-GB"/>
        </w:rPr>
      </w:pPr>
    </w:p>
    <w:p w14:paraId="56970C3A" w14:textId="77777777" w:rsidR="00351932" w:rsidRPr="002053A0" w:rsidRDefault="00351932" w:rsidP="00351932">
      <w:pPr>
        <w:jc w:val="both"/>
        <w:rPr>
          <w:sz w:val="20"/>
          <w:szCs w:val="20"/>
          <w:lang w:val="en-GB"/>
        </w:rPr>
      </w:pPr>
    </w:p>
    <w:p w14:paraId="7BBCE6E8" w14:textId="77777777" w:rsidR="00351932" w:rsidRPr="002053A0" w:rsidRDefault="00351932" w:rsidP="00351932">
      <w:pPr>
        <w:jc w:val="both"/>
        <w:rPr>
          <w:sz w:val="20"/>
          <w:szCs w:val="20"/>
          <w:lang w:val="en-GB"/>
        </w:rPr>
      </w:pPr>
    </w:p>
    <w:p w14:paraId="18F34A52" w14:textId="77777777" w:rsidR="00351932" w:rsidRPr="002053A0" w:rsidRDefault="00351932" w:rsidP="00351932">
      <w:pPr>
        <w:jc w:val="both"/>
        <w:rPr>
          <w:sz w:val="20"/>
          <w:szCs w:val="20"/>
          <w:lang w:val="en-GB"/>
        </w:rPr>
      </w:pPr>
    </w:p>
    <w:p w14:paraId="4876DEF7" w14:textId="47CF5FBE" w:rsidR="00B77DB8" w:rsidRDefault="00B77DB8">
      <w:pPr>
        <w:rPr>
          <w:sz w:val="20"/>
          <w:szCs w:val="20"/>
          <w:lang w:val="en-GB"/>
        </w:rPr>
      </w:pPr>
      <w:r>
        <w:rPr>
          <w:sz w:val="20"/>
          <w:szCs w:val="20"/>
          <w:lang w:val="en-GB"/>
        </w:rPr>
        <w:br w:type="page"/>
      </w:r>
    </w:p>
    <w:p w14:paraId="7998D27D" w14:textId="77777777" w:rsidR="00351932" w:rsidRPr="002053A0" w:rsidRDefault="00351932" w:rsidP="00351932">
      <w:pPr>
        <w:jc w:val="both"/>
        <w:rPr>
          <w:sz w:val="20"/>
          <w:szCs w:val="20"/>
          <w:lang w:val="en-GB"/>
        </w:rPr>
      </w:pPr>
    </w:p>
    <w:tbl>
      <w:tblPr>
        <w:tblStyle w:val="TableGridLight1"/>
        <w:tblW w:w="10200" w:type="dxa"/>
        <w:tblLook w:val="06A0" w:firstRow="1" w:lastRow="0" w:firstColumn="1" w:lastColumn="0" w:noHBand="1" w:noVBand="1"/>
      </w:tblPr>
      <w:tblGrid>
        <w:gridCol w:w="3589"/>
        <w:gridCol w:w="1258"/>
        <w:gridCol w:w="2160"/>
        <w:gridCol w:w="2250"/>
        <w:gridCol w:w="943"/>
      </w:tblGrid>
      <w:tr w:rsidR="00351932" w:rsidRPr="005A751D" w14:paraId="4ACF2762" w14:textId="77777777" w:rsidTr="00A90240">
        <w:trPr>
          <w:trHeight w:val="150"/>
        </w:trPr>
        <w:tc>
          <w:tcPr>
            <w:tcW w:w="3589" w:type="dxa"/>
            <w:vAlign w:val="center"/>
          </w:tcPr>
          <w:p w14:paraId="135485E5" w14:textId="77777777" w:rsidR="00351932" w:rsidRPr="002053A0" w:rsidRDefault="00351932" w:rsidP="009B249D">
            <w:pPr>
              <w:rPr>
                <w:b/>
                <w:sz w:val="20"/>
                <w:szCs w:val="20"/>
                <w:lang w:val="en-GB"/>
              </w:rPr>
            </w:pPr>
          </w:p>
        </w:tc>
        <w:tc>
          <w:tcPr>
            <w:tcW w:w="1258" w:type="dxa"/>
            <w:vAlign w:val="center"/>
          </w:tcPr>
          <w:p w14:paraId="46C7771E" w14:textId="77777777" w:rsidR="00351932" w:rsidRPr="002053A0" w:rsidRDefault="00351932" w:rsidP="009B249D">
            <w:pPr>
              <w:jc w:val="center"/>
              <w:rPr>
                <w:sz w:val="20"/>
                <w:szCs w:val="20"/>
                <w:lang w:val="en-GB"/>
              </w:rPr>
            </w:pPr>
          </w:p>
        </w:tc>
        <w:tc>
          <w:tcPr>
            <w:tcW w:w="2160" w:type="dxa"/>
            <w:vAlign w:val="center"/>
          </w:tcPr>
          <w:p w14:paraId="21FD8B56" w14:textId="0BDEECF0" w:rsidR="00351932" w:rsidRPr="002053A0" w:rsidRDefault="00351932" w:rsidP="006D12F7">
            <w:pPr>
              <w:jc w:val="center"/>
              <w:rPr>
                <w:sz w:val="20"/>
                <w:szCs w:val="20"/>
                <w:lang w:val="en-GB"/>
              </w:rPr>
            </w:pPr>
            <w:r w:rsidRPr="002053A0">
              <w:rPr>
                <w:sz w:val="20"/>
                <w:szCs w:val="20"/>
                <w:lang w:val="en-GB"/>
              </w:rPr>
              <w:t xml:space="preserve">Complete </w:t>
            </w:r>
            <w:r w:rsidR="006D12F7">
              <w:rPr>
                <w:sz w:val="20"/>
                <w:szCs w:val="20"/>
                <w:lang w:val="en-GB"/>
              </w:rPr>
              <w:t>r</w:t>
            </w:r>
            <w:r w:rsidRPr="002053A0">
              <w:rPr>
                <w:sz w:val="20"/>
                <w:szCs w:val="20"/>
                <w:lang w:val="en-GB"/>
              </w:rPr>
              <w:t>esponse</w:t>
            </w:r>
            <w:r w:rsidR="006D12F7">
              <w:rPr>
                <w:sz w:val="20"/>
                <w:szCs w:val="20"/>
                <w:lang w:val="en-GB"/>
              </w:rPr>
              <w:t>,</w:t>
            </w:r>
            <w:r w:rsidR="00DE582B">
              <w:rPr>
                <w:sz w:val="20"/>
                <w:szCs w:val="20"/>
                <w:lang w:val="en-GB"/>
              </w:rPr>
              <w:t xml:space="preserve"> </w:t>
            </w:r>
            <w:r w:rsidRPr="00686F2A">
              <w:rPr>
                <w:i/>
                <w:sz w:val="20"/>
                <w:szCs w:val="20"/>
                <w:lang w:val="en-GB"/>
              </w:rPr>
              <w:t>n</w:t>
            </w:r>
            <w:r w:rsidRPr="002053A0">
              <w:rPr>
                <w:sz w:val="20"/>
                <w:szCs w:val="20"/>
                <w:lang w:val="en-GB"/>
              </w:rPr>
              <w:t>=43 (60.6%)</w:t>
            </w:r>
          </w:p>
        </w:tc>
        <w:tc>
          <w:tcPr>
            <w:tcW w:w="2250" w:type="dxa"/>
            <w:vAlign w:val="center"/>
          </w:tcPr>
          <w:p w14:paraId="545D8608" w14:textId="0C529D96" w:rsidR="00351932" w:rsidRPr="002053A0" w:rsidRDefault="00351932" w:rsidP="006D12F7">
            <w:pPr>
              <w:jc w:val="center"/>
              <w:rPr>
                <w:sz w:val="20"/>
                <w:szCs w:val="20"/>
                <w:lang w:val="en-GB"/>
              </w:rPr>
            </w:pPr>
            <w:r w:rsidRPr="002053A0">
              <w:rPr>
                <w:sz w:val="20"/>
                <w:szCs w:val="20"/>
                <w:lang w:val="en-GB"/>
              </w:rPr>
              <w:t xml:space="preserve">Incomplete </w:t>
            </w:r>
            <w:r w:rsidR="006D12F7">
              <w:rPr>
                <w:sz w:val="20"/>
                <w:szCs w:val="20"/>
                <w:lang w:val="en-GB"/>
              </w:rPr>
              <w:t>r</w:t>
            </w:r>
            <w:r w:rsidRPr="002053A0">
              <w:rPr>
                <w:sz w:val="20"/>
                <w:szCs w:val="20"/>
                <w:lang w:val="en-GB"/>
              </w:rPr>
              <w:t>esponse</w:t>
            </w:r>
            <w:r w:rsidR="006D12F7">
              <w:rPr>
                <w:sz w:val="20"/>
                <w:szCs w:val="20"/>
                <w:lang w:val="en-GB"/>
              </w:rPr>
              <w:t>,</w:t>
            </w:r>
            <w:r w:rsidR="00DE582B">
              <w:rPr>
                <w:sz w:val="20"/>
                <w:szCs w:val="20"/>
                <w:lang w:val="en-GB"/>
              </w:rPr>
              <w:t xml:space="preserve"> </w:t>
            </w:r>
            <w:r w:rsidRPr="00686F2A">
              <w:rPr>
                <w:i/>
                <w:sz w:val="20"/>
                <w:szCs w:val="20"/>
                <w:lang w:val="en-GB"/>
              </w:rPr>
              <w:t>n</w:t>
            </w:r>
            <w:r w:rsidRPr="002053A0">
              <w:rPr>
                <w:sz w:val="20"/>
                <w:szCs w:val="20"/>
                <w:lang w:val="en-GB"/>
              </w:rPr>
              <w:t>=28 (39.4%)</w:t>
            </w:r>
          </w:p>
        </w:tc>
        <w:tc>
          <w:tcPr>
            <w:tcW w:w="943" w:type="dxa"/>
            <w:vAlign w:val="center"/>
          </w:tcPr>
          <w:p w14:paraId="22EBCAC8" w14:textId="0C628A69" w:rsidR="00351932" w:rsidRPr="002053A0" w:rsidRDefault="006D12F7" w:rsidP="009B249D">
            <w:pPr>
              <w:jc w:val="center"/>
              <w:rPr>
                <w:sz w:val="20"/>
                <w:szCs w:val="20"/>
                <w:lang w:val="en-GB"/>
              </w:rPr>
            </w:pPr>
            <w:r>
              <w:rPr>
                <w:i/>
                <w:sz w:val="20"/>
                <w:szCs w:val="20"/>
                <w:lang w:val="en-GB"/>
              </w:rPr>
              <w:t xml:space="preserve">P </w:t>
            </w:r>
            <w:r w:rsidR="00351932" w:rsidRPr="002053A0">
              <w:rPr>
                <w:sz w:val="20"/>
                <w:szCs w:val="20"/>
                <w:lang w:val="en-GB"/>
              </w:rPr>
              <w:t>value</w:t>
            </w:r>
          </w:p>
        </w:tc>
      </w:tr>
      <w:tr w:rsidR="00351932" w:rsidRPr="005A751D" w14:paraId="2B81FD9F" w14:textId="77777777" w:rsidTr="00A90240">
        <w:trPr>
          <w:trHeight w:val="150"/>
        </w:trPr>
        <w:tc>
          <w:tcPr>
            <w:tcW w:w="3589" w:type="dxa"/>
            <w:vAlign w:val="center"/>
          </w:tcPr>
          <w:p w14:paraId="0826B472" w14:textId="77777777" w:rsidR="00351932" w:rsidRPr="002053A0" w:rsidRDefault="00351932" w:rsidP="009B249D">
            <w:pPr>
              <w:rPr>
                <w:b/>
                <w:sz w:val="20"/>
                <w:szCs w:val="20"/>
                <w:lang w:val="en-GB"/>
              </w:rPr>
            </w:pPr>
            <w:r w:rsidRPr="002053A0">
              <w:rPr>
                <w:b/>
                <w:sz w:val="20"/>
                <w:szCs w:val="20"/>
                <w:lang w:val="en-GB"/>
              </w:rPr>
              <w:t xml:space="preserve">Fear of </w:t>
            </w:r>
            <w:proofErr w:type="spellStart"/>
            <w:r w:rsidRPr="002053A0">
              <w:rPr>
                <w:b/>
                <w:sz w:val="20"/>
                <w:szCs w:val="20"/>
                <w:lang w:val="en-GB"/>
              </w:rPr>
              <w:t>hypoglycemia</w:t>
            </w:r>
            <w:proofErr w:type="spellEnd"/>
            <w:r w:rsidRPr="002053A0">
              <w:rPr>
                <w:b/>
                <w:sz w:val="20"/>
                <w:szCs w:val="20"/>
                <w:lang w:val="en-GB"/>
              </w:rPr>
              <w:t>: HFS-II</w:t>
            </w:r>
          </w:p>
        </w:tc>
        <w:tc>
          <w:tcPr>
            <w:tcW w:w="1258" w:type="dxa"/>
            <w:vAlign w:val="center"/>
          </w:tcPr>
          <w:p w14:paraId="4FE524B9" w14:textId="77777777" w:rsidR="00351932" w:rsidRPr="002053A0" w:rsidRDefault="00351932" w:rsidP="009B249D">
            <w:pPr>
              <w:jc w:val="center"/>
              <w:rPr>
                <w:sz w:val="20"/>
                <w:szCs w:val="20"/>
                <w:lang w:val="en-GB"/>
              </w:rPr>
            </w:pPr>
          </w:p>
        </w:tc>
        <w:tc>
          <w:tcPr>
            <w:tcW w:w="2160" w:type="dxa"/>
            <w:vAlign w:val="center"/>
          </w:tcPr>
          <w:p w14:paraId="24BEA699" w14:textId="77777777" w:rsidR="00351932" w:rsidRPr="002053A0" w:rsidRDefault="00351932" w:rsidP="009B249D">
            <w:pPr>
              <w:jc w:val="center"/>
              <w:rPr>
                <w:sz w:val="20"/>
                <w:szCs w:val="20"/>
                <w:lang w:val="en-GB"/>
              </w:rPr>
            </w:pPr>
          </w:p>
        </w:tc>
        <w:tc>
          <w:tcPr>
            <w:tcW w:w="2250" w:type="dxa"/>
            <w:vAlign w:val="center"/>
          </w:tcPr>
          <w:p w14:paraId="410A09CF" w14:textId="77777777" w:rsidR="00351932" w:rsidRPr="002053A0" w:rsidRDefault="00351932" w:rsidP="009B249D">
            <w:pPr>
              <w:jc w:val="center"/>
              <w:rPr>
                <w:sz w:val="20"/>
                <w:szCs w:val="20"/>
                <w:lang w:val="en-GB"/>
              </w:rPr>
            </w:pPr>
          </w:p>
        </w:tc>
        <w:tc>
          <w:tcPr>
            <w:tcW w:w="943" w:type="dxa"/>
            <w:vAlign w:val="center"/>
          </w:tcPr>
          <w:p w14:paraId="392715F4" w14:textId="77777777" w:rsidR="00351932" w:rsidRPr="002053A0" w:rsidRDefault="00351932" w:rsidP="009B249D">
            <w:pPr>
              <w:jc w:val="center"/>
              <w:rPr>
                <w:sz w:val="20"/>
                <w:szCs w:val="20"/>
                <w:lang w:val="en-GB"/>
              </w:rPr>
            </w:pPr>
          </w:p>
        </w:tc>
      </w:tr>
      <w:tr w:rsidR="006D12F7" w:rsidRPr="005A751D" w14:paraId="1DC23AAF" w14:textId="77777777" w:rsidTr="00A90240">
        <w:trPr>
          <w:trHeight w:val="275"/>
        </w:trPr>
        <w:tc>
          <w:tcPr>
            <w:tcW w:w="3589" w:type="dxa"/>
            <w:vMerge w:val="restart"/>
            <w:vAlign w:val="center"/>
          </w:tcPr>
          <w:p w14:paraId="34EB7748" w14:textId="77777777" w:rsidR="006D12F7" w:rsidRPr="002053A0" w:rsidRDefault="006D12F7" w:rsidP="009B249D">
            <w:pPr>
              <w:ind w:left="360"/>
              <w:rPr>
                <w:sz w:val="20"/>
                <w:szCs w:val="20"/>
                <w:lang w:val="en-GB"/>
              </w:rPr>
            </w:pPr>
            <w:r w:rsidRPr="002053A0">
              <w:rPr>
                <w:sz w:val="20"/>
                <w:szCs w:val="20"/>
                <w:lang w:val="en-GB"/>
              </w:rPr>
              <w:t>Total</w:t>
            </w:r>
          </w:p>
        </w:tc>
        <w:tc>
          <w:tcPr>
            <w:tcW w:w="1258" w:type="dxa"/>
            <w:vAlign w:val="center"/>
          </w:tcPr>
          <w:p w14:paraId="484BD9AD" w14:textId="77777777" w:rsidR="006D12F7" w:rsidRPr="002053A0" w:rsidRDefault="006D12F7" w:rsidP="009B249D">
            <w:pPr>
              <w:jc w:val="center"/>
              <w:rPr>
                <w:sz w:val="20"/>
                <w:szCs w:val="20"/>
                <w:lang w:val="en-GB"/>
              </w:rPr>
            </w:pPr>
            <w:r w:rsidRPr="002053A0">
              <w:rPr>
                <w:sz w:val="20"/>
                <w:szCs w:val="20"/>
                <w:lang w:val="en-GB"/>
              </w:rPr>
              <w:t>Baseline</w:t>
            </w:r>
          </w:p>
        </w:tc>
        <w:tc>
          <w:tcPr>
            <w:tcW w:w="2160" w:type="dxa"/>
            <w:vAlign w:val="center"/>
          </w:tcPr>
          <w:p w14:paraId="20EA977E" w14:textId="77777777" w:rsidR="006D12F7" w:rsidRPr="002053A0" w:rsidRDefault="006D12F7" w:rsidP="009B249D">
            <w:pPr>
              <w:jc w:val="center"/>
              <w:rPr>
                <w:sz w:val="20"/>
                <w:szCs w:val="20"/>
                <w:lang w:val="en-GB"/>
              </w:rPr>
            </w:pPr>
            <w:r w:rsidRPr="002053A0">
              <w:rPr>
                <w:sz w:val="20"/>
                <w:szCs w:val="20"/>
                <w:lang w:val="en-GB"/>
              </w:rPr>
              <w:t>52.4±26.4 (41)</w:t>
            </w:r>
          </w:p>
        </w:tc>
        <w:tc>
          <w:tcPr>
            <w:tcW w:w="2250" w:type="dxa"/>
            <w:vAlign w:val="center"/>
          </w:tcPr>
          <w:p w14:paraId="62C287DA" w14:textId="77777777" w:rsidR="006D12F7" w:rsidRPr="002053A0" w:rsidRDefault="006D12F7" w:rsidP="009B249D">
            <w:pPr>
              <w:jc w:val="center"/>
              <w:rPr>
                <w:sz w:val="20"/>
                <w:szCs w:val="20"/>
                <w:lang w:val="en-GB"/>
              </w:rPr>
            </w:pPr>
            <w:r w:rsidRPr="002053A0">
              <w:rPr>
                <w:sz w:val="20"/>
                <w:szCs w:val="20"/>
                <w:lang w:val="en-GB"/>
              </w:rPr>
              <w:t>69.0±24.9 (28)</w:t>
            </w:r>
          </w:p>
        </w:tc>
        <w:tc>
          <w:tcPr>
            <w:tcW w:w="943" w:type="dxa"/>
            <w:vAlign w:val="center"/>
          </w:tcPr>
          <w:p w14:paraId="5BE2902F" w14:textId="77777777" w:rsidR="006D12F7" w:rsidRPr="002053A0" w:rsidRDefault="006D12F7" w:rsidP="009B249D">
            <w:pPr>
              <w:jc w:val="center"/>
              <w:rPr>
                <w:sz w:val="20"/>
                <w:szCs w:val="20"/>
                <w:lang w:val="en-GB"/>
              </w:rPr>
            </w:pPr>
            <w:r w:rsidRPr="002053A0">
              <w:rPr>
                <w:sz w:val="20"/>
                <w:szCs w:val="20"/>
                <w:lang w:val="en-GB"/>
              </w:rPr>
              <w:t>0.01</w:t>
            </w:r>
          </w:p>
        </w:tc>
      </w:tr>
      <w:tr w:rsidR="006D12F7" w:rsidRPr="005A751D" w14:paraId="59981EFD" w14:textId="77777777" w:rsidTr="00A90240">
        <w:trPr>
          <w:trHeight w:val="271"/>
        </w:trPr>
        <w:tc>
          <w:tcPr>
            <w:tcW w:w="3589" w:type="dxa"/>
            <w:vMerge/>
            <w:vAlign w:val="center"/>
          </w:tcPr>
          <w:p w14:paraId="3F521CB9" w14:textId="77777777" w:rsidR="006D12F7" w:rsidRPr="002053A0" w:rsidRDefault="006D12F7" w:rsidP="009B249D">
            <w:pPr>
              <w:pStyle w:val="ListParagraph"/>
              <w:rPr>
                <w:sz w:val="20"/>
                <w:szCs w:val="20"/>
                <w:lang w:val="en-GB"/>
              </w:rPr>
            </w:pPr>
          </w:p>
        </w:tc>
        <w:tc>
          <w:tcPr>
            <w:tcW w:w="1258" w:type="dxa"/>
            <w:vAlign w:val="center"/>
          </w:tcPr>
          <w:p w14:paraId="4C24B42E" w14:textId="26915F5E" w:rsidR="006D12F7" w:rsidRPr="002053A0" w:rsidRDefault="006D12F7" w:rsidP="009B249D">
            <w:pPr>
              <w:jc w:val="center"/>
              <w:rPr>
                <w:sz w:val="20"/>
                <w:szCs w:val="20"/>
                <w:lang w:val="en-GB"/>
              </w:rPr>
            </w:pPr>
            <w:r>
              <w:rPr>
                <w:sz w:val="20"/>
                <w:szCs w:val="20"/>
                <w:lang w:val="en-GB"/>
              </w:rPr>
              <w:t>24 months</w:t>
            </w:r>
          </w:p>
        </w:tc>
        <w:tc>
          <w:tcPr>
            <w:tcW w:w="2160" w:type="dxa"/>
            <w:vAlign w:val="center"/>
          </w:tcPr>
          <w:p w14:paraId="372133C9" w14:textId="77777777" w:rsidR="006D12F7" w:rsidRPr="002053A0" w:rsidRDefault="006D12F7" w:rsidP="009B249D">
            <w:pPr>
              <w:jc w:val="center"/>
              <w:rPr>
                <w:sz w:val="20"/>
                <w:szCs w:val="20"/>
                <w:lang w:val="en-GB"/>
              </w:rPr>
            </w:pPr>
            <w:r w:rsidRPr="002053A0">
              <w:rPr>
                <w:sz w:val="20"/>
                <w:szCs w:val="20"/>
                <w:lang w:val="en-GB"/>
              </w:rPr>
              <w:t>34.0±23.6 (28)</w:t>
            </w:r>
          </w:p>
        </w:tc>
        <w:tc>
          <w:tcPr>
            <w:tcW w:w="2250" w:type="dxa"/>
            <w:vAlign w:val="center"/>
          </w:tcPr>
          <w:p w14:paraId="0FCC6F27" w14:textId="77777777" w:rsidR="006D12F7" w:rsidRPr="002053A0" w:rsidRDefault="006D12F7" w:rsidP="009B249D">
            <w:pPr>
              <w:jc w:val="center"/>
              <w:rPr>
                <w:sz w:val="20"/>
                <w:szCs w:val="20"/>
                <w:lang w:val="en-GB"/>
              </w:rPr>
            </w:pPr>
            <w:r w:rsidRPr="002053A0">
              <w:rPr>
                <w:sz w:val="20"/>
                <w:szCs w:val="20"/>
                <w:lang w:val="en-GB"/>
              </w:rPr>
              <w:t>53.9±29.6 (13)</w:t>
            </w:r>
          </w:p>
        </w:tc>
        <w:tc>
          <w:tcPr>
            <w:tcW w:w="943" w:type="dxa"/>
            <w:vAlign w:val="center"/>
          </w:tcPr>
          <w:p w14:paraId="30D0E96F" w14:textId="77777777" w:rsidR="006D12F7" w:rsidRPr="002053A0" w:rsidRDefault="006D12F7" w:rsidP="009B249D">
            <w:pPr>
              <w:jc w:val="center"/>
              <w:rPr>
                <w:sz w:val="20"/>
                <w:szCs w:val="20"/>
                <w:lang w:val="en-GB"/>
              </w:rPr>
            </w:pPr>
            <w:r w:rsidRPr="002053A0">
              <w:rPr>
                <w:sz w:val="20"/>
                <w:szCs w:val="20"/>
                <w:lang w:val="en-GB"/>
              </w:rPr>
              <w:t>0.03</w:t>
            </w:r>
          </w:p>
        </w:tc>
      </w:tr>
      <w:tr w:rsidR="006D12F7" w:rsidRPr="005A751D" w14:paraId="4818A0DE" w14:textId="77777777" w:rsidTr="00A90240">
        <w:trPr>
          <w:trHeight w:val="305"/>
        </w:trPr>
        <w:tc>
          <w:tcPr>
            <w:tcW w:w="3589" w:type="dxa"/>
            <w:vMerge w:val="restart"/>
            <w:vAlign w:val="center"/>
          </w:tcPr>
          <w:p w14:paraId="3BE9BDAE" w14:textId="77777777" w:rsidR="006D12F7" w:rsidRPr="002053A0" w:rsidRDefault="006D12F7" w:rsidP="009B249D">
            <w:pPr>
              <w:ind w:left="360"/>
              <w:rPr>
                <w:sz w:val="20"/>
                <w:szCs w:val="20"/>
                <w:lang w:val="en-GB"/>
              </w:rPr>
            </w:pPr>
            <w:proofErr w:type="spellStart"/>
            <w:r w:rsidRPr="002053A0">
              <w:rPr>
                <w:sz w:val="20"/>
                <w:szCs w:val="20"/>
                <w:lang w:val="en-GB"/>
              </w:rPr>
              <w:t>Behavior</w:t>
            </w:r>
            <w:proofErr w:type="spellEnd"/>
          </w:p>
        </w:tc>
        <w:tc>
          <w:tcPr>
            <w:tcW w:w="1258" w:type="dxa"/>
            <w:vAlign w:val="center"/>
          </w:tcPr>
          <w:p w14:paraId="111E9A06" w14:textId="77777777" w:rsidR="006D12F7" w:rsidRPr="002053A0" w:rsidRDefault="006D12F7" w:rsidP="009B249D">
            <w:pPr>
              <w:jc w:val="center"/>
              <w:rPr>
                <w:sz w:val="20"/>
                <w:szCs w:val="20"/>
                <w:lang w:val="en-GB"/>
              </w:rPr>
            </w:pPr>
            <w:r w:rsidRPr="002053A0">
              <w:rPr>
                <w:sz w:val="20"/>
                <w:szCs w:val="20"/>
                <w:lang w:val="en-GB"/>
              </w:rPr>
              <w:t>Baseline</w:t>
            </w:r>
          </w:p>
        </w:tc>
        <w:tc>
          <w:tcPr>
            <w:tcW w:w="2160" w:type="dxa"/>
            <w:vAlign w:val="center"/>
          </w:tcPr>
          <w:p w14:paraId="5E079B8A" w14:textId="77777777" w:rsidR="006D12F7" w:rsidRPr="002053A0" w:rsidRDefault="006D12F7" w:rsidP="009B249D">
            <w:pPr>
              <w:jc w:val="center"/>
              <w:rPr>
                <w:sz w:val="20"/>
                <w:szCs w:val="20"/>
                <w:lang w:val="en-GB"/>
              </w:rPr>
            </w:pPr>
            <w:r w:rsidRPr="002053A0">
              <w:rPr>
                <w:sz w:val="20"/>
                <w:szCs w:val="20"/>
                <w:lang w:val="en-GB"/>
              </w:rPr>
              <w:t>21.7±10.6 (41)</w:t>
            </w:r>
          </w:p>
        </w:tc>
        <w:tc>
          <w:tcPr>
            <w:tcW w:w="2250" w:type="dxa"/>
            <w:vAlign w:val="center"/>
          </w:tcPr>
          <w:p w14:paraId="64E6E249" w14:textId="77777777" w:rsidR="006D12F7" w:rsidRPr="002053A0" w:rsidRDefault="006D12F7" w:rsidP="009B249D">
            <w:pPr>
              <w:jc w:val="center"/>
              <w:rPr>
                <w:sz w:val="20"/>
                <w:szCs w:val="20"/>
                <w:lang w:val="en-GB"/>
              </w:rPr>
            </w:pPr>
            <w:r w:rsidRPr="002053A0">
              <w:rPr>
                <w:sz w:val="20"/>
                <w:szCs w:val="20"/>
                <w:lang w:val="en-GB"/>
              </w:rPr>
              <w:t>28.8±12.0 (28)</w:t>
            </w:r>
          </w:p>
        </w:tc>
        <w:tc>
          <w:tcPr>
            <w:tcW w:w="943" w:type="dxa"/>
            <w:vAlign w:val="center"/>
          </w:tcPr>
          <w:p w14:paraId="0883EC9B" w14:textId="77777777" w:rsidR="006D12F7" w:rsidRPr="002053A0" w:rsidRDefault="006D12F7" w:rsidP="009B249D">
            <w:pPr>
              <w:jc w:val="center"/>
              <w:rPr>
                <w:sz w:val="20"/>
                <w:szCs w:val="20"/>
                <w:lang w:val="en-GB"/>
              </w:rPr>
            </w:pPr>
            <w:r w:rsidRPr="002053A0">
              <w:rPr>
                <w:sz w:val="20"/>
                <w:szCs w:val="20"/>
                <w:lang w:val="en-GB"/>
              </w:rPr>
              <w:t>0.01</w:t>
            </w:r>
          </w:p>
        </w:tc>
      </w:tr>
      <w:tr w:rsidR="006D12F7" w:rsidRPr="005A751D" w14:paraId="5FD5A4CA" w14:textId="77777777" w:rsidTr="00A90240">
        <w:trPr>
          <w:trHeight w:val="267"/>
        </w:trPr>
        <w:tc>
          <w:tcPr>
            <w:tcW w:w="3589" w:type="dxa"/>
            <w:vMerge/>
            <w:vAlign w:val="center"/>
          </w:tcPr>
          <w:p w14:paraId="73E04514" w14:textId="77777777" w:rsidR="006D12F7" w:rsidRPr="002053A0" w:rsidRDefault="006D12F7" w:rsidP="009B249D">
            <w:pPr>
              <w:rPr>
                <w:sz w:val="20"/>
                <w:szCs w:val="20"/>
                <w:lang w:val="en-GB"/>
              </w:rPr>
            </w:pPr>
          </w:p>
        </w:tc>
        <w:tc>
          <w:tcPr>
            <w:tcW w:w="1258" w:type="dxa"/>
            <w:vAlign w:val="center"/>
          </w:tcPr>
          <w:p w14:paraId="7DC707B3" w14:textId="339E7B45" w:rsidR="006D12F7" w:rsidRPr="002053A0" w:rsidRDefault="006D12F7" w:rsidP="009B249D">
            <w:pPr>
              <w:jc w:val="center"/>
              <w:rPr>
                <w:sz w:val="20"/>
                <w:szCs w:val="20"/>
                <w:lang w:val="en-GB"/>
              </w:rPr>
            </w:pPr>
            <w:r>
              <w:rPr>
                <w:sz w:val="20"/>
                <w:szCs w:val="20"/>
                <w:lang w:val="en-GB"/>
              </w:rPr>
              <w:t>24 months</w:t>
            </w:r>
          </w:p>
        </w:tc>
        <w:tc>
          <w:tcPr>
            <w:tcW w:w="2160" w:type="dxa"/>
            <w:vAlign w:val="center"/>
          </w:tcPr>
          <w:p w14:paraId="577F4C8C" w14:textId="77777777" w:rsidR="006D12F7" w:rsidRPr="002053A0" w:rsidRDefault="006D12F7" w:rsidP="009B249D">
            <w:pPr>
              <w:jc w:val="center"/>
              <w:rPr>
                <w:sz w:val="20"/>
                <w:szCs w:val="20"/>
                <w:lang w:val="en-GB"/>
              </w:rPr>
            </w:pPr>
            <w:r w:rsidRPr="002053A0">
              <w:rPr>
                <w:sz w:val="20"/>
                <w:szCs w:val="20"/>
                <w:lang w:val="en-GB"/>
              </w:rPr>
              <w:t>16.6±8.7 (30)</w:t>
            </w:r>
          </w:p>
        </w:tc>
        <w:tc>
          <w:tcPr>
            <w:tcW w:w="2250" w:type="dxa"/>
            <w:vAlign w:val="center"/>
          </w:tcPr>
          <w:p w14:paraId="49A86DB3" w14:textId="77777777" w:rsidR="006D12F7" w:rsidRPr="002053A0" w:rsidRDefault="006D12F7" w:rsidP="009B249D">
            <w:pPr>
              <w:jc w:val="center"/>
              <w:rPr>
                <w:sz w:val="20"/>
                <w:szCs w:val="20"/>
                <w:lang w:val="en-GB"/>
              </w:rPr>
            </w:pPr>
            <w:r w:rsidRPr="002053A0">
              <w:rPr>
                <w:sz w:val="20"/>
                <w:szCs w:val="20"/>
                <w:lang w:val="en-GB"/>
              </w:rPr>
              <w:t>25.8±14.3 (13)</w:t>
            </w:r>
          </w:p>
        </w:tc>
        <w:tc>
          <w:tcPr>
            <w:tcW w:w="943" w:type="dxa"/>
            <w:vAlign w:val="center"/>
          </w:tcPr>
          <w:p w14:paraId="5D8559DF" w14:textId="77777777" w:rsidR="006D12F7" w:rsidRPr="002053A0" w:rsidRDefault="006D12F7" w:rsidP="009B249D">
            <w:pPr>
              <w:jc w:val="center"/>
              <w:rPr>
                <w:sz w:val="20"/>
                <w:szCs w:val="20"/>
                <w:lang w:val="en-GB"/>
              </w:rPr>
            </w:pPr>
            <w:r w:rsidRPr="002053A0">
              <w:rPr>
                <w:sz w:val="20"/>
                <w:szCs w:val="20"/>
                <w:lang w:val="en-GB"/>
              </w:rPr>
              <w:t>0.01</w:t>
            </w:r>
          </w:p>
        </w:tc>
      </w:tr>
      <w:tr w:rsidR="006D12F7" w:rsidRPr="005A751D" w14:paraId="6CCAA4F4" w14:textId="77777777" w:rsidTr="00A90240">
        <w:trPr>
          <w:trHeight w:val="267"/>
        </w:trPr>
        <w:tc>
          <w:tcPr>
            <w:tcW w:w="3589" w:type="dxa"/>
            <w:vMerge w:val="restart"/>
            <w:vAlign w:val="center"/>
          </w:tcPr>
          <w:p w14:paraId="221FBEFD" w14:textId="77777777" w:rsidR="006D12F7" w:rsidRPr="002053A0" w:rsidRDefault="006D12F7" w:rsidP="009B249D">
            <w:pPr>
              <w:ind w:left="360"/>
              <w:rPr>
                <w:sz w:val="20"/>
                <w:szCs w:val="20"/>
                <w:lang w:val="en-GB"/>
              </w:rPr>
            </w:pPr>
            <w:r w:rsidRPr="002053A0">
              <w:rPr>
                <w:sz w:val="20"/>
                <w:szCs w:val="20"/>
                <w:lang w:val="en-GB"/>
              </w:rPr>
              <w:t>Worry</w:t>
            </w:r>
          </w:p>
        </w:tc>
        <w:tc>
          <w:tcPr>
            <w:tcW w:w="1258" w:type="dxa"/>
            <w:vAlign w:val="center"/>
          </w:tcPr>
          <w:p w14:paraId="36EEAF13" w14:textId="77777777" w:rsidR="006D12F7" w:rsidRPr="002053A0" w:rsidRDefault="006D12F7" w:rsidP="009B249D">
            <w:pPr>
              <w:jc w:val="center"/>
              <w:rPr>
                <w:sz w:val="20"/>
                <w:szCs w:val="20"/>
                <w:lang w:val="en-GB"/>
              </w:rPr>
            </w:pPr>
            <w:r w:rsidRPr="002053A0">
              <w:rPr>
                <w:sz w:val="20"/>
                <w:szCs w:val="20"/>
                <w:lang w:val="en-GB"/>
              </w:rPr>
              <w:t>Baseline</w:t>
            </w:r>
          </w:p>
        </w:tc>
        <w:tc>
          <w:tcPr>
            <w:tcW w:w="2160" w:type="dxa"/>
            <w:vAlign w:val="center"/>
          </w:tcPr>
          <w:p w14:paraId="7DBF4A75" w14:textId="77777777" w:rsidR="006D12F7" w:rsidRPr="002053A0" w:rsidRDefault="006D12F7" w:rsidP="009B249D">
            <w:pPr>
              <w:jc w:val="center"/>
              <w:rPr>
                <w:sz w:val="20"/>
                <w:szCs w:val="20"/>
                <w:lang w:val="en-GB"/>
              </w:rPr>
            </w:pPr>
            <w:r w:rsidRPr="002053A0">
              <w:rPr>
                <w:sz w:val="20"/>
                <w:szCs w:val="20"/>
                <w:lang w:val="en-GB"/>
              </w:rPr>
              <w:t>31.3±18.0 (43)</w:t>
            </w:r>
          </w:p>
        </w:tc>
        <w:tc>
          <w:tcPr>
            <w:tcW w:w="2250" w:type="dxa"/>
            <w:vAlign w:val="center"/>
          </w:tcPr>
          <w:p w14:paraId="2E98738D" w14:textId="77777777" w:rsidR="006D12F7" w:rsidRPr="002053A0" w:rsidRDefault="006D12F7" w:rsidP="009B249D">
            <w:pPr>
              <w:jc w:val="center"/>
              <w:rPr>
                <w:sz w:val="20"/>
                <w:szCs w:val="20"/>
                <w:lang w:val="en-GB"/>
              </w:rPr>
            </w:pPr>
            <w:r w:rsidRPr="002053A0">
              <w:rPr>
                <w:sz w:val="20"/>
                <w:szCs w:val="20"/>
                <w:lang w:val="en-GB"/>
              </w:rPr>
              <w:t>40.3±15.2 (28)</w:t>
            </w:r>
          </w:p>
        </w:tc>
        <w:tc>
          <w:tcPr>
            <w:tcW w:w="943" w:type="dxa"/>
            <w:vAlign w:val="center"/>
          </w:tcPr>
          <w:p w14:paraId="2995A43E" w14:textId="77777777" w:rsidR="006D12F7" w:rsidRPr="002053A0" w:rsidRDefault="006D12F7" w:rsidP="009B249D">
            <w:pPr>
              <w:jc w:val="center"/>
              <w:rPr>
                <w:sz w:val="20"/>
                <w:szCs w:val="20"/>
                <w:lang w:val="en-GB"/>
              </w:rPr>
            </w:pPr>
            <w:r w:rsidRPr="002053A0">
              <w:rPr>
                <w:sz w:val="20"/>
                <w:szCs w:val="20"/>
                <w:lang w:val="en-GB"/>
              </w:rPr>
              <w:t>0.03</w:t>
            </w:r>
          </w:p>
        </w:tc>
      </w:tr>
      <w:tr w:rsidR="006D12F7" w:rsidRPr="005A751D" w14:paraId="665E08B1" w14:textId="77777777" w:rsidTr="00A90240">
        <w:trPr>
          <w:trHeight w:val="237"/>
        </w:trPr>
        <w:tc>
          <w:tcPr>
            <w:tcW w:w="3589" w:type="dxa"/>
            <w:vMerge/>
            <w:vAlign w:val="center"/>
          </w:tcPr>
          <w:p w14:paraId="35271AF4" w14:textId="77777777" w:rsidR="006D12F7" w:rsidRPr="002053A0" w:rsidRDefault="006D12F7" w:rsidP="009B249D">
            <w:pPr>
              <w:rPr>
                <w:sz w:val="20"/>
                <w:szCs w:val="20"/>
                <w:lang w:val="en-GB"/>
              </w:rPr>
            </w:pPr>
          </w:p>
        </w:tc>
        <w:tc>
          <w:tcPr>
            <w:tcW w:w="1258" w:type="dxa"/>
            <w:vAlign w:val="center"/>
          </w:tcPr>
          <w:p w14:paraId="3841D54A" w14:textId="31DCAEBD" w:rsidR="006D12F7" w:rsidRPr="002053A0" w:rsidRDefault="006D12F7" w:rsidP="009B249D">
            <w:pPr>
              <w:jc w:val="center"/>
              <w:rPr>
                <w:sz w:val="20"/>
                <w:szCs w:val="20"/>
                <w:lang w:val="en-GB"/>
              </w:rPr>
            </w:pPr>
            <w:r>
              <w:rPr>
                <w:sz w:val="20"/>
                <w:szCs w:val="20"/>
                <w:lang w:val="en-GB"/>
              </w:rPr>
              <w:t>24 months</w:t>
            </w:r>
          </w:p>
        </w:tc>
        <w:tc>
          <w:tcPr>
            <w:tcW w:w="2160" w:type="dxa"/>
            <w:vAlign w:val="center"/>
          </w:tcPr>
          <w:p w14:paraId="50A038C5" w14:textId="77777777" w:rsidR="006D12F7" w:rsidRPr="002053A0" w:rsidRDefault="006D12F7" w:rsidP="009B249D">
            <w:pPr>
              <w:jc w:val="center"/>
              <w:rPr>
                <w:sz w:val="20"/>
                <w:szCs w:val="20"/>
                <w:lang w:val="en-GB"/>
              </w:rPr>
            </w:pPr>
            <w:r w:rsidRPr="002053A0">
              <w:rPr>
                <w:sz w:val="20"/>
                <w:szCs w:val="20"/>
                <w:lang w:val="en-GB"/>
              </w:rPr>
              <w:t>18.6±17.0 (30)</w:t>
            </w:r>
          </w:p>
        </w:tc>
        <w:tc>
          <w:tcPr>
            <w:tcW w:w="2250" w:type="dxa"/>
            <w:vAlign w:val="center"/>
          </w:tcPr>
          <w:p w14:paraId="2DAEC2F2" w14:textId="77777777" w:rsidR="006D12F7" w:rsidRPr="002053A0" w:rsidRDefault="006D12F7" w:rsidP="009B249D">
            <w:pPr>
              <w:jc w:val="center"/>
              <w:rPr>
                <w:sz w:val="20"/>
                <w:szCs w:val="20"/>
                <w:lang w:val="en-GB"/>
              </w:rPr>
            </w:pPr>
            <w:r w:rsidRPr="002053A0">
              <w:rPr>
                <w:sz w:val="20"/>
                <w:szCs w:val="20"/>
                <w:lang w:val="en-GB"/>
              </w:rPr>
              <w:t>29.3±16.4 (15)</w:t>
            </w:r>
          </w:p>
        </w:tc>
        <w:tc>
          <w:tcPr>
            <w:tcW w:w="943" w:type="dxa"/>
            <w:vAlign w:val="center"/>
          </w:tcPr>
          <w:p w14:paraId="24798E8A" w14:textId="77777777" w:rsidR="006D12F7" w:rsidRPr="002053A0" w:rsidRDefault="006D12F7" w:rsidP="009B249D">
            <w:pPr>
              <w:jc w:val="center"/>
              <w:rPr>
                <w:sz w:val="20"/>
                <w:szCs w:val="20"/>
                <w:lang w:val="en-GB"/>
              </w:rPr>
            </w:pPr>
            <w:r w:rsidRPr="002053A0">
              <w:rPr>
                <w:sz w:val="20"/>
                <w:szCs w:val="20"/>
                <w:lang w:val="en-GB"/>
              </w:rPr>
              <w:t>0.051</w:t>
            </w:r>
          </w:p>
        </w:tc>
      </w:tr>
      <w:tr w:rsidR="00351932" w:rsidRPr="005A751D" w14:paraId="16B619B3" w14:textId="77777777" w:rsidTr="00A90240">
        <w:trPr>
          <w:trHeight w:val="244"/>
        </w:trPr>
        <w:tc>
          <w:tcPr>
            <w:tcW w:w="3589" w:type="dxa"/>
            <w:vAlign w:val="center"/>
          </w:tcPr>
          <w:p w14:paraId="40804FDC" w14:textId="77777777" w:rsidR="00351932" w:rsidRPr="002053A0" w:rsidRDefault="00351932" w:rsidP="009B249D">
            <w:pPr>
              <w:rPr>
                <w:b/>
                <w:sz w:val="20"/>
                <w:szCs w:val="20"/>
                <w:lang w:val="en-GB"/>
              </w:rPr>
            </w:pPr>
            <w:proofErr w:type="spellStart"/>
            <w:r w:rsidRPr="002053A0">
              <w:rPr>
                <w:b/>
                <w:sz w:val="20"/>
                <w:szCs w:val="20"/>
                <w:lang w:val="en-GB"/>
              </w:rPr>
              <w:t>Hyperglycemia</w:t>
            </w:r>
            <w:proofErr w:type="spellEnd"/>
            <w:r w:rsidRPr="002053A0">
              <w:rPr>
                <w:b/>
                <w:sz w:val="20"/>
                <w:szCs w:val="20"/>
                <w:lang w:val="en-GB"/>
              </w:rPr>
              <w:t xml:space="preserve"> avoidance: HAS</w:t>
            </w:r>
          </w:p>
        </w:tc>
        <w:tc>
          <w:tcPr>
            <w:tcW w:w="1258" w:type="dxa"/>
            <w:vAlign w:val="center"/>
          </w:tcPr>
          <w:p w14:paraId="1584716F" w14:textId="77777777" w:rsidR="00351932" w:rsidRPr="002053A0" w:rsidRDefault="00351932" w:rsidP="009B249D">
            <w:pPr>
              <w:jc w:val="center"/>
              <w:rPr>
                <w:sz w:val="20"/>
                <w:szCs w:val="20"/>
                <w:lang w:val="en-GB"/>
              </w:rPr>
            </w:pPr>
          </w:p>
        </w:tc>
        <w:tc>
          <w:tcPr>
            <w:tcW w:w="2160" w:type="dxa"/>
            <w:vAlign w:val="center"/>
          </w:tcPr>
          <w:p w14:paraId="15005FE1" w14:textId="77777777" w:rsidR="00351932" w:rsidRPr="002053A0" w:rsidRDefault="00351932" w:rsidP="009B249D">
            <w:pPr>
              <w:jc w:val="center"/>
              <w:rPr>
                <w:sz w:val="20"/>
                <w:szCs w:val="20"/>
                <w:lang w:val="en-GB"/>
              </w:rPr>
            </w:pPr>
          </w:p>
        </w:tc>
        <w:tc>
          <w:tcPr>
            <w:tcW w:w="2250" w:type="dxa"/>
            <w:vAlign w:val="center"/>
          </w:tcPr>
          <w:p w14:paraId="4A6B0930" w14:textId="77777777" w:rsidR="00351932" w:rsidRPr="002053A0" w:rsidRDefault="00351932" w:rsidP="009B249D">
            <w:pPr>
              <w:jc w:val="center"/>
              <w:rPr>
                <w:sz w:val="20"/>
                <w:szCs w:val="20"/>
                <w:lang w:val="en-GB"/>
              </w:rPr>
            </w:pPr>
          </w:p>
        </w:tc>
        <w:tc>
          <w:tcPr>
            <w:tcW w:w="943" w:type="dxa"/>
            <w:vAlign w:val="center"/>
          </w:tcPr>
          <w:p w14:paraId="074C5719" w14:textId="77777777" w:rsidR="00351932" w:rsidRPr="002053A0" w:rsidRDefault="00351932" w:rsidP="009B249D">
            <w:pPr>
              <w:jc w:val="center"/>
              <w:rPr>
                <w:sz w:val="20"/>
                <w:szCs w:val="20"/>
                <w:lang w:val="en-GB"/>
              </w:rPr>
            </w:pPr>
          </w:p>
        </w:tc>
      </w:tr>
      <w:tr w:rsidR="006D12F7" w:rsidRPr="005A751D" w14:paraId="310E042E" w14:textId="77777777" w:rsidTr="00A90240">
        <w:trPr>
          <w:trHeight w:val="271"/>
        </w:trPr>
        <w:tc>
          <w:tcPr>
            <w:tcW w:w="3589" w:type="dxa"/>
            <w:vMerge w:val="restart"/>
            <w:vAlign w:val="center"/>
          </w:tcPr>
          <w:p w14:paraId="6304A3AB" w14:textId="77777777" w:rsidR="006D12F7" w:rsidRPr="002053A0" w:rsidRDefault="006D12F7" w:rsidP="009B249D">
            <w:pPr>
              <w:ind w:left="360"/>
              <w:rPr>
                <w:sz w:val="20"/>
                <w:szCs w:val="20"/>
                <w:lang w:val="en-GB"/>
              </w:rPr>
            </w:pPr>
            <w:r w:rsidRPr="002053A0">
              <w:rPr>
                <w:sz w:val="20"/>
                <w:szCs w:val="20"/>
                <w:lang w:val="en-GB"/>
              </w:rPr>
              <w:t>Avoid extremes</w:t>
            </w:r>
          </w:p>
        </w:tc>
        <w:tc>
          <w:tcPr>
            <w:tcW w:w="1258" w:type="dxa"/>
            <w:vAlign w:val="center"/>
          </w:tcPr>
          <w:p w14:paraId="4407C770" w14:textId="77777777" w:rsidR="006D12F7" w:rsidRPr="002053A0" w:rsidRDefault="006D12F7" w:rsidP="009B249D">
            <w:pPr>
              <w:jc w:val="center"/>
              <w:rPr>
                <w:sz w:val="20"/>
                <w:szCs w:val="20"/>
                <w:lang w:val="en-GB"/>
              </w:rPr>
            </w:pPr>
            <w:r w:rsidRPr="002053A0">
              <w:rPr>
                <w:sz w:val="20"/>
                <w:szCs w:val="20"/>
                <w:lang w:val="en-GB"/>
              </w:rPr>
              <w:t>Baseline</w:t>
            </w:r>
          </w:p>
        </w:tc>
        <w:tc>
          <w:tcPr>
            <w:tcW w:w="2160" w:type="dxa"/>
            <w:vAlign w:val="center"/>
          </w:tcPr>
          <w:p w14:paraId="797AF83D" w14:textId="77777777" w:rsidR="006D12F7" w:rsidRPr="002053A0" w:rsidRDefault="006D12F7" w:rsidP="009B249D">
            <w:pPr>
              <w:jc w:val="center"/>
              <w:rPr>
                <w:sz w:val="20"/>
                <w:szCs w:val="20"/>
                <w:lang w:val="en-GB"/>
              </w:rPr>
            </w:pPr>
            <w:r w:rsidRPr="002053A0">
              <w:rPr>
                <w:sz w:val="20"/>
                <w:szCs w:val="20"/>
                <w:lang w:val="en-GB"/>
              </w:rPr>
              <w:t>3.2±2.8 (43)</w:t>
            </w:r>
          </w:p>
        </w:tc>
        <w:tc>
          <w:tcPr>
            <w:tcW w:w="2250" w:type="dxa"/>
            <w:vAlign w:val="center"/>
          </w:tcPr>
          <w:p w14:paraId="7D923338" w14:textId="77777777" w:rsidR="006D12F7" w:rsidRPr="002053A0" w:rsidRDefault="006D12F7" w:rsidP="009B249D">
            <w:pPr>
              <w:jc w:val="center"/>
              <w:rPr>
                <w:sz w:val="20"/>
                <w:szCs w:val="20"/>
                <w:lang w:val="en-GB"/>
              </w:rPr>
            </w:pPr>
            <w:r w:rsidRPr="002053A0">
              <w:rPr>
                <w:sz w:val="20"/>
                <w:szCs w:val="20"/>
                <w:lang w:val="en-GB"/>
              </w:rPr>
              <w:t>3.9±3.0 (28)</w:t>
            </w:r>
          </w:p>
        </w:tc>
        <w:tc>
          <w:tcPr>
            <w:tcW w:w="943" w:type="dxa"/>
            <w:vAlign w:val="center"/>
          </w:tcPr>
          <w:p w14:paraId="6CC3DD4F" w14:textId="77777777" w:rsidR="006D12F7" w:rsidRPr="002053A0" w:rsidRDefault="006D12F7" w:rsidP="009B249D">
            <w:pPr>
              <w:jc w:val="center"/>
              <w:rPr>
                <w:sz w:val="20"/>
                <w:szCs w:val="20"/>
                <w:lang w:val="en-GB"/>
              </w:rPr>
            </w:pPr>
            <w:r w:rsidRPr="002053A0">
              <w:rPr>
                <w:sz w:val="20"/>
                <w:szCs w:val="20"/>
                <w:lang w:val="en-GB"/>
              </w:rPr>
              <w:t>0.35</w:t>
            </w:r>
          </w:p>
        </w:tc>
      </w:tr>
      <w:tr w:rsidR="006D12F7" w:rsidRPr="005A751D" w14:paraId="39FC5BFF" w14:textId="77777777" w:rsidTr="00A90240">
        <w:trPr>
          <w:trHeight w:val="201"/>
        </w:trPr>
        <w:tc>
          <w:tcPr>
            <w:tcW w:w="3589" w:type="dxa"/>
            <w:vMerge/>
            <w:vAlign w:val="center"/>
          </w:tcPr>
          <w:p w14:paraId="01C32285" w14:textId="77777777" w:rsidR="006D12F7" w:rsidRPr="002053A0" w:rsidRDefault="006D12F7" w:rsidP="009B249D">
            <w:pPr>
              <w:rPr>
                <w:sz w:val="20"/>
                <w:szCs w:val="20"/>
                <w:lang w:val="en-GB"/>
              </w:rPr>
            </w:pPr>
          </w:p>
        </w:tc>
        <w:tc>
          <w:tcPr>
            <w:tcW w:w="1258" w:type="dxa"/>
            <w:vAlign w:val="center"/>
          </w:tcPr>
          <w:p w14:paraId="360FF892" w14:textId="777A9B26" w:rsidR="006D12F7" w:rsidRPr="002053A0" w:rsidRDefault="006D12F7" w:rsidP="009B249D">
            <w:pPr>
              <w:jc w:val="center"/>
              <w:rPr>
                <w:sz w:val="20"/>
                <w:szCs w:val="20"/>
                <w:lang w:val="en-GB"/>
              </w:rPr>
            </w:pPr>
            <w:r>
              <w:rPr>
                <w:sz w:val="20"/>
                <w:szCs w:val="20"/>
                <w:lang w:val="en-GB"/>
              </w:rPr>
              <w:t>24 months</w:t>
            </w:r>
          </w:p>
        </w:tc>
        <w:tc>
          <w:tcPr>
            <w:tcW w:w="2160" w:type="dxa"/>
            <w:vAlign w:val="center"/>
          </w:tcPr>
          <w:p w14:paraId="1DBFD1FC" w14:textId="77777777" w:rsidR="006D12F7" w:rsidRPr="002053A0" w:rsidRDefault="006D12F7" w:rsidP="009B249D">
            <w:pPr>
              <w:jc w:val="center"/>
              <w:rPr>
                <w:sz w:val="20"/>
                <w:szCs w:val="20"/>
                <w:lang w:val="en-GB"/>
              </w:rPr>
            </w:pPr>
            <w:r w:rsidRPr="002053A0">
              <w:rPr>
                <w:sz w:val="20"/>
                <w:szCs w:val="20"/>
                <w:lang w:val="en-GB"/>
              </w:rPr>
              <w:t>2.3±2.6 (34)</w:t>
            </w:r>
          </w:p>
        </w:tc>
        <w:tc>
          <w:tcPr>
            <w:tcW w:w="2250" w:type="dxa"/>
            <w:vAlign w:val="center"/>
          </w:tcPr>
          <w:p w14:paraId="62E76BF7" w14:textId="77777777" w:rsidR="006D12F7" w:rsidRPr="002053A0" w:rsidRDefault="006D12F7" w:rsidP="009B249D">
            <w:pPr>
              <w:jc w:val="center"/>
              <w:rPr>
                <w:sz w:val="20"/>
                <w:szCs w:val="20"/>
                <w:lang w:val="en-GB"/>
              </w:rPr>
            </w:pPr>
            <w:r w:rsidRPr="002053A0">
              <w:rPr>
                <w:sz w:val="20"/>
                <w:szCs w:val="20"/>
                <w:lang w:val="en-GB"/>
              </w:rPr>
              <w:t>3.2±2.6 (17)</w:t>
            </w:r>
          </w:p>
        </w:tc>
        <w:tc>
          <w:tcPr>
            <w:tcW w:w="943" w:type="dxa"/>
            <w:vAlign w:val="center"/>
          </w:tcPr>
          <w:p w14:paraId="6325BE24" w14:textId="77777777" w:rsidR="006D12F7" w:rsidRPr="002053A0" w:rsidRDefault="006D12F7" w:rsidP="009B249D">
            <w:pPr>
              <w:jc w:val="center"/>
              <w:rPr>
                <w:sz w:val="20"/>
                <w:szCs w:val="20"/>
                <w:lang w:val="en-GB"/>
              </w:rPr>
            </w:pPr>
            <w:r w:rsidRPr="002053A0">
              <w:rPr>
                <w:sz w:val="20"/>
                <w:szCs w:val="20"/>
                <w:lang w:val="en-GB"/>
              </w:rPr>
              <w:t>0.25</w:t>
            </w:r>
          </w:p>
        </w:tc>
      </w:tr>
      <w:tr w:rsidR="006D12F7" w:rsidRPr="005A751D" w14:paraId="7482E2C4" w14:textId="77777777" w:rsidTr="00A90240">
        <w:trPr>
          <w:trHeight w:val="275"/>
        </w:trPr>
        <w:tc>
          <w:tcPr>
            <w:tcW w:w="3589" w:type="dxa"/>
            <w:vMerge w:val="restart"/>
            <w:vAlign w:val="center"/>
          </w:tcPr>
          <w:p w14:paraId="21621536" w14:textId="77777777" w:rsidR="006D12F7" w:rsidRPr="002053A0" w:rsidRDefault="006D12F7" w:rsidP="009B249D">
            <w:pPr>
              <w:ind w:left="360"/>
              <w:rPr>
                <w:sz w:val="20"/>
                <w:szCs w:val="20"/>
                <w:lang w:val="en-GB"/>
              </w:rPr>
            </w:pPr>
            <w:r w:rsidRPr="002053A0">
              <w:rPr>
                <w:sz w:val="20"/>
                <w:szCs w:val="20"/>
                <w:lang w:val="en-GB"/>
              </w:rPr>
              <w:t>Immediate action</w:t>
            </w:r>
          </w:p>
        </w:tc>
        <w:tc>
          <w:tcPr>
            <w:tcW w:w="1258" w:type="dxa"/>
            <w:vAlign w:val="center"/>
          </w:tcPr>
          <w:p w14:paraId="4AD48EB6" w14:textId="77777777" w:rsidR="006D12F7" w:rsidRPr="002053A0" w:rsidRDefault="006D12F7" w:rsidP="009B249D">
            <w:pPr>
              <w:jc w:val="center"/>
              <w:rPr>
                <w:sz w:val="20"/>
                <w:szCs w:val="20"/>
                <w:lang w:val="en-GB"/>
              </w:rPr>
            </w:pPr>
            <w:r w:rsidRPr="002053A0">
              <w:rPr>
                <w:sz w:val="20"/>
                <w:szCs w:val="20"/>
                <w:lang w:val="en-GB"/>
              </w:rPr>
              <w:t>Baseline</w:t>
            </w:r>
          </w:p>
        </w:tc>
        <w:tc>
          <w:tcPr>
            <w:tcW w:w="2160" w:type="dxa"/>
            <w:vAlign w:val="center"/>
          </w:tcPr>
          <w:p w14:paraId="5773AAA4" w14:textId="77777777" w:rsidR="006D12F7" w:rsidRPr="002053A0" w:rsidRDefault="006D12F7" w:rsidP="009B249D">
            <w:pPr>
              <w:jc w:val="center"/>
              <w:rPr>
                <w:sz w:val="20"/>
                <w:szCs w:val="20"/>
                <w:lang w:val="en-GB"/>
              </w:rPr>
            </w:pPr>
            <w:r w:rsidRPr="002053A0">
              <w:rPr>
                <w:sz w:val="20"/>
                <w:szCs w:val="20"/>
                <w:lang w:val="en-GB"/>
              </w:rPr>
              <w:t>9.0±3.3 (43)</w:t>
            </w:r>
          </w:p>
        </w:tc>
        <w:tc>
          <w:tcPr>
            <w:tcW w:w="2250" w:type="dxa"/>
            <w:vAlign w:val="center"/>
          </w:tcPr>
          <w:p w14:paraId="0B663D35" w14:textId="77777777" w:rsidR="006D12F7" w:rsidRPr="002053A0" w:rsidRDefault="006D12F7" w:rsidP="009B249D">
            <w:pPr>
              <w:jc w:val="center"/>
              <w:rPr>
                <w:sz w:val="20"/>
                <w:szCs w:val="20"/>
                <w:lang w:val="en-GB"/>
              </w:rPr>
            </w:pPr>
            <w:r w:rsidRPr="002053A0">
              <w:rPr>
                <w:sz w:val="20"/>
                <w:szCs w:val="20"/>
                <w:lang w:val="en-GB"/>
              </w:rPr>
              <w:t>9.1±3.6 (28)</w:t>
            </w:r>
          </w:p>
        </w:tc>
        <w:tc>
          <w:tcPr>
            <w:tcW w:w="943" w:type="dxa"/>
            <w:vAlign w:val="center"/>
          </w:tcPr>
          <w:p w14:paraId="6C46D5BF" w14:textId="77777777" w:rsidR="006D12F7" w:rsidRPr="002053A0" w:rsidRDefault="006D12F7" w:rsidP="009B249D">
            <w:pPr>
              <w:jc w:val="center"/>
              <w:rPr>
                <w:sz w:val="20"/>
                <w:szCs w:val="20"/>
                <w:lang w:val="en-GB"/>
              </w:rPr>
            </w:pPr>
            <w:r w:rsidRPr="002053A0">
              <w:rPr>
                <w:sz w:val="20"/>
                <w:szCs w:val="20"/>
                <w:lang w:val="en-GB"/>
              </w:rPr>
              <w:t>0.93</w:t>
            </w:r>
          </w:p>
        </w:tc>
      </w:tr>
      <w:tr w:rsidR="006D12F7" w:rsidRPr="005A751D" w14:paraId="145023CC" w14:textId="77777777" w:rsidTr="00A90240">
        <w:trPr>
          <w:trHeight w:val="244"/>
        </w:trPr>
        <w:tc>
          <w:tcPr>
            <w:tcW w:w="3589" w:type="dxa"/>
            <w:vMerge/>
            <w:vAlign w:val="center"/>
          </w:tcPr>
          <w:p w14:paraId="5C426613" w14:textId="77777777" w:rsidR="006D12F7" w:rsidRPr="002053A0" w:rsidRDefault="006D12F7" w:rsidP="009B249D">
            <w:pPr>
              <w:rPr>
                <w:sz w:val="20"/>
                <w:szCs w:val="20"/>
                <w:lang w:val="en-GB"/>
              </w:rPr>
            </w:pPr>
          </w:p>
        </w:tc>
        <w:tc>
          <w:tcPr>
            <w:tcW w:w="1258" w:type="dxa"/>
            <w:vAlign w:val="center"/>
          </w:tcPr>
          <w:p w14:paraId="7A52BDE4" w14:textId="2C6A2458" w:rsidR="006D12F7" w:rsidRPr="002053A0" w:rsidRDefault="006D12F7" w:rsidP="009B249D">
            <w:pPr>
              <w:jc w:val="center"/>
              <w:rPr>
                <w:sz w:val="20"/>
                <w:szCs w:val="20"/>
                <w:lang w:val="en-GB"/>
              </w:rPr>
            </w:pPr>
            <w:r>
              <w:rPr>
                <w:sz w:val="20"/>
                <w:szCs w:val="20"/>
                <w:lang w:val="en-GB"/>
              </w:rPr>
              <w:t>24 months</w:t>
            </w:r>
          </w:p>
        </w:tc>
        <w:tc>
          <w:tcPr>
            <w:tcW w:w="2160" w:type="dxa"/>
            <w:vAlign w:val="center"/>
          </w:tcPr>
          <w:p w14:paraId="534BCF9C" w14:textId="77777777" w:rsidR="006D12F7" w:rsidRPr="002053A0" w:rsidRDefault="006D12F7" w:rsidP="009B249D">
            <w:pPr>
              <w:jc w:val="center"/>
              <w:rPr>
                <w:sz w:val="20"/>
                <w:szCs w:val="20"/>
                <w:lang w:val="en-GB"/>
              </w:rPr>
            </w:pPr>
            <w:r w:rsidRPr="002053A0">
              <w:rPr>
                <w:sz w:val="20"/>
                <w:szCs w:val="20"/>
                <w:lang w:val="en-GB"/>
              </w:rPr>
              <w:t>7.4±3.6 (34)</w:t>
            </w:r>
          </w:p>
        </w:tc>
        <w:tc>
          <w:tcPr>
            <w:tcW w:w="2250" w:type="dxa"/>
            <w:vAlign w:val="center"/>
          </w:tcPr>
          <w:p w14:paraId="1E687036" w14:textId="77777777" w:rsidR="006D12F7" w:rsidRPr="002053A0" w:rsidRDefault="006D12F7" w:rsidP="009B249D">
            <w:pPr>
              <w:jc w:val="center"/>
              <w:rPr>
                <w:sz w:val="20"/>
                <w:szCs w:val="20"/>
                <w:lang w:val="en-GB"/>
              </w:rPr>
            </w:pPr>
            <w:r w:rsidRPr="002053A0">
              <w:rPr>
                <w:sz w:val="20"/>
                <w:szCs w:val="20"/>
                <w:lang w:val="en-GB"/>
              </w:rPr>
              <w:t>7.2±3.2 (17)</w:t>
            </w:r>
          </w:p>
        </w:tc>
        <w:tc>
          <w:tcPr>
            <w:tcW w:w="943" w:type="dxa"/>
            <w:vAlign w:val="center"/>
          </w:tcPr>
          <w:p w14:paraId="27A5879C" w14:textId="77777777" w:rsidR="006D12F7" w:rsidRPr="002053A0" w:rsidRDefault="006D12F7" w:rsidP="009B249D">
            <w:pPr>
              <w:jc w:val="center"/>
              <w:rPr>
                <w:sz w:val="20"/>
                <w:szCs w:val="20"/>
                <w:lang w:val="en-GB"/>
              </w:rPr>
            </w:pPr>
            <w:r w:rsidRPr="002053A0">
              <w:rPr>
                <w:sz w:val="20"/>
                <w:szCs w:val="20"/>
                <w:lang w:val="en-GB"/>
              </w:rPr>
              <w:t>0.84</w:t>
            </w:r>
          </w:p>
        </w:tc>
      </w:tr>
      <w:tr w:rsidR="006D12F7" w:rsidRPr="005A751D" w14:paraId="06B97C89" w14:textId="77777777" w:rsidTr="00A90240">
        <w:trPr>
          <w:trHeight w:val="289"/>
        </w:trPr>
        <w:tc>
          <w:tcPr>
            <w:tcW w:w="3589" w:type="dxa"/>
            <w:vMerge w:val="restart"/>
            <w:vAlign w:val="center"/>
          </w:tcPr>
          <w:p w14:paraId="6179FE75" w14:textId="6B5819A8" w:rsidR="006D12F7" w:rsidRPr="002053A0" w:rsidRDefault="006D12F7" w:rsidP="006D12F7">
            <w:pPr>
              <w:ind w:left="360"/>
              <w:rPr>
                <w:sz w:val="20"/>
                <w:szCs w:val="20"/>
                <w:lang w:val="en-GB"/>
              </w:rPr>
            </w:pPr>
            <w:r w:rsidRPr="002053A0">
              <w:rPr>
                <w:sz w:val="20"/>
                <w:szCs w:val="20"/>
                <w:lang w:val="en-GB"/>
              </w:rPr>
              <w:t xml:space="preserve">Low </w:t>
            </w:r>
            <w:r>
              <w:rPr>
                <w:sz w:val="20"/>
                <w:szCs w:val="20"/>
                <w:lang w:val="en-GB"/>
              </w:rPr>
              <w:t>blood glucose</w:t>
            </w:r>
            <w:r w:rsidRPr="002053A0">
              <w:rPr>
                <w:sz w:val="20"/>
                <w:szCs w:val="20"/>
                <w:lang w:val="en-GB"/>
              </w:rPr>
              <w:t xml:space="preserve"> preference</w:t>
            </w:r>
          </w:p>
        </w:tc>
        <w:tc>
          <w:tcPr>
            <w:tcW w:w="1258" w:type="dxa"/>
            <w:vAlign w:val="center"/>
          </w:tcPr>
          <w:p w14:paraId="2023B4EF" w14:textId="77777777" w:rsidR="006D12F7" w:rsidRPr="002053A0" w:rsidRDefault="006D12F7" w:rsidP="009B249D">
            <w:pPr>
              <w:jc w:val="center"/>
              <w:rPr>
                <w:sz w:val="20"/>
                <w:szCs w:val="20"/>
                <w:lang w:val="en-GB"/>
              </w:rPr>
            </w:pPr>
            <w:r w:rsidRPr="002053A0">
              <w:rPr>
                <w:sz w:val="20"/>
                <w:szCs w:val="20"/>
                <w:lang w:val="en-GB"/>
              </w:rPr>
              <w:t>Baseline</w:t>
            </w:r>
          </w:p>
        </w:tc>
        <w:tc>
          <w:tcPr>
            <w:tcW w:w="2160" w:type="dxa"/>
            <w:vAlign w:val="center"/>
          </w:tcPr>
          <w:p w14:paraId="14E0F3EB" w14:textId="77777777" w:rsidR="006D12F7" w:rsidRPr="002053A0" w:rsidRDefault="006D12F7" w:rsidP="009B249D">
            <w:pPr>
              <w:jc w:val="center"/>
              <w:rPr>
                <w:sz w:val="20"/>
                <w:szCs w:val="20"/>
                <w:lang w:val="en-GB"/>
              </w:rPr>
            </w:pPr>
            <w:r w:rsidRPr="002053A0">
              <w:rPr>
                <w:sz w:val="20"/>
                <w:szCs w:val="20"/>
                <w:lang w:val="en-GB"/>
              </w:rPr>
              <w:t>6.0±3.6 (43)</w:t>
            </w:r>
          </w:p>
        </w:tc>
        <w:tc>
          <w:tcPr>
            <w:tcW w:w="2250" w:type="dxa"/>
            <w:vAlign w:val="center"/>
          </w:tcPr>
          <w:p w14:paraId="14FA2F9A" w14:textId="77777777" w:rsidR="006D12F7" w:rsidRPr="002053A0" w:rsidRDefault="006D12F7" w:rsidP="009B249D">
            <w:pPr>
              <w:jc w:val="center"/>
              <w:rPr>
                <w:sz w:val="20"/>
                <w:szCs w:val="20"/>
                <w:lang w:val="en-GB"/>
              </w:rPr>
            </w:pPr>
            <w:r w:rsidRPr="002053A0">
              <w:rPr>
                <w:sz w:val="20"/>
                <w:szCs w:val="20"/>
                <w:lang w:val="en-GB"/>
              </w:rPr>
              <w:t>6.4±3.6 (28)</w:t>
            </w:r>
          </w:p>
        </w:tc>
        <w:tc>
          <w:tcPr>
            <w:tcW w:w="943" w:type="dxa"/>
            <w:vAlign w:val="center"/>
          </w:tcPr>
          <w:p w14:paraId="5D00E762" w14:textId="77777777" w:rsidR="006D12F7" w:rsidRPr="002053A0" w:rsidRDefault="006D12F7" w:rsidP="009B249D">
            <w:pPr>
              <w:jc w:val="center"/>
              <w:rPr>
                <w:sz w:val="20"/>
                <w:szCs w:val="20"/>
                <w:lang w:val="en-GB"/>
              </w:rPr>
            </w:pPr>
            <w:r w:rsidRPr="002053A0">
              <w:rPr>
                <w:sz w:val="20"/>
                <w:szCs w:val="20"/>
                <w:lang w:val="en-GB"/>
              </w:rPr>
              <w:t>0.68</w:t>
            </w:r>
          </w:p>
        </w:tc>
      </w:tr>
      <w:tr w:rsidR="006D12F7" w:rsidRPr="005A751D" w14:paraId="7A0147F5" w14:textId="77777777" w:rsidTr="00A90240">
        <w:trPr>
          <w:trHeight w:val="283"/>
        </w:trPr>
        <w:tc>
          <w:tcPr>
            <w:tcW w:w="3589" w:type="dxa"/>
            <w:vMerge/>
            <w:vAlign w:val="center"/>
          </w:tcPr>
          <w:p w14:paraId="14EB56C2" w14:textId="77777777" w:rsidR="006D12F7" w:rsidRPr="002053A0" w:rsidRDefault="006D12F7" w:rsidP="009B249D">
            <w:pPr>
              <w:rPr>
                <w:sz w:val="20"/>
                <w:szCs w:val="20"/>
                <w:lang w:val="en-GB"/>
              </w:rPr>
            </w:pPr>
          </w:p>
        </w:tc>
        <w:tc>
          <w:tcPr>
            <w:tcW w:w="1258" w:type="dxa"/>
            <w:vAlign w:val="center"/>
          </w:tcPr>
          <w:p w14:paraId="236C12CA" w14:textId="63CB3A74" w:rsidR="006D12F7" w:rsidRPr="002053A0" w:rsidRDefault="006D12F7" w:rsidP="009B249D">
            <w:pPr>
              <w:jc w:val="center"/>
              <w:rPr>
                <w:sz w:val="20"/>
                <w:szCs w:val="20"/>
                <w:lang w:val="en-GB"/>
              </w:rPr>
            </w:pPr>
            <w:r>
              <w:rPr>
                <w:sz w:val="20"/>
                <w:szCs w:val="20"/>
                <w:lang w:val="en-GB"/>
              </w:rPr>
              <w:t>24 months</w:t>
            </w:r>
          </w:p>
        </w:tc>
        <w:tc>
          <w:tcPr>
            <w:tcW w:w="2160" w:type="dxa"/>
            <w:vAlign w:val="center"/>
          </w:tcPr>
          <w:p w14:paraId="04199FB6" w14:textId="77777777" w:rsidR="006D12F7" w:rsidRPr="002053A0" w:rsidRDefault="006D12F7" w:rsidP="009B249D">
            <w:pPr>
              <w:jc w:val="center"/>
              <w:rPr>
                <w:sz w:val="20"/>
                <w:szCs w:val="20"/>
                <w:lang w:val="en-GB"/>
              </w:rPr>
            </w:pPr>
            <w:r w:rsidRPr="002053A0">
              <w:rPr>
                <w:sz w:val="20"/>
                <w:szCs w:val="20"/>
                <w:lang w:val="en-GB"/>
              </w:rPr>
              <w:t>3.7±3.6 (34)</w:t>
            </w:r>
          </w:p>
        </w:tc>
        <w:tc>
          <w:tcPr>
            <w:tcW w:w="2250" w:type="dxa"/>
            <w:vAlign w:val="center"/>
          </w:tcPr>
          <w:p w14:paraId="6610B1CD" w14:textId="77777777" w:rsidR="006D12F7" w:rsidRPr="002053A0" w:rsidRDefault="006D12F7" w:rsidP="009B249D">
            <w:pPr>
              <w:jc w:val="center"/>
              <w:rPr>
                <w:sz w:val="20"/>
                <w:szCs w:val="20"/>
                <w:lang w:val="en-GB"/>
              </w:rPr>
            </w:pPr>
            <w:r w:rsidRPr="002053A0">
              <w:rPr>
                <w:sz w:val="20"/>
                <w:szCs w:val="20"/>
                <w:lang w:val="en-GB"/>
              </w:rPr>
              <w:t>4.5±3.8 (17)</w:t>
            </w:r>
          </w:p>
        </w:tc>
        <w:tc>
          <w:tcPr>
            <w:tcW w:w="943" w:type="dxa"/>
            <w:vAlign w:val="center"/>
          </w:tcPr>
          <w:p w14:paraId="2981F784" w14:textId="77777777" w:rsidR="006D12F7" w:rsidRPr="002053A0" w:rsidRDefault="006D12F7" w:rsidP="009B249D">
            <w:pPr>
              <w:jc w:val="center"/>
              <w:rPr>
                <w:sz w:val="20"/>
                <w:szCs w:val="20"/>
                <w:lang w:val="en-GB"/>
              </w:rPr>
            </w:pPr>
            <w:r w:rsidRPr="002053A0">
              <w:rPr>
                <w:sz w:val="20"/>
                <w:szCs w:val="20"/>
                <w:lang w:val="en-GB"/>
              </w:rPr>
              <w:t>0.48</w:t>
            </w:r>
          </w:p>
        </w:tc>
      </w:tr>
      <w:tr w:rsidR="006D12F7" w:rsidRPr="005A751D" w14:paraId="02485D23" w14:textId="77777777" w:rsidTr="00A90240">
        <w:trPr>
          <w:trHeight w:val="289"/>
        </w:trPr>
        <w:tc>
          <w:tcPr>
            <w:tcW w:w="3589" w:type="dxa"/>
            <w:vMerge w:val="restart"/>
            <w:vAlign w:val="center"/>
          </w:tcPr>
          <w:p w14:paraId="1E328D5F" w14:textId="77777777" w:rsidR="006D12F7" w:rsidRPr="002053A0" w:rsidRDefault="006D12F7" w:rsidP="009B249D">
            <w:pPr>
              <w:ind w:left="360"/>
              <w:rPr>
                <w:sz w:val="20"/>
                <w:szCs w:val="20"/>
                <w:lang w:val="en-GB"/>
              </w:rPr>
            </w:pPr>
            <w:r w:rsidRPr="002053A0">
              <w:rPr>
                <w:sz w:val="20"/>
                <w:szCs w:val="20"/>
                <w:lang w:val="en-GB"/>
              </w:rPr>
              <w:t>Worry</w:t>
            </w:r>
          </w:p>
        </w:tc>
        <w:tc>
          <w:tcPr>
            <w:tcW w:w="1258" w:type="dxa"/>
            <w:vAlign w:val="center"/>
          </w:tcPr>
          <w:p w14:paraId="146649A9" w14:textId="77777777" w:rsidR="006D12F7" w:rsidRPr="002053A0" w:rsidRDefault="006D12F7" w:rsidP="009B249D">
            <w:pPr>
              <w:jc w:val="center"/>
              <w:rPr>
                <w:sz w:val="20"/>
                <w:szCs w:val="20"/>
                <w:lang w:val="en-GB"/>
              </w:rPr>
            </w:pPr>
            <w:r w:rsidRPr="002053A0">
              <w:rPr>
                <w:sz w:val="20"/>
                <w:szCs w:val="20"/>
                <w:lang w:val="en-GB"/>
              </w:rPr>
              <w:t>Baseline</w:t>
            </w:r>
          </w:p>
        </w:tc>
        <w:tc>
          <w:tcPr>
            <w:tcW w:w="2160" w:type="dxa"/>
            <w:vAlign w:val="center"/>
          </w:tcPr>
          <w:p w14:paraId="33248B32" w14:textId="77777777" w:rsidR="006D12F7" w:rsidRPr="002053A0" w:rsidRDefault="006D12F7" w:rsidP="009B249D">
            <w:pPr>
              <w:jc w:val="center"/>
              <w:rPr>
                <w:sz w:val="20"/>
                <w:szCs w:val="20"/>
                <w:lang w:val="en-GB"/>
              </w:rPr>
            </w:pPr>
            <w:r w:rsidRPr="002053A0">
              <w:rPr>
                <w:sz w:val="20"/>
                <w:szCs w:val="20"/>
                <w:lang w:val="en-GB"/>
              </w:rPr>
              <w:t>23.7±9.3 (43)</w:t>
            </w:r>
          </w:p>
        </w:tc>
        <w:tc>
          <w:tcPr>
            <w:tcW w:w="2250" w:type="dxa"/>
            <w:vAlign w:val="center"/>
          </w:tcPr>
          <w:p w14:paraId="1BFCDCDA" w14:textId="77777777" w:rsidR="006D12F7" w:rsidRPr="002053A0" w:rsidRDefault="006D12F7" w:rsidP="009B249D">
            <w:pPr>
              <w:jc w:val="center"/>
              <w:rPr>
                <w:sz w:val="20"/>
                <w:szCs w:val="20"/>
                <w:lang w:val="en-GB"/>
              </w:rPr>
            </w:pPr>
            <w:r w:rsidRPr="002053A0">
              <w:rPr>
                <w:sz w:val="20"/>
                <w:szCs w:val="20"/>
                <w:lang w:val="en-GB"/>
              </w:rPr>
              <w:t>26.1±8.6 (28)</w:t>
            </w:r>
          </w:p>
        </w:tc>
        <w:tc>
          <w:tcPr>
            <w:tcW w:w="943" w:type="dxa"/>
            <w:vAlign w:val="center"/>
          </w:tcPr>
          <w:p w14:paraId="4EB148F2" w14:textId="77777777" w:rsidR="006D12F7" w:rsidRPr="002053A0" w:rsidRDefault="006D12F7" w:rsidP="009B249D">
            <w:pPr>
              <w:jc w:val="center"/>
              <w:rPr>
                <w:sz w:val="20"/>
                <w:szCs w:val="20"/>
                <w:lang w:val="en-GB"/>
              </w:rPr>
            </w:pPr>
            <w:r w:rsidRPr="002053A0">
              <w:rPr>
                <w:sz w:val="20"/>
                <w:szCs w:val="20"/>
                <w:lang w:val="en-GB"/>
              </w:rPr>
              <w:t>0.27</w:t>
            </w:r>
          </w:p>
        </w:tc>
      </w:tr>
      <w:tr w:rsidR="006D12F7" w:rsidRPr="005A751D" w14:paraId="1CA20689" w14:textId="77777777" w:rsidTr="00A90240">
        <w:trPr>
          <w:trHeight w:val="244"/>
        </w:trPr>
        <w:tc>
          <w:tcPr>
            <w:tcW w:w="3589" w:type="dxa"/>
            <w:vMerge/>
            <w:vAlign w:val="center"/>
          </w:tcPr>
          <w:p w14:paraId="2D29A670" w14:textId="77777777" w:rsidR="006D12F7" w:rsidRPr="002053A0" w:rsidRDefault="006D12F7" w:rsidP="009B249D">
            <w:pPr>
              <w:rPr>
                <w:sz w:val="20"/>
                <w:szCs w:val="20"/>
                <w:lang w:val="en-GB"/>
              </w:rPr>
            </w:pPr>
          </w:p>
        </w:tc>
        <w:tc>
          <w:tcPr>
            <w:tcW w:w="1258" w:type="dxa"/>
            <w:vAlign w:val="center"/>
          </w:tcPr>
          <w:p w14:paraId="31E2DC4D" w14:textId="20127CAA" w:rsidR="006D12F7" w:rsidRPr="002053A0" w:rsidRDefault="006D12F7" w:rsidP="009B249D">
            <w:pPr>
              <w:jc w:val="center"/>
              <w:rPr>
                <w:sz w:val="20"/>
                <w:szCs w:val="20"/>
                <w:lang w:val="en-GB"/>
              </w:rPr>
            </w:pPr>
            <w:r>
              <w:rPr>
                <w:sz w:val="20"/>
                <w:szCs w:val="20"/>
                <w:lang w:val="en-GB"/>
              </w:rPr>
              <w:t>24 months</w:t>
            </w:r>
          </w:p>
        </w:tc>
        <w:tc>
          <w:tcPr>
            <w:tcW w:w="2160" w:type="dxa"/>
            <w:vAlign w:val="center"/>
          </w:tcPr>
          <w:p w14:paraId="672A36A2" w14:textId="77777777" w:rsidR="006D12F7" w:rsidRPr="002053A0" w:rsidRDefault="006D12F7" w:rsidP="009B249D">
            <w:pPr>
              <w:jc w:val="center"/>
              <w:rPr>
                <w:sz w:val="20"/>
                <w:szCs w:val="20"/>
                <w:lang w:val="en-GB"/>
              </w:rPr>
            </w:pPr>
            <w:r w:rsidRPr="002053A0">
              <w:rPr>
                <w:sz w:val="20"/>
                <w:szCs w:val="20"/>
                <w:lang w:val="en-GB"/>
              </w:rPr>
              <w:t>20.8±9.1 (34)</w:t>
            </w:r>
          </w:p>
        </w:tc>
        <w:tc>
          <w:tcPr>
            <w:tcW w:w="2250" w:type="dxa"/>
            <w:vAlign w:val="center"/>
          </w:tcPr>
          <w:p w14:paraId="597EDBB0" w14:textId="77777777" w:rsidR="006D12F7" w:rsidRPr="002053A0" w:rsidRDefault="006D12F7" w:rsidP="009B249D">
            <w:pPr>
              <w:jc w:val="center"/>
              <w:rPr>
                <w:sz w:val="20"/>
                <w:szCs w:val="20"/>
                <w:lang w:val="en-GB"/>
              </w:rPr>
            </w:pPr>
            <w:r w:rsidRPr="002053A0">
              <w:rPr>
                <w:sz w:val="20"/>
                <w:szCs w:val="20"/>
                <w:lang w:val="en-GB"/>
              </w:rPr>
              <w:t>20.6±9.0 (16)</w:t>
            </w:r>
          </w:p>
        </w:tc>
        <w:tc>
          <w:tcPr>
            <w:tcW w:w="943" w:type="dxa"/>
            <w:vAlign w:val="center"/>
          </w:tcPr>
          <w:p w14:paraId="72BECBEC" w14:textId="77777777" w:rsidR="006D12F7" w:rsidRPr="002053A0" w:rsidRDefault="006D12F7" w:rsidP="009B249D">
            <w:pPr>
              <w:jc w:val="center"/>
              <w:rPr>
                <w:sz w:val="20"/>
                <w:szCs w:val="20"/>
                <w:lang w:val="en-GB"/>
              </w:rPr>
            </w:pPr>
            <w:r w:rsidRPr="002053A0">
              <w:rPr>
                <w:sz w:val="20"/>
                <w:szCs w:val="20"/>
                <w:lang w:val="en-GB"/>
              </w:rPr>
              <w:t>0.94</w:t>
            </w:r>
          </w:p>
        </w:tc>
      </w:tr>
      <w:tr w:rsidR="00351932" w:rsidRPr="005A751D" w14:paraId="24E4D765" w14:textId="77777777" w:rsidTr="00A90240">
        <w:trPr>
          <w:trHeight w:val="231"/>
        </w:trPr>
        <w:tc>
          <w:tcPr>
            <w:tcW w:w="3589" w:type="dxa"/>
            <w:vAlign w:val="center"/>
          </w:tcPr>
          <w:p w14:paraId="0EE17B88" w14:textId="77777777" w:rsidR="00351932" w:rsidRPr="002053A0" w:rsidRDefault="00351932" w:rsidP="009B249D">
            <w:pPr>
              <w:rPr>
                <w:b/>
                <w:sz w:val="20"/>
                <w:szCs w:val="20"/>
                <w:lang w:val="en-GB"/>
              </w:rPr>
            </w:pPr>
            <w:r w:rsidRPr="002053A0">
              <w:rPr>
                <w:b/>
                <w:sz w:val="20"/>
                <w:szCs w:val="20"/>
                <w:lang w:val="en-GB"/>
              </w:rPr>
              <w:t>Treatment satisfaction: DTSQ</w:t>
            </w:r>
          </w:p>
        </w:tc>
        <w:tc>
          <w:tcPr>
            <w:tcW w:w="1258" w:type="dxa"/>
            <w:vAlign w:val="center"/>
          </w:tcPr>
          <w:p w14:paraId="7B4CC800" w14:textId="77777777" w:rsidR="00351932" w:rsidRPr="002053A0" w:rsidRDefault="00351932" w:rsidP="009B249D">
            <w:pPr>
              <w:jc w:val="center"/>
              <w:rPr>
                <w:sz w:val="20"/>
                <w:szCs w:val="20"/>
                <w:lang w:val="en-GB"/>
              </w:rPr>
            </w:pPr>
          </w:p>
        </w:tc>
        <w:tc>
          <w:tcPr>
            <w:tcW w:w="2160" w:type="dxa"/>
            <w:vAlign w:val="center"/>
          </w:tcPr>
          <w:p w14:paraId="4BA19FA9" w14:textId="77777777" w:rsidR="00351932" w:rsidRPr="002053A0" w:rsidRDefault="00351932" w:rsidP="009B249D">
            <w:pPr>
              <w:jc w:val="center"/>
              <w:rPr>
                <w:sz w:val="20"/>
                <w:szCs w:val="20"/>
                <w:lang w:val="en-GB"/>
              </w:rPr>
            </w:pPr>
          </w:p>
        </w:tc>
        <w:tc>
          <w:tcPr>
            <w:tcW w:w="2250" w:type="dxa"/>
            <w:vAlign w:val="center"/>
          </w:tcPr>
          <w:p w14:paraId="1276F362" w14:textId="77777777" w:rsidR="00351932" w:rsidRPr="002053A0" w:rsidRDefault="00351932" w:rsidP="009B249D">
            <w:pPr>
              <w:jc w:val="center"/>
              <w:rPr>
                <w:sz w:val="20"/>
                <w:szCs w:val="20"/>
                <w:lang w:val="en-GB"/>
              </w:rPr>
            </w:pPr>
          </w:p>
        </w:tc>
        <w:tc>
          <w:tcPr>
            <w:tcW w:w="943" w:type="dxa"/>
            <w:vAlign w:val="center"/>
          </w:tcPr>
          <w:p w14:paraId="7863BA09" w14:textId="77777777" w:rsidR="00351932" w:rsidRPr="002053A0" w:rsidRDefault="00351932" w:rsidP="009B249D">
            <w:pPr>
              <w:jc w:val="center"/>
              <w:rPr>
                <w:sz w:val="20"/>
                <w:szCs w:val="20"/>
                <w:lang w:val="en-GB"/>
              </w:rPr>
            </w:pPr>
          </w:p>
        </w:tc>
      </w:tr>
      <w:tr w:rsidR="006D12F7" w:rsidRPr="005A751D" w14:paraId="7CA3110D" w14:textId="77777777" w:rsidTr="00A90240">
        <w:trPr>
          <w:trHeight w:val="348"/>
        </w:trPr>
        <w:tc>
          <w:tcPr>
            <w:tcW w:w="3589" w:type="dxa"/>
            <w:vMerge w:val="restart"/>
            <w:vAlign w:val="center"/>
          </w:tcPr>
          <w:p w14:paraId="7A27F55C" w14:textId="77777777" w:rsidR="006D12F7" w:rsidRPr="002053A0" w:rsidRDefault="006D12F7" w:rsidP="009B249D">
            <w:pPr>
              <w:ind w:left="360"/>
              <w:rPr>
                <w:sz w:val="20"/>
                <w:szCs w:val="20"/>
                <w:lang w:val="en-GB"/>
              </w:rPr>
            </w:pPr>
            <w:r w:rsidRPr="002053A0">
              <w:rPr>
                <w:sz w:val="20"/>
                <w:szCs w:val="20"/>
                <w:lang w:val="en-GB"/>
              </w:rPr>
              <w:t>Total satisfaction</w:t>
            </w:r>
          </w:p>
        </w:tc>
        <w:tc>
          <w:tcPr>
            <w:tcW w:w="1258" w:type="dxa"/>
            <w:vAlign w:val="center"/>
          </w:tcPr>
          <w:p w14:paraId="69FCC90C" w14:textId="77777777" w:rsidR="006D12F7" w:rsidRPr="002053A0" w:rsidRDefault="006D12F7" w:rsidP="009B249D">
            <w:pPr>
              <w:jc w:val="center"/>
              <w:rPr>
                <w:sz w:val="20"/>
                <w:szCs w:val="20"/>
                <w:lang w:val="en-GB"/>
              </w:rPr>
            </w:pPr>
            <w:r w:rsidRPr="002053A0">
              <w:rPr>
                <w:sz w:val="20"/>
                <w:szCs w:val="20"/>
                <w:lang w:val="en-GB"/>
              </w:rPr>
              <w:t>Baseline</w:t>
            </w:r>
          </w:p>
        </w:tc>
        <w:tc>
          <w:tcPr>
            <w:tcW w:w="2160" w:type="dxa"/>
            <w:vAlign w:val="center"/>
          </w:tcPr>
          <w:p w14:paraId="21B9D0AA" w14:textId="77777777" w:rsidR="006D12F7" w:rsidRPr="002053A0" w:rsidRDefault="006D12F7" w:rsidP="009B249D">
            <w:pPr>
              <w:jc w:val="center"/>
              <w:rPr>
                <w:sz w:val="20"/>
                <w:szCs w:val="20"/>
                <w:lang w:val="en-GB"/>
              </w:rPr>
            </w:pPr>
            <w:r w:rsidRPr="002053A0">
              <w:rPr>
                <w:sz w:val="20"/>
                <w:szCs w:val="20"/>
                <w:lang w:val="en-GB"/>
              </w:rPr>
              <w:t>24.9±5.8 (43)</w:t>
            </w:r>
          </w:p>
        </w:tc>
        <w:tc>
          <w:tcPr>
            <w:tcW w:w="2250" w:type="dxa"/>
            <w:vAlign w:val="center"/>
          </w:tcPr>
          <w:p w14:paraId="7086D489" w14:textId="77777777" w:rsidR="006D12F7" w:rsidRPr="002053A0" w:rsidRDefault="006D12F7" w:rsidP="009B249D">
            <w:pPr>
              <w:jc w:val="center"/>
              <w:rPr>
                <w:sz w:val="20"/>
                <w:szCs w:val="20"/>
                <w:lang w:val="en-GB"/>
              </w:rPr>
            </w:pPr>
            <w:r w:rsidRPr="002053A0">
              <w:rPr>
                <w:sz w:val="20"/>
                <w:szCs w:val="20"/>
                <w:lang w:val="en-GB"/>
              </w:rPr>
              <w:t>26.0±5.9 (28)</w:t>
            </w:r>
          </w:p>
        </w:tc>
        <w:tc>
          <w:tcPr>
            <w:tcW w:w="943" w:type="dxa"/>
            <w:vAlign w:val="center"/>
          </w:tcPr>
          <w:p w14:paraId="7F94703F" w14:textId="77777777" w:rsidR="006D12F7" w:rsidRPr="002053A0" w:rsidRDefault="006D12F7" w:rsidP="009B249D">
            <w:pPr>
              <w:jc w:val="center"/>
              <w:rPr>
                <w:sz w:val="20"/>
                <w:szCs w:val="20"/>
                <w:lang w:val="en-GB"/>
              </w:rPr>
            </w:pPr>
            <w:r w:rsidRPr="002053A0">
              <w:rPr>
                <w:sz w:val="20"/>
                <w:szCs w:val="20"/>
                <w:lang w:val="en-GB"/>
              </w:rPr>
              <w:t>0.42</w:t>
            </w:r>
          </w:p>
        </w:tc>
      </w:tr>
      <w:tr w:rsidR="006D12F7" w:rsidRPr="005A751D" w14:paraId="53456CB6" w14:textId="77777777" w:rsidTr="00A90240">
        <w:trPr>
          <w:trHeight w:val="308"/>
        </w:trPr>
        <w:tc>
          <w:tcPr>
            <w:tcW w:w="3589" w:type="dxa"/>
            <w:vMerge/>
            <w:vAlign w:val="center"/>
          </w:tcPr>
          <w:p w14:paraId="16D21CC8" w14:textId="77777777" w:rsidR="006D12F7" w:rsidRPr="002053A0" w:rsidRDefault="006D12F7" w:rsidP="009B249D">
            <w:pPr>
              <w:rPr>
                <w:sz w:val="20"/>
                <w:szCs w:val="20"/>
                <w:lang w:val="en-GB"/>
              </w:rPr>
            </w:pPr>
          </w:p>
        </w:tc>
        <w:tc>
          <w:tcPr>
            <w:tcW w:w="1258" w:type="dxa"/>
            <w:vAlign w:val="center"/>
          </w:tcPr>
          <w:p w14:paraId="15A6DE47" w14:textId="7B527D39" w:rsidR="006D12F7" w:rsidRPr="002053A0" w:rsidRDefault="006D12F7" w:rsidP="009B249D">
            <w:pPr>
              <w:jc w:val="center"/>
              <w:rPr>
                <w:sz w:val="20"/>
                <w:szCs w:val="20"/>
                <w:lang w:val="en-GB"/>
              </w:rPr>
            </w:pPr>
            <w:r>
              <w:rPr>
                <w:sz w:val="20"/>
                <w:szCs w:val="20"/>
                <w:lang w:val="en-GB"/>
              </w:rPr>
              <w:t>24 months</w:t>
            </w:r>
          </w:p>
        </w:tc>
        <w:tc>
          <w:tcPr>
            <w:tcW w:w="2160" w:type="dxa"/>
            <w:vAlign w:val="center"/>
          </w:tcPr>
          <w:p w14:paraId="3DAA176B" w14:textId="77777777" w:rsidR="006D12F7" w:rsidRPr="002053A0" w:rsidRDefault="006D12F7" w:rsidP="009B249D">
            <w:pPr>
              <w:jc w:val="center"/>
              <w:rPr>
                <w:sz w:val="20"/>
                <w:szCs w:val="20"/>
                <w:lang w:val="en-GB"/>
              </w:rPr>
            </w:pPr>
            <w:r w:rsidRPr="002053A0">
              <w:rPr>
                <w:sz w:val="20"/>
                <w:szCs w:val="20"/>
                <w:lang w:val="en-GB"/>
              </w:rPr>
              <w:t>30.5±5.3 (33)</w:t>
            </w:r>
          </w:p>
        </w:tc>
        <w:tc>
          <w:tcPr>
            <w:tcW w:w="2250" w:type="dxa"/>
            <w:vAlign w:val="center"/>
          </w:tcPr>
          <w:p w14:paraId="4151449B" w14:textId="77777777" w:rsidR="006D12F7" w:rsidRPr="002053A0" w:rsidRDefault="006D12F7" w:rsidP="009B249D">
            <w:pPr>
              <w:jc w:val="center"/>
              <w:rPr>
                <w:sz w:val="20"/>
                <w:szCs w:val="20"/>
                <w:lang w:val="en-GB"/>
              </w:rPr>
            </w:pPr>
            <w:r w:rsidRPr="002053A0">
              <w:rPr>
                <w:sz w:val="20"/>
                <w:szCs w:val="20"/>
                <w:lang w:val="en-GB"/>
              </w:rPr>
              <w:t>31.3±4.2 (16)</w:t>
            </w:r>
          </w:p>
        </w:tc>
        <w:tc>
          <w:tcPr>
            <w:tcW w:w="943" w:type="dxa"/>
            <w:vAlign w:val="center"/>
          </w:tcPr>
          <w:p w14:paraId="65C1B4E4" w14:textId="77777777" w:rsidR="006D12F7" w:rsidRPr="002053A0" w:rsidRDefault="006D12F7" w:rsidP="009B249D">
            <w:pPr>
              <w:jc w:val="center"/>
              <w:rPr>
                <w:sz w:val="20"/>
                <w:szCs w:val="20"/>
                <w:lang w:val="en-GB"/>
              </w:rPr>
            </w:pPr>
            <w:r w:rsidRPr="002053A0">
              <w:rPr>
                <w:sz w:val="20"/>
                <w:szCs w:val="20"/>
                <w:lang w:val="en-GB"/>
              </w:rPr>
              <w:t>0.59</w:t>
            </w:r>
          </w:p>
        </w:tc>
      </w:tr>
      <w:tr w:rsidR="006D12F7" w:rsidRPr="005A751D" w14:paraId="4DDCB949" w14:textId="77777777" w:rsidTr="00A90240">
        <w:trPr>
          <w:trHeight w:val="503"/>
        </w:trPr>
        <w:tc>
          <w:tcPr>
            <w:tcW w:w="3589" w:type="dxa"/>
            <w:vMerge w:val="restart"/>
            <w:vAlign w:val="center"/>
          </w:tcPr>
          <w:p w14:paraId="296872D0" w14:textId="77777777" w:rsidR="006D12F7" w:rsidRPr="002053A0" w:rsidRDefault="006D12F7" w:rsidP="009B249D">
            <w:pPr>
              <w:ind w:left="360"/>
              <w:rPr>
                <w:sz w:val="20"/>
                <w:szCs w:val="20"/>
                <w:lang w:val="en-GB"/>
              </w:rPr>
            </w:pPr>
            <w:r w:rsidRPr="002053A0">
              <w:rPr>
                <w:sz w:val="20"/>
                <w:szCs w:val="20"/>
                <w:lang w:val="en-GB"/>
              </w:rPr>
              <w:t xml:space="preserve">Perceived frequency </w:t>
            </w:r>
            <w:proofErr w:type="spellStart"/>
            <w:r w:rsidRPr="002053A0">
              <w:rPr>
                <w:sz w:val="20"/>
                <w:szCs w:val="20"/>
                <w:lang w:val="en-GB"/>
              </w:rPr>
              <w:t>hyperglycemia</w:t>
            </w:r>
            <w:proofErr w:type="spellEnd"/>
          </w:p>
        </w:tc>
        <w:tc>
          <w:tcPr>
            <w:tcW w:w="1258" w:type="dxa"/>
            <w:vAlign w:val="center"/>
          </w:tcPr>
          <w:p w14:paraId="2709503C" w14:textId="77777777" w:rsidR="006D12F7" w:rsidRPr="002053A0" w:rsidRDefault="006D12F7" w:rsidP="009B249D">
            <w:pPr>
              <w:jc w:val="center"/>
              <w:rPr>
                <w:sz w:val="20"/>
                <w:szCs w:val="20"/>
                <w:lang w:val="en-GB"/>
              </w:rPr>
            </w:pPr>
            <w:r w:rsidRPr="002053A0">
              <w:rPr>
                <w:sz w:val="20"/>
                <w:szCs w:val="20"/>
                <w:lang w:val="en-GB"/>
              </w:rPr>
              <w:t>Baseline</w:t>
            </w:r>
          </w:p>
        </w:tc>
        <w:tc>
          <w:tcPr>
            <w:tcW w:w="2160" w:type="dxa"/>
            <w:vAlign w:val="center"/>
          </w:tcPr>
          <w:p w14:paraId="2B57C9E4" w14:textId="77777777" w:rsidR="006D12F7" w:rsidRPr="002053A0" w:rsidRDefault="006D12F7" w:rsidP="009B249D">
            <w:pPr>
              <w:jc w:val="center"/>
              <w:rPr>
                <w:sz w:val="20"/>
                <w:szCs w:val="20"/>
                <w:lang w:val="en-GB"/>
              </w:rPr>
            </w:pPr>
            <w:r w:rsidRPr="002053A0">
              <w:rPr>
                <w:sz w:val="20"/>
                <w:szCs w:val="20"/>
                <w:lang w:val="en-GB"/>
              </w:rPr>
              <w:t>3.8±1.4 (43)</w:t>
            </w:r>
          </w:p>
        </w:tc>
        <w:tc>
          <w:tcPr>
            <w:tcW w:w="2250" w:type="dxa"/>
            <w:vAlign w:val="center"/>
          </w:tcPr>
          <w:p w14:paraId="61E8FD3A" w14:textId="77777777" w:rsidR="006D12F7" w:rsidRPr="002053A0" w:rsidRDefault="006D12F7" w:rsidP="009B249D">
            <w:pPr>
              <w:jc w:val="center"/>
              <w:rPr>
                <w:sz w:val="20"/>
                <w:szCs w:val="20"/>
                <w:lang w:val="en-GB"/>
              </w:rPr>
            </w:pPr>
            <w:r w:rsidRPr="002053A0">
              <w:rPr>
                <w:sz w:val="20"/>
                <w:szCs w:val="20"/>
                <w:lang w:val="en-GB"/>
              </w:rPr>
              <w:t>3.7±1.4 (28)</w:t>
            </w:r>
          </w:p>
        </w:tc>
        <w:tc>
          <w:tcPr>
            <w:tcW w:w="943" w:type="dxa"/>
            <w:vAlign w:val="center"/>
          </w:tcPr>
          <w:p w14:paraId="42478C43" w14:textId="77777777" w:rsidR="006D12F7" w:rsidRPr="002053A0" w:rsidRDefault="006D12F7" w:rsidP="009B249D">
            <w:pPr>
              <w:jc w:val="center"/>
              <w:rPr>
                <w:sz w:val="20"/>
                <w:szCs w:val="20"/>
                <w:lang w:val="en-GB"/>
              </w:rPr>
            </w:pPr>
            <w:r w:rsidRPr="002053A0">
              <w:rPr>
                <w:sz w:val="20"/>
                <w:szCs w:val="20"/>
                <w:lang w:val="en-GB"/>
              </w:rPr>
              <w:t>0.74</w:t>
            </w:r>
          </w:p>
        </w:tc>
      </w:tr>
      <w:tr w:rsidR="006D12F7" w:rsidRPr="005A751D" w14:paraId="66F81E87" w14:textId="77777777" w:rsidTr="00A90240">
        <w:trPr>
          <w:trHeight w:val="279"/>
        </w:trPr>
        <w:tc>
          <w:tcPr>
            <w:tcW w:w="3589" w:type="dxa"/>
            <w:vMerge/>
            <w:vAlign w:val="center"/>
          </w:tcPr>
          <w:p w14:paraId="27BD0248" w14:textId="77777777" w:rsidR="006D12F7" w:rsidRPr="002053A0" w:rsidRDefault="006D12F7" w:rsidP="009B249D">
            <w:pPr>
              <w:rPr>
                <w:sz w:val="20"/>
                <w:szCs w:val="20"/>
                <w:lang w:val="en-GB"/>
              </w:rPr>
            </w:pPr>
          </w:p>
        </w:tc>
        <w:tc>
          <w:tcPr>
            <w:tcW w:w="1258" w:type="dxa"/>
            <w:vAlign w:val="center"/>
          </w:tcPr>
          <w:p w14:paraId="190D590D" w14:textId="2163D397" w:rsidR="006D12F7" w:rsidRPr="002053A0" w:rsidRDefault="006D12F7" w:rsidP="009B249D">
            <w:pPr>
              <w:jc w:val="center"/>
              <w:rPr>
                <w:sz w:val="20"/>
                <w:szCs w:val="20"/>
                <w:lang w:val="en-GB"/>
              </w:rPr>
            </w:pPr>
            <w:r>
              <w:rPr>
                <w:sz w:val="20"/>
                <w:szCs w:val="20"/>
                <w:lang w:val="en-GB"/>
              </w:rPr>
              <w:t>24 months</w:t>
            </w:r>
          </w:p>
        </w:tc>
        <w:tc>
          <w:tcPr>
            <w:tcW w:w="2160" w:type="dxa"/>
            <w:vAlign w:val="center"/>
          </w:tcPr>
          <w:p w14:paraId="301E19D8" w14:textId="77777777" w:rsidR="006D12F7" w:rsidRPr="002053A0" w:rsidRDefault="006D12F7" w:rsidP="009B249D">
            <w:pPr>
              <w:jc w:val="center"/>
              <w:rPr>
                <w:sz w:val="20"/>
                <w:szCs w:val="20"/>
                <w:lang w:val="en-GB"/>
              </w:rPr>
            </w:pPr>
            <w:r w:rsidRPr="002053A0">
              <w:rPr>
                <w:sz w:val="20"/>
                <w:szCs w:val="20"/>
                <w:lang w:val="en-GB"/>
              </w:rPr>
              <w:t>3.1±1.5 (34)</w:t>
            </w:r>
          </w:p>
        </w:tc>
        <w:tc>
          <w:tcPr>
            <w:tcW w:w="2250" w:type="dxa"/>
            <w:vAlign w:val="center"/>
          </w:tcPr>
          <w:p w14:paraId="0DD2504F" w14:textId="77777777" w:rsidR="006D12F7" w:rsidRPr="002053A0" w:rsidRDefault="006D12F7" w:rsidP="009B249D">
            <w:pPr>
              <w:jc w:val="center"/>
              <w:rPr>
                <w:sz w:val="20"/>
                <w:szCs w:val="20"/>
                <w:lang w:val="en-GB"/>
              </w:rPr>
            </w:pPr>
            <w:r w:rsidRPr="002053A0">
              <w:rPr>
                <w:sz w:val="20"/>
                <w:szCs w:val="20"/>
                <w:lang w:val="en-GB"/>
              </w:rPr>
              <w:t>2.7±1.1 (16)</w:t>
            </w:r>
          </w:p>
        </w:tc>
        <w:tc>
          <w:tcPr>
            <w:tcW w:w="943" w:type="dxa"/>
            <w:vAlign w:val="center"/>
          </w:tcPr>
          <w:p w14:paraId="585F9C32" w14:textId="77777777" w:rsidR="006D12F7" w:rsidRPr="002053A0" w:rsidRDefault="006D12F7" w:rsidP="009B249D">
            <w:pPr>
              <w:jc w:val="center"/>
              <w:rPr>
                <w:sz w:val="20"/>
                <w:szCs w:val="20"/>
                <w:lang w:val="en-GB"/>
              </w:rPr>
            </w:pPr>
            <w:r w:rsidRPr="002053A0">
              <w:rPr>
                <w:sz w:val="20"/>
                <w:szCs w:val="20"/>
                <w:lang w:val="en-GB"/>
              </w:rPr>
              <w:t>0.27</w:t>
            </w:r>
          </w:p>
        </w:tc>
      </w:tr>
      <w:tr w:rsidR="006D12F7" w:rsidRPr="005A751D" w14:paraId="5082F305" w14:textId="77777777" w:rsidTr="00A90240">
        <w:trPr>
          <w:trHeight w:val="467"/>
        </w:trPr>
        <w:tc>
          <w:tcPr>
            <w:tcW w:w="3589" w:type="dxa"/>
            <w:vMerge w:val="restart"/>
            <w:vAlign w:val="center"/>
          </w:tcPr>
          <w:p w14:paraId="57B7FE41" w14:textId="77777777" w:rsidR="006D12F7" w:rsidRPr="002053A0" w:rsidRDefault="006D12F7" w:rsidP="009B249D">
            <w:pPr>
              <w:ind w:left="360"/>
              <w:rPr>
                <w:sz w:val="20"/>
                <w:szCs w:val="20"/>
                <w:lang w:val="en-GB"/>
              </w:rPr>
            </w:pPr>
            <w:r w:rsidRPr="002053A0">
              <w:rPr>
                <w:sz w:val="20"/>
                <w:szCs w:val="20"/>
                <w:lang w:val="en-GB"/>
              </w:rPr>
              <w:t xml:space="preserve">Perceived frequency of </w:t>
            </w:r>
            <w:proofErr w:type="spellStart"/>
            <w:r w:rsidRPr="002053A0">
              <w:rPr>
                <w:sz w:val="20"/>
                <w:szCs w:val="20"/>
                <w:lang w:val="en-GB"/>
              </w:rPr>
              <w:t>hypoglycemia</w:t>
            </w:r>
            <w:proofErr w:type="spellEnd"/>
          </w:p>
        </w:tc>
        <w:tc>
          <w:tcPr>
            <w:tcW w:w="1258" w:type="dxa"/>
            <w:vAlign w:val="center"/>
          </w:tcPr>
          <w:p w14:paraId="48A1DBF4" w14:textId="77777777" w:rsidR="006D12F7" w:rsidRPr="002053A0" w:rsidRDefault="006D12F7" w:rsidP="009B249D">
            <w:pPr>
              <w:jc w:val="center"/>
              <w:rPr>
                <w:sz w:val="20"/>
                <w:szCs w:val="20"/>
                <w:lang w:val="en-GB"/>
              </w:rPr>
            </w:pPr>
            <w:r w:rsidRPr="002053A0">
              <w:rPr>
                <w:sz w:val="20"/>
                <w:szCs w:val="20"/>
                <w:lang w:val="en-GB"/>
              </w:rPr>
              <w:t>Baseline</w:t>
            </w:r>
          </w:p>
        </w:tc>
        <w:tc>
          <w:tcPr>
            <w:tcW w:w="2160" w:type="dxa"/>
            <w:vAlign w:val="center"/>
          </w:tcPr>
          <w:p w14:paraId="047FFF67" w14:textId="77777777" w:rsidR="006D12F7" w:rsidRPr="002053A0" w:rsidRDefault="006D12F7" w:rsidP="009B249D">
            <w:pPr>
              <w:jc w:val="center"/>
              <w:rPr>
                <w:sz w:val="20"/>
                <w:szCs w:val="20"/>
                <w:lang w:val="en-GB"/>
              </w:rPr>
            </w:pPr>
            <w:r w:rsidRPr="002053A0">
              <w:rPr>
                <w:sz w:val="20"/>
                <w:szCs w:val="20"/>
                <w:lang w:val="en-GB"/>
              </w:rPr>
              <w:t>3.8±1.2 (43)</w:t>
            </w:r>
          </w:p>
        </w:tc>
        <w:tc>
          <w:tcPr>
            <w:tcW w:w="2250" w:type="dxa"/>
            <w:vAlign w:val="center"/>
          </w:tcPr>
          <w:p w14:paraId="3D75CB24" w14:textId="77777777" w:rsidR="006D12F7" w:rsidRPr="002053A0" w:rsidRDefault="006D12F7" w:rsidP="009B249D">
            <w:pPr>
              <w:jc w:val="center"/>
              <w:rPr>
                <w:sz w:val="20"/>
                <w:szCs w:val="20"/>
                <w:lang w:val="en-GB"/>
              </w:rPr>
            </w:pPr>
            <w:r w:rsidRPr="002053A0">
              <w:rPr>
                <w:sz w:val="20"/>
                <w:szCs w:val="20"/>
                <w:lang w:val="en-GB"/>
              </w:rPr>
              <w:t>3.7±1.4 (28)</w:t>
            </w:r>
          </w:p>
        </w:tc>
        <w:tc>
          <w:tcPr>
            <w:tcW w:w="943" w:type="dxa"/>
            <w:vAlign w:val="center"/>
          </w:tcPr>
          <w:p w14:paraId="6AFEEACF" w14:textId="77777777" w:rsidR="006D12F7" w:rsidRPr="002053A0" w:rsidRDefault="006D12F7" w:rsidP="009B249D">
            <w:pPr>
              <w:jc w:val="center"/>
              <w:rPr>
                <w:sz w:val="20"/>
                <w:szCs w:val="20"/>
                <w:lang w:val="en-GB"/>
              </w:rPr>
            </w:pPr>
            <w:r w:rsidRPr="002053A0">
              <w:rPr>
                <w:sz w:val="20"/>
                <w:szCs w:val="20"/>
                <w:lang w:val="en-GB"/>
              </w:rPr>
              <w:t>0.73</w:t>
            </w:r>
          </w:p>
        </w:tc>
      </w:tr>
      <w:tr w:rsidR="006D12F7" w:rsidRPr="005A751D" w14:paraId="6D7F8A32" w14:textId="77777777" w:rsidTr="00A90240">
        <w:trPr>
          <w:trHeight w:val="75"/>
        </w:trPr>
        <w:tc>
          <w:tcPr>
            <w:tcW w:w="3589" w:type="dxa"/>
            <w:vMerge/>
            <w:vAlign w:val="center"/>
          </w:tcPr>
          <w:p w14:paraId="4AB1EF57" w14:textId="77777777" w:rsidR="006D12F7" w:rsidRPr="002053A0" w:rsidRDefault="006D12F7" w:rsidP="009B249D">
            <w:pPr>
              <w:rPr>
                <w:sz w:val="20"/>
                <w:szCs w:val="20"/>
                <w:lang w:val="en-GB"/>
              </w:rPr>
            </w:pPr>
          </w:p>
        </w:tc>
        <w:tc>
          <w:tcPr>
            <w:tcW w:w="1258" w:type="dxa"/>
            <w:vAlign w:val="center"/>
          </w:tcPr>
          <w:p w14:paraId="2737C55B" w14:textId="0FB67937" w:rsidR="006D12F7" w:rsidRPr="002053A0" w:rsidRDefault="006D12F7" w:rsidP="009B249D">
            <w:pPr>
              <w:jc w:val="center"/>
              <w:rPr>
                <w:sz w:val="20"/>
                <w:szCs w:val="20"/>
                <w:lang w:val="en-GB"/>
              </w:rPr>
            </w:pPr>
            <w:r>
              <w:rPr>
                <w:sz w:val="20"/>
                <w:szCs w:val="20"/>
                <w:lang w:val="en-GB"/>
              </w:rPr>
              <w:t>24 months</w:t>
            </w:r>
          </w:p>
        </w:tc>
        <w:tc>
          <w:tcPr>
            <w:tcW w:w="2160" w:type="dxa"/>
            <w:vAlign w:val="center"/>
          </w:tcPr>
          <w:p w14:paraId="219B0B5A" w14:textId="77777777" w:rsidR="006D12F7" w:rsidRPr="002053A0" w:rsidRDefault="006D12F7" w:rsidP="009B249D">
            <w:pPr>
              <w:jc w:val="center"/>
              <w:rPr>
                <w:sz w:val="20"/>
                <w:szCs w:val="20"/>
                <w:lang w:val="en-GB"/>
              </w:rPr>
            </w:pPr>
            <w:r w:rsidRPr="002053A0">
              <w:rPr>
                <w:sz w:val="20"/>
                <w:szCs w:val="20"/>
                <w:lang w:val="en-GB"/>
              </w:rPr>
              <w:t>2.6±1.3 (34)</w:t>
            </w:r>
          </w:p>
        </w:tc>
        <w:tc>
          <w:tcPr>
            <w:tcW w:w="2250" w:type="dxa"/>
            <w:vAlign w:val="center"/>
          </w:tcPr>
          <w:p w14:paraId="540F469F" w14:textId="77777777" w:rsidR="006D12F7" w:rsidRPr="002053A0" w:rsidRDefault="006D12F7" w:rsidP="009B249D">
            <w:pPr>
              <w:jc w:val="center"/>
              <w:rPr>
                <w:sz w:val="20"/>
                <w:szCs w:val="20"/>
                <w:lang w:val="en-GB"/>
              </w:rPr>
            </w:pPr>
            <w:r w:rsidRPr="002053A0">
              <w:rPr>
                <w:sz w:val="20"/>
                <w:szCs w:val="20"/>
                <w:lang w:val="en-GB"/>
              </w:rPr>
              <w:t>2.8±1.4 (16)</w:t>
            </w:r>
          </w:p>
        </w:tc>
        <w:tc>
          <w:tcPr>
            <w:tcW w:w="943" w:type="dxa"/>
            <w:vAlign w:val="center"/>
          </w:tcPr>
          <w:p w14:paraId="6915342D" w14:textId="77777777" w:rsidR="006D12F7" w:rsidRPr="002053A0" w:rsidRDefault="006D12F7" w:rsidP="009B249D">
            <w:pPr>
              <w:jc w:val="center"/>
              <w:rPr>
                <w:sz w:val="20"/>
                <w:szCs w:val="20"/>
                <w:lang w:val="en-GB"/>
              </w:rPr>
            </w:pPr>
            <w:r w:rsidRPr="002053A0">
              <w:rPr>
                <w:sz w:val="20"/>
                <w:szCs w:val="20"/>
                <w:lang w:val="en-GB"/>
              </w:rPr>
              <w:t>0.54</w:t>
            </w:r>
          </w:p>
        </w:tc>
      </w:tr>
    </w:tbl>
    <w:p w14:paraId="1976199C" w14:textId="77777777" w:rsidR="00B77DB8" w:rsidRDefault="00B77DB8" w:rsidP="00351932">
      <w:pPr>
        <w:rPr>
          <w:sz w:val="20"/>
          <w:szCs w:val="20"/>
        </w:rPr>
      </w:pPr>
    </w:p>
    <w:p w14:paraId="50E596ED" w14:textId="4E26CFA2" w:rsidR="00351932" w:rsidRPr="002053A0" w:rsidRDefault="00351932" w:rsidP="00351932">
      <w:pPr>
        <w:rPr>
          <w:sz w:val="20"/>
          <w:szCs w:val="20"/>
          <w:lang w:val="en-GB"/>
        </w:rPr>
      </w:pPr>
      <w:r w:rsidRPr="002053A0">
        <w:rPr>
          <w:sz w:val="20"/>
          <w:szCs w:val="20"/>
        </w:rPr>
        <w:t>Table 2. Patient</w:t>
      </w:r>
      <w:r w:rsidR="00C35592">
        <w:rPr>
          <w:sz w:val="20"/>
          <w:szCs w:val="20"/>
        </w:rPr>
        <w:t>-</w:t>
      </w:r>
      <w:r w:rsidRPr="002053A0">
        <w:rPr>
          <w:sz w:val="20"/>
          <w:szCs w:val="20"/>
        </w:rPr>
        <w:t xml:space="preserve">reported outcomes at baseline and 24 months. </w:t>
      </w:r>
      <w:r w:rsidRPr="002053A0">
        <w:rPr>
          <w:sz w:val="20"/>
          <w:szCs w:val="20"/>
          <w:lang w:val="en-GB"/>
        </w:rPr>
        <w:t xml:space="preserve">Data are </w:t>
      </w:r>
      <w:proofErr w:type="spellStart"/>
      <w:r w:rsidRPr="002053A0">
        <w:rPr>
          <w:sz w:val="20"/>
          <w:szCs w:val="20"/>
          <w:lang w:val="en-GB"/>
        </w:rPr>
        <w:t>mean±SD</w:t>
      </w:r>
      <w:proofErr w:type="spellEnd"/>
      <w:r w:rsidRPr="002053A0">
        <w:rPr>
          <w:sz w:val="20"/>
          <w:szCs w:val="20"/>
          <w:lang w:val="en-GB"/>
        </w:rPr>
        <w:t xml:space="preserve"> (</w:t>
      </w:r>
      <w:r w:rsidRPr="00686F2A">
        <w:rPr>
          <w:i/>
          <w:sz w:val="20"/>
          <w:szCs w:val="20"/>
          <w:lang w:val="en-GB"/>
        </w:rPr>
        <w:t>n</w:t>
      </w:r>
      <w:r w:rsidRPr="002053A0">
        <w:rPr>
          <w:sz w:val="20"/>
          <w:szCs w:val="20"/>
          <w:lang w:val="en-GB"/>
        </w:rPr>
        <w:t>).</w:t>
      </w:r>
    </w:p>
    <w:p w14:paraId="12DBD831" w14:textId="77777777" w:rsidR="00351932" w:rsidRPr="002053A0" w:rsidRDefault="00351932" w:rsidP="00351932">
      <w:pPr>
        <w:jc w:val="both"/>
        <w:rPr>
          <w:sz w:val="20"/>
          <w:szCs w:val="20"/>
          <w:lang w:val="en-GB"/>
        </w:rPr>
      </w:pPr>
    </w:p>
    <w:p w14:paraId="3423BDC7" w14:textId="77777777" w:rsidR="00351932" w:rsidRPr="002053A0" w:rsidRDefault="00351932" w:rsidP="00351932">
      <w:pPr>
        <w:jc w:val="both"/>
        <w:rPr>
          <w:sz w:val="20"/>
          <w:szCs w:val="20"/>
          <w:lang w:val="en-GB"/>
        </w:rPr>
      </w:pPr>
    </w:p>
    <w:p w14:paraId="4C3086CF" w14:textId="77777777" w:rsidR="00351932" w:rsidRPr="002053A0" w:rsidRDefault="00351932" w:rsidP="00351932">
      <w:pPr>
        <w:jc w:val="both"/>
        <w:rPr>
          <w:sz w:val="20"/>
          <w:szCs w:val="20"/>
          <w:lang w:val="en-GB"/>
        </w:rPr>
      </w:pPr>
    </w:p>
    <w:p w14:paraId="7CB0871E" w14:textId="77777777" w:rsidR="00351932" w:rsidRPr="002053A0" w:rsidRDefault="00351932" w:rsidP="00351932">
      <w:pPr>
        <w:jc w:val="both"/>
        <w:rPr>
          <w:sz w:val="20"/>
          <w:szCs w:val="20"/>
          <w:lang w:val="en-GB"/>
        </w:rPr>
      </w:pPr>
    </w:p>
    <w:p w14:paraId="6346DF8E" w14:textId="77777777" w:rsidR="00E2011A" w:rsidRPr="002053A0" w:rsidRDefault="00E2011A" w:rsidP="00351932">
      <w:pPr>
        <w:jc w:val="both"/>
        <w:rPr>
          <w:sz w:val="20"/>
          <w:szCs w:val="20"/>
          <w:lang w:val="en-GB"/>
        </w:rPr>
      </w:pPr>
    </w:p>
    <w:p w14:paraId="30FB2E2B" w14:textId="77777777" w:rsidR="00E2011A" w:rsidRPr="002053A0" w:rsidRDefault="00E2011A" w:rsidP="00351932">
      <w:pPr>
        <w:jc w:val="both"/>
        <w:rPr>
          <w:sz w:val="20"/>
          <w:szCs w:val="20"/>
          <w:lang w:val="en-GB"/>
        </w:rPr>
      </w:pPr>
    </w:p>
    <w:p w14:paraId="2F26EA75" w14:textId="77777777" w:rsidR="00E2011A" w:rsidRPr="002053A0" w:rsidRDefault="00E2011A" w:rsidP="00351932">
      <w:pPr>
        <w:jc w:val="both"/>
        <w:rPr>
          <w:sz w:val="20"/>
          <w:szCs w:val="20"/>
          <w:lang w:val="en-GB"/>
        </w:rPr>
      </w:pPr>
    </w:p>
    <w:p w14:paraId="02FD653F" w14:textId="77777777" w:rsidR="00E2011A" w:rsidRPr="002053A0" w:rsidRDefault="00E2011A" w:rsidP="00351932">
      <w:pPr>
        <w:jc w:val="both"/>
        <w:rPr>
          <w:sz w:val="20"/>
          <w:szCs w:val="20"/>
          <w:lang w:val="en-GB"/>
        </w:rPr>
      </w:pPr>
    </w:p>
    <w:p w14:paraId="4E21D417" w14:textId="77777777" w:rsidR="00E2011A" w:rsidRPr="002053A0" w:rsidRDefault="00E2011A" w:rsidP="00351932">
      <w:pPr>
        <w:jc w:val="both"/>
        <w:rPr>
          <w:sz w:val="20"/>
          <w:szCs w:val="20"/>
          <w:lang w:val="en-GB"/>
        </w:rPr>
      </w:pPr>
    </w:p>
    <w:p w14:paraId="02D244A9" w14:textId="77777777" w:rsidR="00E2011A" w:rsidRPr="002053A0" w:rsidRDefault="00E2011A" w:rsidP="00351932">
      <w:pPr>
        <w:jc w:val="both"/>
        <w:rPr>
          <w:sz w:val="20"/>
          <w:szCs w:val="20"/>
          <w:lang w:val="en-GB"/>
        </w:rPr>
      </w:pPr>
    </w:p>
    <w:p w14:paraId="57A0CAC1" w14:textId="77777777" w:rsidR="00E2011A" w:rsidRPr="002053A0" w:rsidRDefault="00E2011A" w:rsidP="00351932">
      <w:pPr>
        <w:jc w:val="both"/>
        <w:rPr>
          <w:sz w:val="20"/>
          <w:szCs w:val="20"/>
          <w:lang w:val="en-GB"/>
        </w:rPr>
      </w:pPr>
    </w:p>
    <w:p w14:paraId="4E8F3345" w14:textId="77777777" w:rsidR="00E2011A" w:rsidRPr="002053A0" w:rsidRDefault="00E2011A" w:rsidP="00351932">
      <w:pPr>
        <w:jc w:val="both"/>
        <w:rPr>
          <w:sz w:val="20"/>
          <w:szCs w:val="20"/>
          <w:lang w:val="en-GB"/>
        </w:rPr>
      </w:pPr>
    </w:p>
    <w:p w14:paraId="66AEB0C9" w14:textId="77777777" w:rsidR="00E2011A" w:rsidRPr="002053A0" w:rsidRDefault="00E2011A" w:rsidP="00351932">
      <w:pPr>
        <w:jc w:val="both"/>
        <w:rPr>
          <w:sz w:val="20"/>
          <w:szCs w:val="20"/>
          <w:lang w:val="en-GB"/>
        </w:rPr>
      </w:pPr>
    </w:p>
    <w:p w14:paraId="56C0FD3D" w14:textId="77777777" w:rsidR="00E2011A" w:rsidRPr="002053A0" w:rsidRDefault="00E2011A" w:rsidP="00351932">
      <w:pPr>
        <w:jc w:val="both"/>
        <w:rPr>
          <w:sz w:val="20"/>
          <w:szCs w:val="20"/>
          <w:lang w:val="en-GB"/>
        </w:rPr>
      </w:pPr>
    </w:p>
    <w:p w14:paraId="44BFEE6B" w14:textId="77777777" w:rsidR="00E2011A" w:rsidRPr="002053A0" w:rsidRDefault="00E2011A" w:rsidP="00351932">
      <w:pPr>
        <w:jc w:val="both"/>
        <w:rPr>
          <w:sz w:val="20"/>
          <w:szCs w:val="20"/>
          <w:lang w:val="en-GB"/>
        </w:rPr>
      </w:pPr>
    </w:p>
    <w:p w14:paraId="122A4FDF" w14:textId="77777777" w:rsidR="00E2011A" w:rsidRPr="002053A0" w:rsidRDefault="00E2011A" w:rsidP="00351932">
      <w:pPr>
        <w:jc w:val="both"/>
        <w:rPr>
          <w:sz w:val="20"/>
          <w:szCs w:val="20"/>
          <w:lang w:val="en-GB"/>
        </w:rPr>
      </w:pPr>
    </w:p>
    <w:p w14:paraId="72A6DF89" w14:textId="77777777" w:rsidR="00E2011A" w:rsidRPr="002053A0" w:rsidRDefault="00E2011A" w:rsidP="00351932">
      <w:pPr>
        <w:jc w:val="both"/>
        <w:rPr>
          <w:sz w:val="20"/>
          <w:szCs w:val="20"/>
          <w:lang w:val="en-GB"/>
        </w:rPr>
      </w:pPr>
    </w:p>
    <w:p w14:paraId="5918CDC1" w14:textId="77777777" w:rsidR="008775A4" w:rsidRPr="002053A0" w:rsidRDefault="008775A4" w:rsidP="00351932">
      <w:pPr>
        <w:jc w:val="both"/>
        <w:rPr>
          <w:sz w:val="20"/>
          <w:szCs w:val="20"/>
          <w:lang w:val="en-GB"/>
        </w:rPr>
      </w:pPr>
    </w:p>
    <w:p w14:paraId="1FDE5F96" w14:textId="77777777" w:rsidR="008775A4" w:rsidRPr="002053A0" w:rsidRDefault="008775A4" w:rsidP="00351932">
      <w:pPr>
        <w:jc w:val="both"/>
        <w:rPr>
          <w:sz w:val="20"/>
          <w:szCs w:val="20"/>
          <w:lang w:val="en-GB"/>
        </w:rPr>
      </w:pPr>
    </w:p>
    <w:p w14:paraId="3105B1F1" w14:textId="77777777" w:rsidR="008775A4" w:rsidRDefault="008775A4" w:rsidP="00351932">
      <w:pPr>
        <w:jc w:val="both"/>
        <w:rPr>
          <w:sz w:val="20"/>
          <w:szCs w:val="20"/>
          <w:lang w:val="en-GB"/>
        </w:rPr>
      </w:pPr>
    </w:p>
    <w:p w14:paraId="061DC2BE" w14:textId="77777777" w:rsidR="00F413DB" w:rsidRDefault="00F413DB" w:rsidP="00351932">
      <w:pPr>
        <w:jc w:val="both"/>
        <w:rPr>
          <w:sz w:val="20"/>
          <w:szCs w:val="20"/>
          <w:lang w:val="en-GB"/>
        </w:rPr>
      </w:pPr>
    </w:p>
    <w:p w14:paraId="6D71BE1D" w14:textId="77777777" w:rsidR="00F413DB" w:rsidRDefault="00F413DB" w:rsidP="00351932">
      <w:pPr>
        <w:jc w:val="both"/>
        <w:rPr>
          <w:sz w:val="20"/>
          <w:szCs w:val="20"/>
          <w:lang w:val="en-GB"/>
        </w:rPr>
      </w:pPr>
    </w:p>
    <w:p w14:paraId="3F9751ED" w14:textId="77777777" w:rsidR="00F413DB" w:rsidRDefault="00F413DB" w:rsidP="00351932">
      <w:pPr>
        <w:jc w:val="both"/>
        <w:rPr>
          <w:sz w:val="20"/>
          <w:szCs w:val="20"/>
          <w:lang w:val="en-GB"/>
        </w:rPr>
      </w:pPr>
    </w:p>
    <w:p w14:paraId="13F32A9F" w14:textId="77777777" w:rsidR="00F413DB" w:rsidRDefault="00F413DB" w:rsidP="00351932">
      <w:pPr>
        <w:jc w:val="both"/>
        <w:rPr>
          <w:sz w:val="20"/>
          <w:szCs w:val="20"/>
          <w:lang w:val="en-GB"/>
        </w:rPr>
      </w:pPr>
    </w:p>
    <w:p w14:paraId="72B6D5E6" w14:textId="77777777" w:rsidR="00F413DB" w:rsidRPr="002053A0" w:rsidRDefault="00F413DB" w:rsidP="00351932">
      <w:pPr>
        <w:jc w:val="both"/>
        <w:rPr>
          <w:sz w:val="20"/>
          <w:szCs w:val="20"/>
          <w:lang w:val="en-GB"/>
        </w:rPr>
      </w:pPr>
    </w:p>
    <w:p w14:paraId="42884A16" w14:textId="77777777" w:rsidR="008775A4" w:rsidRPr="002053A0" w:rsidRDefault="008775A4" w:rsidP="00351932">
      <w:pPr>
        <w:jc w:val="both"/>
        <w:rPr>
          <w:sz w:val="20"/>
          <w:szCs w:val="20"/>
          <w:lang w:val="en-GB"/>
        </w:rPr>
      </w:pPr>
    </w:p>
    <w:p w14:paraId="018EF82D" w14:textId="77777777" w:rsidR="008775A4" w:rsidRPr="002053A0" w:rsidRDefault="008775A4" w:rsidP="00351932">
      <w:pPr>
        <w:jc w:val="both"/>
        <w:rPr>
          <w:sz w:val="20"/>
          <w:szCs w:val="20"/>
          <w:lang w:val="en-GB"/>
        </w:rPr>
      </w:pPr>
    </w:p>
    <w:p w14:paraId="1B3C7486" w14:textId="77777777" w:rsidR="00351932" w:rsidRPr="002053A0" w:rsidRDefault="00351932" w:rsidP="00351932">
      <w:pPr>
        <w:jc w:val="both"/>
        <w:rPr>
          <w:sz w:val="20"/>
          <w:szCs w:val="20"/>
          <w:lang w:val="en-GB"/>
        </w:rPr>
      </w:pPr>
    </w:p>
    <w:p w14:paraId="46A59BE2" w14:textId="77777777" w:rsidR="00351932" w:rsidRPr="002053A0" w:rsidRDefault="00351932" w:rsidP="00351932">
      <w:pPr>
        <w:jc w:val="both"/>
        <w:rPr>
          <w:sz w:val="20"/>
          <w:szCs w:val="20"/>
          <w:lang w:val="en-GB"/>
        </w:rPr>
      </w:pPr>
    </w:p>
    <w:tbl>
      <w:tblPr>
        <w:tblStyle w:val="TableGridLight1"/>
        <w:tblW w:w="0" w:type="auto"/>
        <w:tblLook w:val="04A0" w:firstRow="1" w:lastRow="0" w:firstColumn="1" w:lastColumn="0" w:noHBand="0" w:noVBand="1"/>
      </w:tblPr>
      <w:tblGrid>
        <w:gridCol w:w="2977"/>
        <w:gridCol w:w="2523"/>
        <w:gridCol w:w="2523"/>
        <w:gridCol w:w="1304"/>
      </w:tblGrid>
      <w:tr w:rsidR="00351932" w:rsidRPr="005A751D" w14:paraId="24C19F1D" w14:textId="77777777" w:rsidTr="009B249D">
        <w:trPr>
          <w:trHeight w:val="549"/>
        </w:trPr>
        <w:tc>
          <w:tcPr>
            <w:tcW w:w="2977" w:type="dxa"/>
          </w:tcPr>
          <w:p w14:paraId="5A5A133A" w14:textId="77777777" w:rsidR="00351932" w:rsidRPr="00F413DB" w:rsidRDefault="00351932" w:rsidP="009B249D">
            <w:pPr>
              <w:jc w:val="both"/>
              <w:rPr>
                <w:sz w:val="20"/>
                <w:szCs w:val="20"/>
                <w:lang w:val="en-GB"/>
              </w:rPr>
            </w:pPr>
          </w:p>
        </w:tc>
        <w:tc>
          <w:tcPr>
            <w:tcW w:w="2523" w:type="dxa"/>
            <w:vAlign w:val="center"/>
          </w:tcPr>
          <w:p w14:paraId="458EC32A" w14:textId="54F92CCD" w:rsidR="00351932" w:rsidRPr="00F413DB" w:rsidRDefault="00351932" w:rsidP="00686F2A">
            <w:pPr>
              <w:jc w:val="center"/>
              <w:rPr>
                <w:sz w:val="20"/>
                <w:szCs w:val="20"/>
                <w:lang w:val="en-GB"/>
              </w:rPr>
            </w:pPr>
            <w:r w:rsidRPr="00F413DB">
              <w:rPr>
                <w:sz w:val="20"/>
                <w:szCs w:val="20"/>
                <w:lang w:val="en-GB"/>
              </w:rPr>
              <w:t xml:space="preserve">Complete </w:t>
            </w:r>
            <w:r w:rsidR="00686F2A">
              <w:rPr>
                <w:sz w:val="20"/>
                <w:szCs w:val="20"/>
                <w:lang w:val="en-GB"/>
              </w:rPr>
              <w:t>r</w:t>
            </w:r>
            <w:r w:rsidRPr="00F413DB">
              <w:rPr>
                <w:sz w:val="20"/>
                <w:szCs w:val="20"/>
                <w:lang w:val="en-GB"/>
              </w:rPr>
              <w:t>esponse</w:t>
            </w:r>
            <w:r w:rsidR="00686F2A">
              <w:rPr>
                <w:sz w:val="20"/>
                <w:szCs w:val="20"/>
                <w:lang w:val="en-GB"/>
              </w:rPr>
              <w:t>,</w:t>
            </w:r>
            <w:r w:rsidR="00DE582B">
              <w:rPr>
                <w:sz w:val="20"/>
                <w:szCs w:val="20"/>
                <w:lang w:val="en-GB"/>
              </w:rPr>
              <w:t xml:space="preserve"> </w:t>
            </w:r>
            <w:r w:rsidRPr="00686F2A">
              <w:rPr>
                <w:i/>
                <w:sz w:val="20"/>
                <w:szCs w:val="20"/>
                <w:lang w:val="en-GB"/>
              </w:rPr>
              <w:t>n</w:t>
            </w:r>
            <w:r w:rsidRPr="00F413DB">
              <w:rPr>
                <w:sz w:val="20"/>
                <w:szCs w:val="20"/>
                <w:lang w:val="en-GB"/>
              </w:rPr>
              <w:t>=43 (60.6%)</w:t>
            </w:r>
          </w:p>
        </w:tc>
        <w:tc>
          <w:tcPr>
            <w:tcW w:w="2523" w:type="dxa"/>
            <w:vAlign w:val="center"/>
          </w:tcPr>
          <w:p w14:paraId="4A48E8F7" w14:textId="7AC8A6F7" w:rsidR="00351932" w:rsidRPr="00F413DB" w:rsidRDefault="00351932" w:rsidP="00686F2A">
            <w:pPr>
              <w:jc w:val="center"/>
              <w:rPr>
                <w:sz w:val="20"/>
                <w:szCs w:val="20"/>
                <w:lang w:val="en-GB"/>
              </w:rPr>
            </w:pPr>
            <w:r w:rsidRPr="00F413DB">
              <w:rPr>
                <w:sz w:val="20"/>
                <w:szCs w:val="20"/>
                <w:lang w:val="en-GB"/>
              </w:rPr>
              <w:t xml:space="preserve">Incomplete </w:t>
            </w:r>
            <w:r w:rsidR="00686F2A">
              <w:rPr>
                <w:sz w:val="20"/>
                <w:szCs w:val="20"/>
                <w:lang w:val="en-GB"/>
              </w:rPr>
              <w:t>r</w:t>
            </w:r>
            <w:r w:rsidRPr="00F413DB">
              <w:rPr>
                <w:sz w:val="20"/>
                <w:szCs w:val="20"/>
                <w:lang w:val="en-GB"/>
              </w:rPr>
              <w:t>esponse</w:t>
            </w:r>
            <w:r w:rsidR="00EC1E42">
              <w:rPr>
                <w:sz w:val="20"/>
                <w:szCs w:val="20"/>
                <w:lang w:val="en-GB"/>
              </w:rPr>
              <w:t>,</w:t>
            </w:r>
            <w:r w:rsidR="00DE582B">
              <w:rPr>
                <w:sz w:val="20"/>
                <w:szCs w:val="20"/>
                <w:lang w:val="en-GB"/>
              </w:rPr>
              <w:t xml:space="preserve"> </w:t>
            </w:r>
            <w:r w:rsidRPr="00686F2A">
              <w:rPr>
                <w:i/>
                <w:sz w:val="20"/>
                <w:szCs w:val="20"/>
                <w:lang w:val="en-GB"/>
              </w:rPr>
              <w:t>n</w:t>
            </w:r>
            <w:r w:rsidRPr="00F413DB">
              <w:rPr>
                <w:sz w:val="20"/>
                <w:szCs w:val="20"/>
                <w:lang w:val="en-GB"/>
              </w:rPr>
              <w:t>=28 (39.4%)</w:t>
            </w:r>
          </w:p>
        </w:tc>
        <w:tc>
          <w:tcPr>
            <w:tcW w:w="1304" w:type="dxa"/>
            <w:vAlign w:val="center"/>
          </w:tcPr>
          <w:p w14:paraId="6A1E3AC6" w14:textId="5B73E444" w:rsidR="00351932" w:rsidRPr="00F413DB" w:rsidRDefault="00686F2A" w:rsidP="009B249D">
            <w:pPr>
              <w:jc w:val="center"/>
              <w:rPr>
                <w:sz w:val="20"/>
                <w:szCs w:val="20"/>
                <w:lang w:val="en-GB"/>
              </w:rPr>
            </w:pPr>
            <w:r>
              <w:rPr>
                <w:i/>
                <w:sz w:val="20"/>
                <w:szCs w:val="20"/>
                <w:lang w:val="en-GB"/>
              </w:rPr>
              <w:t xml:space="preserve">P </w:t>
            </w:r>
            <w:r w:rsidR="00351932" w:rsidRPr="00F413DB">
              <w:rPr>
                <w:sz w:val="20"/>
                <w:szCs w:val="20"/>
                <w:lang w:val="en-GB"/>
              </w:rPr>
              <w:t>va</w:t>
            </w:r>
            <w:bookmarkStart w:id="0" w:name="_GoBack"/>
            <w:bookmarkEnd w:id="0"/>
            <w:r w:rsidR="00351932" w:rsidRPr="00F413DB">
              <w:rPr>
                <w:sz w:val="20"/>
                <w:szCs w:val="20"/>
                <w:lang w:val="en-GB"/>
              </w:rPr>
              <w:t>lue</w:t>
            </w:r>
          </w:p>
        </w:tc>
      </w:tr>
      <w:tr w:rsidR="00351932" w:rsidRPr="005A751D" w14:paraId="741B7EF4" w14:textId="77777777" w:rsidTr="009B249D">
        <w:trPr>
          <w:trHeight w:val="281"/>
        </w:trPr>
        <w:tc>
          <w:tcPr>
            <w:tcW w:w="2977" w:type="dxa"/>
          </w:tcPr>
          <w:p w14:paraId="3301E591" w14:textId="77777777" w:rsidR="00351932" w:rsidRPr="00F413DB" w:rsidRDefault="00351932" w:rsidP="009B249D">
            <w:pPr>
              <w:rPr>
                <w:sz w:val="20"/>
                <w:szCs w:val="20"/>
                <w:lang w:val="en-GB"/>
              </w:rPr>
            </w:pPr>
            <w:r w:rsidRPr="00F413DB">
              <w:rPr>
                <w:sz w:val="20"/>
                <w:szCs w:val="20"/>
                <w:lang w:val="en-GB"/>
              </w:rPr>
              <w:t>Age (years)</w:t>
            </w:r>
          </w:p>
        </w:tc>
        <w:tc>
          <w:tcPr>
            <w:tcW w:w="2523" w:type="dxa"/>
            <w:vAlign w:val="center"/>
          </w:tcPr>
          <w:p w14:paraId="6AD0B0D5" w14:textId="71EC7763" w:rsidR="00351932" w:rsidRPr="00F413DB" w:rsidRDefault="00351932" w:rsidP="009B249D">
            <w:pPr>
              <w:jc w:val="center"/>
              <w:rPr>
                <w:sz w:val="20"/>
                <w:szCs w:val="20"/>
                <w:lang w:val="en-GB"/>
              </w:rPr>
            </w:pPr>
            <w:r w:rsidRPr="00F413DB">
              <w:rPr>
                <w:sz w:val="20"/>
                <w:szCs w:val="20"/>
                <w:lang w:val="en-GB"/>
              </w:rPr>
              <w:t>49</w:t>
            </w:r>
            <w:r w:rsidR="001048F5" w:rsidRPr="00F413DB">
              <w:rPr>
                <w:sz w:val="20"/>
                <w:szCs w:val="20"/>
                <w:lang w:val="en-GB"/>
              </w:rPr>
              <w:t>.0</w:t>
            </w:r>
            <w:r w:rsidRPr="00F413DB">
              <w:rPr>
                <w:sz w:val="20"/>
                <w:szCs w:val="20"/>
                <w:lang w:val="en-GB"/>
              </w:rPr>
              <w:t>±13.8</w:t>
            </w:r>
          </w:p>
        </w:tc>
        <w:tc>
          <w:tcPr>
            <w:tcW w:w="2523" w:type="dxa"/>
            <w:vAlign w:val="center"/>
          </w:tcPr>
          <w:p w14:paraId="631CCE51" w14:textId="77777777" w:rsidR="00351932" w:rsidRPr="00F413DB" w:rsidRDefault="00351932" w:rsidP="009B249D">
            <w:pPr>
              <w:jc w:val="center"/>
              <w:rPr>
                <w:sz w:val="20"/>
                <w:szCs w:val="20"/>
                <w:lang w:val="en-GB"/>
              </w:rPr>
            </w:pPr>
            <w:r w:rsidRPr="00F413DB">
              <w:rPr>
                <w:sz w:val="20"/>
                <w:szCs w:val="20"/>
                <w:lang w:val="en-GB"/>
              </w:rPr>
              <w:t>50.4±9.4</w:t>
            </w:r>
          </w:p>
        </w:tc>
        <w:tc>
          <w:tcPr>
            <w:tcW w:w="1304" w:type="dxa"/>
            <w:vAlign w:val="center"/>
          </w:tcPr>
          <w:p w14:paraId="6323EBD7" w14:textId="521E5C97" w:rsidR="00351932" w:rsidRPr="00F413DB" w:rsidRDefault="00351932">
            <w:pPr>
              <w:jc w:val="center"/>
              <w:rPr>
                <w:sz w:val="20"/>
                <w:szCs w:val="20"/>
                <w:lang w:val="en-GB"/>
              </w:rPr>
            </w:pPr>
            <w:r w:rsidRPr="00F413DB">
              <w:rPr>
                <w:sz w:val="20"/>
                <w:szCs w:val="20"/>
                <w:lang w:val="en-GB"/>
              </w:rPr>
              <w:t>0.65</w:t>
            </w:r>
          </w:p>
        </w:tc>
      </w:tr>
      <w:tr w:rsidR="00351932" w:rsidRPr="005A751D" w14:paraId="1E306CC1" w14:textId="77777777" w:rsidTr="009B249D">
        <w:trPr>
          <w:trHeight w:val="243"/>
        </w:trPr>
        <w:tc>
          <w:tcPr>
            <w:tcW w:w="2977" w:type="dxa"/>
          </w:tcPr>
          <w:p w14:paraId="5DE24D67" w14:textId="3DABAE3B" w:rsidR="00351932" w:rsidRPr="00F413DB" w:rsidRDefault="00105E16" w:rsidP="009B249D">
            <w:pPr>
              <w:rPr>
                <w:sz w:val="20"/>
                <w:szCs w:val="20"/>
                <w:lang w:val="en-GB"/>
              </w:rPr>
            </w:pPr>
            <w:r w:rsidRPr="00F413DB">
              <w:rPr>
                <w:sz w:val="20"/>
                <w:szCs w:val="20"/>
                <w:lang w:val="en-GB"/>
              </w:rPr>
              <w:t>Female</w:t>
            </w:r>
          </w:p>
        </w:tc>
        <w:tc>
          <w:tcPr>
            <w:tcW w:w="2523" w:type="dxa"/>
            <w:vAlign w:val="center"/>
          </w:tcPr>
          <w:p w14:paraId="4DC03E83" w14:textId="5F8AE21E" w:rsidR="00351932" w:rsidRPr="00F413DB" w:rsidRDefault="00351932" w:rsidP="00CC5ADD">
            <w:pPr>
              <w:jc w:val="center"/>
              <w:rPr>
                <w:sz w:val="20"/>
                <w:szCs w:val="20"/>
                <w:lang w:val="en-GB"/>
              </w:rPr>
            </w:pPr>
            <w:r w:rsidRPr="00F413DB">
              <w:rPr>
                <w:sz w:val="20"/>
                <w:szCs w:val="20"/>
                <w:lang w:val="en-GB"/>
              </w:rPr>
              <w:t>26 (60.5</w:t>
            </w:r>
            <w:r w:rsidR="00CC5ADD">
              <w:rPr>
                <w:sz w:val="20"/>
                <w:szCs w:val="20"/>
                <w:lang w:val="en-GB"/>
              </w:rPr>
              <w:t>)</w:t>
            </w:r>
          </w:p>
        </w:tc>
        <w:tc>
          <w:tcPr>
            <w:tcW w:w="2523" w:type="dxa"/>
            <w:vAlign w:val="center"/>
          </w:tcPr>
          <w:p w14:paraId="632AF61D" w14:textId="7EBA4B56" w:rsidR="00351932" w:rsidRPr="00F413DB" w:rsidRDefault="00351932" w:rsidP="00EC1E42">
            <w:pPr>
              <w:jc w:val="center"/>
              <w:rPr>
                <w:sz w:val="20"/>
                <w:szCs w:val="20"/>
                <w:lang w:val="en-GB"/>
              </w:rPr>
            </w:pPr>
            <w:r w:rsidRPr="00F413DB">
              <w:rPr>
                <w:sz w:val="20"/>
                <w:szCs w:val="20"/>
                <w:lang w:val="en-GB"/>
              </w:rPr>
              <w:t>18 (64.3)</w:t>
            </w:r>
          </w:p>
        </w:tc>
        <w:tc>
          <w:tcPr>
            <w:tcW w:w="1304" w:type="dxa"/>
            <w:vAlign w:val="center"/>
          </w:tcPr>
          <w:p w14:paraId="02309E2A" w14:textId="71D2E604" w:rsidR="00351932" w:rsidRPr="00F413DB" w:rsidRDefault="00351932" w:rsidP="009B249D">
            <w:pPr>
              <w:jc w:val="center"/>
              <w:rPr>
                <w:sz w:val="20"/>
                <w:szCs w:val="20"/>
                <w:lang w:val="en-GB"/>
              </w:rPr>
            </w:pPr>
            <w:r w:rsidRPr="00F413DB">
              <w:rPr>
                <w:sz w:val="20"/>
                <w:szCs w:val="20"/>
                <w:lang w:val="en-GB"/>
              </w:rPr>
              <w:t>0.75</w:t>
            </w:r>
            <w:r w:rsidR="001048F5" w:rsidRPr="00F413DB">
              <w:rPr>
                <w:sz w:val="20"/>
                <w:szCs w:val="20"/>
                <w:vertAlign w:val="superscript"/>
                <w:lang w:val="en-GB"/>
              </w:rPr>
              <w:t>‡</w:t>
            </w:r>
          </w:p>
        </w:tc>
      </w:tr>
      <w:tr w:rsidR="00351932" w:rsidRPr="005A751D" w14:paraId="452D6C5D" w14:textId="77777777" w:rsidTr="009B249D">
        <w:trPr>
          <w:trHeight w:val="271"/>
        </w:trPr>
        <w:tc>
          <w:tcPr>
            <w:tcW w:w="2977" w:type="dxa"/>
          </w:tcPr>
          <w:p w14:paraId="42C8E422" w14:textId="77777777" w:rsidR="00351932" w:rsidRPr="00F413DB" w:rsidRDefault="00351932" w:rsidP="009B249D">
            <w:pPr>
              <w:rPr>
                <w:sz w:val="20"/>
                <w:szCs w:val="20"/>
                <w:lang w:val="en-GB"/>
              </w:rPr>
            </w:pPr>
            <w:r w:rsidRPr="00F413DB">
              <w:rPr>
                <w:sz w:val="20"/>
                <w:szCs w:val="20"/>
                <w:lang w:val="en-GB"/>
              </w:rPr>
              <w:t>Diabetes duration (years)</w:t>
            </w:r>
          </w:p>
        </w:tc>
        <w:tc>
          <w:tcPr>
            <w:tcW w:w="2523" w:type="dxa"/>
            <w:vAlign w:val="center"/>
          </w:tcPr>
          <w:p w14:paraId="2FE4C9CA" w14:textId="48AFAE2E" w:rsidR="00351932" w:rsidRPr="00F413DB" w:rsidRDefault="00351932" w:rsidP="009B249D">
            <w:pPr>
              <w:jc w:val="center"/>
              <w:rPr>
                <w:sz w:val="20"/>
                <w:szCs w:val="20"/>
                <w:lang w:val="en-GB"/>
              </w:rPr>
            </w:pPr>
            <w:r w:rsidRPr="00F413DB">
              <w:rPr>
                <w:sz w:val="20"/>
                <w:szCs w:val="20"/>
                <w:lang w:val="en-GB"/>
              </w:rPr>
              <w:t>29</w:t>
            </w:r>
            <w:r w:rsidR="001048F5" w:rsidRPr="00F413DB">
              <w:rPr>
                <w:sz w:val="20"/>
                <w:szCs w:val="20"/>
                <w:lang w:val="en-GB"/>
              </w:rPr>
              <w:t>.0</w:t>
            </w:r>
            <w:r w:rsidRPr="00F413DB">
              <w:rPr>
                <w:sz w:val="20"/>
                <w:szCs w:val="20"/>
                <w:lang w:val="en-GB"/>
              </w:rPr>
              <w:t>±11.1</w:t>
            </w:r>
          </w:p>
        </w:tc>
        <w:tc>
          <w:tcPr>
            <w:tcW w:w="2523" w:type="dxa"/>
            <w:vAlign w:val="center"/>
          </w:tcPr>
          <w:p w14:paraId="771E1143" w14:textId="2D398FC4" w:rsidR="00351932" w:rsidRPr="00F413DB" w:rsidRDefault="00351932" w:rsidP="009B249D">
            <w:pPr>
              <w:jc w:val="center"/>
              <w:rPr>
                <w:sz w:val="20"/>
                <w:szCs w:val="20"/>
                <w:lang w:val="en-GB"/>
              </w:rPr>
            </w:pPr>
            <w:r w:rsidRPr="00F413DB">
              <w:rPr>
                <w:sz w:val="20"/>
                <w:szCs w:val="20"/>
                <w:lang w:val="en-GB"/>
              </w:rPr>
              <w:t>32.3±12.6</w:t>
            </w:r>
            <w:r w:rsidR="00A774FE" w:rsidRPr="00F413DB">
              <w:rPr>
                <w:sz w:val="20"/>
                <w:szCs w:val="20"/>
                <w:lang w:val="en-GB"/>
              </w:rPr>
              <w:t xml:space="preserve"> (</w:t>
            </w:r>
            <w:r w:rsidR="00A774FE" w:rsidRPr="00EC1E42">
              <w:rPr>
                <w:i/>
                <w:sz w:val="20"/>
                <w:szCs w:val="20"/>
                <w:lang w:val="en-GB"/>
              </w:rPr>
              <w:t>n</w:t>
            </w:r>
            <w:r w:rsidR="00A774FE" w:rsidRPr="00F413DB">
              <w:rPr>
                <w:sz w:val="20"/>
                <w:szCs w:val="20"/>
                <w:lang w:val="en-GB"/>
              </w:rPr>
              <w:t>=27)</w:t>
            </w:r>
          </w:p>
        </w:tc>
        <w:tc>
          <w:tcPr>
            <w:tcW w:w="1304" w:type="dxa"/>
            <w:vAlign w:val="center"/>
          </w:tcPr>
          <w:p w14:paraId="57893119" w14:textId="77777777" w:rsidR="00351932" w:rsidRPr="00F413DB" w:rsidRDefault="00351932" w:rsidP="009B249D">
            <w:pPr>
              <w:jc w:val="center"/>
              <w:rPr>
                <w:sz w:val="20"/>
                <w:szCs w:val="20"/>
                <w:lang w:val="en-GB"/>
              </w:rPr>
            </w:pPr>
            <w:r w:rsidRPr="00F413DB">
              <w:rPr>
                <w:sz w:val="20"/>
                <w:szCs w:val="20"/>
                <w:lang w:val="en-GB"/>
              </w:rPr>
              <w:t>0.26</w:t>
            </w:r>
          </w:p>
        </w:tc>
      </w:tr>
      <w:tr w:rsidR="00351932" w:rsidRPr="005A751D" w14:paraId="32458456" w14:textId="77777777" w:rsidTr="009B249D">
        <w:trPr>
          <w:trHeight w:val="291"/>
        </w:trPr>
        <w:tc>
          <w:tcPr>
            <w:tcW w:w="2977" w:type="dxa"/>
          </w:tcPr>
          <w:p w14:paraId="7AA31548" w14:textId="77777777" w:rsidR="00351932" w:rsidRPr="00F413DB" w:rsidRDefault="00351932" w:rsidP="009B249D">
            <w:pPr>
              <w:rPr>
                <w:sz w:val="20"/>
                <w:szCs w:val="20"/>
                <w:lang w:val="en-GB"/>
              </w:rPr>
            </w:pPr>
            <w:r w:rsidRPr="00F413DB">
              <w:rPr>
                <w:sz w:val="20"/>
                <w:szCs w:val="20"/>
                <w:lang w:val="en-GB"/>
              </w:rPr>
              <w:t>Body weight (kg)</w:t>
            </w:r>
          </w:p>
        </w:tc>
        <w:tc>
          <w:tcPr>
            <w:tcW w:w="2523" w:type="dxa"/>
            <w:vAlign w:val="center"/>
          </w:tcPr>
          <w:p w14:paraId="5D7461C4" w14:textId="77777777" w:rsidR="00351932" w:rsidRPr="00F413DB" w:rsidRDefault="00351932" w:rsidP="009B249D">
            <w:pPr>
              <w:jc w:val="center"/>
              <w:rPr>
                <w:sz w:val="20"/>
                <w:szCs w:val="20"/>
                <w:lang w:val="en-GB"/>
              </w:rPr>
            </w:pPr>
            <w:r w:rsidRPr="00F413DB">
              <w:rPr>
                <w:sz w:val="20"/>
                <w:szCs w:val="20"/>
                <w:lang w:val="en-GB"/>
              </w:rPr>
              <w:t>75.8±14.5</w:t>
            </w:r>
          </w:p>
        </w:tc>
        <w:tc>
          <w:tcPr>
            <w:tcW w:w="2523" w:type="dxa"/>
            <w:vAlign w:val="center"/>
          </w:tcPr>
          <w:p w14:paraId="54D78AB9" w14:textId="77777777" w:rsidR="00351932" w:rsidRPr="00F413DB" w:rsidRDefault="00351932" w:rsidP="009B249D">
            <w:pPr>
              <w:jc w:val="center"/>
              <w:rPr>
                <w:sz w:val="20"/>
                <w:szCs w:val="20"/>
                <w:lang w:val="en-GB"/>
              </w:rPr>
            </w:pPr>
            <w:r w:rsidRPr="00F413DB">
              <w:rPr>
                <w:sz w:val="20"/>
                <w:szCs w:val="20"/>
                <w:lang w:val="en-GB"/>
              </w:rPr>
              <w:t>74.9±15.9</w:t>
            </w:r>
          </w:p>
        </w:tc>
        <w:tc>
          <w:tcPr>
            <w:tcW w:w="1304" w:type="dxa"/>
            <w:vAlign w:val="center"/>
          </w:tcPr>
          <w:p w14:paraId="6BF1B1F9" w14:textId="77777777" w:rsidR="00351932" w:rsidRPr="00F413DB" w:rsidRDefault="00351932" w:rsidP="009B249D">
            <w:pPr>
              <w:jc w:val="center"/>
              <w:rPr>
                <w:sz w:val="20"/>
                <w:szCs w:val="20"/>
                <w:lang w:val="en-GB"/>
              </w:rPr>
            </w:pPr>
            <w:r w:rsidRPr="00F413DB">
              <w:rPr>
                <w:sz w:val="20"/>
                <w:szCs w:val="20"/>
                <w:lang w:val="en-GB"/>
              </w:rPr>
              <w:t>0.80</w:t>
            </w:r>
          </w:p>
        </w:tc>
      </w:tr>
      <w:tr w:rsidR="00351932" w:rsidRPr="005A751D" w14:paraId="09118775" w14:textId="77777777" w:rsidTr="009B249D">
        <w:trPr>
          <w:trHeight w:val="277"/>
        </w:trPr>
        <w:tc>
          <w:tcPr>
            <w:tcW w:w="2977" w:type="dxa"/>
          </w:tcPr>
          <w:p w14:paraId="2FF299DB" w14:textId="77777777" w:rsidR="00351932" w:rsidRPr="00F413DB" w:rsidRDefault="00351932" w:rsidP="009B249D">
            <w:pPr>
              <w:rPr>
                <w:sz w:val="20"/>
                <w:szCs w:val="20"/>
                <w:lang w:val="en-GB"/>
              </w:rPr>
            </w:pPr>
            <w:r w:rsidRPr="00F413DB">
              <w:rPr>
                <w:sz w:val="20"/>
                <w:szCs w:val="20"/>
                <w:lang w:val="en-GB"/>
              </w:rPr>
              <w:t>BMI (kg/m</w:t>
            </w:r>
            <w:r w:rsidRPr="00F413DB">
              <w:rPr>
                <w:sz w:val="20"/>
                <w:szCs w:val="20"/>
                <w:vertAlign w:val="superscript"/>
                <w:lang w:val="en-GB"/>
              </w:rPr>
              <w:t>2</w:t>
            </w:r>
            <w:r w:rsidRPr="00F413DB">
              <w:rPr>
                <w:sz w:val="20"/>
                <w:szCs w:val="20"/>
                <w:lang w:val="en-GB"/>
              </w:rPr>
              <w:t>)</w:t>
            </w:r>
          </w:p>
        </w:tc>
        <w:tc>
          <w:tcPr>
            <w:tcW w:w="2523" w:type="dxa"/>
            <w:vAlign w:val="center"/>
          </w:tcPr>
          <w:p w14:paraId="09052C65" w14:textId="77777777" w:rsidR="00351932" w:rsidRPr="00F413DB" w:rsidRDefault="00351932" w:rsidP="009B249D">
            <w:pPr>
              <w:jc w:val="center"/>
              <w:rPr>
                <w:sz w:val="20"/>
                <w:szCs w:val="20"/>
                <w:lang w:val="en-GB"/>
              </w:rPr>
            </w:pPr>
            <w:r w:rsidRPr="00F413DB">
              <w:rPr>
                <w:sz w:val="20"/>
                <w:szCs w:val="20"/>
                <w:lang w:val="en-GB"/>
              </w:rPr>
              <w:t>26.7±4.2</w:t>
            </w:r>
          </w:p>
        </w:tc>
        <w:tc>
          <w:tcPr>
            <w:tcW w:w="2523" w:type="dxa"/>
            <w:vAlign w:val="center"/>
          </w:tcPr>
          <w:p w14:paraId="2684DD42" w14:textId="77777777" w:rsidR="00351932" w:rsidRPr="00F413DB" w:rsidRDefault="00351932" w:rsidP="009B249D">
            <w:pPr>
              <w:jc w:val="center"/>
              <w:rPr>
                <w:sz w:val="20"/>
                <w:szCs w:val="20"/>
                <w:lang w:val="en-GB"/>
              </w:rPr>
            </w:pPr>
            <w:r w:rsidRPr="00F413DB">
              <w:rPr>
                <w:sz w:val="20"/>
                <w:szCs w:val="20"/>
                <w:lang w:val="en-GB"/>
              </w:rPr>
              <w:t>26.9±5.4</w:t>
            </w:r>
          </w:p>
        </w:tc>
        <w:tc>
          <w:tcPr>
            <w:tcW w:w="1304" w:type="dxa"/>
            <w:vAlign w:val="center"/>
          </w:tcPr>
          <w:p w14:paraId="5228FA27" w14:textId="77777777" w:rsidR="00351932" w:rsidRPr="00F413DB" w:rsidRDefault="00351932" w:rsidP="009B249D">
            <w:pPr>
              <w:jc w:val="center"/>
              <w:rPr>
                <w:sz w:val="20"/>
                <w:szCs w:val="20"/>
                <w:lang w:val="en-GB"/>
              </w:rPr>
            </w:pPr>
            <w:r w:rsidRPr="00F413DB">
              <w:rPr>
                <w:sz w:val="20"/>
                <w:szCs w:val="20"/>
                <w:lang w:val="en-GB"/>
              </w:rPr>
              <w:t>0.90</w:t>
            </w:r>
          </w:p>
        </w:tc>
      </w:tr>
      <w:tr w:rsidR="00351932" w:rsidRPr="005A751D" w14:paraId="5EF874C4" w14:textId="77777777" w:rsidTr="009B249D">
        <w:trPr>
          <w:trHeight w:val="277"/>
        </w:trPr>
        <w:tc>
          <w:tcPr>
            <w:tcW w:w="2977" w:type="dxa"/>
          </w:tcPr>
          <w:p w14:paraId="00864C74" w14:textId="5398F67E" w:rsidR="00351932" w:rsidRPr="00F413DB" w:rsidRDefault="00351932" w:rsidP="009B249D">
            <w:pPr>
              <w:rPr>
                <w:sz w:val="20"/>
                <w:szCs w:val="20"/>
                <w:highlight w:val="yellow"/>
                <w:lang w:val="en-GB"/>
              </w:rPr>
            </w:pPr>
            <w:r w:rsidRPr="00F413DB">
              <w:rPr>
                <w:sz w:val="20"/>
                <w:szCs w:val="20"/>
                <w:lang w:val="en-GB"/>
              </w:rPr>
              <w:t xml:space="preserve">HbA1c ≥64 </w:t>
            </w:r>
            <w:proofErr w:type="spellStart"/>
            <w:r w:rsidRPr="00F413DB">
              <w:rPr>
                <w:sz w:val="20"/>
                <w:szCs w:val="20"/>
                <w:lang w:val="en-GB"/>
              </w:rPr>
              <w:t>mmol</w:t>
            </w:r>
            <w:proofErr w:type="spellEnd"/>
            <w:r w:rsidRPr="00F413DB">
              <w:rPr>
                <w:sz w:val="20"/>
                <w:szCs w:val="20"/>
                <w:lang w:val="en-GB"/>
              </w:rPr>
              <w:t>/</w:t>
            </w:r>
            <w:proofErr w:type="spellStart"/>
            <w:r w:rsidRPr="00F413DB">
              <w:rPr>
                <w:sz w:val="20"/>
                <w:szCs w:val="20"/>
                <w:lang w:val="en-GB"/>
              </w:rPr>
              <w:t>mol</w:t>
            </w:r>
            <w:proofErr w:type="spellEnd"/>
            <w:r w:rsidRPr="00F413DB">
              <w:rPr>
                <w:sz w:val="20"/>
                <w:szCs w:val="20"/>
                <w:lang w:val="en-GB"/>
              </w:rPr>
              <w:t xml:space="preserve"> </w:t>
            </w:r>
          </w:p>
        </w:tc>
        <w:tc>
          <w:tcPr>
            <w:tcW w:w="2523" w:type="dxa"/>
            <w:vAlign w:val="center"/>
          </w:tcPr>
          <w:p w14:paraId="3B2FB36A" w14:textId="2FDE5DA6" w:rsidR="00351932" w:rsidRPr="00F413DB" w:rsidRDefault="00CC5ADD" w:rsidP="009B249D">
            <w:pPr>
              <w:jc w:val="center"/>
              <w:rPr>
                <w:sz w:val="20"/>
                <w:szCs w:val="20"/>
                <w:lang w:val="en-GB"/>
              </w:rPr>
            </w:pPr>
            <w:r>
              <w:rPr>
                <w:sz w:val="20"/>
                <w:szCs w:val="20"/>
                <w:lang w:val="en-GB"/>
              </w:rPr>
              <w:t>23 (53</w:t>
            </w:r>
            <w:r w:rsidR="00351932" w:rsidRPr="00F413DB">
              <w:rPr>
                <w:sz w:val="20"/>
                <w:szCs w:val="20"/>
                <w:lang w:val="en-GB"/>
              </w:rPr>
              <w:t>)</w:t>
            </w:r>
          </w:p>
        </w:tc>
        <w:tc>
          <w:tcPr>
            <w:tcW w:w="2523" w:type="dxa"/>
            <w:vAlign w:val="center"/>
          </w:tcPr>
          <w:p w14:paraId="3002C8F8" w14:textId="48BBCE18" w:rsidR="00351932" w:rsidRPr="00F413DB" w:rsidRDefault="00EC1E42" w:rsidP="009B249D">
            <w:pPr>
              <w:jc w:val="center"/>
              <w:rPr>
                <w:sz w:val="20"/>
                <w:szCs w:val="20"/>
                <w:lang w:val="en-GB"/>
              </w:rPr>
            </w:pPr>
            <w:r>
              <w:rPr>
                <w:sz w:val="20"/>
                <w:szCs w:val="20"/>
                <w:lang w:val="en-GB"/>
              </w:rPr>
              <w:t>16 (57</w:t>
            </w:r>
            <w:r w:rsidR="00351932" w:rsidRPr="00F413DB">
              <w:rPr>
                <w:sz w:val="20"/>
                <w:szCs w:val="20"/>
                <w:lang w:val="en-GB"/>
              </w:rPr>
              <w:t>)</w:t>
            </w:r>
          </w:p>
        </w:tc>
        <w:tc>
          <w:tcPr>
            <w:tcW w:w="1304" w:type="dxa"/>
            <w:vAlign w:val="center"/>
          </w:tcPr>
          <w:p w14:paraId="75E4A0C4" w14:textId="16BA020A" w:rsidR="00351932" w:rsidRPr="00F413DB" w:rsidRDefault="001048F5" w:rsidP="009B249D">
            <w:pPr>
              <w:jc w:val="center"/>
              <w:rPr>
                <w:sz w:val="20"/>
                <w:szCs w:val="20"/>
                <w:lang w:val="en-GB"/>
              </w:rPr>
            </w:pPr>
            <w:r w:rsidRPr="00F413DB">
              <w:rPr>
                <w:sz w:val="20"/>
                <w:szCs w:val="20"/>
                <w:lang w:val="en-GB"/>
              </w:rPr>
              <w:t>N/A</w:t>
            </w:r>
          </w:p>
        </w:tc>
      </w:tr>
      <w:tr w:rsidR="00351932" w:rsidRPr="005A751D" w14:paraId="259202F1" w14:textId="77777777" w:rsidTr="009B249D">
        <w:trPr>
          <w:trHeight w:val="277"/>
        </w:trPr>
        <w:tc>
          <w:tcPr>
            <w:tcW w:w="2977" w:type="dxa"/>
          </w:tcPr>
          <w:p w14:paraId="7CA45CE4" w14:textId="77777777" w:rsidR="00351932" w:rsidRPr="00F413DB" w:rsidRDefault="00351932" w:rsidP="009B249D">
            <w:pPr>
              <w:rPr>
                <w:sz w:val="20"/>
                <w:szCs w:val="20"/>
                <w:lang w:val="en-GB"/>
              </w:rPr>
            </w:pPr>
            <w:r w:rsidRPr="00F413DB">
              <w:rPr>
                <w:sz w:val="20"/>
                <w:szCs w:val="20"/>
                <w:lang w:val="en-GB"/>
              </w:rPr>
              <w:t>HbA1c (</w:t>
            </w:r>
            <w:proofErr w:type="spellStart"/>
            <w:r w:rsidRPr="00F413DB">
              <w:rPr>
                <w:sz w:val="20"/>
                <w:szCs w:val="20"/>
                <w:lang w:val="en-GB"/>
              </w:rPr>
              <w:t>mmol</w:t>
            </w:r>
            <w:proofErr w:type="spellEnd"/>
            <w:r w:rsidRPr="00F413DB">
              <w:rPr>
                <w:sz w:val="20"/>
                <w:szCs w:val="20"/>
                <w:lang w:val="en-GB"/>
              </w:rPr>
              <w:t>/</w:t>
            </w:r>
            <w:proofErr w:type="spellStart"/>
            <w:r w:rsidRPr="00F413DB">
              <w:rPr>
                <w:sz w:val="20"/>
                <w:szCs w:val="20"/>
                <w:lang w:val="en-GB"/>
              </w:rPr>
              <w:t>mol</w:t>
            </w:r>
            <w:proofErr w:type="spellEnd"/>
            <w:r w:rsidRPr="00F413DB">
              <w:rPr>
                <w:sz w:val="20"/>
                <w:szCs w:val="20"/>
                <w:lang w:val="en-GB"/>
              </w:rPr>
              <w:t>)</w:t>
            </w:r>
          </w:p>
        </w:tc>
        <w:tc>
          <w:tcPr>
            <w:tcW w:w="2523" w:type="dxa"/>
            <w:vAlign w:val="center"/>
          </w:tcPr>
          <w:p w14:paraId="488C80ED" w14:textId="77777777" w:rsidR="00351932" w:rsidRPr="00F413DB" w:rsidRDefault="00351932" w:rsidP="009B249D">
            <w:pPr>
              <w:jc w:val="center"/>
              <w:rPr>
                <w:sz w:val="20"/>
                <w:szCs w:val="20"/>
                <w:lang w:val="en-GB"/>
              </w:rPr>
            </w:pPr>
            <w:r w:rsidRPr="00F413DB">
              <w:rPr>
                <w:sz w:val="20"/>
                <w:szCs w:val="20"/>
                <w:lang w:val="en-GB"/>
              </w:rPr>
              <w:t>65.1±10.1</w:t>
            </w:r>
          </w:p>
        </w:tc>
        <w:tc>
          <w:tcPr>
            <w:tcW w:w="2523" w:type="dxa"/>
            <w:vAlign w:val="center"/>
          </w:tcPr>
          <w:p w14:paraId="513AE5BA" w14:textId="77777777" w:rsidR="00351932" w:rsidRPr="00F413DB" w:rsidRDefault="00351932" w:rsidP="009B249D">
            <w:pPr>
              <w:jc w:val="center"/>
              <w:rPr>
                <w:sz w:val="20"/>
                <w:szCs w:val="20"/>
                <w:lang w:val="en-GB"/>
              </w:rPr>
            </w:pPr>
            <w:r w:rsidRPr="00F413DB">
              <w:rPr>
                <w:sz w:val="20"/>
                <w:szCs w:val="20"/>
                <w:lang w:val="en-GB"/>
              </w:rPr>
              <w:t>66.9±12.4</w:t>
            </w:r>
          </w:p>
        </w:tc>
        <w:tc>
          <w:tcPr>
            <w:tcW w:w="1304" w:type="dxa"/>
            <w:vAlign w:val="center"/>
          </w:tcPr>
          <w:p w14:paraId="5B8C0468" w14:textId="77777777" w:rsidR="00351932" w:rsidRPr="00F413DB" w:rsidRDefault="00351932" w:rsidP="009B249D">
            <w:pPr>
              <w:jc w:val="center"/>
              <w:rPr>
                <w:sz w:val="20"/>
                <w:szCs w:val="20"/>
                <w:lang w:val="en-GB"/>
              </w:rPr>
            </w:pPr>
            <w:r w:rsidRPr="00F413DB">
              <w:rPr>
                <w:sz w:val="20"/>
                <w:szCs w:val="20"/>
                <w:lang w:val="en-GB"/>
              </w:rPr>
              <w:t>0.50</w:t>
            </w:r>
          </w:p>
        </w:tc>
      </w:tr>
      <w:tr w:rsidR="00351932" w:rsidRPr="005A751D" w14:paraId="02E61C24" w14:textId="77777777" w:rsidTr="009B249D">
        <w:trPr>
          <w:trHeight w:val="293"/>
        </w:trPr>
        <w:tc>
          <w:tcPr>
            <w:tcW w:w="2977" w:type="dxa"/>
          </w:tcPr>
          <w:p w14:paraId="6D87A65F" w14:textId="0808D8DA" w:rsidR="00351932" w:rsidRPr="00F413DB" w:rsidRDefault="00351932" w:rsidP="009B249D">
            <w:pPr>
              <w:rPr>
                <w:sz w:val="20"/>
                <w:szCs w:val="20"/>
                <w:lang w:val="en-GB"/>
              </w:rPr>
            </w:pPr>
            <w:r w:rsidRPr="00F413DB">
              <w:rPr>
                <w:sz w:val="20"/>
                <w:szCs w:val="20"/>
                <w:lang w:val="en-GB"/>
              </w:rPr>
              <w:t>Insulin dose (unit</w:t>
            </w:r>
            <w:r w:rsidR="00686F2A">
              <w:rPr>
                <w:sz w:val="20"/>
                <w:szCs w:val="20"/>
                <w:lang w:val="en-GB"/>
              </w:rPr>
              <w:t>s</w:t>
            </w:r>
            <w:r w:rsidRPr="00F413DB">
              <w:rPr>
                <w:sz w:val="20"/>
                <w:szCs w:val="20"/>
                <w:lang w:val="en-GB"/>
              </w:rPr>
              <w:t>/kg)</w:t>
            </w:r>
          </w:p>
        </w:tc>
        <w:tc>
          <w:tcPr>
            <w:tcW w:w="2523" w:type="dxa"/>
            <w:vAlign w:val="center"/>
          </w:tcPr>
          <w:p w14:paraId="08068E04" w14:textId="77777777" w:rsidR="00351932" w:rsidRPr="00F413DB" w:rsidRDefault="00351932" w:rsidP="009B249D">
            <w:pPr>
              <w:jc w:val="center"/>
              <w:rPr>
                <w:sz w:val="20"/>
                <w:szCs w:val="20"/>
                <w:lang w:val="en-GB"/>
              </w:rPr>
            </w:pPr>
            <w:r w:rsidRPr="00F413DB">
              <w:rPr>
                <w:sz w:val="20"/>
                <w:szCs w:val="20"/>
                <w:lang w:val="en-GB"/>
              </w:rPr>
              <w:t>0.69±0.25</w:t>
            </w:r>
          </w:p>
        </w:tc>
        <w:tc>
          <w:tcPr>
            <w:tcW w:w="2523" w:type="dxa"/>
            <w:vAlign w:val="center"/>
          </w:tcPr>
          <w:p w14:paraId="7E82DA89" w14:textId="77777777" w:rsidR="00351932" w:rsidRPr="00F413DB" w:rsidRDefault="00351932" w:rsidP="009B249D">
            <w:pPr>
              <w:jc w:val="center"/>
              <w:rPr>
                <w:sz w:val="20"/>
                <w:szCs w:val="20"/>
                <w:lang w:val="en-GB"/>
              </w:rPr>
            </w:pPr>
            <w:r w:rsidRPr="00F413DB">
              <w:rPr>
                <w:sz w:val="20"/>
                <w:szCs w:val="20"/>
                <w:lang w:val="en-GB"/>
              </w:rPr>
              <w:t>0.61±0.22</w:t>
            </w:r>
          </w:p>
        </w:tc>
        <w:tc>
          <w:tcPr>
            <w:tcW w:w="1304" w:type="dxa"/>
            <w:vAlign w:val="center"/>
          </w:tcPr>
          <w:p w14:paraId="7D06A49D" w14:textId="77777777" w:rsidR="00351932" w:rsidRPr="00F413DB" w:rsidRDefault="00351932" w:rsidP="009B249D">
            <w:pPr>
              <w:jc w:val="center"/>
              <w:rPr>
                <w:sz w:val="20"/>
                <w:szCs w:val="20"/>
                <w:lang w:val="en-GB"/>
              </w:rPr>
            </w:pPr>
            <w:r w:rsidRPr="00F413DB">
              <w:rPr>
                <w:sz w:val="20"/>
                <w:szCs w:val="20"/>
                <w:lang w:val="en-GB"/>
              </w:rPr>
              <w:t>0.15</w:t>
            </w:r>
          </w:p>
        </w:tc>
      </w:tr>
      <w:tr w:rsidR="00351932" w:rsidRPr="005A751D" w14:paraId="4791C475" w14:textId="77777777" w:rsidTr="009B249D">
        <w:trPr>
          <w:trHeight w:val="269"/>
        </w:trPr>
        <w:tc>
          <w:tcPr>
            <w:tcW w:w="2977" w:type="dxa"/>
          </w:tcPr>
          <w:p w14:paraId="50D2435B" w14:textId="2E3432A9" w:rsidR="00351932" w:rsidRPr="00F413DB" w:rsidRDefault="00351932" w:rsidP="009B249D">
            <w:pPr>
              <w:rPr>
                <w:sz w:val="20"/>
                <w:szCs w:val="20"/>
                <w:lang w:val="en-GB"/>
              </w:rPr>
            </w:pPr>
            <w:r w:rsidRPr="00F413DB">
              <w:rPr>
                <w:sz w:val="20"/>
                <w:szCs w:val="20"/>
                <w:lang w:val="en-GB"/>
              </w:rPr>
              <w:t>Smoking status</w:t>
            </w:r>
            <w:r w:rsidR="00686F2A">
              <w:rPr>
                <w:sz w:val="20"/>
                <w:szCs w:val="20"/>
                <w:lang w:val="en-GB"/>
              </w:rPr>
              <w:t>: never, former, current</w:t>
            </w:r>
          </w:p>
        </w:tc>
        <w:tc>
          <w:tcPr>
            <w:tcW w:w="2523" w:type="dxa"/>
            <w:vAlign w:val="center"/>
          </w:tcPr>
          <w:p w14:paraId="278EF76E" w14:textId="6602699D" w:rsidR="00A774FE" w:rsidRPr="00F413DB" w:rsidRDefault="00351932" w:rsidP="00CC5ADD">
            <w:pPr>
              <w:jc w:val="center"/>
              <w:rPr>
                <w:sz w:val="20"/>
                <w:szCs w:val="20"/>
                <w:lang w:val="en-GB"/>
              </w:rPr>
            </w:pPr>
            <w:r w:rsidRPr="00F413DB">
              <w:rPr>
                <w:sz w:val="20"/>
                <w:szCs w:val="20"/>
                <w:lang w:val="en-GB"/>
              </w:rPr>
              <w:t>23 (54.8</w:t>
            </w:r>
            <w:r w:rsidR="00DE582B">
              <w:rPr>
                <w:sz w:val="20"/>
                <w:szCs w:val="20"/>
                <w:lang w:val="en-GB"/>
              </w:rPr>
              <w:t>)</w:t>
            </w:r>
            <w:r w:rsidR="00CC5ADD">
              <w:rPr>
                <w:sz w:val="20"/>
                <w:szCs w:val="20"/>
                <w:lang w:val="en-GB"/>
              </w:rPr>
              <w:t>,</w:t>
            </w:r>
            <w:r w:rsidRPr="00F413DB">
              <w:rPr>
                <w:sz w:val="20"/>
                <w:szCs w:val="20"/>
                <w:lang w:val="en-GB"/>
              </w:rPr>
              <w:t>13 (31</w:t>
            </w:r>
            <w:r w:rsidR="001048F5" w:rsidRPr="00F413DB">
              <w:rPr>
                <w:sz w:val="20"/>
                <w:szCs w:val="20"/>
                <w:lang w:val="en-GB"/>
              </w:rPr>
              <w:t>.0</w:t>
            </w:r>
            <w:r w:rsidRPr="00F413DB">
              <w:rPr>
                <w:sz w:val="20"/>
                <w:szCs w:val="20"/>
                <w:lang w:val="en-GB"/>
              </w:rPr>
              <w:t>)</w:t>
            </w:r>
            <w:r w:rsidR="00CC5ADD">
              <w:rPr>
                <w:sz w:val="20"/>
                <w:szCs w:val="20"/>
                <w:lang w:val="en-GB"/>
              </w:rPr>
              <w:t xml:space="preserve">, </w:t>
            </w:r>
            <w:r w:rsidRPr="00F413DB">
              <w:rPr>
                <w:sz w:val="20"/>
                <w:szCs w:val="20"/>
                <w:lang w:val="en-GB"/>
              </w:rPr>
              <w:t>6 (14.3</w:t>
            </w:r>
            <w:r w:rsidR="00CC5ADD">
              <w:rPr>
                <w:sz w:val="20"/>
                <w:szCs w:val="20"/>
                <w:lang w:val="en-GB"/>
              </w:rPr>
              <w:t xml:space="preserve">) </w:t>
            </w:r>
            <w:r w:rsidR="00A774FE" w:rsidRPr="00F413DB">
              <w:rPr>
                <w:sz w:val="20"/>
                <w:szCs w:val="20"/>
                <w:lang w:val="en-GB"/>
              </w:rPr>
              <w:t>(</w:t>
            </w:r>
            <w:r w:rsidR="00A774FE" w:rsidRPr="00CC5ADD">
              <w:rPr>
                <w:i/>
                <w:sz w:val="20"/>
                <w:szCs w:val="20"/>
                <w:lang w:val="en-GB"/>
              </w:rPr>
              <w:t>n</w:t>
            </w:r>
            <w:r w:rsidR="00A774FE" w:rsidRPr="00F413DB">
              <w:rPr>
                <w:sz w:val="20"/>
                <w:szCs w:val="20"/>
                <w:lang w:val="en-GB"/>
              </w:rPr>
              <w:t>=42)</w:t>
            </w:r>
          </w:p>
        </w:tc>
        <w:tc>
          <w:tcPr>
            <w:tcW w:w="2523" w:type="dxa"/>
            <w:vAlign w:val="center"/>
          </w:tcPr>
          <w:p w14:paraId="6F6B5DEC" w14:textId="3AA91C78" w:rsidR="00351932" w:rsidRPr="00F413DB" w:rsidRDefault="00351932" w:rsidP="00CC5ADD">
            <w:pPr>
              <w:jc w:val="center"/>
              <w:rPr>
                <w:sz w:val="20"/>
                <w:szCs w:val="20"/>
                <w:lang w:val="en-GB"/>
              </w:rPr>
            </w:pPr>
            <w:r w:rsidRPr="00F413DB">
              <w:rPr>
                <w:sz w:val="20"/>
                <w:szCs w:val="20"/>
                <w:lang w:val="en-GB"/>
              </w:rPr>
              <w:t>15 (53.6)</w:t>
            </w:r>
            <w:r w:rsidR="00CC5ADD">
              <w:rPr>
                <w:sz w:val="20"/>
                <w:szCs w:val="20"/>
                <w:lang w:val="en-GB"/>
              </w:rPr>
              <w:t>,</w:t>
            </w:r>
            <w:r w:rsidR="00DE582B">
              <w:rPr>
                <w:sz w:val="20"/>
                <w:szCs w:val="20"/>
                <w:lang w:val="en-GB"/>
              </w:rPr>
              <w:t xml:space="preserve"> </w:t>
            </w:r>
            <w:r w:rsidRPr="00F413DB">
              <w:rPr>
                <w:sz w:val="20"/>
                <w:szCs w:val="20"/>
                <w:lang w:val="en-GB"/>
              </w:rPr>
              <w:t>7 (25</w:t>
            </w:r>
            <w:r w:rsidR="001048F5" w:rsidRPr="00F413DB">
              <w:rPr>
                <w:sz w:val="20"/>
                <w:szCs w:val="20"/>
                <w:lang w:val="en-GB"/>
              </w:rPr>
              <w:t>.0</w:t>
            </w:r>
            <w:r w:rsidRPr="00F413DB">
              <w:rPr>
                <w:sz w:val="20"/>
                <w:szCs w:val="20"/>
                <w:lang w:val="en-GB"/>
              </w:rPr>
              <w:t>)</w:t>
            </w:r>
            <w:r w:rsidR="00CC5ADD">
              <w:rPr>
                <w:sz w:val="20"/>
                <w:szCs w:val="20"/>
                <w:lang w:val="en-GB"/>
              </w:rPr>
              <w:t>,</w:t>
            </w:r>
            <w:r w:rsidRPr="00F413DB">
              <w:rPr>
                <w:sz w:val="20"/>
                <w:szCs w:val="20"/>
                <w:lang w:val="en-GB"/>
              </w:rPr>
              <w:t>6 (21.4)</w:t>
            </w:r>
          </w:p>
        </w:tc>
        <w:tc>
          <w:tcPr>
            <w:tcW w:w="1304" w:type="dxa"/>
            <w:vAlign w:val="center"/>
          </w:tcPr>
          <w:p w14:paraId="04FF0C91" w14:textId="42CF2D80" w:rsidR="00351932" w:rsidRPr="00F413DB" w:rsidRDefault="00351932" w:rsidP="009B249D">
            <w:pPr>
              <w:jc w:val="center"/>
              <w:rPr>
                <w:sz w:val="20"/>
                <w:szCs w:val="20"/>
                <w:lang w:val="en-GB"/>
              </w:rPr>
            </w:pPr>
            <w:r w:rsidRPr="00F413DB">
              <w:rPr>
                <w:sz w:val="20"/>
                <w:szCs w:val="20"/>
                <w:lang w:val="en-GB"/>
              </w:rPr>
              <w:t>0.70</w:t>
            </w:r>
            <w:r w:rsidR="001048F5" w:rsidRPr="00F413DB">
              <w:rPr>
                <w:sz w:val="20"/>
                <w:szCs w:val="20"/>
                <w:vertAlign w:val="superscript"/>
                <w:lang w:val="en-GB"/>
              </w:rPr>
              <w:t>‡</w:t>
            </w:r>
          </w:p>
        </w:tc>
      </w:tr>
      <w:tr w:rsidR="00351932" w:rsidRPr="005A751D" w14:paraId="7EEEF938" w14:textId="77777777" w:rsidTr="009B249D">
        <w:trPr>
          <w:trHeight w:val="243"/>
        </w:trPr>
        <w:tc>
          <w:tcPr>
            <w:tcW w:w="2977" w:type="dxa"/>
          </w:tcPr>
          <w:p w14:paraId="3E2A95AB" w14:textId="7C612A00" w:rsidR="00351932" w:rsidRPr="00F413DB" w:rsidRDefault="00351932" w:rsidP="009B249D">
            <w:pPr>
              <w:rPr>
                <w:sz w:val="20"/>
                <w:szCs w:val="20"/>
                <w:lang w:val="en-GB"/>
              </w:rPr>
            </w:pPr>
            <w:r w:rsidRPr="00F413DB">
              <w:rPr>
                <w:sz w:val="20"/>
                <w:szCs w:val="20"/>
                <w:lang w:val="en-GB"/>
              </w:rPr>
              <w:t>Alcohol consumers</w:t>
            </w:r>
            <w:r w:rsidR="00105E16" w:rsidRPr="00F413DB">
              <w:rPr>
                <w:sz w:val="20"/>
                <w:szCs w:val="20"/>
                <w:lang w:val="en-GB"/>
              </w:rPr>
              <w:t xml:space="preserve"> </w:t>
            </w:r>
          </w:p>
        </w:tc>
        <w:tc>
          <w:tcPr>
            <w:tcW w:w="2523" w:type="dxa"/>
            <w:vAlign w:val="center"/>
          </w:tcPr>
          <w:p w14:paraId="02BCA0CF" w14:textId="04B60D5A" w:rsidR="00351932" w:rsidRPr="00F413DB" w:rsidRDefault="00351932" w:rsidP="00CC5ADD">
            <w:pPr>
              <w:jc w:val="center"/>
              <w:rPr>
                <w:sz w:val="20"/>
                <w:szCs w:val="20"/>
                <w:lang w:val="en-GB"/>
              </w:rPr>
            </w:pPr>
            <w:r w:rsidRPr="00F413DB">
              <w:rPr>
                <w:sz w:val="20"/>
                <w:szCs w:val="20"/>
                <w:lang w:val="en-GB"/>
              </w:rPr>
              <w:t>27 (63)</w:t>
            </w:r>
          </w:p>
        </w:tc>
        <w:tc>
          <w:tcPr>
            <w:tcW w:w="2523" w:type="dxa"/>
            <w:vAlign w:val="center"/>
          </w:tcPr>
          <w:p w14:paraId="1971D6F4" w14:textId="55110D71" w:rsidR="00105E16" w:rsidRPr="00F413DB" w:rsidRDefault="00351932" w:rsidP="009B249D">
            <w:pPr>
              <w:jc w:val="center"/>
              <w:rPr>
                <w:sz w:val="20"/>
                <w:szCs w:val="20"/>
                <w:lang w:val="en-GB"/>
              </w:rPr>
            </w:pPr>
            <w:r w:rsidRPr="00F413DB">
              <w:rPr>
                <w:sz w:val="20"/>
                <w:szCs w:val="20"/>
                <w:lang w:val="en-GB"/>
              </w:rPr>
              <w:t>1</w:t>
            </w:r>
            <w:r w:rsidR="00EC1E42">
              <w:rPr>
                <w:sz w:val="20"/>
                <w:szCs w:val="20"/>
                <w:lang w:val="en-GB"/>
              </w:rPr>
              <w:t>7 (61</w:t>
            </w:r>
            <w:r w:rsidRPr="00F413DB">
              <w:rPr>
                <w:sz w:val="20"/>
                <w:szCs w:val="20"/>
                <w:lang w:val="en-GB"/>
              </w:rPr>
              <w:t>)</w:t>
            </w:r>
          </w:p>
        </w:tc>
        <w:tc>
          <w:tcPr>
            <w:tcW w:w="1304" w:type="dxa"/>
            <w:vAlign w:val="center"/>
          </w:tcPr>
          <w:p w14:paraId="3F50197F" w14:textId="77777777" w:rsidR="00351932" w:rsidRPr="00F413DB" w:rsidRDefault="00351932" w:rsidP="009B249D">
            <w:pPr>
              <w:jc w:val="center"/>
              <w:rPr>
                <w:sz w:val="20"/>
                <w:szCs w:val="20"/>
                <w:highlight w:val="cyan"/>
                <w:lang w:val="en-GB"/>
              </w:rPr>
            </w:pPr>
            <w:r w:rsidRPr="00F413DB">
              <w:rPr>
                <w:sz w:val="20"/>
                <w:szCs w:val="20"/>
                <w:lang w:val="en-GB"/>
              </w:rPr>
              <w:t>N/A</w:t>
            </w:r>
          </w:p>
        </w:tc>
      </w:tr>
      <w:tr w:rsidR="00351932" w:rsidRPr="005A751D" w14:paraId="31E3C963" w14:textId="77777777" w:rsidTr="009B249D">
        <w:trPr>
          <w:trHeight w:val="243"/>
        </w:trPr>
        <w:tc>
          <w:tcPr>
            <w:tcW w:w="2977" w:type="dxa"/>
          </w:tcPr>
          <w:p w14:paraId="30DBE29D" w14:textId="77777777" w:rsidR="00351932" w:rsidRPr="00F413DB" w:rsidRDefault="00351932" w:rsidP="009B249D">
            <w:pPr>
              <w:rPr>
                <w:sz w:val="20"/>
                <w:szCs w:val="20"/>
                <w:lang w:val="en-GB"/>
              </w:rPr>
            </w:pPr>
            <w:r w:rsidRPr="00F413DB">
              <w:rPr>
                <w:sz w:val="20"/>
                <w:szCs w:val="20"/>
                <w:lang w:val="en-GB"/>
              </w:rPr>
              <w:t>Someone at home during day</w:t>
            </w:r>
          </w:p>
        </w:tc>
        <w:tc>
          <w:tcPr>
            <w:tcW w:w="2523" w:type="dxa"/>
            <w:vAlign w:val="center"/>
          </w:tcPr>
          <w:p w14:paraId="7E9171E1" w14:textId="572ADC6F" w:rsidR="00351932" w:rsidRPr="00F413DB" w:rsidRDefault="00351932" w:rsidP="00CC5ADD">
            <w:pPr>
              <w:jc w:val="center"/>
              <w:rPr>
                <w:sz w:val="20"/>
                <w:szCs w:val="20"/>
                <w:lang w:val="en-GB"/>
              </w:rPr>
            </w:pPr>
            <w:r w:rsidRPr="00F413DB">
              <w:rPr>
                <w:sz w:val="20"/>
                <w:szCs w:val="20"/>
                <w:lang w:val="en-GB"/>
              </w:rPr>
              <w:t>28 (65)</w:t>
            </w:r>
          </w:p>
        </w:tc>
        <w:tc>
          <w:tcPr>
            <w:tcW w:w="2523" w:type="dxa"/>
            <w:vAlign w:val="center"/>
          </w:tcPr>
          <w:p w14:paraId="2CCAC491" w14:textId="73A74544" w:rsidR="00351932" w:rsidRPr="00F413DB" w:rsidRDefault="00351932" w:rsidP="009B249D">
            <w:pPr>
              <w:jc w:val="center"/>
              <w:rPr>
                <w:sz w:val="20"/>
                <w:szCs w:val="20"/>
                <w:lang w:val="en-GB"/>
              </w:rPr>
            </w:pPr>
            <w:r w:rsidRPr="00F413DB">
              <w:rPr>
                <w:sz w:val="20"/>
                <w:szCs w:val="20"/>
                <w:lang w:val="en-GB"/>
              </w:rPr>
              <w:t>1</w:t>
            </w:r>
            <w:r w:rsidR="00EC1E42">
              <w:rPr>
                <w:sz w:val="20"/>
                <w:szCs w:val="20"/>
                <w:lang w:val="en-GB"/>
              </w:rPr>
              <w:t>4 (50</w:t>
            </w:r>
            <w:r w:rsidRPr="00F413DB">
              <w:rPr>
                <w:sz w:val="20"/>
                <w:szCs w:val="20"/>
                <w:lang w:val="en-GB"/>
              </w:rPr>
              <w:t>)</w:t>
            </w:r>
          </w:p>
        </w:tc>
        <w:tc>
          <w:tcPr>
            <w:tcW w:w="1304" w:type="dxa"/>
            <w:vAlign w:val="center"/>
          </w:tcPr>
          <w:p w14:paraId="79E3C404" w14:textId="77777777" w:rsidR="00351932" w:rsidRPr="00F413DB" w:rsidRDefault="00351932" w:rsidP="009B249D">
            <w:pPr>
              <w:jc w:val="center"/>
              <w:rPr>
                <w:sz w:val="20"/>
                <w:szCs w:val="20"/>
                <w:highlight w:val="cyan"/>
                <w:lang w:val="en-GB"/>
              </w:rPr>
            </w:pPr>
            <w:r w:rsidRPr="00F413DB">
              <w:rPr>
                <w:sz w:val="20"/>
                <w:szCs w:val="20"/>
                <w:lang w:val="en-GB"/>
              </w:rPr>
              <w:t>N/A</w:t>
            </w:r>
          </w:p>
        </w:tc>
      </w:tr>
      <w:tr w:rsidR="00351932" w:rsidRPr="005A751D" w14:paraId="36F5829C" w14:textId="77777777" w:rsidTr="009B249D">
        <w:trPr>
          <w:trHeight w:val="279"/>
        </w:trPr>
        <w:tc>
          <w:tcPr>
            <w:tcW w:w="2977" w:type="dxa"/>
          </w:tcPr>
          <w:p w14:paraId="0AB19F3A" w14:textId="77777777" w:rsidR="00351932" w:rsidRPr="00F413DB" w:rsidRDefault="00351932" w:rsidP="009B249D">
            <w:pPr>
              <w:rPr>
                <w:sz w:val="20"/>
                <w:szCs w:val="20"/>
                <w:lang w:val="en-GB"/>
              </w:rPr>
            </w:pPr>
            <w:r w:rsidRPr="00F413DB">
              <w:rPr>
                <w:sz w:val="20"/>
                <w:szCs w:val="20"/>
                <w:lang w:val="en-GB"/>
              </w:rPr>
              <w:t>Someone at home at night</w:t>
            </w:r>
          </w:p>
        </w:tc>
        <w:tc>
          <w:tcPr>
            <w:tcW w:w="2523" w:type="dxa"/>
            <w:vAlign w:val="center"/>
          </w:tcPr>
          <w:p w14:paraId="5B3639C1" w14:textId="225764A5" w:rsidR="00351932" w:rsidRPr="00F413DB" w:rsidRDefault="00351932" w:rsidP="00CC5ADD">
            <w:pPr>
              <w:jc w:val="center"/>
              <w:rPr>
                <w:sz w:val="20"/>
                <w:szCs w:val="20"/>
                <w:lang w:val="en-GB"/>
              </w:rPr>
            </w:pPr>
            <w:r w:rsidRPr="00F413DB">
              <w:rPr>
                <w:sz w:val="20"/>
                <w:szCs w:val="20"/>
                <w:lang w:val="en-GB"/>
              </w:rPr>
              <w:t>40 (93)</w:t>
            </w:r>
          </w:p>
        </w:tc>
        <w:tc>
          <w:tcPr>
            <w:tcW w:w="2523" w:type="dxa"/>
            <w:vAlign w:val="center"/>
          </w:tcPr>
          <w:p w14:paraId="4A52781B" w14:textId="29A662C1" w:rsidR="00351932" w:rsidRPr="00F413DB" w:rsidRDefault="00351932" w:rsidP="009B249D">
            <w:pPr>
              <w:jc w:val="center"/>
              <w:rPr>
                <w:sz w:val="20"/>
                <w:szCs w:val="20"/>
                <w:lang w:val="en-GB"/>
              </w:rPr>
            </w:pPr>
            <w:r w:rsidRPr="00F413DB">
              <w:rPr>
                <w:sz w:val="20"/>
                <w:szCs w:val="20"/>
                <w:lang w:val="en-GB"/>
              </w:rPr>
              <w:t>2</w:t>
            </w:r>
            <w:r w:rsidR="00EC1E42">
              <w:rPr>
                <w:sz w:val="20"/>
                <w:szCs w:val="20"/>
                <w:lang w:val="en-GB"/>
              </w:rPr>
              <w:t>3 (82</w:t>
            </w:r>
            <w:r w:rsidRPr="00F413DB">
              <w:rPr>
                <w:sz w:val="20"/>
                <w:szCs w:val="20"/>
                <w:lang w:val="en-GB"/>
              </w:rPr>
              <w:t>)</w:t>
            </w:r>
          </w:p>
        </w:tc>
        <w:tc>
          <w:tcPr>
            <w:tcW w:w="1304" w:type="dxa"/>
            <w:vAlign w:val="center"/>
          </w:tcPr>
          <w:p w14:paraId="58D6793A" w14:textId="77777777" w:rsidR="00351932" w:rsidRPr="00F413DB" w:rsidRDefault="00351932" w:rsidP="009B249D">
            <w:pPr>
              <w:jc w:val="center"/>
              <w:rPr>
                <w:sz w:val="20"/>
                <w:szCs w:val="20"/>
                <w:highlight w:val="cyan"/>
                <w:lang w:val="en-GB"/>
              </w:rPr>
            </w:pPr>
            <w:r w:rsidRPr="00F413DB">
              <w:rPr>
                <w:sz w:val="20"/>
                <w:szCs w:val="20"/>
                <w:lang w:val="en-GB"/>
              </w:rPr>
              <w:t>N/A</w:t>
            </w:r>
          </w:p>
        </w:tc>
      </w:tr>
      <w:tr w:rsidR="00351932" w:rsidRPr="005A751D" w14:paraId="2C4C0A8F" w14:textId="77777777" w:rsidTr="009B249D">
        <w:trPr>
          <w:trHeight w:val="243"/>
        </w:trPr>
        <w:tc>
          <w:tcPr>
            <w:tcW w:w="2977" w:type="dxa"/>
          </w:tcPr>
          <w:p w14:paraId="04AD0A74" w14:textId="09FD95F5" w:rsidR="00351932" w:rsidRPr="00F413DB" w:rsidRDefault="00351932" w:rsidP="009B249D">
            <w:pPr>
              <w:rPr>
                <w:sz w:val="20"/>
                <w:szCs w:val="20"/>
                <w:lang w:val="en-GB"/>
              </w:rPr>
            </w:pPr>
            <w:r w:rsidRPr="00F413DB">
              <w:rPr>
                <w:sz w:val="20"/>
                <w:szCs w:val="20"/>
                <w:lang w:val="en-GB"/>
              </w:rPr>
              <w:t>Glucagon requirement for SH over last 12 months</w:t>
            </w:r>
          </w:p>
        </w:tc>
        <w:tc>
          <w:tcPr>
            <w:tcW w:w="2523" w:type="dxa"/>
            <w:vAlign w:val="center"/>
          </w:tcPr>
          <w:p w14:paraId="70B1DBB5" w14:textId="08012418" w:rsidR="00351932" w:rsidRPr="00F413DB" w:rsidRDefault="00351932" w:rsidP="00CC5ADD">
            <w:pPr>
              <w:jc w:val="center"/>
              <w:rPr>
                <w:sz w:val="20"/>
                <w:szCs w:val="20"/>
                <w:lang w:val="en-GB"/>
              </w:rPr>
            </w:pPr>
            <w:r w:rsidRPr="00F413DB">
              <w:rPr>
                <w:sz w:val="20"/>
                <w:szCs w:val="20"/>
                <w:lang w:val="en-GB"/>
              </w:rPr>
              <w:t>15 (37)</w:t>
            </w:r>
            <w:r w:rsidR="00CC5ADD">
              <w:rPr>
                <w:sz w:val="20"/>
                <w:szCs w:val="20"/>
                <w:lang w:val="en-GB"/>
              </w:rPr>
              <w:t xml:space="preserve"> </w:t>
            </w:r>
            <w:r w:rsidR="00105E16" w:rsidRPr="00F413DB">
              <w:rPr>
                <w:sz w:val="20"/>
                <w:szCs w:val="20"/>
                <w:lang w:val="en-GB"/>
              </w:rPr>
              <w:t>(</w:t>
            </w:r>
            <w:r w:rsidR="00105E16" w:rsidRPr="00CC5ADD">
              <w:rPr>
                <w:i/>
                <w:sz w:val="20"/>
                <w:szCs w:val="20"/>
                <w:lang w:val="en-GB"/>
              </w:rPr>
              <w:t>n</w:t>
            </w:r>
            <w:r w:rsidR="00105E16" w:rsidRPr="00F413DB">
              <w:rPr>
                <w:sz w:val="20"/>
                <w:szCs w:val="20"/>
                <w:lang w:val="en-GB"/>
              </w:rPr>
              <w:t>=41)</w:t>
            </w:r>
          </w:p>
        </w:tc>
        <w:tc>
          <w:tcPr>
            <w:tcW w:w="2523" w:type="dxa"/>
            <w:vAlign w:val="center"/>
          </w:tcPr>
          <w:p w14:paraId="283A42C9" w14:textId="50DE903F" w:rsidR="00351932" w:rsidRPr="00F413DB" w:rsidRDefault="00351932" w:rsidP="009B249D">
            <w:pPr>
              <w:jc w:val="center"/>
              <w:rPr>
                <w:sz w:val="20"/>
                <w:szCs w:val="20"/>
                <w:lang w:val="en-GB"/>
              </w:rPr>
            </w:pPr>
            <w:r w:rsidRPr="00F413DB">
              <w:rPr>
                <w:sz w:val="20"/>
                <w:szCs w:val="20"/>
                <w:lang w:val="en-GB"/>
              </w:rPr>
              <w:t>1</w:t>
            </w:r>
            <w:r w:rsidR="00EC1E42">
              <w:rPr>
                <w:sz w:val="20"/>
                <w:szCs w:val="20"/>
                <w:lang w:val="en-GB"/>
              </w:rPr>
              <w:t>2 (43</w:t>
            </w:r>
            <w:r w:rsidRPr="00F413DB">
              <w:rPr>
                <w:sz w:val="20"/>
                <w:szCs w:val="20"/>
                <w:lang w:val="en-GB"/>
              </w:rPr>
              <w:t>)</w:t>
            </w:r>
          </w:p>
        </w:tc>
        <w:tc>
          <w:tcPr>
            <w:tcW w:w="1304" w:type="dxa"/>
            <w:vAlign w:val="center"/>
          </w:tcPr>
          <w:p w14:paraId="5E20D303" w14:textId="77777777" w:rsidR="00351932" w:rsidRPr="00F413DB" w:rsidRDefault="00351932" w:rsidP="009B249D">
            <w:pPr>
              <w:jc w:val="center"/>
              <w:rPr>
                <w:sz w:val="20"/>
                <w:szCs w:val="20"/>
                <w:highlight w:val="cyan"/>
                <w:lang w:val="en-GB"/>
              </w:rPr>
            </w:pPr>
            <w:r w:rsidRPr="00F413DB">
              <w:rPr>
                <w:sz w:val="20"/>
                <w:szCs w:val="20"/>
                <w:lang w:val="en-GB"/>
              </w:rPr>
              <w:t>N/A</w:t>
            </w:r>
          </w:p>
        </w:tc>
      </w:tr>
      <w:tr w:rsidR="00351932" w:rsidRPr="005A751D" w14:paraId="3B67652C" w14:textId="77777777" w:rsidTr="009B249D">
        <w:trPr>
          <w:trHeight w:val="243"/>
        </w:trPr>
        <w:tc>
          <w:tcPr>
            <w:tcW w:w="2977" w:type="dxa"/>
          </w:tcPr>
          <w:p w14:paraId="236B8C90" w14:textId="7ECEBB7C" w:rsidR="00351932" w:rsidRPr="00F413DB" w:rsidRDefault="00351932" w:rsidP="009B249D">
            <w:pPr>
              <w:rPr>
                <w:sz w:val="20"/>
                <w:szCs w:val="20"/>
                <w:lang w:val="en-GB"/>
              </w:rPr>
            </w:pPr>
            <w:r w:rsidRPr="00F413DB">
              <w:rPr>
                <w:sz w:val="20"/>
                <w:szCs w:val="20"/>
                <w:lang w:val="en-GB"/>
              </w:rPr>
              <w:t>Paramedic attendance for SH over last 12 months</w:t>
            </w:r>
          </w:p>
        </w:tc>
        <w:tc>
          <w:tcPr>
            <w:tcW w:w="2523" w:type="dxa"/>
            <w:vAlign w:val="center"/>
          </w:tcPr>
          <w:p w14:paraId="3C22A361" w14:textId="2ED267C3" w:rsidR="00351932" w:rsidRPr="00F413DB" w:rsidRDefault="00CC5ADD" w:rsidP="00F413DB">
            <w:pPr>
              <w:jc w:val="center"/>
              <w:rPr>
                <w:sz w:val="20"/>
                <w:szCs w:val="20"/>
                <w:lang w:val="en-GB"/>
              </w:rPr>
            </w:pPr>
            <w:r>
              <w:rPr>
                <w:sz w:val="20"/>
                <w:szCs w:val="20"/>
                <w:lang w:val="en-GB"/>
              </w:rPr>
              <w:t>20 (48</w:t>
            </w:r>
            <w:r w:rsidR="00351932" w:rsidRPr="00F413DB">
              <w:rPr>
                <w:sz w:val="20"/>
                <w:szCs w:val="20"/>
                <w:lang w:val="en-GB"/>
              </w:rPr>
              <w:t>)</w:t>
            </w:r>
            <w:r>
              <w:rPr>
                <w:sz w:val="20"/>
                <w:szCs w:val="20"/>
                <w:lang w:val="en-GB"/>
              </w:rPr>
              <w:t xml:space="preserve"> </w:t>
            </w:r>
            <w:r w:rsidR="00105E16" w:rsidRPr="00F413DB">
              <w:rPr>
                <w:sz w:val="20"/>
                <w:szCs w:val="20"/>
                <w:lang w:val="en-GB"/>
              </w:rPr>
              <w:t>(</w:t>
            </w:r>
            <w:r w:rsidR="00105E16" w:rsidRPr="00CC5ADD">
              <w:rPr>
                <w:i/>
                <w:sz w:val="20"/>
                <w:szCs w:val="20"/>
                <w:lang w:val="en-GB"/>
              </w:rPr>
              <w:t>n</w:t>
            </w:r>
            <w:r w:rsidR="00105E16" w:rsidRPr="00F413DB">
              <w:rPr>
                <w:sz w:val="20"/>
                <w:szCs w:val="20"/>
                <w:lang w:val="en-GB"/>
              </w:rPr>
              <w:t>=42)</w:t>
            </w:r>
          </w:p>
        </w:tc>
        <w:tc>
          <w:tcPr>
            <w:tcW w:w="2523" w:type="dxa"/>
            <w:vAlign w:val="center"/>
          </w:tcPr>
          <w:p w14:paraId="6B229AED" w14:textId="041277CB" w:rsidR="00351932" w:rsidRPr="00F413DB" w:rsidRDefault="00EC1E42" w:rsidP="009B249D">
            <w:pPr>
              <w:jc w:val="center"/>
              <w:rPr>
                <w:sz w:val="20"/>
                <w:szCs w:val="20"/>
                <w:lang w:val="en-GB"/>
              </w:rPr>
            </w:pPr>
            <w:r>
              <w:rPr>
                <w:sz w:val="20"/>
                <w:szCs w:val="20"/>
                <w:lang w:val="en-GB"/>
              </w:rPr>
              <w:t>9 (32</w:t>
            </w:r>
            <w:r w:rsidR="00351932" w:rsidRPr="00F413DB">
              <w:rPr>
                <w:sz w:val="20"/>
                <w:szCs w:val="20"/>
                <w:lang w:val="en-GB"/>
              </w:rPr>
              <w:t>)</w:t>
            </w:r>
          </w:p>
        </w:tc>
        <w:tc>
          <w:tcPr>
            <w:tcW w:w="1304" w:type="dxa"/>
            <w:vAlign w:val="center"/>
          </w:tcPr>
          <w:p w14:paraId="299E5D20" w14:textId="77777777" w:rsidR="00351932" w:rsidRPr="00F413DB" w:rsidRDefault="00351932" w:rsidP="009B249D">
            <w:pPr>
              <w:jc w:val="center"/>
              <w:rPr>
                <w:sz w:val="20"/>
                <w:szCs w:val="20"/>
                <w:highlight w:val="cyan"/>
                <w:lang w:val="en-GB"/>
              </w:rPr>
            </w:pPr>
            <w:r w:rsidRPr="00F413DB">
              <w:rPr>
                <w:sz w:val="20"/>
                <w:szCs w:val="20"/>
                <w:lang w:val="en-GB"/>
              </w:rPr>
              <w:t>N/A</w:t>
            </w:r>
          </w:p>
        </w:tc>
      </w:tr>
      <w:tr w:rsidR="00351932" w:rsidRPr="005A751D" w14:paraId="0924CC36" w14:textId="77777777" w:rsidTr="009B249D">
        <w:trPr>
          <w:trHeight w:val="243"/>
        </w:trPr>
        <w:tc>
          <w:tcPr>
            <w:tcW w:w="2977" w:type="dxa"/>
          </w:tcPr>
          <w:p w14:paraId="549D82C8" w14:textId="28BC1226" w:rsidR="00351932" w:rsidRPr="00F413DB" w:rsidRDefault="00351932" w:rsidP="009B249D">
            <w:pPr>
              <w:rPr>
                <w:sz w:val="20"/>
                <w:szCs w:val="20"/>
                <w:lang w:val="en-GB"/>
              </w:rPr>
            </w:pPr>
            <w:r w:rsidRPr="00F413DB">
              <w:rPr>
                <w:sz w:val="20"/>
                <w:szCs w:val="20"/>
                <w:lang w:val="en-GB"/>
              </w:rPr>
              <w:t>Hospital attendance for SH over last 12 months</w:t>
            </w:r>
          </w:p>
        </w:tc>
        <w:tc>
          <w:tcPr>
            <w:tcW w:w="2523" w:type="dxa"/>
            <w:vAlign w:val="center"/>
          </w:tcPr>
          <w:p w14:paraId="1C736EB7" w14:textId="09C1D10F" w:rsidR="00351932" w:rsidRPr="00F413DB" w:rsidRDefault="00CC5ADD" w:rsidP="00F413DB">
            <w:pPr>
              <w:jc w:val="center"/>
              <w:rPr>
                <w:sz w:val="20"/>
                <w:szCs w:val="20"/>
                <w:lang w:val="en-GB"/>
              </w:rPr>
            </w:pPr>
            <w:r>
              <w:rPr>
                <w:sz w:val="20"/>
                <w:szCs w:val="20"/>
                <w:lang w:val="en-GB"/>
              </w:rPr>
              <w:t>3 (7</w:t>
            </w:r>
            <w:r w:rsidR="00351932" w:rsidRPr="00F413DB">
              <w:rPr>
                <w:sz w:val="20"/>
                <w:szCs w:val="20"/>
                <w:lang w:val="en-GB"/>
              </w:rPr>
              <w:t>)</w:t>
            </w:r>
            <w:r>
              <w:rPr>
                <w:sz w:val="20"/>
                <w:szCs w:val="20"/>
                <w:lang w:val="en-GB"/>
              </w:rPr>
              <w:t xml:space="preserve"> </w:t>
            </w:r>
            <w:r w:rsidR="00105E16" w:rsidRPr="00F413DB">
              <w:rPr>
                <w:sz w:val="20"/>
                <w:szCs w:val="20"/>
                <w:lang w:val="en-GB"/>
              </w:rPr>
              <w:t>(</w:t>
            </w:r>
            <w:r w:rsidR="00105E16" w:rsidRPr="00CC5ADD">
              <w:rPr>
                <w:i/>
                <w:sz w:val="20"/>
                <w:szCs w:val="20"/>
                <w:lang w:val="en-GB"/>
              </w:rPr>
              <w:t>n</w:t>
            </w:r>
            <w:r w:rsidR="00105E16" w:rsidRPr="00F413DB">
              <w:rPr>
                <w:sz w:val="20"/>
                <w:szCs w:val="20"/>
                <w:lang w:val="en-GB"/>
              </w:rPr>
              <w:t>=42)</w:t>
            </w:r>
          </w:p>
        </w:tc>
        <w:tc>
          <w:tcPr>
            <w:tcW w:w="2523" w:type="dxa"/>
            <w:vAlign w:val="center"/>
          </w:tcPr>
          <w:p w14:paraId="521BE1D4" w14:textId="4B194DCE" w:rsidR="00351932" w:rsidRPr="00F413DB" w:rsidRDefault="00EC1E42" w:rsidP="00EC1E42">
            <w:pPr>
              <w:jc w:val="center"/>
              <w:rPr>
                <w:sz w:val="20"/>
                <w:szCs w:val="20"/>
                <w:lang w:val="en-GB"/>
              </w:rPr>
            </w:pPr>
            <w:r>
              <w:rPr>
                <w:sz w:val="20"/>
                <w:szCs w:val="20"/>
                <w:lang w:val="en-GB"/>
              </w:rPr>
              <w:t>2 (7</w:t>
            </w:r>
            <w:r w:rsidR="00351932" w:rsidRPr="00F413DB">
              <w:rPr>
                <w:sz w:val="20"/>
                <w:szCs w:val="20"/>
                <w:lang w:val="en-GB"/>
              </w:rPr>
              <w:t>)</w:t>
            </w:r>
          </w:p>
        </w:tc>
        <w:tc>
          <w:tcPr>
            <w:tcW w:w="1304" w:type="dxa"/>
            <w:vAlign w:val="center"/>
          </w:tcPr>
          <w:p w14:paraId="12B371E3" w14:textId="77777777" w:rsidR="00351932" w:rsidRPr="00F413DB" w:rsidRDefault="00351932" w:rsidP="009B249D">
            <w:pPr>
              <w:jc w:val="center"/>
              <w:rPr>
                <w:sz w:val="20"/>
                <w:szCs w:val="20"/>
                <w:highlight w:val="cyan"/>
                <w:lang w:val="en-GB"/>
              </w:rPr>
            </w:pPr>
            <w:r w:rsidRPr="00F413DB">
              <w:rPr>
                <w:sz w:val="20"/>
                <w:szCs w:val="20"/>
                <w:lang w:val="en-GB"/>
              </w:rPr>
              <w:t>N/A</w:t>
            </w:r>
          </w:p>
        </w:tc>
      </w:tr>
      <w:tr w:rsidR="00351932" w:rsidRPr="005A751D" w14:paraId="50949E0B" w14:textId="77777777" w:rsidTr="009B249D">
        <w:trPr>
          <w:trHeight w:val="243"/>
        </w:trPr>
        <w:tc>
          <w:tcPr>
            <w:tcW w:w="2977" w:type="dxa"/>
          </w:tcPr>
          <w:p w14:paraId="63BAF6AD" w14:textId="77777777" w:rsidR="00351932" w:rsidRPr="00F413DB" w:rsidRDefault="00351932" w:rsidP="009B249D">
            <w:pPr>
              <w:rPr>
                <w:sz w:val="20"/>
                <w:szCs w:val="20"/>
                <w:lang w:val="en-GB"/>
              </w:rPr>
            </w:pPr>
            <w:proofErr w:type="spellStart"/>
            <w:r w:rsidRPr="00F413DB">
              <w:rPr>
                <w:sz w:val="20"/>
                <w:szCs w:val="20"/>
                <w:lang w:val="en-GB"/>
              </w:rPr>
              <w:t>Lipohypertrophy</w:t>
            </w:r>
            <w:proofErr w:type="spellEnd"/>
          </w:p>
        </w:tc>
        <w:tc>
          <w:tcPr>
            <w:tcW w:w="2523" w:type="dxa"/>
            <w:vAlign w:val="center"/>
          </w:tcPr>
          <w:p w14:paraId="16963A7E" w14:textId="725ED458" w:rsidR="00A774FE" w:rsidRPr="00F413DB" w:rsidRDefault="00351932" w:rsidP="00B05512">
            <w:pPr>
              <w:jc w:val="center"/>
              <w:rPr>
                <w:sz w:val="20"/>
                <w:szCs w:val="20"/>
                <w:lang w:val="en-GB"/>
              </w:rPr>
            </w:pPr>
            <w:r w:rsidRPr="00F413DB">
              <w:rPr>
                <w:sz w:val="20"/>
                <w:szCs w:val="20"/>
                <w:lang w:val="en-GB"/>
              </w:rPr>
              <w:t>14 (33.3)</w:t>
            </w:r>
            <w:r w:rsidR="00B05512">
              <w:rPr>
                <w:sz w:val="20"/>
                <w:szCs w:val="20"/>
                <w:lang w:val="en-GB"/>
              </w:rPr>
              <w:t xml:space="preserve"> </w:t>
            </w:r>
            <w:r w:rsidR="00A774FE" w:rsidRPr="00F413DB">
              <w:rPr>
                <w:sz w:val="20"/>
                <w:szCs w:val="20"/>
                <w:lang w:val="en-GB"/>
              </w:rPr>
              <w:t>(</w:t>
            </w:r>
            <w:r w:rsidR="00A774FE" w:rsidRPr="00B05512">
              <w:rPr>
                <w:i/>
                <w:sz w:val="20"/>
                <w:szCs w:val="20"/>
                <w:lang w:val="en-GB"/>
              </w:rPr>
              <w:t>n</w:t>
            </w:r>
            <w:r w:rsidR="00A774FE" w:rsidRPr="00F413DB">
              <w:rPr>
                <w:sz w:val="20"/>
                <w:szCs w:val="20"/>
                <w:lang w:val="en-GB"/>
              </w:rPr>
              <w:t>=42)</w:t>
            </w:r>
          </w:p>
        </w:tc>
        <w:tc>
          <w:tcPr>
            <w:tcW w:w="2523" w:type="dxa"/>
            <w:vAlign w:val="center"/>
          </w:tcPr>
          <w:p w14:paraId="1C4EBFFA" w14:textId="1DCC6419" w:rsidR="00A774FE" w:rsidRPr="00F413DB" w:rsidRDefault="00351932" w:rsidP="00EC1E42">
            <w:pPr>
              <w:jc w:val="center"/>
              <w:rPr>
                <w:sz w:val="20"/>
                <w:szCs w:val="20"/>
                <w:lang w:val="en-GB"/>
              </w:rPr>
            </w:pPr>
            <w:r w:rsidRPr="00F413DB">
              <w:rPr>
                <w:sz w:val="20"/>
                <w:szCs w:val="20"/>
                <w:lang w:val="en-GB"/>
              </w:rPr>
              <w:t>1</w:t>
            </w:r>
            <w:r w:rsidR="00EC1E42">
              <w:rPr>
                <w:sz w:val="20"/>
                <w:szCs w:val="20"/>
                <w:lang w:val="en-GB"/>
              </w:rPr>
              <w:t>1 (42.3</w:t>
            </w:r>
            <w:r w:rsidRPr="00F413DB">
              <w:rPr>
                <w:sz w:val="20"/>
                <w:szCs w:val="20"/>
                <w:lang w:val="en-GB"/>
              </w:rPr>
              <w:t>)</w:t>
            </w:r>
            <w:r w:rsidR="00EC1E42">
              <w:rPr>
                <w:sz w:val="20"/>
                <w:szCs w:val="20"/>
                <w:lang w:val="en-GB"/>
              </w:rPr>
              <w:t xml:space="preserve"> </w:t>
            </w:r>
            <w:r w:rsidR="00A774FE" w:rsidRPr="00F413DB">
              <w:rPr>
                <w:sz w:val="20"/>
                <w:szCs w:val="20"/>
                <w:lang w:val="en-GB"/>
              </w:rPr>
              <w:t>(</w:t>
            </w:r>
            <w:r w:rsidR="00EC1E42">
              <w:rPr>
                <w:i/>
                <w:sz w:val="20"/>
                <w:szCs w:val="20"/>
                <w:lang w:val="en-GB"/>
              </w:rPr>
              <w:t>n</w:t>
            </w:r>
            <w:r w:rsidR="00A774FE" w:rsidRPr="00F413DB">
              <w:rPr>
                <w:sz w:val="20"/>
                <w:szCs w:val="20"/>
                <w:lang w:val="en-GB"/>
              </w:rPr>
              <w:t>=26)</w:t>
            </w:r>
          </w:p>
        </w:tc>
        <w:tc>
          <w:tcPr>
            <w:tcW w:w="1304" w:type="dxa"/>
            <w:vAlign w:val="center"/>
          </w:tcPr>
          <w:p w14:paraId="1427A93F" w14:textId="7A331B96" w:rsidR="00351932" w:rsidRPr="00F413DB" w:rsidRDefault="00351932" w:rsidP="009B249D">
            <w:pPr>
              <w:jc w:val="center"/>
              <w:rPr>
                <w:sz w:val="20"/>
                <w:szCs w:val="20"/>
                <w:lang w:val="en-GB"/>
              </w:rPr>
            </w:pPr>
            <w:r w:rsidRPr="00F413DB">
              <w:rPr>
                <w:sz w:val="20"/>
                <w:szCs w:val="20"/>
                <w:lang w:val="en-GB"/>
              </w:rPr>
              <w:t>0.46</w:t>
            </w:r>
            <w:r w:rsidR="001048F5" w:rsidRPr="00F413DB">
              <w:rPr>
                <w:sz w:val="20"/>
                <w:szCs w:val="20"/>
                <w:vertAlign w:val="superscript"/>
                <w:lang w:val="en-GB"/>
              </w:rPr>
              <w:t>‡</w:t>
            </w:r>
          </w:p>
        </w:tc>
      </w:tr>
      <w:tr w:rsidR="00351932" w:rsidRPr="005A751D" w14:paraId="027ED80C" w14:textId="77777777" w:rsidTr="009B249D">
        <w:trPr>
          <w:trHeight w:val="243"/>
        </w:trPr>
        <w:tc>
          <w:tcPr>
            <w:tcW w:w="2977" w:type="dxa"/>
          </w:tcPr>
          <w:p w14:paraId="707FE2C3" w14:textId="77777777" w:rsidR="00351932" w:rsidRPr="00F413DB" w:rsidRDefault="00351932" w:rsidP="009B249D">
            <w:pPr>
              <w:rPr>
                <w:sz w:val="20"/>
                <w:szCs w:val="20"/>
                <w:lang w:val="en-GB"/>
              </w:rPr>
            </w:pPr>
            <w:r w:rsidRPr="00F413DB">
              <w:rPr>
                <w:sz w:val="20"/>
                <w:szCs w:val="20"/>
                <w:lang w:val="en-GB"/>
              </w:rPr>
              <w:t>Treated thyroid disease</w:t>
            </w:r>
          </w:p>
        </w:tc>
        <w:tc>
          <w:tcPr>
            <w:tcW w:w="2523" w:type="dxa"/>
            <w:vAlign w:val="center"/>
          </w:tcPr>
          <w:p w14:paraId="752B39B7" w14:textId="069EF950" w:rsidR="00351932" w:rsidRPr="00F413DB" w:rsidRDefault="00351932" w:rsidP="00B05512">
            <w:pPr>
              <w:jc w:val="center"/>
              <w:rPr>
                <w:sz w:val="20"/>
                <w:szCs w:val="20"/>
                <w:lang w:val="en-GB"/>
              </w:rPr>
            </w:pPr>
            <w:r w:rsidRPr="00F413DB">
              <w:rPr>
                <w:sz w:val="20"/>
                <w:szCs w:val="20"/>
                <w:lang w:val="en-GB"/>
              </w:rPr>
              <w:t>14 (32.6)</w:t>
            </w:r>
          </w:p>
        </w:tc>
        <w:tc>
          <w:tcPr>
            <w:tcW w:w="2523" w:type="dxa"/>
            <w:vAlign w:val="center"/>
          </w:tcPr>
          <w:p w14:paraId="16520A75" w14:textId="24CAC742" w:rsidR="00351932" w:rsidRPr="00F413DB" w:rsidRDefault="00351932" w:rsidP="00EC1E42">
            <w:pPr>
              <w:jc w:val="center"/>
              <w:rPr>
                <w:sz w:val="20"/>
                <w:szCs w:val="20"/>
                <w:lang w:val="en-GB"/>
              </w:rPr>
            </w:pPr>
            <w:r w:rsidRPr="00F413DB">
              <w:rPr>
                <w:sz w:val="20"/>
                <w:szCs w:val="20"/>
                <w:lang w:val="en-GB"/>
              </w:rPr>
              <w:t>7 (25</w:t>
            </w:r>
            <w:r w:rsidR="001048F5" w:rsidRPr="00F413DB">
              <w:rPr>
                <w:sz w:val="20"/>
                <w:szCs w:val="20"/>
                <w:lang w:val="en-GB"/>
              </w:rPr>
              <w:t>.0</w:t>
            </w:r>
            <w:r w:rsidRPr="00F413DB">
              <w:rPr>
                <w:sz w:val="20"/>
                <w:szCs w:val="20"/>
                <w:lang w:val="en-GB"/>
              </w:rPr>
              <w:t>)</w:t>
            </w:r>
          </w:p>
        </w:tc>
        <w:tc>
          <w:tcPr>
            <w:tcW w:w="1304" w:type="dxa"/>
            <w:vAlign w:val="center"/>
          </w:tcPr>
          <w:p w14:paraId="6467F069" w14:textId="15B635D7" w:rsidR="00351932" w:rsidRPr="00F413DB" w:rsidRDefault="00351932" w:rsidP="009B249D">
            <w:pPr>
              <w:jc w:val="center"/>
              <w:rPr>
                <w:sz w:val="20"/>
                <w:szCs w:val="20"/>
                <w:lang w:val="en-GB"/>
              </w:rPr>
            </w:pPr>
            <w:r w:rsidRPr="00F413DB">
              <w:rPr>
                <w:sz w:val="20"/>
                <w:szCs w:val="20"/>
                <w:lang w:val="en-GB"/>
              </w:rPr>
              <w:t>0.50</w:t>
            </w:r>
            <w:r w:rsidR="001048F5" w:rsidRPr="00F413DB">
              <w:rPr>
                <w:sz w:val="20"/>
                <w:szCs w:val="20"/>
                <w:vertAlign w:val="superscript"/>
                <w:lang w:val="en-GB"/>
              </w:rPr>
              <w:t>‡</w:t>
            </w:r>
          </w:p>
        </w:tc>
      </w:tr>
      <w:tr w:rsidR="00351932" w:rsidRPr="005A751D" w14:paraId="3A1C4830" w14:textId="77777777" w:rsidTr="009B249D">
        <w:trPr>
          <w:trHeight w:val="243"/>
        </w:trPr>
        <w:tc>
          <w:tcPr>
            <w:tcW w:w="2977" w:type="dxa"/>
          </w:tcPr>
          <w:p w14:paraId="5732E70D" w14:textId="77777777" w:rsidR="00351932" w:rsidRPr="00F413DB" w:rsidRDefault="00351932" w:rsidP="009B249D">
            <w:pPr>
              <w:rPr>
                <w:sz w:val="20"/>
                <w:szCs w:val="20"/>
                <w:lang w:val="en-GB"/>
              </w:rPr>
            </w:pPr>
            <w:r w:rsidRPr="00F413DB">
              <w:rPr>
                <w:sz w:val="20"/>
                <w:szCs w:val="20"/>
                <w:lang w:val="en-GB"/>
              </w:rPr>
              <w:t>Atherosclerotic disease</w:t>
            </w:r>
          </w:p>
        </w:tc>
        <w:tc>
          <w:tcPr>
            <w:tcW w:w="2523" w:type="dxa"/>
            <w:vAlign w:val="center"/>
          </w:tcPr>
          <w:p w14:paraId="56D6BB62" w14:textId="1BCF2A56" w:rsidR="00351932" w:rsidRPr="00F413DB" w:rsidRDefault="00351932" w:rsidP="00B05512">
            <w:pPr>
              <w:jc w:val="center"/>
              <w:rPr>
                <w:sz w:val="20"/>
                <w:szCs w:val="20"/>
                <w:lang w:val="en-GB"/>
              </w:rPr>
            </w:pPr>
            <w:r w:rsidRPr="00F413DB">
              <w:rPr>
                <w:sz w:val="20"/>
                <w:szCs w:val="20"/>
                <w:lang w:val="en-GB"/>
              </w:rPr>
              <w:t>7 (16.3)</w:t>
            </w:r>
          </w:p>
        </w:tc>
        <w:tc>
          <w:tcPr>
            <w:tcW w:w="2523" w:type="dxa"/>
            <w:vAlign w:val="center"/>
          </w:tcPr>
          <w:p w14:paraId="06DF9165" w14:textId="5E70E737" w:rsidR="00351932" w:rsidRPr="00F413DB" w:rsidRDefault="00351932" w:rsidP="009B249D">
            <w:pPr>
              <w:jc w:val="center"/>
              <w:rPr>
                <w:sz w:val="20"/>
                <w:szCs w:val="20"/>
                <w:lang w:val="en-GB"/>
              </w:rPr>
            </w:pPr>
            <w:r w:rsidRPr="00F413DB">
              <w:rPr>
                <w:sz w:val="20"/>
                <w:szCs w:val="20"/>
                <w:lang w:val="en-GB"/>
              </w:rPr>
              <w:t>3</w:t>
            </w:r>
            <w:r w:rsidR="00EC1E42">
              <w:rPr>
                <w:sz w:val="20"/>
                <w:szCs w:val="20"/>
                <w:lang w:val="en-GB"/>
              </w:rPr>
              <w:t xml:space="preserve"> (10.7</w:t>
            </w:r>
            <w:r w:rsidRPr="00F413DB">
              <w:rPr>
                <w:sz w:val="20"/>
                <w:szCs w:val="20"/>
                <w:lang w:val="en-GB"/>
              </w:rPr>
              <w:t>)</w:t>
            </w:r>
          </w:p>
        </w:tc>
        <w:tc>
          <w:tcPr>
            <w:tcW w:w="1304" w:type="dxa"/>
            <w:vAlign w:val="center"/>
          </w:tcPr>
          <w:p w14:paraId="49D98DA8" w14:textId="0A3C45C3" w:rsidR="00351932" w:rsidRPr="00F413DB" w:rsidRDefault="00351932" w:rsidP="009B249D">
            <w:pPr>
              <w:jc w:val="center"/>
              <w:rPr>
                <w:sz w:val="20"/>
                <w:szCs w:val="20"/>
                <w:lang w:val="en-GB"/>
              </w:rPr>
            </w:pPr>
            <w:r w:rsidRPr="00F413DB">
              <w:rPr>
                <w:sz w:val="20"/>
                <w:szCs w:val="20"/>
                <w:lang w:val="en-GB"/>
              </w:rPr>
              <w:t>0.51</w:t>
            </w:r>
            <w:r w:rsidR="001048F5" w:rsidRPr="00F413DB">
              <w:rPr>
                <w:sz w:val="20"/>
                <w:szCs w:val="20"/>
                <w:vertAlign w:val="superscript"/>
                <w:lang w:val="en-GB"/>
              </w:rPr>
              <w:t>‡</w:t>
            </w:r>
          </w:p>
        </w:tc>
      </w:tr>
      <w:tr w:rsidR="00351932" w:rsidRPr="005A751D" w14:paraId="5553DD11" w14:textId="77777777" w:rsidTr="009B249D">
        <w:trPr>
          <w:trHeight w:val="243"/>
        </w:trPr>
        <w:tc>
          <w:tcPr>
            <w:tcW w:w="2977" w:type="dxa"/>
          </w:tcPr>
          <w:p w14:paraId="6A0A3153" w14:textId="5A390321" w:rsidR="00351932" w:rsidRPr="00F413DB" w:rsidRDefault="00105E16" w:rsidP="009B249D">
            <w:pPr>
              <w:rPr>
                <w:sz w:val="20"/>
                <w:szCs w:val="20"/>
                <w:lang w:val="en-GB"/>
              </w:rPr>
            </w:pPr>
            <w:r w:rsidRPr="00F413DB">
              <w:rPr>
                <w:sz w:val="20"/>
                <w:szCs w:val="20"/>
                <w:lang w:val="en-GB"/>
              </w:rPr>
              <w:t>Peripheral vascular disease</w:t>
            </w:r>
          </w:p>
        </w:tc>
        <w:tc>
          <w:tcPr>
            <w:tcW w:w="2523" w:type="dxa"/>
            <w:vAlign w:val="center"/>
          </w:tcPr>
          <w:p w14:paraId="24133FD4" w14:textId="5FC0613A" w:rsidR="00351932" w:rsidRPr="00F413DB" w:rsidRDefault="00B05512" w:rsidP="009B249D">
            <w:pPr>
              <w:jc w:val="center"/>
              <w:rPr>
                <w:sz w:val="20"/>
                <w:szCs w:val="20"/>
                <w:lang w:val="en-GB"/>
              </w:rPr>
            </w:pPr>
            <w:r>
              <w:rPr>
                <w:sz w:val="20"/>
                <w:szCs w:val="20"/>
                <w:lang w:val="en-GB"/>
              </w:rPr>
              <w:t>4 (9.3</w:t>
            </w:r>
            <w:r w:rsidR="00351932" w:rsidRPr="00F413DB">
              <w:rPr>
                <w:sz w:val="20"/>
                <w:szCs w:val="20"/>
                <w:lang w:val="en-GB"/>
              </w:rPr>
              <w:t>)</w:t>
            </w:r>
          </w:p>
        </w:tc>
        <w:tc>
          <w:tcPr>
            <w:tcW w:w="2523" w:type="dxa"/>
            <w:vAlign w:val="center"/>
          </w:tcPr>
          <w:p w14:paraId="11847977" w14:textId="705E4234" w:rsidR="00351932" w:rsidRPr="00F413DB" w:rsidRDefault="00EC1E42" w:rsidP="009B249D">
            <w:pPr>
              <w:jc w:val="center"/>
              <w:rPr>
                <w:sz w:val="20"/>
                <w:szCs w:val="20"/>
                <w:lang w:val="en-GB"/>
              </w:rPr>
            </w:pPr>
            <w:r>
              <w:rPr>
                <w:sz w:val="20"/>
                <w:szCs w:val="20"/>
                <w:lang w:val="en-GB"/>
              </w:rPr>
              <w:t>2 (7.1</w:t>
            </w:r>
            <w:r w:rsidR="00351932" w:rsidRPr="00F413DB">
              <w:rPr>
                <w:sz w:val="20"/>
                <w:szCs w:val="20"/>
                <w:lang w:val="en-GB"/>
              </w:rPr>
              <w:t>)</w:t>
            </w:r>
          </w:p>
        </w:tc>
        <w:tc>
          <w:tcPr>
            <w:tcW w:w="1304" w:type="dxa"/>
            <w:vAlign w:val="center"/>
          </w:tcPr>
          <w:p w14:paraId="22348EB8" w14:textId="454CF659" w:rsidR="00351932" w:rsidRPr="00F413DB" w:rsidRDefault="00351932" w:rsidP="009B249D">
            <w:pPr>
              <w:jc w:val="center"/>
              <w:rPr>
                <w:sz w:val="20"/>
                <w:szCs w:val="20"/>
                <w:lang w:val="en-GB"/>
              </w:rPr>
            </w:pPr>
            <w:r w:rsidRPr="00F413DB">
              <w:rPr>
                <w:sz w:val="20"/>
                <w:szCs w:val="20"/>
                <w:lang w:val="en-GB"/>
              </w:rPr>
              <w:t>0.75</w:t>
            </w:r>
            <w:r w:rsidR="001048F5" w:rsidRPr="00F413DB">
              <w:rPr>
                <w:sz w:val="20"/>
                <w:szCs w:val="20"/>
                <w:vertAlign w:val="superscript"/>
                <w:lang w:val="en-GB"/>
              </w:rPr>
              <w:t>‡</w:t>
            </w:r>
          </w:p>
        </w:tc>
      </w:tr>
      <w:tr w:rsidR="00351932" w:rsidRPr="005A751D" w14:paraId="5785C1FB" w14:textId="77777777" w:rsidTr="009B249D">
        <w:trPr>
          <w:trHeight w:val="243"/>
        </w:trPr>
        <w:tc>
          <w:tcPr>
            <w:tcW w:w="2977" w:type="dxa"/>
          </w:tcPr>
          <w:p w14:paraId="0D54C62C" w14:textId="77777777" w:rsidR="00351932" w:rsidRPr="00F413DB" w:rsidRDefault="00351932" w:rsidP="009B249D">
            <w:pPr>
              <w:rPr>
                <w:sz w:val="20"/>
                <w:szCs w:val="20"/>
                <w:lang w:val="en-GB"/>
              </w:rPr>
            </w:pPr>
            <w:r w:rsidRPr="00F413DB">
              <w:rPr>
                <w:sz w:val="20"/>
                <w:szCs w:val="20"/>
                <w:lang w:val="en-GB"/>
              </w:rPr>
              <w:t>Microalbuminuria</w:t>
            </w:r>
          </w:p>
        </w:tc>
        <w:tc>
          <w:tcPr>
            <w:tcW w:w="2523" w:type="dxa"/>
            <w:vAlign w:val="center"/>
          </w:tcPr>
          <w:p w14:paraId="0843362B" w14:textId="515631AA" w:rsidR="00105E16" w:rsidRPr="00F413DB" w:rsidRDefault="00351932" w:rsidP="00B05512">
            <w:pPr>
              <w:jc w:val="center"/>
              <w:rPr>
                <w:sz w:val="20"/>
                <w:szCs w:val="20"/>
                <w:lang w:val="en-GB"/>
              </w:rPr>
            </w:pPr>
            <w:r w:rsidRPr="00F413DB">
              <w:rPr>
                <w:sz w:val="20"/>
                <w:szCs w:val="20"/>
                <w:lang w:val="en-GB"/>
              </w:rPr>
              <w:t>11 (26.2)</w:t>
            </w:r>
            <w:r w:rsidR="00B05512">
              <w:rPr>
                <w:sz w:val="20"/>
                <w:szCs w:val="20"/>
                <w:lang w:val="en-GB"/>
              </w:rPr>
              <w:t xml:space="preserve"> </w:t>
            </w:r>
            <w:r w:rsidR="00105E16" w:rsidRPr="00F413DB">
              <w:rPr>
                <w:sz w:val="20"/>
                <w:szCs w:val="20"/>
                <w:lang w:val="en-GB"/>
              </w:rPr>
              <w:t>(</w:t>
            </w:r>
            <w:r w:rsidR="00105E16" w:rsidRPr="00B05512">
              <w:rPr>
                <w:i/>
                <w:sz w:val="20"/>
                <w:szCs w:val="20"/>
                <w:lang w:val="en-GB"/>
              </w:rPr>
              <w:t>n</w:t>
            </w:r>
            <w:r w:rsidR="00105E16" w:rsidRPr="00F413DB">
              <w:rPr>
                <w:sz w:val="20"/>
                <w:szCs w:val="20"/>
                <w:lang w:val="en-GB"/>
              </w:rPr>
              <w:t>=42)</w:t>
            </w:r>
          </w:p>
        </w:tc>
        <w:tc>
          <w:tcPr>
            <w:tcW w:w="2523" w:type="dxa"/>
            <w:vAlign w:val="center"/>
          </w:tcPr>
          <w:p w14:paraId="1581BB3B" w14:textId="688D6D44" w:rsidR="00105E16" w:rsidRPr="00F413DB" w:rsidRDefault="00351932" w:rsidP="009B249D">
            <w:pPr>
              <w:jc w:val="center"/>
              <w:rPr>
                <w:sz w:val="20"/>
                <w:szCs w:val="20"/>
                <w:lang w:val="en-GB"/>
              </w:rPr>
            </w:pPr>
            <w:r w:rsidRPr="00F413DB">
              <w:rPr>
                <w:sz w:val="20"/>
                <w:szCs w:val="20"/>
                <w:lang w:val="en-GB"/>
              </w:rPr>
              <w:t>7</w:t>
            </w:r>
            <w:r w:rsidR="00EC1E42">
              <w:rPr>
                <w:sz w:val="20"/>
                <w:szCs w:val="20"/>
                <w:lang w:val="en-GB"/>
              </w:rPr>
              <w:t xml:space="preserve"> (26.9</w:t>
            </w:r>
            <w:r w:rsidRPr="00F413DB">
              <w:rPr>
                <w:sz w:val="20"/>
                <w:szCs w:val="20"/>
                <w:lang w:val="en-GB"/>
              </w:rPr>
              <w:t>)</w:t>
            </w:r>
            <w:r w:rsidR="00EC1E42">
              <w:rPr>
                <w:sz w:val="20"/>
                <w:szCs w:val="20"/>
                <w:lang w:val="en-GB"/>
              </w:rPr>
              <w:t xml:space="preserve"> </w:t>
            </w:r>
            <w:r w:rsidR="00105E16" w:rsidRPr="00F413DB">
              <w:rPr>
                <w:sz w:val="20"/>
                <w:szCs w:val="20"/>
                <w:lang w:val="en-GB"/>
              </w:rPr>
              <w:t>(</w:t>
            </w:r>
            <w:r w:rsidR="00105E16" w:rsidRPr="00EC1E42">
              <w:rPr>
                <w:i/>
                <w:sz w:val="20"/>
                <w:szCs w:val="20"/>
                <w:lang w:val="en-GB"/>
              </w:rPr>
              <w:t>n</w:t>
            </w:r>
            <w:r w:rsidR="00105E16" w:rsidRPr="00F413DB">
              <w:rPr>
                <w:sz w:val="20"/>
                <w:szCs w:val="20"/>
                <w:lang w:val="en-GB"/>
              </w:rPr>
              <w:t>=26)</w:t>
            </w:r>
          </w:p>
        </w:tc>
        <w:tc>
          <w:tcPr>
            <w:tcW w:w="1304" w:type="dxa"/>
            <w:vAlign w:val="center"/>
          </w:tcPr>
          <w:p w14:paraId="2CF89556" w14:textId="1B26C6A4" w:rsidR="00351932" w:rsidRPr="00F413DB" w:rsidRDefault="00351932" w:rsidP="009B249D">
            <w:pPr>
              <w:jc w:val="center"/>
              <w:rPr>
                <w:sz w:val="20"/>
                <w:szCs w:val="20"/>
                <w:lang w:val="en-GB"/>
              </w:rPr>
            </w:pPr>
            <w:r w:rsidRPr="00F413DB">
              <w:rPr>
                <w:sz w:val="20"/>
                <w:szCs w:val="20"/>
                <w:lang w:val="en-GB"/>
              </w:rPr>
              <w:t>0.95</w:t>
            </w:r>
            <w:r w:rsidR="001048F5" w:rsidRPr="00F413DB">
              <w:rPr>
                <w:sz w:val="20"/>
                <w:szCs w:val="20"/>
                <w:vertAlign w:val="superscript"/>
                <w:lang w:val="en-GB"/>
              </w:rPr>
              <w:t>‡</w:t>
            </w:r>
          </w:p>
        </w:tc>
      </w:tr>
      <w:tr w:rsidR="00351932" w:rsidRPr="005A751D" w14:paraId="6CDED866" w14:textId="77777777" w:rsidTr="009B249D">
        <w:trPr>
          <w:trHeight w:val="243"/>
        </w:trPr>
        <w:tc>
          <w:tcPr>
            <w:tcW w:w="2977" w:type="dxa"/>
          </w:tcPr>
          <w:p w14:paraId="416FADCC" w14:textId="76F1982A" w:rsidR="00351932" w:rsidRPr="00F413DB" w:rsidRDefault="00351932" w:rsidP="009B249D">
            <w:pPr>
              <w:rPr>
                <w:sz w:val="20"/>
                <w:szCs w:val="20"/>
                <w:lang w:val="en-GB"/>
              </w:rPr>
            </w:pPr>
            <w:r w:rsidRPr="00F413DB">
              <w:rPr>
                <w:sz w:val="20"/>
                <w:szCs w:val="20"/>
                <w:lang w:val="en-GB"/>
              </w:rPr>
              <w:t>Creatinine</w:t>
            </w:r>
            <w:r w:rsidR="00686F2A">
              <w:rPr>
                <w:sz w:val="20"/>
                <w:szCs w:val="20"/>
                <w:lang w:val="en-GB"/>
              </w:rPr>
              <w:t xml:space="preserve"> (</w:t>
            </w:r>
            <w:proofErr w:type="spellStart"/>
            <w:r w:rsidR="00686F2A">
              <w:rPr>
                <w:sz w:val="20"/>
                <w:szCs w:val="20"/>
                <w:lang w:val="en-GB"/>
              </w:rPr>
              <w:t>mmol</w:t>
            </w:r>
            <w:proofErr w:type="spellEnd"/>
            <w:r w:rsidR="00686F2A">
              <w:rPr>
                <w:sz w:val="20"/>
                <w:szCs w:val="20"/>
                <w:lang w:val="en-GB"/>
              </w:rPr>
              <w:t>/L</w:t>
            </w:r>
            <w:r w:rsidR="00105E16" w:rsidRPr="00F413DB">
              <w:rPr>
                <w:sz w:val="20"/>
                <w:szCs w:val="20"/>
                <w:lang w:val="en-GB"/>
              </w:rPr>
              <w:t>)</w:t>
            </w:r>
          </w:p>
        </w:tc>
        <w:tc>
          <w:tcPr>
            <w:tcW w:w="2523" w:type="dxa"/>
            <w:vAlign w:val="center"/>
          </w:tcPr>
          <w:p w14:paraId="746B4F5C" w14:textId="77777777" w:rsidR="00351932" w:rsidRPr="00F413DB" w:rsidRDefault="00351932" w:rsidP="009B249D">
            <w:pPr>
              <w:jc w:val="center"/>
              <w:rPr>
                <w:sz w:val="20"/>
                <w:szCs w:val="20"/>
                <w:lang w:val="en-GB"/>
              </w:rPr>
            </w:pPr>
            <w:r w:rsidRPr="00F413DB">
              <w:rPr>
                <w:sz w:val="20"/>
                <w:szCs w:val="20"/>
                <w:lang w:val="en-GB"/>
              </w:rPr>
              <w:t>74.8±20.1</w:t>
            </w:r>
          </w:p>
        </w:tc>
        <w:tc>
          <w:tcPr>
            <w:tcW w:w="2523" w:type="dxa"/>
            <w:vAlign w:val="center"/>
          </w:tcPr>
          <w:p w14:paraId="53D07DF9" w14:textId="2E778281" w:rsidR="00105E16" w:rsidRPr="00F413DB" w:rsidRDefault="00351932" w:rsidP="009B249D">
            <w:pPr>
              <w:jc w:val="center"/>
              <w:rPr>
                <w:sz w:val="20"/>
                <w:szCs w:val="20"/>
                <w:lang w:val="en-GB"/>
              </w:rPr>
            </w:pPr>
            <w:r w:rsidRPr="00F413DB">
              <w:rPr>
                <w:sz w:val="20"/>
                <w:szCs w:val="20"/>
                <w:lang w:val="en-GB"/>
              </w:rPr>
              <w:t>76.4±26.9</w:t>
            </w:r>
            <w:r w:rsidR="00105E16" w:rsidRPr="00F413DB">
              <w:rPr>
                <w:sz w:val="20"/>
                <w:szCs w:val="20"/>
                <w:lang w:val="en-GB"/>
              </w:rPr>
              <w:t>(</w:t>
            </w:r>
            <w:r w:rsidR="00105E16" w:rsidRPr="00EC1E42">
              <w:rPr>
                <w:i/>
                <w:sz w:val="20"/>
                <w:szCs w:val="20"/>
                <w:lang w:val="en-GB"/>
              </w:rPr>
              <w:t>n</w:t>
            </w:r>
            <w:r w:rsidR="00105E16" w:rsidRPr="00F413DB">
              <w:rPr>
                <w:sz w:val="20"/>
                <w:szCs w:val="20"/>
                <w:lang w:val="en-GB"/>
              </w:rPr>
              <w:t>=27)</w:t>
            </w:r>
          </w:p>
        </w:tc>
        <w:tc>
          <w:tcPr>
            <w:tcW w:w="1304" w:type="dxa"/>
            <w:vAlign w:val="center"/>
          </w:tcPr>
          <w:p w14:paraId="007D958C" w14:textId="77777777" w:rsidR="00351932" w:rsidRPr="00F413DB" w:rsidRDefault="00351932" w:rsidP="009B249D">
            <w:pPr>
              <w:jc w:val="center"/>
              <w:rPr>
                <w:sz w:val="20"/>
                <w:szCs w:val="20"/>
                <w:lang w:val="en-GB"/>
              </w:rPr>
            </w:pPr>
            <w:r w:rsidRPr="00F413DB">
              <w:rPr>
                <w:sz w:val="20"/>
                <w:szCs w:val="20"/>
                <w:lang w:val="en-GB"/>
              </w:rPr>
              <w:t>0.78</w:t>
            </w:r>
          </w:p>
        </w:tc>
      </w:tr>
      <w:tr w:rsidR="00351932" w:rsidRPr="005A751D" w14:paraId="41E33EBB" w14:textId="77777777" w:rsidTr="009B249D">
        <w:trPr>
          <w:trHeight w:val="243"/>
        </w:trPr>
        <w:tc>
          <w:tcPr>
            <w:tcW w:w="2977" w:type="dxa"/>
          </w:tcPr>
          <w:p w14:paraId="3C20B844" w14:textId="77777777" w:rsidR="00351932" w:rsidRPr="00F413DB" w:rsidRDefault="00351932" w:rsidP="009B249D">
            <w:pPr>
              <w:rPr>
                <w:sz w:val="20"/>
                <w:szCs w:val="20"/>
                <w:lang w:val="en-GB"/>
              </w:rPr>
            </w:pPr>
            <w:r w:rsidRPr="00F413DB">
              <w:rPr>
                <w:sz w:val="20"/>
                <w:szCs w:val="20"/>
                <w:lang w:val="en-GB"/>
              </w:rPr>
              <w:t>Retinopathy</w:t>
            </w:r>
          </w:p>
        </w:tc>
        <w:tc>
          <w:tcPr>
            <w:tcW w:w="2523" w:type="dxa"/>
            <w:vAlign w:val="center"/>
          </w:tcPr>
          <w:p w14:paraId="4E49EDC8" w14:textId="72BC2CCF" w:rsidR="00351932" w:rsidRPr="00F413DB" w:rsidRDefault="00351932" w:rsidP="00B05512">
            <w:pPr>
              <w:jc w:val="center"/>
              <w:rPr>
                <w:sz w:val="20"/>
                <w:szCs w:val="20"/>
                <w:lang w:val="en-GB"/>
              </w:rPr>
            </w:pPr>
            <w:r w:rsidRPr="00F413DB">
              <w:rPr>
                <w:sz w:val="20"/>
                <w:szCs w:val="20"/>
                <w:lang w:val="en-GB"/>
              </w:rPr>
              <w:t>28 (65.1)</w:t>
            </w:r>
          </w:p>
        </w:tc>
        <w:tc>
          <w:tcPr>
            <w:tcW w:w="2523" w:type="dxa"/>
            <w:vAlign w:val="center"/>
          </w:tcPr>
          <w:p w14:paraId="0533ECC6" w14:textId="602AA192" w:rsidR="00A774FE" w:rsidRPr="00F413DB" w:rsidRDefault="00351932" w:rsidP="009B249D">
            <w:pPr>
              <w:jc w:val="center"/>
              <w:rPr>
                <w:sz w:val="20"/>
                <w:szCs w:val="20"/>
                <w:lang w:val="en-GB"/>
              </w:rPr>
            </w:pPr>
            <w:r w:rsidRPr="00F413DB">
              <w:rPr>
                <w:sz w:val="20"/>
                <w:szCs w:val="20"/>
                <w:lang w:val="en-GB"/>
              </w:rPr>
              <w:t>1</w:t>
            </w:r>
            <w:r w:rsidR="00EC1E42">
              <w:rPr>
                <w:sz w:val="20"/>
                <w:szCs w:val="20"/>
                <w:lang w:val="en-GB"/>
              </w:rPr>
              <w:t>8 (66.7</w:t>
            </w:r>
            <w:r w:rsidRPr="00F413DB">
              <w:rPr>
                <w:sz w:val="20"/>
                <w:szCs w:val="20"/>
                <w:lang w:val="en-GB"/>
              </w:rPr>
              <w:t>)</w:t>
            </w:r>
            <w:r w:rsidR="00EC1E42">
              <w:rPr>
                <w:sz w:val="20"/>
                <w:szCs w:val="20"/>
                <w:lang w:val="en-GB"/>
              </w:rPr>
              <w:t xml:space="preserve"> </w:t>
            </w:r>
            <w:r w:rsidR="00A774FE" w:rsidRPr="00F413DB">
              <w:rPr>
                <w:sz w:val="20"/>
                <w:szCs w:val="20"/>
                <w:lang w:val="en-GB"/>
              </w:rPr>
              <w:t>(</w:t>
            </w:r>
            <w:r w:rsidR="00A774FE" w:rsidRPr="00EC1E42">
              <w:rPr>
                <w:i/>
                <w:sz w:val="20"/>
                <w:szCs w:val="20"/>
                <w:lang w:val="en-GB"/>
              </w:rPr>
              <w:t>n</w:t>
            </w:r>
            <w:r w:rsidR="00A774FE" w:rsidRPr="00F413DB">
              <w:rPr>
                <w:sz w:val="20"/>
                <w:szCs w:val="20"/>
                <w:lang w:val="en-GB"/>
              </w:rPr>
              <w:t>=27)</w:t>
            </w:r>
          </w:p>
        </w:tc>
        <w:tc>
          <w:tcPr>
            <w:tcW w:w="1304" w:type="dxa"/>
            <w:vAlign w:val="center"/>
          </w:tcPr>
          <w:p w14:paraId="340F169C" w14:textId="399F5353" w:rsidR="00351932" w:rsidRPr="00F413DB" w:rsidRDefault="00351932" w:rsidP="009B249D">
            <w:pPr>
              <w:jc w:val="center"/>
              <w:rPr>
                <w:sz w:val="20"/>
                <w:szCs w:val="20"/>
                <w:lang w:val="en-GB"/>
              </w:rPr>
            </w:pPr>
            <w:r w:rsidRPr="00F413DB">
              <w:rPr>
                <w:sz w:val="20"/>
                <w:szCs w:val="20"/>
                <w:lang w:val="en-GB"/>
              </w:rPr>
              <w:t>0.89</w:t>
            </w:r>
            <w:r w:rsidR="001048F5" w:rsidRPr="00F413DB">
              <w:rPr>
                <w:sz w:val="20"/>
                <w:szCs w:val="20"/>
                <w:vertAlign w:val="superscript"/>
                <w:lang w:val="en-GB"/>
              </w:rPr>
              <w:t>‡</w:t>
            </w:r>
          </w:p>
        </w:tc>
      </w:tr>
      <w:tr w:rsidR="00351932" w:rsidRPr="005A751D" w14:paraId="5F692BAA" w14:textId="77777777" w:rsidTr="009B249D">
        <w:trPr>
          <w:trHeight w:val="243"/>
        </w:trPr>
        <w:tc>
          <w:tcPr>
            <w:tcW w:w="2977" w:type="dxa"/>
          </w:tcPr>
          <w:p w14:paraId="45EA6087" w14:textId="77777777" w:rsidR="00351932" w:rsidRPr="00F413DB" w:rsidRDefault="00351932" w:rsidP="009B249D">
            <w:pPr>
              <w:rPr>
                <w:sz w:val="20"/>
                <w:szCs w:val="20"/>
                <w:lang w:val="en-GB"/>
              </w:rPr>
            </w:pPr>
            <w:r w:rsidRPr="00F413DB">
              <w:rPr>
                <w:sz w:val="20"/>
                <w:szCs w:val="20"/>
                <w:lang w:val="en-GB"/>
              </w:rPr>
              <w:t>Laser photocoagulation</w:t>
            </w:r>
          </w:p>
        </w:tc>
        <w:tc>
          <w:tcPr>
            <w:tcW w:w="2523" w:type="dxa"/>
            <w:vAlign w:val="center"/>
          </w:tcPr>
          <w:p w14:paraId="4B85F7A7" w14:textId="55978641" w:rsidR="00351932" w:rsidRPr="00F413DB" w:rsidRDefault="00351932" w:rsidP="009B249D">
            <w:pPr>
              <w:jc w:val="center"/>
              <w:rPr>
                <w:sz w:val="20"/>
                <w:szCs w:val="20"/>
                <w:lang w:val="en-GB"/>
              </w:rPr>
            </w:pPr>
            <w:r w:rsidRPr="00F413DB">
              <w:rPr>
                <w:sz w:val="20"/>
                <w:szCs w:val="20"/>
                <w:lang w:val="en-GB"/>
              </w:rPr>
              <w:t>11</w:t>
            </w:r>
            <w:r w:rsidR="00B05512">
              <w:rPr>
                <w:sz w:val="20"/>
                <w:szCs w:val="20"/>
                <w:lang w:val="en-GB"/>
              </w:rPr>
              <w:t xml:space="preserve"> (25.6</w:t>
            </w:r>
            <w:r w:rsidRPr="00F413DB">
              <w:rPr>
                <w:sz w:val="20"/>
                <w:szCs w:val="20"/>
                <w:lang w:val="en-GB"/>
              </w:rPr>
              <w:t>)</w:t>
            </w:r>
          </w:p>
        </w:tc>
        <w:tc>
          <w:tcPr>
            <w:tcW w:w="2523" w:type="dxa"/>
            <w:vAlign w:val="center"/>
          </w:tcPr>
          <w:p w14:paraId="6D7AAEFC" w14:textId="5E85521A" w:rsidR="00351932" w:rsidRPr="00F413DB" w:rsidRDefault="00351932" w:rsidP="00EC1E42">
            <w:pPr>
              <w:jc w:val="center"/>
              <w:rPr>
                <w:sz w:val="20"/>
                <w:szCs w:val="20"/>
                <w:lang w:val="en-GB"/>
              </w:rPr>
            </w:pPr>
            <w:r w:rsidRPr="00F413DB">
              <w:rPr>
                <w:sz w:val="20"/>
                <w:szCs w:val="20"/>
                <w:lang w:val="en-GB"/>
              </w:rPr>
              <w:t>8 (28.6)</w:t>
            </w:r>
          </w:p>
        </w:tc>
        <w:tc>
          <w:tcPr>
            <w:tcW w:w="1304" w:type="dxa"/>
            <w:vAlign w:val="center"/>
          </w:tcPr>
          <w:p w14:paraId="1697FA47" w14:textId="304C7783" w:rsidR="00351932" w:rsidRPr="00F413DB" w:rsidRDefault="00351932" w:rsidP="009B249D">
            <w:pPr>
              <w:jc w:val="center"/>
              <w:rPr>
                <w:sz w:val="20"/>
                <w:szCs w:val="20"/>
                <w:lang w:val="en-GB"/>
              </w:rPr>
            </w:pPr>
            <w:r w:rsidRPr="00F413DB">
              <w:rPr>
                <w:sz w:val="20"/>
                <w:szCs w:val="20"/>
                <w:lang w:val="en-GB"/>
              </w:rPr>
              <w:t>0.78</w:t>
            </w:r>
            <w:r w:rsidR="001048F5" w:rsidRPr="00F413DB">
              <w:rPr>
                <w:sz w:val="20"/>
                <w:szCs w:val="20"/>
                <w:vertAlign w:val="superscript"/>
                <w:lang w:val="en-GB"/>
              </w:rPr>
              <w:t>‡</w:t>
            </w:r>
          </w:p>
        </w:tc>
      </w:tr>
      <w:tr w:rsidR="00351932" w:rsidRPr="005A751D" w14:paraId="0AB432E5" w14:textId="77777777" w:rsidTr="009B249D">
        <w:trPr>
          <w:trHeight w:val="285"/>
        </w:trPr>
        <w:tc>
          <w:tcPr>
            <w:tcW w:w="2977" w:type="dxa"/>
          </w:tcPr>
          <w:p w14:paraId="60BD0999" w14:textId="77777777" w:rsidR="00351932" w:rsidRPr="00F413DB" w:rsidRDefault="00351932" w:rsidP="009B249D">
            <w:pPr>
              <w:rPr>
                <w:sz w:val="20"/>
                <w:szCs w:val="20"/>
                <w:lang w:val="en-GB"/>
              </w:rPr>
            </w:pPr>
            <w:r w:rsidRPr="00F413DB">
              <w:rPr>
                <w:sz w:val="20"/>
                <w:szCs w:val="20"/>
                <w:lang w:val="en-GB"/>
              </w:rPr>
              <w:t>Peripheral neuropathy</w:t>
            </w:r>
          </w:p>
        </w:tc>
        <w:tc>
          <w:tcPr>
            <w:tcW w:w="2523" w:type="dxa"/>
            <w:vAlign w:val="center"/>
          </w:tcPr>
          <w:p w14:paraId="4F26218D" w14:textId="5B5805A5" w:rsidR="00351932" w:rsidRPr="00F413DB" w:rsidRDefault="00B05512" w:rsidP="009B249D">
            <w:pPr>
              <w:jc w:val="center"/>
              <w:rPr>
                <w:sz w:val="20"/>
                <w:szCs w:val="20"/>
                <w:lang w:val="en-GB"/>
              </w:rPr>
            </w:pPr>
            <w:r>
              <w:rPr>
                <w:sz w:val="20"/>
                <w:szCs w:val="20"/>
                <w:lang w:val="en-GB"/>
              </w:rPr>
              <w:t>2 (4.7</w:t>
            </w:r>
            <w:r w:rsidR="00351932" w:rsidRPr="00F413DB">
              <w:rPr>
                <w:sz w:val="20"/>
                <w:szCs w:val="20"/>
                <w:lang w:val="en-GB"/>
              </w:rPr>
              <w:t>)</w:t>
            </w:r>
          </w:p>
        </w:tc>
        <w:tc>
          <w:tcPr>
            <w:tcW w:w="2523" w:type="dxa"/>
            <w:vAlign w:val="center"/>
          </w:tcPr>
          <w:p w14:paraId="04E1F871" w14:textId="3BAB9726" w:rsidR="00351932" w:rsidRPr="00F413DB" w:rsidRDefault="00351932" w:rsidP="00EC1E42">
            <w:pPr>
              <w:jc w:val="center"/>
              <w:rPr>
                <w:sz w:val="20"/>
                <w:szCs w:val="20"/>
                <w:lang w:val="en-GB"/>
              </w:rPr>
            </w:pPr>
            <w:r w:rsidRPr="00F413DB">
              <w:rPr>
                <w:sz w:val="20"/>
                <w:szCs w:val="20"/>
                <w:lang w:val="en-GB"/>
              </w:rPr>
              <w:t>11 (39.3)</w:t>
            </w:r>
          </w:p>
        </w:tc>
        <w:tc>
          <w:tcPr>
            <w:tcW w:w="1304" w:type="dxa"/>
            <w:vAlign w:val="center"/>
          </w:tcPr>
          <w:p w14:paraId="6C04AED6" w14:textId="42E06748" w:rsidR="00351932" w:rsidRPr="00F413DB" w:rsidRDefault="00351932" w:rsidP="009B249D">
            <w:pPr>
              <w:jc w:val="center"/>
              <w:rPr>
                <w:sz w:val="20"/>
                <w:szCs w:val="20"/>
                <w:lang w:val="en-GB"/>
              </w:rPr>
            </w:pPr>
            <w:r w:rsidRPr="00F413DB">
              <w:rPr>
                <w:sz w:val="20"/>
                <w:szCs w:val="20"/>
                <w:lang w:val="en-GB"/>
              </w:rPr>
              <w:t>&lt;0.0</w:t>
            </w:r>
            <w:r w:rsidR="00875D51" w:rsidRPr="00F413DB">
              <w:rPr>
                <w:sz w:val="20"/>
                <w:szCs w:val="20"/>
                <w:lang w:val="en-GB"/>
              </w:rPr>
              <w:t>0</w:t>
            </w:r>
            <w:r w:rsidRPr="00F413DB">
              <w:rPr>
                <w:sz w:val="20"/>
                <w:szCs w:val="20"/>
                <w:lang w:val="en-GB"/>
              </w:rPr>
              <w:t>1</w:t>
            </w:r>
            <w:r w:rsidR="001048F5" w:rsidRPr="00F413DB">
              <w:rPr>
                <w:sz w:val="20"/>
                <w:szCs w:val="20"/>
                <w:vertAlign w:val="superscript"/>
                <w:lang w:val="en-GB"/>
              </w:rPr>
              <w:t>‡</w:t>
            </w:r>
          </w:p>
        </w:tc>
      </w:tr>
      <w:tr w:rsidR="00351932" w:rsidRPr="005A751D" w14:paraId="18968613" w14:textId="77777777" w:rsidTr="009B249D">
        <w:trPr>
          <w:trHeight w:val="269"/>
        </w:trPr>
        <w:tc>
          <w:tcPr>
            <w:tcW w:w="2977" w:type="dxa"/>
          </w:tcPr>
          <w:p w14:paraId="3E112514" w14:textId="77777777" w:rsidR="00351932" w:rsidRPr="00F413DB" w:rsidRDefault="00351932" w:rsidP="009B249D">
            <w:pPr>
              <w:rPr>
                <w:sz w:val="20"/>
                <w:szCs w:val="20"/>
                <w:lang w:val="en-GB"/>
              </w:rPr>
            </w:pPr>
            <w:r w:rsidRPr="00F413DB">
              <w:rPr>
                <w:sz w:val="20"/>
                <w:szCs w:val="20"/>
                <w:lang w:val="en-GB"/>
              </w:rPr>
              <w:t>Postural hypotension</w:t>
            </w:r>
          </w:p>
        </w:tc>
        <w:tc>
          <w:tcPr>
            <w:tcW w:w="2523" w:type="dxa"/>
            <w:vAlign w:val="center"/>
          </w:tcPr>
          <w:p w14:paraId="59A83690" w14:textId="5ADD689A" w:rsidR="00351932" w:rsidRPr="00F413DB" w:rsidRDefault="00351932" w:rsidP="009B249D">
            <w:pPr>
              <w:jc w:val="center"/>
              <w:rPr>
                <w:sz w:val="20"/>
                <w:szCs w:val="20"/>
                <w:lang w:val="en-GB"/>
              </w:rPr>
            </w:pPr>
            <w:r w:rsidRPr="00F413DB">
              <w:rPr>
                <w:sz w:val="20"/>
                <w:szCs w:val="20"/>
                <w:lang w:val="en-GB"/>
              </w:rPr>
              <w:t>10 (23.8)</w:t>
            </w:r>
          </w:p>
          <w:p w14:paraId="32C83859" w14:textId="25421705" w:rsidR="00105E16" w:rsidRPr="00F413DB" w:rsidRDefault="00105E16" w:rsidP="009B249D">
            <w:pPr>
              <w:jc w:val="center"/>
              <w:rPr>
                <w:sz w:val="20"/>
                <w:szCs w:val="20"/>
                <w:lang w:val="en-GB"/>
              </w:rPr>
            </w:pPr>
            <w:r w:rsidRPr="00F413DB">
              <w:rPr>
                <w:sz w:val="20"/>
                <w:szCs w:val="20"/>
                <w:lang w:val="en-GB"/>
              </w:rPr>
              <w:t>(</w:t>
            </w:r>
            <w:r w:rsidRPr="00B05512">
              <w:rPr>
                <w:i/>
                <w:sz w:val="20"/>
                <w:szCs w:val="20"/>
                <w:lang w:val="en-GB"/>
              </w:rPr>
              <w:t>n</w:t>
            </w:r>
            <w:r w:rsidRPr="00F413DB">
              <w:rPr>
                <w:sz w:val="20"/>
                <w:szCs w:val="20"/>
                <w:lang w:val="en-GB"/>
              </w:rPr>
              <w:t>=42)</w:t>
            </w:r>
          </w:p>
        </w:tc>
        <w:tc>
          <w:tcPr>
            <w:tcW w:w="2523" w:type="dxa"/>
            <w:vAlign w:val="center"/>
          </w:tcPr>
          <w:p w14:paraId="46267E21" w14:textId="5F37C1F6" w:rsidR="00351932" w:rsidRPr="00F413DB" w:rsidRDefault="00EC1E42" w:rsidP="009B249D">
            <w:pPr>
              <w:jc w:val="center"/>
              <w:rPr>
                <w:sz w:val="20"/>
                <w:szCs w:val="20"/>
                <w:lang w:val="en-GB"/>
              </w:rPr>
            </w:pPr>
            <w:r>
              <w:rPr>
                <w:sz w:val="20"/>
                <w:szCs w:val="20"/>
                <w:lang w:val="en-GB"/>
              </w:rPr>
              <w:t>11 (39.3</w:t>
            </w:r>
            <w:r w:rsidR="00351932" w:rsidRPr="00F413DB">
              <w:rPr>
                <w:sz w:val="20"/>
                <w:szCs w:val="20"/>
                <w:lang w:val="en-GB"/>
              </w:rPr>
              <w:t>)</w:t>
            </w:r>
          </w:p>
        </w:tc>
        <w:tc>
          <w:tcPr>
            <w:tcW w:w="1304" w:type="dxa"/>
            <w:vAlign w:val="center"/>
          </w:tcPr>
          <w:p w14:paraId="4DC1A2FC" w14:textId="6EB4C6CA" w:rsidR="00351932" w:rsidRPr="00F413DB" w:rsidRDefault="00351932" w:rsidP="009B249D">
            <w:pPr>
              <w:jc w:val="center"/>
              <w:rPr>
                <w:sz w:val="20"/>
                <w:szCs w:val="20"/>
                <w:lang w:val="en-GB"/>
              </w:rPr>
            </w:pPr>
            <w:r w:rsidRPr="00F413DB">
              <w:rPr>
                <w:sz w:val="20"/>
                <w:szCs w:val="20"/>
                <w:lang w:val="en-GB"/>
              </w:rPr>
              <w:t>0.17</w:t>
            </w:r>
            <w:r w:rsidR="001048F5" w:rsidRPr="00F413DB">
              <w:rPr>
                <w:sz w:val="20"/>
                <w:szCs w:val="20"/>
                <w:vertAlign w:val="superscript"/>
                <w:lang w:val="en-GB"/>
              </w:rPr>
              <w:t>‡</w:t>
            </w:r>
          </w:p>
        </w:tc>
      </w:tr>
      <w:tr w:rsidR="00351932" w:rsidRPr="005A751D" w14:paraId="56EA6965" w14:textId="77777777" w:rsidTr="009B249D">
        <w:trPr>
          <w:trHeight w:val="269"/>
        </w:trPr>
        <w:tc>
          <w:tcPr>
            <w:tcW w:w="2977" w:type="dxa"/>
          </w:tcPr>
          <w:p w14:paraId="61A24949" w14:textId="13310CBB" w:rsidR="00351932" w:rsidRPr="00F413DB" w:rsidRDefault="00351932" w:rsidP="009B249D">
            <w:pPr>
              <w:rPr>
                <w:sz w:val="20"/>
                <w:szCs w:val="20"/>
                <w:lang w:val="en-GB"/>
              </w:rPr>
            </w:pPr>
            <w:r w:rsidRPr="00F413DB">
              <w:rPr>
                <w:sz w:val="20"/>
                <w:szCs w:val="20"/>
                <w:lang w:val="en-GB"/>
              </w:rPr>
              <w:t xml:space="preserve">Gastroparesis </w:t>
            </w:r>
          </w:p>
        </w:tc>
        <w:tc>
          <w:tcPr>
            <w:tcW w:w="2523" w:type="dxa"/>
            <w:vAlign w:val="center"/>
          </w:tcPr>
          <w:p w14:paraId="29E2732D" w14:textId="7B02B7BB" w:rsidR="00351932" w:rsidRPr="00F413DB" w:rsidRDefault="00351932" w:rsidP="00B05512">
            <w:pPr>
              <w:jc w:val="center"/>
              <w:rPr>
                <w:sz w:val="20"/>
                <w:szCs w:val="20"/>
                <w:lang w:val="en-GB"/>
              </w:rPr>
            </w:pPr>
            <w:r w:rsidRPr="00F413DB">
              <w:rPr>
                <w:sz w:val="20"/>
                <w:szCs w:val="20"/>
                <w:lang w:val="en-GB"/>
              </w:rPr>
              <w:t>2 (4.7)</w:t>
            </w:r>
          </w:p>
        </w:tc>
        <w:tc>
          <w:tcPr>
            <w:tcW w:w="2523" w:type="dxa"/>
            <w:vAlign w:val="center"/>
          </w:tcPr>
          <w:p w14:paraId="6F695046" w14:textId="4B77658F" w:rsidR="00351932" w:rsidRPr="00F413DB" w:rsidRDefault="00351932" w:rsidP="009B249D">
            <w:pPr>
              <w:jc w:val="center"/>
              <w:rPr>
                <w:sz w:val="20"/>
                <w:szCs w:val="20"/>
                <w:lang w:val="en-GB"/>
              </w:rPr>
            </w:pPr>
            <w:r w:rsidRPr="00F413DB">
              <w:rPr>
                <w:sz w:val="20"/>
                <w:szCs w:val="20"/>
                <w:lang w:val="en-GB"/>
              </w:rPr>
              <w:t>5</w:t>
            </w:r>
            <w:r w:rsidR="00EC1E42">
              <w:rPr>
                <w:sz w:val="20"/>
                <w:szCs w:val="20"/>
                <w:lang w:val="en-GB"/>
              </w:rPr>
              <w:t xml:space="preserve"> (17.9</w:t>
            </w:r>
            <w:r w:rsidRPr="00F413DB">
              <w:rPr>
                <w:sz w:val="20"/>
                <w:szCs w:val="20"/>
                <w:lang w:val="en-GB"/>
              </w:rPr>
              <w:t>)</w:t>
            </w:r>
          </w:p>
        </w:tc>
        <w:tc>
          <w:tcPr>
            <w:tcW w:w="1304" w:type="dxa"/>
            <w:vAlign w:val="center"/>
          </w:tcPr>
          <w:p w14:paraId="36397FD9" w14:textId="283B2234" w:rsidR="00351932" w:rsidRPr="00F413DB" w:rsidRDefault="00351932" w:rsidP="009B249D">
            <w:pPr>
              <w:jc w:val="center"/>
              <w:rPr>
                <w:sz w:val="20"/>
                <w:szCs w:val="20"/>
                <w:lang w:val="en-GB"/>
              </w:rPr>
            </w:pPr>
            <w:r w:rsidRPr="00F413DB">
              <w:rPr>
                <w:sz w:val="20"/>
                <w:szCs w:val="20"/>
                <w:lang w:val="en-GB"/>
              </w:rPr>
              <w:t>0.07</w:t>
            </w:r>
            <w:r w:rsidR="001048F5" w:rsidRPr="00F413DB">
              <w:rPr>
                <w:sz w:val="20"/>
                <w:szCs w:val="20"/>
                <w:vertAlign w:val="superscript"/>
                <w:lang w:val="en-GB"/>
              </w:rPr>
              <w:t>‡</w:t>
            </w:r>
          </w:p>
        </w:tc>
      </w:tr>
      <w:tr w:rsidR="00351932" w:rsidRPr="005A751D" w14:paraId="27720D72" w14:textId="77777777" w:rsidTr="00F413DB">
        <w:trPr>
          <w:trHeight w:val="503"/>
        </w:trPr>
        <w:tc>
          <w:tcPr>
            <w:tcW w:w="2977" w:type="dxa"/>
          </w:tcPr>
          <w:p w14:paraId="79DA1F0E" w14:textId="612FCC71" w:rsidR="00351932" w:rsidRPr="00F413DB" w:rsidRDefault="00351932" w:rsidP="009B249D">
            <w:pPr>
              <w:rPr>
                <w:sz w:val="20"/>
                <w:szCs w:val="20"/>
                <w:lang w:val="en-GB"/>
              </w:rPr>
            </w:pPr>
            <w:r w:rsidRPr="00F413DB">
              <w:rPr>
                <w:sz w:val="20"/>
                <w:szCs w:val="20"/>
                <w:lang w:val="en-GB"/>
              </w:rPr>
              <w:t xml:space="preserve">Bowel disturbance </w:t>
            </w:r>
          </w:p>
        </w:tc>
        <w:tc>
          <w:tcPr>
            <w:tcW w:w="2523" w:type="dxa"/>
            <w:vAlign w:val="center"/>
          </w:tcPr>
          <w:p w14:paraId="3FE65459" w14:textId="324F6E54" w:rsidR="00351932" w:rsidRPr="00F413DB" w:rsidRDefault="00351932" w:rsidP="00B05512">
            <w:pPr>
              <w:jc w:val="center"/>
              <w:rPr>
                <w:sz w:val="20"/>
                <w:szCs w:val="20"/>
                <w:lang w:val="en-GB"/>
              </w:rPr>
            </w:pPr>
            <w:r w:rsidRPr="00F413DB">
              <w:rPr>
                <w:sz w:val="20"/>
                <w:szCs w:val="20"/>
                <w:lang w:val="en-GB"/>
              </w:rPr>
              <w:t>8 (18.6)</w:t>
            </w:r>
          </w:p>
        </w:tc>
        <w:tc>
          <w:tcPr>
            <w:tcW w:w="2523" w:type="dxa"/>
            <w:vAlign w:val="center"/>
          </w:tcPr>
          <w:p w14:paraId="023EA258" w14:textId="500A9CF3" w:rsidR="00351932" w:rsidRPr="00F413DB" w:rsidRDefault="00351932" w:rsidP="009B249D">
            <w:pPr>
              <w:jc w:val="center"/>
              <w:rPr>
                <w:sz w:val="20"/>
                <w:szCs w:val="20"/>
                <w:lang w:val="en-GB"/>
              </w:rPr>
            </w:pPr>
            <w:r w:rsidRPr="00F413DB">
              <w:rPr>
                <w:sz w:val="20"/>
                <w:szCs w:val="20"/>
                <w:lang w:val="en-GB"/>
              </w:rPr>
              <w:t>8</w:t>
            </w:r>
            <w:r w:rsidR="00EC1E42">
              <w:rPr>
                <w:sz w:val="20"/>
                <w:szCs w:val="20"/>
                <w:lang w:val="en-GB"/>
              </w:rPr>
              <w:t xml:space="preserve"> (28.6</w:t>
            </w:r>
            <w:r w:rsidRPr="00F413DB">
              <w:rPr>
                <w:sz w:val="20"/>
                <w:szCs w:val="20"/>
                <w:lang w:val="en-GB"/>
              </w:rPr>
              <w:t>)</w:t>
            </w:r>
          </w:p>
        </w:tc>
        <w:tc>
          <w:tcPr>
            <w:tcW w:w="1304" w:type="dxa"/>
            <w:vAlign w:val="center"/>
          </w:tcPr>
          <w:p w14:paraId="37E6AC70" w14:textId="7F9BFCC7" w:rsidR="00351932" w:rsidRPr="00F413DB" w:rsidRDefault="00351932" w:rsidP="009B249D">
            <w:pPr>
              <w:jc w:val="center"/>
              <w:rPr>
                <w:sz w:val="20"/>
                <w:szCs w:val="20"/>
                <w:lang w:val="en-GB"/>
              </w:rPr>
            </w:pPr>
            <w:r w:rsidRPr="00F413DB">
              <w:rPr>
                <w:sz w:val="20"/>
                <w:szCs w:val="20"/>
                <w:lang w:val="en-GB"/>
              </w:rPr>
              <w:t>0.33</w:t>
            </w:r>
            <w:r w:rsidR="001048F5" w:rsidRPr="00F413DB">
              <w:rPr>
                <w:sz w:val="20"/>
                <w:szCs w:val="20"/>
                <w:vertAlign w:val="superscript"/>
                <w:lang w:val="en-GB"/>
              </w:rPr>
              <w:t>‡</w:t>
            </w:r>
          </w:p>
        </w:tc>
      </w:tr>
      <w:tr w:rsidR="00351932" w:rsidRPr="005A751D" w14:paraId="2EFE0B9A" w14:textId="77777777" w:rsidTr="009B249D">
        <w:trPr>
          <w:trHeight w:val="269"/>
        </w:trPr>
        <w:tc>
          <w:tcPr>
            <w:tcW w:w="2977" w:type="dxa"/>
          </w:tcPr>
          <w:p w14:paraId="5D7AA734" w14:textId="3AA08B58" w:rsidR="00351932" w:rsidRPr="00F413DB" w:rsidRDefault="00351932" w:rsidP="009B249D">
            <w:pPr>
              <w:rPr>
                <w:sz w:val="20"/>
                <w:szCs w:val="20"/>
                <w:lang w:val="en-GB"/>
              </w:rPr>
            </w:pPr>
            <w:r w:rsidRPr="00F413DB">
              <w:rPr>
                <w:sz w:val="20"/>
                <w:szCs w:val="20"/>
                <w:lang w:val="en-GB"/>
              </w:rPr>
              <w:t xml:space="preserve">Autonomic sweating </w:t>
            </w:r>
          </w:p>
        </w:tc>
        <w:tc>
          <w:tcPr>
            <w:tcW w:w="2523" w:type="dxa"/>
            <w:vAlign w:val="center"/>
          </w:tcPr>
          <w:p w14:paraId="456D5918" w14:textId="2C486DD9" w:rsidR="00351932" w:rsidRPr="00F413DB" w:rsidRDefault="00351932" w:rsidP="00B05512">
            <w:pPr>
              <w:jc w:val="center"/>
              <w:rPr>
                <w:sz w:val="20"/>
                <w:szCs w:val="20"/>
                <w:lang w:val="en-GB"/>
              </w:rPr>
            </w:pPr>
            <w:r w:rsidRPr="00F413DB">
              <w:rPr>
                <w:sz w:val="20"/>
                <w:szCs w:val="20"/>
                <w:lang w:val="en-GB"/>
              </w:rPr>
              <w:t>5 (11.6)</w:t>
            </w:r>
          </w:p>
        </w:tc>
        <w:tc>
          <w:tcPr>
            <w:tcW w:w="2523" w:type="dxa"/>
            <w:vAlign w:val="center"/>
          </w:tcPr>
          <w:p w14:paraId="0EFFDA71" w14:textId="5D44C3EE" w:rsidR="00351932" w:rsidRPr="00F413DB" w:rsidRDefault="00351932" w:rsidP="009B249D">
            <w:pPr>
              <w:jc w:val="center"/>
              <w:rPr>
                <w:sz w:val="20"/>
                <w:szCs w:val="20"/>
                <w:lang w:val="en-GB"/>
              </w:rPr>
            </w:pPr>
            <w:r w:rsidRPr="00F413DB">
              <w:rPr>
                <w:sz w:val="20"/>
                <w:szCs w:val="20"/>
                <w:lang w:val="en-GB"/>
              </w:rPr>
              <w:t>4 (14</w:t>
            </w:r>
            <w:r w:rsidR="00EC1E42">
              <w:rPr>
                <w:sz w:val="20"/>
                <w:szCs w:val="20"/>
                <w:lang w:val="en-GB"/>
              </w:rPr>
              <w:t>.3</w:t>
            </w:r>
            <w:r w:rsidRPr="00F413DB">
              <w:rPr>
                <w:sz w:val="20"/>
                <w:szCs w:val="20"/>
                <w:lang w:val="en-GB"/>
              </w:rPr>
              <w:t>)</w:t>
            </w:r>
          </w:p>
        </w:tc>
        <w:tc>
          <w:tcPr>
            <w:tcW w:w="1304" w:type="dxa"/>
            <w:vAlign w:val="center"/>
          </w:tcPr>
          <w:p w14:paraId="086BEA09" w14:textId="1E3D60F8" w:rsidR="00351932" w:rsidRPr="00F413DB" w:rsidRDefault="00351932" w:rsidP="009B249D">
            <w:pPr>
              <w:jc w:val="center"/>
              <w:rPr>
                <w:sz w:val="20"/>
                <w:szCs w:val="20"/>
                <w:lang w:val="en-GB"/>
              </w:rPr>
            </w:pPr>
            <w:r w:rsidRPr="00F413DB">
              <w:rPr>
                <w:sz w:val="20"/>
                <w:szCs w:val="20"/>
                <w:lang w:val="en-GB"/>
              </w:rPr>
              <w:t>0.74</w:t>
            </w:r>
            <w:r w:rsidR="001048F5" w:rsidRPr="00F413DB">
              <w:rPr>
                <w:sz w:val="20"/>
                <w:szCs w:val="20"/>
                <w:vertAlign w:val="superscript"/>
                <w:lang w:val="en-GB"/>
              </w:rPr>
              <w:t>‡</w:t>
            </w:r>
          </w:p>
        </w:tc>
      </w:tr>
      <w:tr w:rsidR="00351932" w:rsidRPr="005A751D" w14:paraId="1574A581" w14:textId="77777777" w:rsidTr="009B249D">
        <w:trPr>
          <w:trHeight w:val="269"/>
        </w:trPr>
        <w:tc>
          <w:tcPr>
            <w:tcW w:w="2977" w:type="dxa"/>
          </w:tcPr>
          <w:p w14:paraId="630FCC7D" w14:textId="21ACEF6D" w:rsidR="00351932" w:rsidRPr="00F413DB" w:rsidRDefault="00351932" w:rsidP="009B249D">
            <w:pPr>
              <w:rPr>
                <w:sz w:val="20"/>
                <w:szCs w:val="20"/>
                <w:lang w:val="en-GB"/>
              </w:rPr>
            </w:pPr>
            <w:r w:rsidRPr="00F413DB">
              <w:rPr>
                <w:sz w:val="20"/>
                <w:szCs w:val="20"/>
                <w:lang w:val="en-GB"/>
              </w:rPr>
              <w:t>Autonomic bladder dysfunction</w:t>
            </w:r>
          </w:p>
        </w:tc>
        <w:tc>
          <w:tcPr>
            <w:tcW w:w="2523" w:type="dxa"/>
            <w:vAlign w:val="center"/>
          </w:tcPr>
          <w:p w14:paraId="7024C46E" w14:textId="46A47664" w:rsidR="00351932" w:rsidRPr="00F413DB" w:rsidRDefault="00B05512" w:rsidP="009B249D">
            <w:pPr>
              <w:jc w:val="center"/>
              <w:rPr>
                <w:sz w:val="20"/>
                <w:szCs w:val="20"/>
                <w:lang w:val="en-GB"/>
              </w:rPr>
            </w:pPr>
            <w:r>
              <w:rPr>
                <w:sz w:val="20"/>
                <w:szCs w:val="20"/>
                <w:lang w:val="en-GB"/>
              </w:rPr>
              <w:t>2 (4.7</w:t>
            </w:r>
            <w:r w:rsidR="00351932" w:rsidRPr="00F413DB">
              <w:rPr>
                <w:sz w:val="20"/>
                <w:szCs w:val="20"/>
                <w:lang w:val="en-GB"/>
              </w:rPr>
              <w:t>)</w:t>
            </w:r>
          </w:p>
        </w:tc>
        <w:tc>
          <w:tcPr>
            <w:tcW w:w="2523" w:type="dxa"/>
            <w:vAlign w:val="center"/>
          </w:tcPr>
          <w:p w14:paraId="4D9094D0" w14:textId="2FC236EA" w:rsidR="00351932" w:rsidRPr="00F413DB" w:rsidRDefault="00EC1E42" w:rsidP="009B249D">
            <w:pPr>
              <w:jc w:val="center"/>
              <w:rPr>
                <w:sz w:val="20"/>
                <w:szCs w:val="20"/>
                <w:lang w:val="en-GB"/>
              </w:rPr>
            </w:pPr>
            <w:r>
              <w:rPr>
                <w:sz w:val="20"/>
                <w:szCs w:val="20"/>
                <w:lang w:val="en-GB"/>
              </w:rPr>
              <w:t>2 (7.1</w:t>
            </w:r>
            <w:r w:rsidR="00351932" w:rsidRPr="00F413DB">
              <w:rPr>
                <w:sz w:val="20"/>
                <w:szCs w:val="20"/>
                <w:lang w:val="en-GB"/>
              </w:rPr>
              <w:t>)</w:t>
            </w:r>
          </w:p>
        </w:tc>
        <w:tc>
          <w:tcPr>
            <w:tcW w:w="1304" w:type="dxa"/>
            <w:vAlign w:val="center"/>
          </w:tcPr>
          <w:p w14:paraId="3EA9DC49" w14:textId="33BDDB8B" w:rsidR="00351932" w:rsidRPr="00F413DB" w:rsidRDefault="00351932" w:rsidP="009B249D">
            <w:pPr>
              <w:jc w:val="center"/>
              <w:rPr>
                <w:sz w:val="20"/>
                <w:szCs w:val="20"/>
                <w:lang w:val="en-GB"/>
              </w:rPr>
            </w:pPr>
            <w:r w:rsidRPr="00F413DB">
              <w:rPr>
                <w:sz w:val="20"/>
                <w:szCs w:val="20"/>
                <w:lang w:val="en-GB"/>
              </w:rPr>
              <w:t>0.66</w:t>
            </w:r>
            <w:r w:rsidR="001048F5" w:rsidRPr="00F413DB">
              <w:rPr>
                <w:sz w:val="20"/>
                <w:szCs w:val="20"/>
                <w:vertAlign w:val="superscript"/>
                <w:lang w:val="en-GB"/>
              </w:rPr>
              <w:t>‡</w:t>
            </w:r>
          </w:p>
        </w:tc>
      </w:tr>
      <w:tr w:rsidR="00351932" w:rsidRPr="005A751D" w14:paraId="1CFB8A3B" w14:textId="77777777" w:rsidTr="009B249D">
        <w:trPr>
          <w:trHeight w:val="269"/>
        </w:trPr>
        <w:tc>
          <w:tcPr>
            <w:tcW w:w="2977" w:type="dxa"/>
          </w:tcPr>
          <w:p w14:paraId="36FDF631" w14:textId="031A1FAC" w:rsidR="00351932" w:rsidRPr="00F413DB" w:rsidRDefault="00351932" w:rsidP="009B249D">
            <w:pPr>
              <w:rPr>
                <w:sz w:val="20"/>
                <w:szCs w:val="20"/>
                <w:lang w:val="en-GB"/>
              </w:rPr>
            </w:pPr>
            <w:r w:rsidRPr="00F413DB">
              <w:rPr>
                <w:sz w:val="20"/>
                <w:szCs w:val="20"/>
                <w:lang w:val="en-GB"/>
              </w:rPr>
              <w:t xml:space="preserve">Male erectile / female sexual dysfunction </w:t>
            </w:r>
          </w:p>
        </w:tc>
        <w:tc>
          <w:tcPr>
            <w:tcW w:w="2523" w:type="dxa"/>
            <w:vAlign w:val="center"/>
          </w:tcPr>
          <w:p w14:paraId="47DA95B5" w14:textId="6AA017C8" w:rsidR="00105E16" w:rsidRPr="00F413DB" w:rsidRDefault="00B05512" w:rsidP="009B249D">
            <w:pPr>
              <w:jc w:val="center"/>
              <w:rPr>
                <w:sz w:val="20"/>
                <w:szCs w:val="20"/>
                <w:lang w:val="en-GB"/>
              </w:rPr>
            </w:pPr>
            <w:r>
              <w:rPr>
                <w:sz w:val="20"/>
                <w:szCs w:val="20"/>
                <w:lang w:val="en-GB"/>
              </w:rPr>
              <w:t>9 (22.5</w:t>
            </w:r>
            <w:r w:rsidR="00351932" w:rsidRPr="00F413DB">
              <w:rPr>
                <w:sz w:val="20"/>
                <w:szCs w:val="20"/>
                <w:lang w:val="en-GB"/>
              </w:rPr>
              <w:t>)</w:t>
            </w:r>
            <w:r>
              <w:rPr>
                <w:sz w:val="20"/>
                <w:szCs w:val="20"/>
                <w:lang w:val="en-GB"/>
              </w:rPr>
              <w:t xml:space="preserve"> </w:t>
            </w:r>
            <w:r w:rsidR="00105E16" w:rsidRPr="00F413DB">
              <w:rPr>
                <w:sz w:val="20"/>
                <w:szCs w:val="20"/>
                <w:lang w:val="en-GB"/>
              </w:rPr>
              <w:t>(</w:t>
            </w:r>
            <w:r w:rsidR="00105E16" w:rsidRPr="00B05512">
              <w:rPr>
                <w:i/>
                <w:sz w:val="20"/>
                <w:szCs w:val="20"/>
                <w:lang w:val="en-GB"/>
              </w:rPr>
              <w:t>n</w:t>
            </w:r>
            <w:r w:rsidR="00105E16" w:rsidRPr="00F413DB">
              <w:rPr>
                <w:sz w:val="20"/>
                <w:szCs w:val="20"/>
                <w:lang w:val="en-GB"/>
              </w:rPr>
              <w:t>=40)</w:t>
            </w:r>
          </w:p>
        </w:tc>
        <w:tc>
          <w:tcPr>
            <w:tcW w:w="2523" w:type="dxa"/>
            <w:vAlign w:val="center"/>
          </w:tcPr>
          <w:p w14:paraId="27AE2DC7" w14:textId="7D785728" w:rsidR="00105E16" w:rsidRPr="00F413DB" w:rsidRDefault="00351932" w:rsidP="009B249D">
            <w:pPr>
              <w:jc w:val="center"/>
              <w:rPr>
                <w:sz w:val="20"/>
                <w:szCs w:val="20"/>
                <w:lang w:val="en-GB"/>
              </w:rPr>
            </w:pPr>
            <w:r w:rsidRPr="00F413DB">
              <w:rPr>
                <w:sz w:val="20"/>
                <w:szCs w:val="20"/>
                <w:lang w:val="en-GB"/>
              </w:rPr>
              <w:t>7</w:t>
            </w:r>
            <w:r w:rsidR="00EC1E42">
              <w:rPr>
                <w:sz w:val="20"/>
                <w:szCs w:val="20"/>
                <w:lang w:val="en-GB"/>
              </w:rPr>
              <w:t xml:space="preserve"> (25.9</w:t>
            </w:r>
            <w:r w:rsidRPr="00F413DB">
              <w:rPr>
                <w:sz w:val="20"/>
                <w:szCs w:val="20"/>
                <w:lang w:val="en-GB"/>
              </w:rPr>
              <w:t>)</w:t>
            </w:r>
            <w:r w:rsidR="00EC1E42">
              <w:rPr>
                <w:sz w:val="20"/>
                <w:szCs w:val="20"/>
                <w:lang w:val="en-GB"/>
              </w:rPr>
              <w:t xml:space="preserve"> </w:t>
            </w:r>
            <w:r w:rsidR="00105E16" w:rsidRPr="00F413DB">
              <w:rPr>
                <w:sz w:val="20"/>
                <w:szCs w:val="20"/>
                <w:lang w:val="en-GB"/>
              </w:rPr>
              <w:t>(</w:t>
            </w:r>
            <w:r w:rsidR="00105E16" w:rsidRPr="00EC1E42">
              <w:rPr>
                <w:i/>
                <w:sz w:val="20"/>
                <w:szCs w:val="20"/>
                <w:lang w:val="en-GB"/>
              </w:rPr>
              <w:t>n</w:t>
            </w:r>
            <w:r w:rsidR="00105E16" w:rsidRPr="00F413DB">
              <w:rPr>
                <w:sz w:val="20"/>
                <w:szCs w:val="20"/>
                <w:lang w:val="en-GB"/>
              </w:rPr>
              <w:t>=27)</w:t>
            </w:r>
          </w:p>
        </w:tc>
        <w:tc>
          <w:tcPr>
            <w:tcW w:w="1304" w:type="dxa"/>
            <w:vAlign w:val="center"/>
          </w:tcPr>
          <w:p w14:paraId="601EE9C8" w14:textId="159C27FC" w:rsidR="00351932" w:rsidRPr="00F413DB" w:rsidRDefault="00351932" w:rsidP="009B249D">
            <w:pPr>
              <w:jc w:val="center"/>
              <w:rPr>
                <w:sz w:val="20"/>
                <w:szCs w:val="20"/>
                <w:lang w:val="en-GB"/>
              </w:rPr>
            </w:pPr>
            <w:r w:rsidRPr="00F413DB">
              <w:rPr>
                <w:sz w:val="20"/>
                <w:szCs w:val="20"/>
                <w:lang w:val="en-GB"/>
              </w:rPr>
              <w:t>0.75</w:t>
            </w:r>
            <w:r w:rsidR="001048F5" w:rsidRPr="00F413DB">
              <w:rPr>
                <w:sz w:val="20"/>
                <w:szCs w:val="20"/>
                <w:vertAlign w:val="superscript"/>
                <w:lang w:val="en-GB"/>
              </w:rPr>
              <w:t>‡</w:t>
            </w:r>
          </w:p>
        </w:tc>
      </w:tr>
      <w:tr w:rsidR="00351932" w:rsidRPr="005A751D" w14:paraId="2C4A84B2" w14:textId="77777777" w:rsidTr="009B249D">
        <w:trPr>
          <w:trHeight w:val="243"/>
        </w:trPr>
        <w:tc>
          <w:tcPr>
            <w:tcW w:w="2977" w:type="dxa"/>
          </w:tcPr>
          <w:p w14:paraId="78F2B479" w14:textId="5B31E547" w:rsidR="00351932" w:rsidRPr="00F413DB" w:rsidRDefault="00686F2A" w:rsidP="009B249D">
            <w:pPr>
              <w:rPr>
                <w:sz w:val="20"/>
                <w:szCs w:val="20"/>
                <w:lang w:val="en-GB"/>
              </w:rPr>
            </w:pPr>
            <w:r>
              <w:rPr>
                <w:sz w:val="20"/>
                <w:szCs w:val="20"/>
                <w:lang w:val="en-GB"/>
              </w:rPr>
              <w:t>ACE genotype: DD, ID, II</w:t>
            </w:r>
          </w:p>
        </w:tc>
        <w:tc>
          <w:tcPr>
            <w:tcW w:w="2523" w:type="dxa"/>
            <w:vAlign w:val="center"/>
          </w:tcPr>
          <w:p w14:paraId="072A2881" w14:textId="72A54C27" w:rsidR="004B2CBE" w:rsidRPr="00F413DB" w:rsidRDefault="00351932" w:rsidP="00F6772F">
            <w:pPr>
              <w:jc w:val="center"/>
              <w:rPr>
                <w:sz w:val="20"/>
                <w:szCs w:val="20"/>
                <w:lang w:val="en-GB"/>
              </w:rPr>
            </w:pPr>
            <w:r w:rsidRPr="00F413DB">
              <w:rPr>
                <w:sz w:val="20"/>
                <w:szCs w:val="20"/>
                <w:lang w:val="en-GB"/>
              </w:rPr>
              <w:t xml:space="preserve"> 9 (23.7)</w:t>
            </w:r>
            <w:r w:rsidR="00F6772F">
              <w:rPr>
                <w:sz w:val="20"/>
                <w:szCs w:val="20"/>
                <w:lang w:val="en-GB"/>
              </w:rPr>
              <w:t>,</w:t>
            </w:r>
            <w:r w:rsidRPr="00F413DB">
              <w:rPr>
                <w:sz w:val="20"/>
                <w:szCs w:val="20"/>
                <w:lang w:val="en-GB"/>
              </w:rPr>
              <w:t xml:space="preserve"> 25 (65.8)</w:t>
            </w:r>
            <w:r w:rsidR="00F6772F">
              <w:rPr>
                <w:sz w:val="20"/>
                <w:szCs w:val="20"/>
                <w:lang w:val="en-GB"/>
              </w:rPr>
              <w:t>,</w:t>
            </w:r>
            <w:r w:rsidRPr="00F413DB">
              <w:rPr>
                <w:sz w:val="20"/>
                <w:szCs w:val="20"/>
                <w:lang w:val="en-GB"/>
              </w:rPr>
              <w:t xml:space="preserve"> 4 (10.5</w:t>
            </w:r>
            <w:r w:rsidR="0090519F">
              <w:rPr>
                <w:sz w:val="20"/>
                <w:szCs w:val="20"/>
                <w:lang w:val="en-GB"/>
              </w:rPr>
              <w:t>)</w:t>
            </w:r>
            <w:r w:rsidR="00F6772F">
              <w:rPr>
                <w:sz w:val="20"/>
                <w:szCs w:val="20"/>
                <w:lang w:val="en-GB"/>
              </w:rPr>
              <w:t xml:space="preserve"> </w:t>
            </w:r>
            <w:r w:rsidR="004B2CBE" w:rsidRPr="00F413DB">
              <w:rPr>
                <w:sz w:val="20"/>
                <w:szCs w:val="20"/>
                <w:lang w:val="en-GB"/>
              </w:rPr>
              <w:t>(</w:t>
            </w:r>
            <w:r w:rsidR="004B2CBE" w:rsidRPr="00F6772F">
              <w:rPr>
                <w:i/>
                <w:sz w:val="20"/>
                <w:szCs w:val="20"/>
                <w:lang w:val="en-GB"/>
              </w:rPr>
              <w:t>n</w:t>
            </w:r>
            <w:r w:rsidR="004B2CBE" w:rsidRPr="00F413DB">
              <w:rPr>
                <w:sz w:val="20"/>
                <w:szCs w:val="20"/>
                <w:lang w:val="en-GB"/>
              </w:rPr>
              <w:t>=38)</w:t>
            </w:r>
          </w:p>
        </w:tc>
        <w:tc>
          <w:tcPr>
            <w:tcW w:w="2523" w:type="dxa"/>
            <w:vAlign w:val="center"/>
          </w:tcPr>
          <w:p w14:paraId="3EE0E1F8" w14:textId="39F1DAF7" w:rsidR="004B2CBE" w:rsidRPr="00F413DB" w:rsidRDefault="00351932" w:rsidP="00EC1E42">
            <w:pPr>
              <w:jc w:val="center"/>
              <w:rPr>
                <w:sz w:val="20"/>
                <w:szCs w:val="20"/>
                <w:lang w:val="en-GB"/>
              </w:rPr>
            </w:pPr>
            <w:r w:rsidRPr="00F413DB">
              <w:rPr>
                <w:sz w:val="20"/>
                <w:szCs w:val="20"/>
                <w:lang w:val="en-GB"/>
              </w:rPr>
              <w:t>8 (34.8)</w:t>
            </w:r>
            <w:r w:rsidR="00EC1E42">
              <w:rPr>
                <w:sz w:val="20"/>
                <w:szCs w:val="20"/>
                <w:lang w:val="en-GB"/>
              </w:rPr>
              <w:t>,</w:t>
            </w:r>
            <w:r w:rsidR="00DE582B">
              <w:rPr>
                <w:sz w:val="20"/>
                <w:szCs w:val="20"/>
                <w:lang w:val="en-GB"/>
              </w:rPr>
              <w:t xml:space="preserve"> </w:t>
            </w:r>
            <w:r w:rsidRPr="00F413DB">
              <w:rPr>
                <w:sz w:val="20"/>
                <w:szCs w:val="20"/>
                <w:lang w:val="en-GB"/>
              </w:rPr>
              <w:t>11 (47.8)</w:t>
            </w:r>
            <w:r w:rsidR="00EC1E42">
              <w:rPr>
                <w:sz w:val="20"/>
                <w:szCs w:val="20"/>
                <w:lang w:val="en-GB"/>
              </w:rPr>
              <w:t>,</w:t>
            </w:r>
            <w:r w:rsidR="00DE582B">
              <w:rPr>
                <w:sz w:val="20"/>
                <w:szCs w:val="20"/>
                <w:lang w:val="en-GB"/>
              </w:rPr>
              <w:t xml:space="preserve"> </w:t>
            </w:r>
            <w:r w:rsidR="00EC1E42">
              <w:rPr>
                <w:sz w:val="20"/>
                <w:szCs w:val="20"/>
                <w:lang w:val="en-GB"/>
              </w:rPr>
              <w:t>4 (17.4</w:t>
            </w:r>
            <w:r w:rsidRPr="00F413DB">
              <w:rPr>
                <w:sz w:val="20"/>
                <w:szCs w:val="20"/>
                <w:lang w:val="en-GB"/>
              </w:rPr>
              <w:t>)</w:t>
            </w:r>
            <w:r w:rsidR="00DE582B">
              <w:rPr>
                <w:sz w:val="20"/>
                <w:szCs w:val="20"/>
                <w:lang w:val="en-GB"/>
              </w:rPr>
              <w:t xml:space="preserve"> </w:t>
            </w:r>
            <w:r w:rsidR="004B2CBE" w:rsidRPr="00F413DB">
              <w:rPr>
                <w:sz w:val="20"/>
                <w:szCs w:val="20"/>
                <w:lang w:val="en-GB"/>
              </w:rPr>
              <w:t>(</w:t>
            </w:r>
            <w:r w:rsidR="004B2CBE" w:rsidRPr="00EC1E42">
              <w:rPr>
                <w:i/>
                <w:sz w:val="20"/>
                <w:szCs w:val="20"/>
                <w:lang w:val="en-GB"/>
              </w:rPr>
              <w:t>n</w:t>
            </w:r>
            <w:r w:rsidR="004B2CBE" w:rsidRPr="00F413DB">
              <w:rPr>
                <w:sz w:val="20"/>
                <w:szCs w:val="20"/>
                <w:lang w:val="en-GB"/>
              </w:rPr>
              <w:t>=23)</w:t>
            </w:r>
          </w:p>
        </w:tc>
        <w:tc>
          <w:tcPr>
            <w:tcW w:w="1304" w:type="dxa"/>
            <w:vAlign w:val="center"/>
          </w:tcPr>
          <w:p w14:paraId="5449BFA8" w14:textId="22B6A2C6" w:rsidR="00351932" w:rsidRPr="00F413DB" w:rsidRDefault="00351932" w:rsidP="009B249D">
            <w:pPr>
              <w:jc w:val="center"/>
              <w:rPr>
                <w:sz w:val="20"/>
                <w:szCs w:val="20"/>
                <w:lang w:val="en-GB"/>
              </w:rPr>
            </w:pPr>
            <w:r w:rsidRPr="00F413DB">
              <w:rPr>
                <w:sz w:val="20"/>
                <w:szCs w:val="20"/>
                <w:lang w:val="en-GB"/>
              </w:rPr>
              <w:t>0.38</w:t>
            </w:r>
            <w:r w:rsidR="001048F5" w:rsidRPr="00F413DB">
              <w:rPr>
                <w:sz w:val="20"/>
                <w:szCs w:val="20"/>
                <w:vertAlign w:val="superscript"/>
                <w:lang w:val="en-GB"/>
              </w:rPr>
              <w:t>‡</w:t>
            </w:r>
          </w:p>
        </w:tc>
      </w:tr>
      <w:tr w:rsidR="00351932" w:rsidRPr="005A751D" w14:paraId="57934CF5" w14:textId="77777777" w:rsidTr="009B249D">
        <w:trPr>
          <w:trHeight w:val="440"/>
        </w:trPr>
        <w:tc>
          <w:tcPr>
            <w:tcW w:w="2977" w:type="dxa"/>
            <w:vAlign w:val="center"/>
          </w:tcPr>
          <w:p w14:paraId="41D17363" w14:textId="5FBEC7EF" w:rsidR="00351932" w:rsidRPr="00F413DB" w:rsidRDefault="00686F2A" w:rsidP="007F6F06">
            <w:pPr>
              <w:rPr>
                <w:sz w:val="20"/>
                <w:szCs w:val="20"/>
                <w:lang w:val="en-GB"/>
              </w:rPr>
            </w:pPr>
            <w:r>
              <w:rPr>
                <w:sz w:val="20"/>
                <w:szCs w:val="20"/>
                <w:lang w:val="en-GB"/>
              </w:rPr>
              <w:t>COMPASS</w:t>
            </w:r>
          </w:p>
        </w:tc>
        <w:tc>
          <w:tcPr>
            <w:tcW w:w="2523" w:type="dxa"/>
            <w:vAlign w:val="center"/>
          </w:tcPr>
          <w:p w14:paraId="1B4464D3" w14:textId="77777777" w:rsidR="00351932" w:rsidRPr="00F413DB" w:rsidRDefault="00351932" w:rsidP="009B249D">
            <w:pPr>
              <w:jc w:val="center"/>
              <w:rPr>
                <w:sz w:val="20"/>
                <w:szCs w:val="20"/>
                <w:lang w:val="en-GB"/>
              </w:rPr>
            </w:pPr>
            <w:r w:rsidRPr="00F413DB">
              <w:rPr>
                <w:sz w:val="20"/>
                <w:szCs w:val="20"/>
                <w:lang w:val="en-GB"/>
              </w:rPr>
              <w:t>18.2±18.4 (</w:t>
            </w:r>
            <w:r w:rsidRPr="00F6772F">
              <w:rPr>
                <w:i/>
                <w:sz w:val="20"/>
                <w:szCs w:val="20"/>
                <w:lang w:val="en-GB"/>
              </w:rPr>
              <w:t>n</w:t>
            </w:r>
            <w:r w:rsidRPr="00F413DB">
              <w:rPr>
                <w:sz w:val="20"/>
                <w:szCs w:val="20"/>
                <w:lang w:val="en-GB"/>
              </w:rPr>
              <w:t xml:space="preserve">=36) </w:t>
            </w:r>
          </w:p>
        </w:tc>
        <w:tc>
          <w:tcPr>
            <w:tcW w:w="2523" w:type="dxa"/>
            <w:vAlign w:val="center"/>
          </w:tcPr>
          <w:p w14:paraId="29DCAD8C" w14:textId="77777777" w:rsidR="00351932" w:rsidRPr="00F413DB" w:rsidRDefault="00351932" w:rsidP="009B249D">
            <w:pPr>
              <w:jc w:val="center"/>
              <w:rPr>
                <w:sz w:val="20"/>
                <w:szCs w:val="20"/>
                <w:lang w:val="en-GB"/>
              </w:rPr>
            </w:pPr>
            <w:r w:rsidRPr="00F413DB">
              <w:rPr>
                <w:sz w:val="20"/>
                <w:szCs w:val="20"/>
                <w:lang w:val="en-GB"/>
              </w:rPr>
              <w:t>28.1±18.3 (</w:t>
            </w:r>
            <w:r w:rsidRPr="00EC1E42">
              <w:rPr>
                <w:i/>
                <w:sz w:val="20"/>
                <w:szCs w:val="20"/>
                <w:lang w:val="en-GB"/>
              </w:rPr>
              <w:t>n</w:t>
            </w:r>
            <w:r w:rsidRPr="00F413DB">
              <w:rPr>
                <w:sz w:val="20"/>
                <w:szCs w:val="20"/>
                <w:lang w:val="en-GB"/>
              </w:rPr>
              <w:t>=24)</w:t>
            </w:r>
          </w:p>
        </w:tc>
        <w:tc>
          <w:tcPr>
            <w:tcW w:w="1304" w:type="dxa"/>
            <w:vAlign w:val="center"/>
          </w:tcPr>
          <w:p w14:paraId="11FAA4DC" w14:textId="77777777" w:rsidR="00351932" w:rsidRPr="00F413DB" w:rsidRDefault="00351932" w:rsidP="009B249D">
            <w:pPr>
              <w:jc w:val="center"/>
              <w:rPr>
                <w:sz w:val="20"/>
                <w:szCs w:val="20"/>
                <w:lang w:val="en-GB"/>
              </w:rPr>
            </w:pPr>
            <w:r w:rsidRPr="00F413DB">
              <w:rPr>
                <w:sz w:val="20"/>
                <w:szCs w:val="20"/>
                <w:lang w:val="en-GB"/>
              </w:rPr>
              <w:t>0.046</w:t>
            </w:r>
          </w:p>
        </w:tc>
      </w:tr>
    </w:tbl>
    <w:p w14:paraId="2B483AF5" w14:textId="77777777" w:rsidR="00B77DB8" w:rsidRDefault="00B77DB8" w:rsidP="00351932">
      <w:pPr>
        <w:jc w:val="both"/>
        <w:rPr>
          <w:sz w:val="20"/>
          <w:szCs w:val="20"/>
          <w:lang w:val="en-GB"/>
        </w:rPr>
      </w:pPr>
    </w:p>
    <w:p w14:paraId="2BB7312A" w14:textId="2BA62C40" w:rsidR="000B031A" w:rsidRPr="000B031A" w:rsidRDefault="00351932" w:rsidP="00B77DB8">
      <w:pPr>
        <w:jc w:val="both"/>
        <w:rPr>
          <w:rFonts w:ascii="Times New Roman" w:hAnsi="Times New Roman" w:cs="Times New Roman"/>
          <w:b/>
          <w:bCs w:val="0"/>
          <w:sz w:val="22"/>
          <w:szCs w:val="22"/>
          <w:lang w:val="en-GB"/>
        </w:rPr>
      </w:pPr>
      <w:r w:rsidRPr="00F413DB">
        <w:rPr>
          <w:sz w:val="20"/>
          <w:szCs w:val="20"/>
          <w:lang w:val="en-GB"/>
        </w:rPr>
        <w:t xml:space="preserve">Table 3. Baseline demographic and clinical characteristics of complete and incomplete responder groups. Data are </w:t>
      </w:r>
      <w:proofErr w:type="spellStart"/>
      <w:r w:rsidRPr="00F413DB">
        <w:rPr>
          <w:sz w:val="20"/>
          <w:szCs w:val="20"/>
          <w:lang w:val="en-GB"/>
        </w:rPr>
        <w:t>mean±SD</w:t>
      </w:r>
      <w:proofErr w:type="spellEnd"/>
      <w:r w:rsidRPr="00F413DB">
        <w:rPr>
          <w:sz w:val="20"/>
          <w:szCs w:val="20"/>
          <w:lang w:val="en-GB"/>
        </w:rPr>
        <w:t xml:space="preserve"> or </w:t>
      </w:r>
      <w:r w:rsidR="00400CE0" w:rsidRPr="00686F2A">
        <w:rPr>
          <w:i/>
          <w:sz w:val="20"/>
          <w:szCs w:val="20"/>
          <w:lang w:val="en-GB"/>
        </w:rPr>
        <w:t>n</w:t>
      </w:r>
      <w:r w:rsidRPr="00F413DB">
        <w:rPr>
          <w:sz w:val="20"/>
          <w:szCs w:val="20"/>
          <w:lang w:val="en-GB"/>
        </w:rPr>
        <w:t xml:space="preserve"> (%)</w:t>
      </w:r>
      <w:r w:rsidR="00105E16" w:rsidRPr="00F413DB">
        <w:rPr>
          <w:sz w:val="20"/>
          <w:szCs w:val="20"/>
          <w:lang w:val="en-GB"/>
        </w:rPr>
        <w:t xml:space="preserve">. </w:t>
      </w:r>
      <w:r w:rsidR="00794424">
        <w:rPr>
          <w:i/>
          <w:sz w:val="20"/>
          <w:szCs w:val="20"/>
          <w:lang w:val="en-GB"/>
        </w:rPr>
        <w:t>n</w:t>
      </w:r>
      <w:r w:rsidR="00794424">
        <w:rPr>
          <w:sz w:val="20"/>
          <w:szCs w:val="20"/>
          <w:lang w:val="en-GB"/>
        </w:rPr>
        <w:t xml:space="preserve"> also</w:t>
      </w:r>
      <w:r w:rsidR="00105E16" w:rsidRPr="00F413DB">
        <w:rPr>
          <w:sz w:val="20"/>
          <w:szCs w:val="20"/>
          <w:lang w:val="en-GB"/>
        </w:rPr>
        <w:t xml:space="preserve"> reported where data completion les</w:t>
      </w:r>
      <w:r w:rsidR="00794424">
        <w:rPr>
          <w:sz w:val="20"/>
          <w:szCs w:val="20"/>
          <w:lang w:val="en-GB"/>
        </w:rPr>
        <w:t xml:space="preserve">s than </w:t>
      </w:r>
      <w:r w:rsidR="00794424" w:rsidRPr="00794424">
        <w:rPr>
          <w:i/>
          <w:sz w:val="20"/>
          <w:szCs w:val="20"/>
          <w:lang w:val="en-GB"/>
        </w:rPr>
        <w:t>n</w:t>
      </w:r>
      <w:r w:rsidR="00794424">
        <w:rPr>
          <w:sz w:val="20"/>
          <w:szCs w:val="20"/>
          <w:lang w:val="en-GB"/>
        </w:rPr>
        <w:t>=43 for complete response</w:t>
      </w:r>
      <w:r w:rsidR="00105E16" w:rsidRPr="00F413DB">
        <w:rPr>
          <w:sz w:val="20"/>
          <w:szCs w:val="20"/>
          <w:lang w:val="en-GB"/>
        </w:rPr>
        <w:t xml:space="preserve"> group and less than </w:t>
      </w:r>
      <w:r w:rsidR="00105E16" w:rsidRPr="00794424">
        <w:rPr>
          <w:i/>
          <w:sz w:val="20"/>
          <w:szCs w:val="20"/>
          <w:lang w:val="en-GB"/>
        </w:rPr>
        <w:t>n</w:t>
      </w:r>
      <w:r w:rsidR="00105E16" w:rsidRPr="00F413DB">
        <w:rPr>
          <w:sz w:val="20"/>
          <w:szCs w:val="20"/>
          <w:lang w:val="en-GB"/>
        </w:rPr>
        <w:t>=28 for incomplete respon</w:t>
      </w:r>
      <w:r w:rsidR="00794424">
        <w:rPr>
          <w:sz w:val="20"/>
          <w:szCs w:val="20"/>
          <w:lang w:val="en-GB"/>
        </w:rPr>
        <w:t>se</w:t>
      </w:r>
      <w:r w:rsidR="00105E16" w:rsidRPr="00F413DB">
        <w:rPr>
          <w:sz w:val="20"/>
          <w:szCs w:val="20"/>
          <w:lang w:val="en-GB"/>
        </w:rPr>
        <w:t xml:space="preserve"> group. </w:t>
      </w:r>
      <w:r w:rsidRPr="00F413DB">
        <w:rPr>
          <w:sz w:val="20"/>
          <w:szCs w:val="20"/>
          <w:lang w:val="en-GB"/>
        </w:rPr>
        <w:t>N/A</w:t>
      </w:r>
      <w:r w:rsidR="00794424">
        <w:rPr>
          <w:sz w:val="20"/>
          <w:szCs w:val="20"/>
          <w:lang w:val="en-GB"/>
        </w:rPr>
        <w:t>,</w:t>
      </w:r>
      <w:r w:rsidRPr="00F413DB">
        <w:rPr>
          <w:sz w:val="20"/>
          <w:szCs w:val="20"/>
          <w:lang w:val="en-GB"/>
        </w:rPr>
        <w:t xml:space="preserve"> </w:t>
      </w:r>
      <w:r w:rsidR="00794424">
        <w:rPr>
          <w:sz w:val="20"/>
          <w:szCs w:val="20"/>
          <w:lang w:val="en-GB"/>
        </w:rPr>
        <w:t>n</w:t>
      </w:r>
      <w:r w:rsidRPr="00F413DB">
        <w:rPr>
          <w:sz w:val="20"/>
          <w:szCs w:val="20"/>
          <w:lang w:val="en-GB"/>
        </w:rPr>
        <w:t>o formal statistical testing</w:t>
      </w:r>
      <w:r w:rsidR="00794424">
        <w:rPr>
          <w:sz w:val="20"/>
          <w:szCs w:val="20"/>
          <w:lang w:val="en-GB"/>
        </w:rPr>
        <w:t>, as not included in a priori statistical a</w:t>
      </w:r>
      <w:r w:rsidRPr="00F413DB">
        <w:rPr>
          <w:sz w:val="20"/>
          <w:szCs w:val="20"/>
          <w:lang w:val="en-GB"/>
        </w:rPr>
        <w:t xml:space="preserve">nalysis </w:t>
      </w:r>
      <w:r w:rsidR="00794424">
        <w:rPr>
          <w:sz w:val="20"/>
          <w:szCs w:val="20"/>
          <w:lang w:val="en-GB"/>
        </w:rPr>
        <w:t>p</w:t>
      </w:r>
      <w:r w:rsidRPr="00F413DB">
        <w:rPr>
          <w:sz w:val="20"/>
          <w:szCs w:val="20"/>
          <w:lang w:val="en-GB"/>
        </w:rPr>
        <w:t>lan</w:t>
      </w:r>
      <w:r w:rsidR="00105E16" w:rsidRPr="00F413DB">
        <w:rPr>
          <w:sz w:val="20"/>
          <w:szCs w:val="20"/>
          <w:lang w:val="en-GB"/>
        </w:rPr>
        <w:t>.</w:t>
      </w:r>
      <w:r w:rsidR="001048F5" w:rsidRPr="00F413DB">
        <w:rPr>
          <w:sz w:val="20"/>
          <w:szCs w:val="20"/>
          <w:lang w:val="en-GB"/>
        </w:rPr>
        <w:t xml:space="preserve"> </w:t>
      </w:r>
      <w:r w:rsidR="001048F5" w:rsidRPr="00F413DB">
        <w:rPr>
          <w:sz w:val="20"/>
          <w:szCs w:val="20"/>
          <w:vertAlign w:val="superscript"/>
          <w:lang w:val="en-GB"/>
        </w:rPr>
        <w:t>‡</w:t>
      </w:r>
      <w:r w:rsidR="00794424">
        <w:rPr>
          <w:sz w:val="20"/>
          <w:szCs w:val="20"/>
          <w:lang w:val="en-GB"/>
        </w:rPr>
        <w:t>χ</w:t>
      </w:r>
      <w:r w:rsidR="00794424" w:rsidRPr="00794424">
        <w:rPr>
          <w:sz w:val="20"/>
          <w:szCs w:val="20"/>
          <w:vertAlign w:val="superscript"/>
          <w:lang w:val="en-GB"/>
        </w:rPr>
        <w:t>2</w:t>
      </w:r>
      <w:r w:rsidR="00794424">
        <w:rPr>
          <w:sz w:val="20"/>
          <w:szCs w:val="20"/>
          <w:lang w:val="en-GB"/>
        </w:rPr>
        <w:t xml:space="preserve"> </w:t>
      </w:r>
      <w:r w:rsidR="00875D51" w:rsidRPr="00F413DB">
        <w:rPr>
          <w:sz w:val="20"/>
          <w:szCs w:val="20"/>
          <w:lang w:val="en-GB"/>
        </w:rPr>
        <w:t>test.</w:t>
      </w:r>
    </w:p>
    <w:sectPr w:rsidR="000B031A" w:rsidRPr="000B031A" w:rsidSect="00060100">
      <w:pgSz w:w="11900" w:h="16840"/>
      <w:pgMar w:top="1440" w:right="1080" w:bottom="835" w:left="1080" w:header="720" w:footer="864"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8DC9EE" w16cid:durableId="203322BA"/>
  <w16cid:commentId w16cid:paraId="44D0F3B6" w16cid:durableId="20332356"/>
  <w16cid:commentId w16cid:paraId="1EBE6C4E" w16cid:durableId="2033243E"/>
  <w16cid:commentId w16cid:paraId="1917AAAC" w16cid:durableId="203329DA"/>
  <w16cid:commentId w16cid:paraId="1B4B8BA8" w16cid:durableId="20332A27"/>
  <w16cid:commentId w16cid:paraId="709D6E58" w16cid:durableId="20332A48"/>
  <w16cid:commentId w16cid:paraId="69EF44A0" w16cid:durableId="20332B8D"/>
  <w16cid:commentId w16cid:paraId="3A9074A1" w16cid:durableId="20332BF1"/>
  <w16cid:commentId w16cid:paraId="5B9E0921" w16cid:durableId="20332C1C"/>
  <w16cid:commentId w16cid:paraId="0D16EFBD" w16cid:durableId="20332D48"/>
  <w16cid:commentId w16cid:paraId="24B661CC" w16cid:durableId="20332289"/>
  <w16cid:commentId w16cid:paraId="4489BAA0" w16cid:durableId="2033228A"/>
  <w16cid:commentId w16cid:paraId="15B2E669" w16cid:durableId="203331CC"/>
  <w16cid:commentId w16cid:paraId="1BC12B93" w16cid:durableId="203330C0"/>
  <w16cid:commentId w16cid:paraId="3A450774" w16cid:durableId="20333103"/>
  <w16cid:commentId w16cid:paraId="07DB69FB" w16cid:durableId="20333170"/>
  <w16cid:commentId w16cid:paraId="0D0A2915" w16cid:durableId="20333D3F"/>
  <w16cid:commentId w16cid:paraId="69CE930B" w16cid:durableId="20334209"/>
  <w16cid:commentId w16cid:paraId="110EFE43" w16cid:durableId="20333E8E"/>
  <w16cid:commentId w16cid:paraId="279939AD" w16cid:durableId="2033414A"/>
  <w16cid:commentId w16cid:paraId="33858075" w16cid:durableId="203340D8"/>
  <w16cid:commentId w16cid:paraId="7DDAA3C7" w16cid:durableId="2033433B"/>
  <w16cid:commentId w16cid:paraId="10247F4C" w16cid:durableId="2033441E"/>
  <w16cid:commentId w16cid:paraId="33AC4E78" w16cid:durableId="2033454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46AA1"/>
    <w:multiLevelType w:val="hybridMultilevel"/>
    <w:tmpl w:val="7A801A82"/>
    <w:lvl w:ilvl="0" w:tplc="5B10EFFE">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853BA"/>
    <w:multiLevelType w:val="hybridMultilevel"/>
    <w:tmpl w:val="5F12B78E"/>
    <w:lvl w:ilvl="0" w:tplc="4672FA84">
      <w:start w:val="7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559E7"/>
    <w:multiLevelType w:val="hybridMultilevel"/>
    <w:tmpl w:val="A1D4D578"/>
    <w:lvl w:ilvl="0" w:tplc="2F28843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706145"/>
    <w:multiLevelType w:val="hybridMultilevel"/>
    <w:tmpl w:val="5E9C18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8E02733"/>
    <w:multiLevelType w:val="hybridMultilevel"/>
    <w:tmpl w:val="D160080A"/>
    <w:lvl w:ilvl="0" w:tplc="E5627B7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BD1828"/>
    <w:multiLevelType w:val="hybridMultilevel"/>
    <w:tmpl w:val="572A516A"/>
    <w:lvl w:ilvl="0" w:tplc="174E5640">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E14A58"/>
    <w:multiLevelType w:val="hybridMultilevel"/>
    <w:tmpl w:val="946A27C2"/>
    <w:lvl w:ilvl="0" w:tplc="5B0C70F2">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701473"/>
    <w:multiLevelType w:val="hybridMultilevel"/>
    <w:tmpl w:val="42365BB0"/>
    <w:lvl w:ilvl="0" w:tplc="08645C4C">
      <w:start w:val="7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912670"/>
    <w:multiLevelType w:val="hybridMultilevel"/>
    <w:tmpl w:val="9A36771C"/>
    <w:lvl w:ilvl="0" w:tplc="B9CC75A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3"/>
  </w:num>
  <w:num w:numId="5">
    <w:abstractNumId w:val="2"/>
  </w:num>
  <w:num w:numId="6">
    <w:abstractNumId w:val="6"/>
  </w:num>
  <w:num w:numId="7">
    <w:abstractNumId w:val="0"/>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D69"/>
    <w:rsid w:val="000013DA"/>
    <w:rsid w:val="00002D28"/>
    <w:rsid w:val="00002ECF"/>
    <w:rsid w:val="0000343D"/>
    <w:rsid w:val="00004FEA"/>
    <w:rsid w:val="000063CD"/>
    <w:rsid w:val="00006C6B"/>
    <w:rsid w:val="00007A6E"/>
    <w:rsid w:val="0001199A"/>
    <w:rsid w:val="0001233C"/>
    <w:rsid w:val="000129BD"/>
    <w:rsid w:val="000130D1"/>
    <w:rsid w:val="0001420C"/>
    <w:rsid w:val="000143C4"/>
    <w:rsid w:val="00014805"/>
    <w:rsid w:val="00014CED"/>
    <w:rsid w:val="0001538F"/>
    <w:rsid w:val="00016341"/>
    <w:rsid w:val="0001705D"/>
    <w:rsid w:val="0002060C"/>
    <w:rsid w:val="00023623"/>
    <w:rsid w:val="00035A83"/>
    <w:rsid w:val="00036120"/>
    <w:rsid w:val="00036293"/>
    <w:rsid w:val="000370E9"/>
    <w:rsid w:val="000423D6"/>
    <w:rsid w:val="000446A2"/>
    <w:rsid w:val="00045096"/>
    <w:rsid w:val="000501D9"/>
    <w:rsid w:val="00053414"/>
    <w:rsid w:val="000545D7"/>
    <w:rsid w:val="00056CDA"/>
    <w:rsid w:val="00056EE2"/>
    <w:rsid w:val="00060100"/>
    <w:rsid w:val="000602E5"/>
    <w:rsid w:val="00062979"/>
    <w:rsid w:val="00062C3C"/>
    <w:rsid w:val="000647E1"/>
    <w:rsid w:val="00064B3A"/>
    <w:rsid w:val="00067524"/>
    <w:rsid w:val="00070261"/>
    <w:rsid w:val="00070358"/>
    <w:rsid w:val="00074D54"/>
    <w:rsid w:val="00075298"/>
    <w:rsid w:val="000758F9"/>
    <w:rsid w:val="00080AC3"/>
    <w:rsid w:val="00080D81"/>
    <w:rsid w:val="000818C7"/>
    <w:rsid w:val="00084A47"/>
    <w:rsid w:val="00084B08"/>
    <w:rsid w:val="0008507E"/>
    <w:rsid w:val="00090B44"/>
    <w:rsid w:val="00091A15"/>
    <w:rsid w:val="000931F5"/>
    <w:rsid w:val="00094AB3"/>
    <w:rsid w:val="00094B1C"/>
    <w:rsid w:val="00095000"/>
    <w:rsid w:val="000A09DE"/>
    <w:rsid w:val="000A2038"/>
    <w:rsid w:val="000A24B4"/>
    <w:rsid w:val="000A4D40"/>
    <w:rsid w:val="000A5859"/>
    <w:rsid w:val="000A61D1"/>
    <w:rsid w:val="000A7534"/>
    <w:rsid w:val="000B031A"/>
    <w:rsid w:val="000B37A2"/>
    <w:rsid w:val="000B3DF1"/>
    <w:rsid w:val="000B461D"/>
    <w:rsid w:val="000B7CA9"/>
    <w:rsid w:val="000C0DB7"/>
    <w:rsid w:val="000C2554"/>
    <w:rsid w:val="000C2A22"/>
    <w:rsid w:val="000C2A2C"/>
    <w:rsid w:val="000C34C0"/>
    <w:rsid w:val="000C5D6C"/>
    <w:rsid w:val="000C73CB"/>
    <w:rsid w:val="000C774B"/>
    <w:rsid w:val="000C794A"/>
    <w:rsid w:val="000D06E2"/>
    <w:rsid w:val="000D182B"/>
    <w:rsid w:val="000D3DFF"/>
    <w:rsid w:val="000E0CC0"/>
    <w:rsid w:val="000E1740"/>
    <w:rsid w:val="000E21F4"/>
    <w:rsid w:val="000E3A78"/>
    <w:rsid w:val="000E6807"/>
    <w:rsid w:val="000E6D10"/>
    <w:rsid w:val="000E77AB"/>
    <w:rsid w:val="000E77F1"/>
    <w:rsid w:val="000F74FF"/>
    <w:rsid w:val="000F759E"/>
    <w:rsid w:val="000F7F15"/>
    <w:rsid w:val="00100135"/>
    <w:rsid w:val="00102510"/>
    <w:rsid w:val="001027B7"/>
    <w:rsid w:val="00102A47"/>
    <w:rsid w:val="001048F5"/>
    <w:rsid w:val="00105287"/>
    <w:rsid w:val="00105631"/>
    <w:rsid w:val="0010568F"/>
    <w:rsid w:val="00105E16"/>
    <w:rsid w:val="00107017"/>
    <w:rsid w:val="00107C05"/>
    <w:rsid w:val="00111687"/>
    <w:rsid w:val="0011513E"/>
    <w:rsid w:val="0011649E"/>
    <w:rsid w:val="001178CB"/>
    <w:rsid w:val="00120641"/>
    <w:rsid w:val="001209CB"/>
    <w:rsid w:val="001211F0"/>
    <w:rsid w:val="00121FC9"/>
    <w:rsid w:val="00123E29"/>
    <w:rsid w:val="00125870"/>
    <w:rsid w:val="00127145"/>
    <w:rsid w:val="00132816"/>
    <w:rsid w:val="00132ACB"/>
    <w:rsid w:val="00137880"/>
    <w:rsid w:val="00137D41"/>
    <w:rsid w:val="00140630"/>
    <w:rsid w:val="001422F8"/>
    <w:rsid w:val="001429FC"/>
    <w:rsid w:val="00142FA8"/>
    <w:rsid w:val="00147D4A"/>
    <w:rsid w:val="00152068"/>
    <w:rsid w:val="0015346C"/>
    <w:rsid w:val="00155563"/>
    <w:rsid w:val="001614B0"/>
    <w:rsid w:val="0016165C"/>
    <w:rsid w:val="00162C2A"/>
    <w:rsid w:val="001635B4"/>
    <w:rsid w:val="001737C7"/>
    <w:rsid w:val="001754A3"/>
    <w:rsid w:val="00175C00"/>
    <w:rsid w:val="00177D04"/>
    <w:rsid w:val="00177E8B"/>
    <w:rsid w:val="0018044B"/>
    <w:rsid w:val="00181266"/>
    <w:rsid w:val="00184C1F"/>
    <w:rsid w:val="0018506F"/>
    <w:rsid w:val="001857E2"/>
    <w:rsid w:val="00187F37"/>
    <w:rsid w:val="00193DA7"/>
    <w:rsid w:val="00197A5D"/>
    <w:rsid w:val="001A18BF"/>
    <w:rsid w:val="001A300F"/>
    <w:rsid w:val="001A4AAA"/>
    <w:rsid w:val="001A7520"/>
    <w:rsid w:val="001A7B4D"/>
    <w:rsid w:val="001A7BC0"/>
    <w:rsid w:val="001A7EEF"/>
    <w:rsid w:val="001B4659"/>
    <w:rsid w:val="001B5446"/>
    <w:rsid w:val="001B776B"/>
    <w:rsid w:val="001C0A39"/>
    <w:rsid w:val="001C1C6E"/>
    <w:rsid w:val="001C20AC"/>
    <w:rsid w:val="001C39DE"/>
    <w:rsid w:val="001C5233"/>
    <w:rsid w:val="001C6378"/>
    <w:rsid w:val="001D1BFA"/>
    <w:rsid w:val="001D1FFA"/>
    <w:rsid w:val="001D2D94"/>
    <w:rsid w:val="001D313F"/>
    <w:rsid w:val="001D3BA6"/>
    <w:rsid w:val="001E0FA2"/>
    <w:rsid w:val="001E20BE"/>
    <w:rsid w:val="001E2249"/>
    <w:rsid w:val="001E2716"/>
    <w:rsid w:val="001E2A42"/>
    <w:rsid w:val="001E703F"/>
    <w:rsid w:val="001E7E03"/>
    <w:rsid w:val="001F27D5"/>
    <w:rsid w:val="001F5FB8"/>
    <w:rsid w:val="001F7BE7"/>
    <w:rsid w:val="002007AB"/>
    <w:rsid w:val="002053A0"/>
    <w:rsid w:val="00205634"/>
    <w:rsid w:val="00210A82"/>
    <w:rsid w:val="0021285D"/>
    <w:rsid w:val="002128CC"/>
    <w:rsid w:val="00213A3B"/>
    <w:rsid w:val="0021781C"/>
    <w:rsid w:val="002220B0"/>
    <w:rsid w:val="00222818"/>
    <w:rsid w:val="002248E5"/>
    <w:rsid w:val="00226189"/>
    <w:rsid w:val="002268BA"/>
    <w:rsid w:val="00226F7D"/>
    <w:rsid w:val="002302B5"/>
    <w:rsid w:val="0023300D"/>
    <w:rsid w:val="00233EFF"/>
    <w:rsid w:val="00234B24"/>
    <w:rsid w:val="00235E2D"/>
    <w:rsid w:val="0023647B"/>
    <w:rsid w:val="00236FBB"/>
    <w:rsid w:val="00237CA5"/>
    <w:rsid w:val="00246764"/>
    <w:rsid w:val="0024715B"/>
    <w:rsid w:val="0025207E"/>
    <w:rsid w:val="0025210D"/>
    <w:rsid w:val="00252B09"/>
    <w:rsid w:val="00253B16"/>
    <w:rsid w:val="00253EEC"/>
    <w:rsid w:val="002556FB"/>
    <w:rsid w:val="0026044D"/>
    <w:rsid w:val="00260FF7"/>
    <w:rsid w:val="0026121E"/>
    <w:rsid w:val="002624D0"/>
    <w:rsid w:val="0026776D"/>
    <w:rsid w:val="00270153"/>
    <w:rsid w:val="002703C6"/>
    <w:rsid w:val="00270C71"/>
    <w:rsid w:val="00270D6E"/>
    <w:rsid w:val="00271E91"/>
    <w:rsid w:val="00273A20"/>
    <w:rsid w:val="00273CFC"/>
    <w:rsid w:val="002753DD"/>
    <w:rsid w:val="00275444"/>
    <w:rsid w:val="0027633F"/>
    <w:rsid w:val="0027794E"/>
    <w:rsid w:val="00280EEB"/>
    <w:rsid w:val="002835DF"/>
    <w:rsid w:val="002843EC"/>
    <w:rsid w:val="0028682E"/>
    <w:rsid w:val="00286A30"/>
    <w:rsid w:val="00286A79"/>
    <w:rsid w:val="00286B8C"/>
    <w:rsid w:val="00287853"/>
    <w:rsid w:val="0029005C"/>
    <w:rsid w:val="00290365"/>
    <w:rsid w:val="00291EEE"/>
    <w:rsid w:val="00295175"/>
    <w:rsid w:val="002968BA"/>
    <w:rsid w:val="002A3372"/>
    <w:rsid w:val="002A37DA"/>
    <w:rsid w:val="002A4B73"/>
    <w:rsid w:val="002A4FB7"/>
    <w:rsid w:val="002A6222"/>
    <w:rsid w:val="002A64C6"/>
    <w:rsid w:val="002B09A0"/>
    <w:rsid w:val="002B0C94"/>
    <w:rsid w:val="002B15C1"/>
    <w:rsid w:val="002B3F81"/>
    <w:rsid w:val="002B52CB"/>
    <w:rsid w:val="002B6E5E"/>
    <w:rsid w:val="002C06D4"/>
    <w:rsid w:val="002C0E54"/>
    <w:rsid w:val="002C16E1"/>
    <w:rsid w:val="002C215F"/>
    <w:rsid w:val="002C52AE"/>
    <w:rsid w:val="002C620C"/>
    <w:rsid w:val="002D0B34"/>
    <w:rsid w:val="002D190A"/>
    <w:rsid w:val="002D3B73"/>
    <w:rsid w:val="002D4B2A"/>
    <w:rsid w:val="002D5B68"/>
    <w:rsid w:val="002D7575"/>
    <w:rsid w:val="002D757F"/>
    <w:rsid w:val="002E1065"/>
    <w:rsid w:val="002E150D"/>
    <w:rsid w:val="002E22BA"/>
    <w:rsid w:val="002E2E65"/>
    <w:rsid w:val="002E336C"/>
    <w:rsid w:val="002E4077"/>
    <w:rsid w:val="002E5371"/>
    <w:rsid w:val="002E610F"/>
    <w:rsid w:val="002E79C4"/>
    <w:rsid w:val="002F1367"/>
    <w:rsid w:val="002F14E6"/>
    <w:rsid w:val="002F34F4"/>
    <w:rsid w:val="002F5558"/>
    <w:rsid w:val="002F62FF"/>
    <w:rsid w:val="002F6FE5"/>
    <w:rsid w:val="003004B2"/>
    <w:rsid w:val="003011D2"/>
    <w:rsid w:val="0030181B"/>
    <w:rsid w:val="003022F1"/>
    <w:rsid w:val="0030250D"/>
    <w:rsid w:val="00302EF1"/>
    <w:rsid w:val="00303521"/>
    <w:rsid w:val="003041A7"/>
    <w:rsid w:val="003049F0"/>
    <w:rsid w:val="00305A0A"/>
    <w:rsid w:val="00305BE5"/>
    <w:rsid w:val="00307C8A"/>
    <w:rsid w:val="00310A4C"/>
    <w:rsid w:val="003111FF"/>
    <w:rsid w:val="0031416F"/>
    <w:rsid w:val="00316E65"/>
    <w:rsid w:val="003208B1"/>
    <w:rsid w:val="00320D92"/>
    <w:rsid w:val="00321EA2"/>
    <w:rsid w:val="00322C87"/>
    <w:rsid w:val="00325BC7"/>
    <w:rsid w:val="00327032"/>
    <w:rsid w:val="00330528"/>
    <w:rsid w:val="00331065"/>
    <w:rsid w:val="0033148A"/>
    <w:rsid w:val="003317D8"/>
    <w:rsid w:val="00337568"/>
    <w:rsid w:val="00340FC9"/>
    <w:rsid w:val="00341FE5"/>
    <w:rsid w:val="00342C1E"/>
    <w:rsid w:val="0034467E"/>
    <w:rsid w:val="00344F24"/>
    <w:rsid w:val="00345B18"/>
    <w:rsid w:val="00346793"/>
    <w:rsid w:val="00347E8F"/>
    <w:rsid w:val="003501BB"/>
    <w:rsid w:val="00350C93"/>
    <w:rsid w:val="00351474"/>
    <w:rsid w:val="00351932"/>
    <w:rsid w:val="00352BB7"/>
    <w:rsid w:val="00353B0C"/>
    <w:rsid w:val="00354B23"/>
    <w:rsid w:val="00355FF4"/>
    <w:rsid w:val="00356536"/>
    <w:rsid w:val="003578CA"/>
    <w:rsid w:val="003605A9"/>
    <w:rsid w:val="00362AD5"/>
    <w:rsid w:val="00363CDB"/>
    <w:rsid w:val="00364DFD"/>
    <w:rsid w:val="00365A73"/>
    <w:rsid w:val="00365DF7"/>
    <w:rsid w:val="0036634F"/>
    <w:rsid w:val="00373284"/>
    <w:rsid w:val="0037427A"/>
    <w:rsid w:val="00374780"/>
    <w:rsid w:val="003751A2"/>
    <w:rsid w:val="00375A5A"/>
    <w:rsid w:val="00375A84"/>
    <w:rsid w:val="0038052F"/>
    <w:rsid w:val="0038095D"/>
    <w:rsid w:val="003828D1"/>
    <w:rsid w:val="00382E01"/>
    <w:rsid w:val="0038324E"/>
    <w:rsid w:val="0038402F"/>
    <w:rsid w:val="003850B0"/>
    <w:rsid w:val="0039038C"/>
    <w:rsid w:val="00392333"/>
    <w:rsid w:val="00393785"/>
    <w:rsid w:val="003938A0"/>
    <w:rsid w:val="003960BC"/>
    <w:rsid w:val="003A05D0"/>
    <w:rsid w:val="003A0FF0"/>
    <w:rsid w:val="003A410B"/>
    <w:rsid w:val="003A47BB"/>
    <w:rsid w:val="003A5DB9"/>
    <w:rsid w:val="003A6362"/>
    <w:rsid w:val="003A69B3"/>
    <w:rsid w:val="003B0075"/>
    <w:rsid w:val="003B04B3"/>
    <w:rsid w:val="003B0E7B"/>
    <w:rsid w:val="003B2756"/>
    <w:rsid w:val="003B428E"/>
    <w:rsid w:val="003B4981"/>
    <w:rsid w:val="003B57B0"/>
    <w:rsid w:val="003B6F6E"/>
    <w:rsid w:val="003C145F"/>
    <w:rsid w:val="003C1DD0"/>
    <w:rsid w:val="003C38E3"/>
    <w:rsid w:val="003C5F46"/>
    <w:rsid w:val="003C608B"/>
    <w:rsid w:val="003C68FD"/>
    <w:rsid w:val="003C6B92"/>
    <w:rsid w:val="003C6C66"/>
    <w:rsid w:val="003C7852"/>
    <w:rsid w:val="003D1961"/>
    <w:rsid w:val="003D23BF"/>
    <w:rsid w:val="003D274A"/>
    <w:rsid w:val="003D6CA9"/>
    <w:rsid w:val="003E0C62"/>
    <w:rsid w:val="003E223D"/>
    <w:rsid w:val="003E7D14"/>
    <w:rsid w:val="003E7DFB"/>
    <w:rsid w:val="003F018A"/>
    <w:rsid w:val="003F0AA5"/>
    <w:rsid w:val="003F29ED"/>
    <w:rsid w:val="003F4D89"/>
    <w:rsid w:val="003F64A0"/>
    <w:rsid w:val="003F6ED2"/>
    <w:rsid w:val="003F7FED"/>
    <w:rsid w:val="00400131"/>
    <w:rsid w:val="004001BB"/>
    <w:rsid w:val="00400CE0"/>
    <w:rsid w:val="00402D0C"/>
    <w:rsid w:val="00405E46"/>
    <w:rsid w:val="00407870"/>
    <w:rsid w:val="004079E8"/>
    <w:rsid w:val="00411495"/>
    <w:rsid w:val="00413F10"/>
    <w:rsid w:val="004146F6"/>
    <w:rsid w:val="0041699C"/>
    <w:rsid w:val="00417A58"/>
    <w:rsid w:val="00420750"/>
    <w:rsid w:val="00420FFD"/>
    <w:rsid w:val="00422DA1"/>
    <w:rsid w:val="0042603B"/>
    <w:rsid w:val="00427882"/>
    <w:rsid w:val="00430864"/>
    <w:rsid w:val="00431133"/>
    <w:rsid w:val="00433D42"/>
    <w:rsid w:val="00433F81"/>
    <w:rsid w:val="0043768F"/>
    <w:rsid w:val="00440167"/>
    <w:rsid w:val="00440BF4"/>
    <w:rsid w:val="00442C68"/>
    <w:rsid w:val="004459F6"/>
    <w:rsid w:val="00445DCC"/>
    <w:rsid w:val="00446387"/>
    <w:rsid w:val="004464FA"/>
    <w:rsid w:val="00447748"/>
    <w:rsid w:val="00451470"/>
    <w:rsid w:val="00453D45"/>
    <w:rsid w:val="00453E8F"/>
    <w:rsid w:val="0045431C"/>
    <w:rsid w:val="00454398"/>
    <w:rsid w:val="004543E7"/>
    <w:rsid w:val="00454447"/>
    <w:rsid w:val="0045489B"/>
    <w:rsid w:val="00454C86"/>
    <w:rsid w:val="00454FBF"/>
    <w:rsid w:val="00461B0E"/>
    <w:rsid w:val="0046229D"/>
    <w:rsid w:val="00463969"/>
    <w:rsid w:val="004641C2"/>
    <w:rsid w:val="00464712"/>
    <w:rsid w:val="00464B1C"/>
    <w:rsid w:val="004670C7"/>
    <w:rsid w:val="00470957"/>
    <w:rsid w:val="00474106"/>
    <w:rsid w:val="00474EE3"/>
    <w:rsid w:val="00475EEB"/>
    <w:rsid w:val="00476DDA"/>
    <w:rsid w:val="00477C40"/>
    <w:rsid w:val="004806E4"/>
    <w:rsid w:val="00480B9C"/>
    <w:rsid w:val="00480F47"/>
    <w:rsid w:val="004837E9"/>
    <w:rsid w:val="00483A8B"/>
    <w:rsid w:val="004847D2"/>
    <w:rsid w:val="00487FDB"/>
    <w:rsid w:val="004908D6"/>
    <w:rsid w:val="0049385A"/>
    <w:rsid w:val="0049406D"/>
    <w:rsid w:val="00495EDA"/>
    <w:rsid w:val="004977F7"/>
    <w:rsid w:val="004A07D7"/>
    <w:rsid w:val="004A11B9"/>
    <w:rsid w:val="004A191A"/>
    <w:rsid w:val="004A1A22"/>
    <w:rsid w:val="004A29B3"/>
    <w:rsid w:val="004A2D70"/>
    <w:rsid w:val="004A37FB"/>
    <w:rsid w:val="004A4684"/>
    <w:rsid w:val="004B1995"/>
    <w:rsid w:val="004B2CBE"/>
    <w:rsid w:val="004B4190"/>
    <w:rsid w:val="004B4388"/>
    <w:rsid w:val="004B580E"/>
    <w:rsid w:val="004C089C"/>
    <w:rsid w:val="004C0D8C"/>
    <w:rsid w:val="004C4992"/>
    <w:rsid w:val="004C5675"/>
    <w:rsid w:val="004C64F7"/>
    <w:rsid w:val="004D05BA"/>
    <w:rsid w:val="004D2007"/>
    <w:rsid w:val="004D21F2"/>
    <w:rsid w:val="004D2AFF"/>
    <w:rsid w:val="004D4835"/>
    <w:rsid w:val="004D5C00"/>
    <w:rsid w:val="004D6272"/>
    <w:rsid w:val="004D73FF"/>
    <w:rsid w:val="004D76D0"/>
    <w:rsid w:val="004E089E"/>
    <w:rsid w:val="004E122E"/>
    <w:rsid w:val="004E2FC5"/>
    <w:rsid w:val="004E73A0"/>
    <w:rsid w:val="004E7878"/>
    <w:rsid w:val="004F1A99"/>
    <w:rsid w:val="004F3FF2"/>
    <w:rsid w:val="004F48C3"/>
    <w:rsid w:val="004F6464"/>
    <w:rsid w:val="004F6C41"/>
    <w:rsid w:val="005004BA"/>
    <w:rsid w:val="00500D8D"/>
    <w:rsid w:val="00501269"/>
    <w:rsid w:val="00506BC6"/>
    <w:rsid w:val="00510781"/>
    <w:rsid w:val="00511187"/>
    <w:rsid w:val="00511A57"/>
    <w:rsid w:val="00512502"/>
    <w:rsid w:val="00512DD3"/>
    <w:rsid w:val="00517157"/>
    <w:rsid w:val="0051739A"/>
    <w:rsid w:val="0052350C"/>
    <w:rsid w:val="0052618D"/>
    <w:rsid w:val="00526AA8"/>
    <w:rsid w:val="00527622"/>
    <w:rsid w:val="005279DC"/>
    <w:rsid w:val="00527C9D"/>
    <w:rsid w:val="005304BA"/>
    <w:rsid w:val="00530996"/>
    <w:rsid w:val="005334FC"/>
    <w:rsid w:val="0053381A"/>
    <w:rsid w:val="00534009"/>
    <w:rsid w:val="0053434E"/>
    <w:rsid w:val="00534DE1"/>
    <w:rsid w:val="0053515A"/>
    <w:rsid w:val="00543A27"/>
    <w:rsid w:val="0054472F"/>
    <w:rsid w:val="00544738"/>
    <w:rsid w:val="0055276A"/>
    <w:rsid w:val="00553A9A"/>
    <w:rsid w:val="00554E60"/>
    <w:rsid w:val="005559DE"/>
    <w:rsid w:val="0055795C"/>
    <w:rsid w:val="00557A92"/>
    <w:rsid w:val="005639C8"/>
    <w:rsid w:val="00563F53"/>
    <w:rsid w:val="005640A9"/>
    <w:rsid w:val="005659AC"/>
    <w:rsid w:val="00566B40"/>
    <w:rsid w:val="005670FB"/>
    <w:rsid w:val="005709AA"/>
    <w:rsid w:val="00575370"/>
    <w:rsid w:val="00577A59"/>
    <w:rsid w:val="00577CF9"/>
    <w:rsid w:val="00580839"/>
    <w:rsid w:val="00581C7F"/>
    <w:rsid w:val="005825B8"/>
    <w:rsid w:val="00583256"/>
    <w:rsid w:val="005835EF"/>
    <w:rsid w:val="00583611"/>
    <w:rsid w:val="00591B6A"/>
    <w:rsid w:val="0059201E"/>
    <w:rsid w:val="005929EF"/>
    <w:rsid w:val="00595839"/>
    <w:rsid w:val="0059606B"/>
    <w:rsid w:val="005A2259"/>
    <w:rsid w:val="005A4A8E"/>
    <w:rsid w:val="005A663E"/>
    <w:rsid w:val="005A751D"/>
    <w:rsid w:val="005B2329"/>
    <w:rsid w:val="005B388F"/>
    <w:rsid w:val="005B5356"/>
    <w:rsid w:val="005B6FF9"/>
    <w:rsid w:val="005C23B9"/>
    <w:rsid w:val="005C39C2"/>
    <w:rsid w:val="005C3F61"/>
    <w:rsid w:val="005C45DA"/>
    <w:rsid w:val="005C5863"/>
    <w:rsid w:val="005C7D00"/>
    <w:rsid w:val="005D2A8C"/>
    <w:rsid w:val="005D4D91"/>
    <w:rsid w:val="005D5270"/>
    <w:rsid w:val="005D599D"/>
    <w:rsid w:val="005D6910"/>
    <w:rsid w:val="005E07E7"/>
    <w:rsid w:val="005E25EE"/>
    <w:rsid w:val="005E3920"/>
    <w:rsid w:val="005E61EA"/>
    <w:rsid w:val="005F0C62"/>
    <w:rsid w:val="005F1A6C"/>
    <w:rsid w:val="005F1FFD"/>
    <w:rsid w:val="005F2CF9"/>
    <w:rsid w:val="005F4C09"/>
    <w:rsid w:val="005F5B5D"/>
    <w:rsid w:val="005F69B2"/>
    <w:rsid w:val="00600DBF"/>
    <w:rsid w:val="006012FA"/>
    <w:rsid w:val="006017BA"/>
    <w:rsid w:val="00603376"/>
    <w:rsid w:val="006045CA"/>
    <w:rsid w:val="0060734B"/>
    <w:rsid w:val="00610141"/>
    <w:rsid w:val="00610DF8"/>
    <w:rsid w:val="00611A1E"/>
    <w:rsid w:val="00612CF5"/>
    <w:rsid w:val="00613467"/>
    <w:rsid w:val="006143F8"/>
    <w:rsid w:val="00617B74"/>
    <w:rsid w:val="0062126D"/>
    <w:rsid w:val="00621DC0"/>
    <w:rsid w:val="00623C86"/>
    <w:rsid w:val="0063511A"/>
    <w:rsid w:val="0064137F"/>
    <w:rsid w:val="00643FB7"/>
    <w:rsid w:val="00644D3C"/>
    <w:rsid w:val="00646356"/>
    <w:rsid w:val="006465D7"/>
    <w:rsid w:val="00646E08"/>
    <w:rsid w:val="006479D5"/>
    <w:rsid w:val="0065127C"/>
    <w:rsid w:val="00652063"/>
    <w:rsid w:val="0065345F"/>
    <w:rsid w:val="00653969"/>
    <w:rsid w:val="00654C98"/>
    <w:rsid w:val="0065599A"/>
    <w:rsid w:val="0065649F"/>
    <w:rsid w:val="00657D82"/>
    <w:rsid w:val="00663090"/>
    <w:rsid w:val="0066337E"/>
    <w:rsid w:val="006700FE"/>
    <w:rsid w:val="00670F8B"/>
    <w:rsid w:val="00671DCE"/>
    <w:rsid w:val="006748AD"/>
    <w:rsid w:val="0067583B"/>
    <w:rsid w:val="006778CE"/>
    <w:rsid w:val="00680B6D"/>
    <w:rsid w:val="00686F2A"/>
    <w:rsid w:val="00687D12"/>
    <w:rsid w:val="006910C2"/>
    <w:rsid w:val="0069254A"/>
    <w:rsid w:val="0069341C"/>
    <w:rsid w:val="0069369D"/>
    <w:rsid w:val="006937D5"/>
    <w:rsid w:val="00693C18"/>
    <w:rsid w:val="00695464"/>
    <w:rsid w:val="00695E85"/>
    <w:rsid w:val="006A0322"/>
    <w:rsid w:val="006A23B9"/>
    <w:rsid w:val="006A349D"/>
    <w:rsid w:val="006B0C58"/>
    <w:rsid w:val="006B467C"/>
    <w:rsid w:val="006C1670"/>
    <w:rsid w:val="006C1BF5"/>
    <w:rsid w:val="006C1E5A"/>
    <w:rsid w:val="006C5426"/>
    <w:rsid w:val="006C58DA"/>
    <w:rsid w:val="006C5B36"/>
    <w:rsid w:val="006C78C5"/>
    <w:rsid w:val="006D022B"/>
    <w:rsid w:val="006D12F7"/>
    <w:rsid w:val="006D2DD7"/>
    <w:rsid w:val="006D419B"/>
    <w:rsid w:val="006D5A38"/>
    <w:rsid w:val="006D5B03"/>
    <w:rsid w:val="006D5D5C"/>
    <w:rsid w:val="006D5EAB"/>
    <w:rsid w:val="006E00DD"/>
    <w:rsid w:val="006E04A5"/>
    <w:rsid w:val="006E0B65"/>
    <w:rsid w:val="006E73CF"/>
    <w:rsid w:val="006F06C4"/>
    <w:rsid w:val="006F0D06"/>
    <w:rsid w:val="006F2B6C"/>
    <w:rsid w:val="006F3CE4"/>
    <w:rsid w:val="006F4535"/>
    <w:rsid w:val="006F46BD"/>
    <w:rsid w:val="006F5838"/>
    <w:rsid w:val="006F5C2E"/>
    <w:rsid w:val="006F7423"/>
    <w:rsid w:val="0070126D"/>
    <w:rsid w:val="00702DE2"/>
    <w:rsid w:val="00703A26"/>
    <w:rsid w:val="00710C1C"/>
    <w:rsid w:val="00711D6C"/>
    <w:rsid w:val="00711DEE"/>
    <w:rsid w:val="00712AB7"/>
    <w:rsid w:val="007146B6"/>
    <w:rsid w:val="00715A92"/>
    <w:rsid w:val="00715B46"/>
    <w:rsid w:val="00715E42"/>
    <w:rsid w:val="007171BF"/>
    <w:rsid w:val="007176FB"/>
    <w:rsid w:val="007208A8"/>
    <w:rsid w:val="00721904"/>
    <w:rsid w:val="00721A3B"/>
    <w:rsid w:val="007236A0"/>
    <w:rsid w:val="007265B6"/>
    <w:rsid w:val="00727942"/>
    <w:rsid w:val="007321EF"/>
    <w:rsid w:val="00733696"/>
    <w:rsid w:val="007349C7"/>
    <w:rsid w:val="00736D0B"/>
    <w:rsid w:val="00737639"/>
    <w:rsid w:val="00741152"/>
    <w:rsid w:val="007451FD"/>
    <w:rsid w:val="00745FD4"/>
    <w:rsid w:val="007469E9"/>
    <w:rsid w:val="00747C87"/>
    <w:rsid w:val="00750E3E"/>
    <w:rsid w:val="00751D19"/>
    <w:rsid w:val="00752497"/>
    <w:rsid w:val="00753A10"/>
    <w:rsid w:val="0075414D"/>
    <w:rsid w:val="007553EC"/>
    <w:rsid w:val="007577F8"/>
    <w:rsid w:val="00760DA3"/>
    <w:rsid w:val="00762691"/>
    <w:rsid w:val="007628FF"/>
    <w:rsid w:val="0077047A"/>
    <w:rsid w:val="007724D3"/>
    <w:rsid w:val="00772D1D"/>
    <w:rsid w:val="00772D69"/>
    <w:rsid w:val="00772D6E"/>
    <w:rsid w:val="0077410D"/>
    <w:rsid w:val="007745F6"/>
    <w:rsid w:val="0077569F"/>
    <w:rsid w:val="00781DE6"/>
    <w:rsid w:val="00783B0F"/>
    <w:rsid w:val="00785F98"/>
    <w:rsid w:val="00787602"/>
    <w:rsid w:val="00790703"/>
    <w:rsid w:val="0079219A"/>
    <w:rsid w:val="0079240B"/>
    <w:rsid w:val="0079310E"/>
    <w:rsid w:val="00794424"/>
    <w:rsid w:val="00795BC7"/>
    <w:rsid w:val="007A1E77"/>
    <w:rsid w:val="007A3706"/>
    <w:rsid w:val="007A3B8D"/>
    <w:rsid w:val="007A40EA"/>
    <w:rsid w:val="007A69B0"/>
    <w:rsid w:val="007B2803"/>
    <w:rsid w:val="007B70C7"/>
    <w:rsid w:val="007B75E2"/>
    <w:rsid w:val="007B77DB"/>
    <w:rsid w:val="007C2C6F"/>
    <w:rsid w:val="007D1F36"/>
    <w:rsid w:val="007D2640"/>
    <w:rsid w:val="007D2BCB"/>
    <w:rsid w:val="007D2F5B"/>
    <w:rsid w:val="007D48B3"/>
    <w:rsid w:val="007D534F"/>
    <w:rsid w:val="007E37A3"/>
    <w:rsid w:val="007E6909"/>
    <w:rsid w:val="007E6F08"/>
    <w:rsid w:val="007F0A82"/>
    <w:rsid w:val="007F0F72"/>
    <w:rsid w:val="007F4940"/>
    <w:rsid w:val="007F4AE6"/>
    <w:rsid w:val="007F6F06"/>
    <w:rsid w:val="00800B73"/>
    <w:rsid w:val="008025DF"/>
    <w:rsid w:val="0080306D"/>
    <w:rsid w:val="008032B0"/>
    <w:rsid w:val="00804679"/>
    <w:rsid w:val="00804997"/>
    <w:rsid w:val="00805288"/>
    <w:rsid w:val="0080547F"/>
    <w:rsid w:val="00805786"/>
    <w:rsid w:val="00806FA9"/>
    <w:rsid w:val="00807706"/>
    <w:rsid w:val="00807B9F"/>
    <w:rsid w:val="008117B7"/>
    <w:rsid w:val="0081286A"/>
    <w:rsid w:val="00813756"/>
    <w:rsid w:val="008154CC"/>
    <w:rsid w:val="0082027D"/>
    <w:rsid w:val="00827024"/>
    <w:rsid w:val="00827A73"/>
    <w:rsid w:val="00830030"/>
    <w:rsid w:val="0083014A"/>
    <w:rsid w:val="0083176E"/>
    <w:rsid w:val="00832363"/>
    <w:rsid w:val="00833BDF"/>
    <w:rsid w:val="008358EF"/>
    <w:rsid w:val="0083618F"/>
    <w:rsid w:val="00837189"/>
    <w:rsid w:val="00840754"/>
    <w:rsid w:val="00843473"/>
    <w:rsid w:val="00845BF4"/>
    <w:rsid w:val="00846B9C"/>
    <w:rsid w:val="008479C5"/>
    <w:rsid w:val="00847B3A"/>
    <w:rsid w:val="00850336"/>
    <w:rsid w:val="0085037C"/>
    <w:rsid w:val="008508A6"/>
    <w:rsid w:val="0085170F"/>
    <w:rsid w:val="00853E4A"/>
    <w:rsid w:val="00854295"/>
    <w:rsid w:val="008567F3"/>
    <w:rsid w:val="0085688E"/>
    <w:rsid w:val="00857D30"/>
    <w:rsid w:val="00860533"/>
    <w:rsid w:val="00860740"/>
    <w:rsid w:val="00861160"/>
    <w:rsid w:val="008617A3"/>
    <w:rsid w:val="00864A0E"/>
    <w:rsid w:val="00864E26"/>
    <w:rsid w:val="00866388"/>
    <w:rsid w:val="00866B9D"/>
    <w:rsid w:val="00866DD1"/>
    <w:rsid w:val="008714B2"/>
    <w:rsid w:val="00872E07"/>
    <w:rsid w:val="008745C0"/>
    <w:rsid w:val="00875D51"/>
    <w:rsid w:val="008775A4"/>
    <w:rsid w:val="00882AF7"/>
    <w:rsid w:val="00884F81"/>
    <w:rsid w:val="00886B4A"/>
    <w:rsid w:val="00887898"/>
    <w:rsid w:val="0088794A"/>
    <w:rsid w:val="00890A33"/>
    <w:rsid w:val="0089213C"/>
    <w:rsid w:val="00892ED3"/>
    <w:rsid w:val="00892F40"/>
    <w:rsid w:val="00893EA6"/>
    <w:rsid w:val="008945C4"/>
    <w:rsid w:val="00894B59"/>
    <w:rsid w:val="00896E13"/>
    <w:rsid w:val="008A044B"/>
    <w:rsid w:val="008A0CBE"/>
    <w:rsid w:val="008A3633"/>
    <w:rsid w:val="008A51C9"/>
    <w:rsid w:val="008A56DE"/>
    <w:rsid w:val="008A59E3"/>
    <w:rsid w:val="008A5B11"/>
    <w:rsid w:val="008A5FC6"/>
    <w:rsid w:val="008A6A70"/>
    <w:rsid w:val="008A6F40"/>
    <w:rsid w:val="008A72B8"/>
    <w:rsid w:val="008A7342"/>
    <w:rsid w:val="008B1864"/>
    <w:rsid w:val="008B23B5"/>
    <w:rsid w:val="008B45ED"/>
    <w:rsid w:val="008B7F43"/>
    <w:rsid w:val="008C00F5"/>
    <w:rsid w:val="008C03A4"/>
    <w:rsid w:val="008C379B"/>
    <w:rsid w:val="008C3AAF"/>
    <w:rsid w:val="008C3F63"/>
    <w:rsid w:val="008C4900"/>
    <w:rsid w:val="008C522C"/>
    <w:rsid w:val="008C616E"/>
    <w:rsid w:val="008D1A17"/>
    <w:rsid w:val="008D2729"/>
    <w:rsid w:val="008D435D"/>
    <w:rsid w:val="008E01B6"/>
    <w:rsid w:val="008E1367"/>
    <w:rsid w:val="008E172F"/>
    <w:rsid w:val="008E29BB"/>
    <w:rsid w:val="008E2C84"/>
    <w:rsid w:val="008E4712"/>
    <w:rsid w:val="008F120B"/>
    <w:rsid w:val="008F3E5A"/>
    <w:rsid w:val="008F4FD5"/>
    <w:rsid w:val="008F5120"/>
    <w:rsid w:val="008F5136"/>
    <w:rsid w:val="008F5EF6"/>
    <w:rsid w:val="00900338"/>
    <w:rsid w:val="00904406"/>
    <w:rsid w:val="0090519F"/>
    <w:rsid w:val="0090629E"/>
    <w:rsid w:val="00910239"/>
    <w:rsid w:val="00913195"/>
    <w:rsid w:val="009151B7"/>
    <w:rsid w:val="0091573A"/>
    <w:rsid w:val="00926E96"/>
    <w:rsid w:val="00927B0F"/>
    <w:rsid w:val="00927D3D"/>
    <w:rsid w:val="009326B1"/>
    <w:rsid w:val="00932B2E"/>
    <w:rsid w:val="0093337C"/>
    <w:rsid w:val="009342D4"/>
    <w:rsid w:val="00934A9B"/>
    <w:rsid w:val="009357B6"/>
    <w:rsid w:val="00935EDE"/>
    <w:rsid w:val="00936518"/>
    <w:rsid w:val="00941A12"/>
    <w:rsid w:val="00942F92"/>
    <w:rsid w:val="00943BE9"/>
    <w:rsid w:val="00944C32"/>
    <w:rsid w:val="0094570D"/>
    <w:rsid w:val="00950DA9"/>
    <w:rsid w:val="009517C2"/>
    <w:rsid w:val="00951E4B"/>
    <w:rsid w:val="00953C18"/>
    <w:rsid w:val="00953F1F"/>
    <w:rsid w:val="009572AC"/>
    <w:rsid w:val="00957407"/>
    <w:rsid w:val="009608A3"/>
    <w:rsid w:val="00962CCD"/>
    <w:rsid w:val="009634B0"/>
    <w:rsid w:val="009652EA"/>
    <w:rsid w:val="00965AF3"/>
    <w:rsid w:val="00966254"/>
    <w:rsid w:val="0096656D"/>
    <w:rsid w:val="00971099"/>
    <w:rsid w:val="00972A36"/>
    <w:rsid w:val="00976E3C"/>
    <w:rsid w:val="009809F5"/>
    <w:rsid w:val="0098195E"/>
    <w:rsid w:val="00981F41"/>
    <w:rsid w:val="009828DD"/>
    <w:rsid w:val="0098349A"/>
    <w:rsid w:val="0098360F"/>
    <w:rsid w:val="00984ED0"/>
    <w:rsid w:val="0098541B"/>
    <w:rsid w:val="00985450"/>
    <w:rsid w:val="00985A08"/>
    <w:rsid w:val="00986AA8"/>
    <w:rsid w:val="00990CD5"/>
    <w:rsid w:val="00991240"/>
    <w:rsid w:val="00991E9B"/>
    <w:rsid w:val="00992265"/>
    <w:rsid w:val="009922C6"/>
    <w:rsid w:val="00992C6B"/>
    <w:rsid w:val="0099338A"/>
    <w:rsid w:val="0099391E"/>
    <w:rsid w:val="00994F75"/>
    <w:rsid w:val="009965E3"/>
    <w:rsid w:val="009969F3"/>
    <w:rsid w:val="009A23B6"/>
    <w:rsid w:val="009A7E83"/>
    <w:rsid w:val="009B0343"/>
    <w:rsid w:val="009B1924"/>
    <w:rsid w:val="009B249D"/>
    <w:rsid w:val="009B5103"/>
    <w:rsid w:val="009B524D"/>
    <w:rsid w:val="009B57F7"/>
    <w:rsid w:val="009C0509"/>
    <w:rsid w:val="009C0740"/>
    <w:rsid w:val="009C1C81"/>
    <w:rsid w:val="009C34E7"/>
    <w:rsid w:val="009C4574"/>
    <w:rsid w:val="009C4596"/>
    <w:rsid w:val="009C4EFF"/>
    <w:rsid w:val="009C5979"/>
    <w:rsid w:val="009D1417"/>
    <w:rsid w:val="009D2B19"/>
    <w:rsid w:val="009D3739"/>
    <w:rsid w:val="009D3F3A"/>
    <w:rsid w:val="009D66B7"/>
    <w:rsid w:val="009E0957"/>
    <w:rsid w:val="009E3920"/>
    <w:rsid w:val="009E4452"/>
    <w:rsid w:val="009E5747"/>
    <w:rsid w:val="009E60B3"/>
    <w:rsid w:val="009E705A"/>
    <w:rsid w:val="009E746F"/>
    <w:rsid w:val="009F19EA"/>
    <w:rsid w:val="009F2306"/>
    <w:rsid w:val="009F7A4A"/>
    <w:rsid w:val="00A00F0A"/>
    <w:rsid w:val="00A0232F"/>
    <w:rsid w:val="00A0793C"/>
    <w:rsid w:val="00A07E75"/>
    <w:rsid w:val="00A12ADA"/>
    <w:rsid w:val="00A14CE8"/>
    <w:rsid w:val="00A16132"/>
    <w:rsid w:val="00A214F3"/>
    <w:rsid w:val="00A23E7A"/>
    <w:rsid w:val="00A24046"/>
    <w:rsid w:val="00A241DF"/>
    <w:rsid w:val="00A25184"/>
    <w:rsid w:val="00A25EAF"/>
    <w:rsid w:val="00A27044"/>
    <w:rsid w:val="00A27093"/>
    <w:rsid w:val="00A2778B"/>
    <w:rsid w:val="00A30589"/>
    <w:rsid w:val="00A36050"/>
    <w:rsid w:val="00A36577"/>
    <w:rsid w:val="00A369C7"/>
    <w:rsid w:val="00A40524"/>
    <w:rsid w:val="00A41A88"/>
    <w:rsid w:val="00A43610"/>
    <w:rsid w:val="00A43DBF"/>
    <w:rsid w:val="00A4454D"/>
    <w:rsid w:val="00A445EA"/>
    <w:rsid w:val="00A4488E"/>
    <w:rsid w:val="00A44E70"/>
    <w:rsid w:val="00A4529D"/>
    <w:rsid w:val="00A50486"/>
    <w:rsid w:val="00A5449A"/>
    <w:rsid w:val="00A5485E"/>
    <w:rsid w:val="00A55656"/>
    <w:rsid w:val="00A56B3C"/>
    <w:rsid w:val="00A61E4F"/>
    <w:rsid w:val="00A62890"/>
    <w:rsid w:val="00A62BBD"/>
    <w:rsid w:val="00A640DA"/>
    <w:rsid w:val="00A65C7C"/>
    <w:rsid w:val="00A66B78"/>
    <w:rsid w:val="00A677C8"/>
    <w:rsid w:val="00A7082D"/>
    <w:rsid w:val="00A7158B"/>
    <w:rsid w:val="00A7492E"/>
    <w:rsid w:val="00A774FE"/>
    <w:rsid w:val="00A83E1D"/>
    <w:rsid w:val="00A84837"/>
    <w:rsid w:val="00A854BE"/>
    <w:rsid w:val="00A86298"/>
    <w:rsid w:val="00A90240"/>
    <w:rsid w:val="00A92A66"/>
    <w:rsid w:val="00A941DA"/>
    <w:rsid w:val="00A9605B"/>
    <w:rsid w:val="00AA1805"/>
    <w:rsid w:val="00AA1B1A"/>
    <w:rsid w:val="00AA463F"/>
    <w:rsid w:val="00AA508D"/>
    <w:rsid w:val="00AA56A2"/>
    <w:rsid w:val="00AA638B"/>
    <w:rsid w:val="00AA6854"/>
    <w:rsid w:val="00AB0354"/>
    <w:rsid w:val="00AB16BD"/>
    <w:rsid w:val="00AB32BC"/>
    <w:rsid w:val="00AB3DD8"/>
    <w:rsid w:val="00AB41AC"/>
    <w:rsid w:val="00AB570F"/>
    <w:rsid w:val="00AB6646"/>
    <w:rsid w:val="00AC037B"/>
    <w:rsid w:val="00AC142D"/>
    <w:rsid w:val="00AC2134"/>
    <w:rsid w:val="00AC2CE0"/>
    <w:rsid w:val="00AC421F"/>
    <w:rsid w:val="00AC4578"/>
    <w:rsid w:val="00AC494D"/>
    <w:rsid w:val="00AC61CD"/>
    <w:rsid w:val="00AC6858"/>
    <w:rsid w:val="00AD20E8"/>
    <w:rsid w:val="00AD3388"/>
    <w:rsid w:val="00AD3702"/>
    <w:rsid w:val="00AD466B"/>
    <w:rsid w:val="00AD641B"/>
    <w:rsid w:val="00AD6645"/>
    <w:rsid w:val="00AE1578"/>
    <w:rsid w:val="00AE2ED3"/>
    <w:rsid w:val="00AE48D3"/>
    <w:rsid w:val="00AE509E"/>
    <w:rsid w:val="00AE55FC"/>
    <w:rsid w:val="00AF1B20"/>
    <w:rsid w:val="00AF1E68"/>
    <w:rsid w:val="00AF35C7"/>
    <w:rsid w:val="00AF5258"/>
    <w:rsid w:val="00AF5E37"/>
    <w:rsid w:val="00B00D11"/>
    <w:rsid w:val="00B01A2A"/>
    <w:rsid w:val="00B01C0F"/>
    <w:rsid w:val="00B0358A"/>
    <w:rsid w:val="00B0473C"/>
    <w:rsid w:val="00B05512"/>
    <w:rsid w:val="00B05630"/>
    <w:rsid w:val="00B06449"/>
    <w:rsid w:val="00B1258B"/>
    <w:rsid w:val="00B12ED8"/>
    <w:rsid w:val="00B15FB5"/>
    <w:rsid w:val="00B17C25"/>
    <w:rsid w:val="00B2081B"/>
    <w:rsid w:val="00B20CFA"/>
    <w:rsid w:val="00B23367"/>
    <w:rsid w:val="00B235F0"/>
    <w:rsid w:val="00B24449"/>
    <w:rsid w:val="00B2484C"/>
    <w:rsid w:val="00B2586E"/>
    <w:rsid w:val="00B2624B"/>
    <w:rsid w:val="00B26B0E"/>
    <w:rsid w:val="00B301BE"/>
    <w:rsid w:val="00B319A8"/>
    <w:rsid w:val="00B325AD"/>
    <w:rsid w:val="00B32602"/>
    <w:rsid w:val="00B32B89"/>
    <w:rsid w:val="00B3344A"/>
    <w:rsid w:val="00B33AA8"/>
    <w:rsid w:val="00B33EA3"/>
    <w:rsid w:val="00B3465D"/>
    <w:rsid w:val="00B34B17"/>
    <w:rsid w:val="00B34B19"/>
    <w:rsid w:val="00B41036"/>
    <w:rsid w:val="00B4290A"/>
    <w:rsid w:val="00B44EDF"/>
    <w:rsid w:val="00B46C93"/>
    <w:rsid w:val="00B4767E"/>
    <w:rsid w:val="00B47FCB"/>
    <w:rsid w:val="00B513BD"/>
    <w:rsid w:val="00B55BC8"/>
    <w:rsid w:val="00B56961"/>
    <w:rsid w:val="00B57AFD"/>
    <w:rsid w:val="00B60712"/>
    <w:rsid w:val="00B63326"/>
    <w:rsid w:val="00B66BFB"/>
    <w:rsid w:val="00B67189"/>
    <w:rsid w:val="00B705B8"/>
    <w:rsid w:val="00B70C25"/>
    <w:rsid w:val="00B71A17"/>
    <w:rsid w:val="00B71A2A"/>
    <w:rsid w:val="00B7208F"/>
    <w:rsid w:val="00B72F18"/>
    <w:rsid w:val="00B744E5"/>
    <w:rsid w:val="00B766BD"/>
    <w:rsid w:val="00B76E40"/>
    <w:rsid w:val="00B76F76"/>
    <w:rsid w:val="00B77DB8"/>
    <w:rsid w:val="00B83187"/>
    <w:rsid w:val="00B84157"/>
    <w:rsid w:val="00B85119"/>
    <w:rsid w:val="00B856EE"/>
    <w:rsid w:val="00B85D7D"/>
    <w:rsid w:val="00B90460"/>
    <w:rsid w:val="00B90FD5"/>
    <w:rsid w:val="00B91125"/>
    <w:rsid w:val="00B924BE"/>
    <w:rsid w:val="00B938C6"/>
    <w:rsid w:val="00B93DE1"/>
    <w:rsid w:val="00B94326"/>
    <w:rsid w:val="00B95313"/>
    <w:rsid w:val="00B95412"/>
    <w:rsid w:val="00B956EB"/>
    <w:rsid w:val="00B95858"/>
    <w:rsid w:val="00B96A85"/>
    <w:rsid w:val="00BA0BEA"/>
    <w:rsid w:val="00BA0FD9"/>
    <w:rsid w:val="00BA2B4D"/>
    <w:rsid w:val="00BA2C9D"/>
    <w:rsid w:val="00BA3D81"/>
    <w:rsid w:val="00BA56B1"/>
    <w:rsid w:val="00BB159A"/>
    <w:rsid w:val="00BB6FF7"/>
    <w:rsid w:val="00BC0FE8"/>
    <w:rsid w:val="00BC2403"/>
    <w:rsid w:val="00BC2AAD"/>
    <w:rsid w:val="00BC3914"/>
    <w:rsid w:val="00BC57C7"/>
    <w:rsid w:val="00BC68FF"/>
    <w:rsid w:val="00BC6CC7"/>
    <w:rsid w:val="00BD1AD2"/>
    <w:rsid w:val="00BD2787"/>
    <w:rsid w:val="00BD6F26"/>
    <w:rsid w:val="00BD70E9"/>
    <w:rsid w:val="00BD7D43"/>
    <w:rsid w:val="00BE081D"/>
    <w:rsid w:val="00BE1EA6"/>
    <w:rsid w:val="00BE272A"/>
    <w:rsid w:val="00BE6797"/>
    <w:rsid w:val="00BE707F"/>
    <w:rsid w:val="00BF0716"/>
    <w:rsid w:val="00BF18F6"/>
    <w:rsid w:val="00BF6C99"/>
    <w:rsid w:val="00BF70C7"/>
    <w:rsid w:val="00BF792B"/>
    <w:rsid w:val="00C00133"/>
    <w:rsid w:val="00C0137E"/>
    <w:rsid w:val="00C02B2B"/>
    <w:rsid w:val="00C03659"/>
    <w:rsid w:val="00C048F4"/>
    <w:rsid w:val="00C05CF4"/>
    <w:rsid w:val="00C06E74"/>
    <w:rsid w:val="00C07958"/>
    <w:rsid w:val="00C10B56"/>
    <w:rsid w:val="00C11CA8"/>
    <w:rsid w:val="00C11EE3"/>
    <w:rsid w:val="00C20FD6"/>
    <w:rsid w:val="00C23C11"/>
    <w:rsid w:val="00C254A6"/>
    <w:rsid w:val="00C25A38"/>
    <w:rsid w:val="00C2774A"/>
    <w:rsid w:val="00C27E90"/>
    <w:rsid w:val="00C303A7"/>
    <w:rsid w:val="00C3068E"/>
    <w:rsid w:val="00C31931"/>
    <w:rsid w:val="00C34100"/>
    <w:rsid w:val="00C345EB"/>
    <w:rsid w:val="00C34E4F"/>
    <w:rsid w:val="00C35592"/>
    <w:rsid w:val="00C36058"/>
    <w:rsid w:val="00C36C99"/>
    <w:rsid w:val="00C40C3F"/>
    <w:rsid w:val="00C4164D"/>
    <w:rsid w:val="00C424CE"/>
    <w:rsid w:val="00C45B9C"/>
    <w:rsid w:val="00C513A9"/>
    <w:rsid w:val="00C53D99"/>
    <w:rsid w:val="00C57628"/>
    <w:rsid w:val="00C57FF1"/>
    <w:rsid w:val="00C61E9E"/>
    <w:rsid w:val="00C635B2"/>
    <w:rsid w:val="00C646C4"/>
    <w:rsid w:val="00C6508B"/>
    <w:rsid w:val="00C65709"/>
    <w:rsid w:val="00C65B54"/>
    <w:rsid w:val="00C713BB"/>
    <w:rsid w:val="00C715EC"/>
    <w:rsid w:val="00C739AE"/>
    <w:rsid w:val="00C73E2F"/>
    <w:rsid w:val="00C741FE"/>
    <w:rsid w:val="00C76F20"/>
    <w:rsid w:val="00C81894"/>
    <w:rsid w:val="00C81971"/>
    <w:rsid w:val="00C8416D"/>
    <w:rsid w:val="00C8521F"/>
    <w:rsid w:val="00C86881"/>
    <w:rsid w:val="00C87251"/>
    <w:rsid w:val="00C93B77"/>
    <w:rsid w:val="00C93D7F"/>
    <w:rsid w:val="00C94A7B"/>
    <w:rsid w:val="00C94D3B"/>
    <w:rsid w:val="00C951E1"/>
    <w:rsid w:val="00C96CE9"/>
    <w:rsid w:val="00C97386"/>
    <w:rsid w:val="00C974D8"/>
    <w:rsid w:val="00C97F87"/>
    <w:rsid w:val="00CA1173"/>
    <w:rsid w:val="00CA2DB9"/>
    <w:rsid w:val="00CA31DD"/>
    <w:rsid w:val="00CA3B66"/>
    <w:rsid w:val="00CA5C0F"/>
    <w:rsid w:val="00CB01AD"/>
    <w:rsid w:val="00CB020F"/>
    <w:rsid w:val="00CB141C"/>
    <w:rsid w:val="00CB6AD8"/>
    <w:rsid w:val="00CC1228"/>
    <w:rsid w:val="00CC27B4"/>
    <w:rsid w:val="00CC30D4"/>
    <w:rsid w:val="00CC3C1D"/>
    <w:rsid w:val="00CC5162"/>
    <w:rsid w:val="00CC5870"/>
    <w:rsid w:val="00CC5996"/>
    <w:rsid w:val="00CC5ADD"/>
    <w:rsid w:val="00CC604F"/>
    <w:rsid w:val="00CC7F06"/>
    <w:rsid w:val="00CD4986"/>
    <w:rsid w:val="00CE21A8"/>
    <w:rsid w:val="00CE38BF"/>
    <w:rsid w:val="00CE3996"/>
    <w:rsid w:val="00CE4D72"/>
    <w:rsid w:val="00CE6766"/>
    <w:rsid w:val="00CF4AA6"/>
    <w:rsid w:val="00CF4EDF"/>
    <w:rsid w:val="00CF781B"/>
    <w:rsid w:val="00D03AFA"/>
    <w:rsid w:val="00D04306"/>
    <w:rsid w:val="00D0592D"/>
    <w:rsid w:val="00D15FAA"/>
    <w:rsid w:val="00D161A5"/>
    <w:rsid w:val="00D163D4"/>
    <w:rsid w:val="00D1660D"/>
    <w:rsid w:val="00D1730D"/>
    <w:rsid w:val="00D2041A"/>
    <w:rsid w:val="00D20826"/>
    <w:rsid w:val="00D209E7"/>
    <w:rsid w:val="00D217A5"/>
    <w:rsid w:val="00D21D79"/>
    <w:rsid w:val="00D2617C"/>
    <w:rsid w:val="00D266CB"/>
    <w:rsid w:val="00D305C8"/>
    <w:rsid w:val="00D30AD6"/>
    <w:rsid w:val="00D30F81"/>
    <w:rsid w:val="00D3323B"/>
    <w:rsid w:val="00D33657"/>
    <w:rsid w:val="00D337F7"/>
    <w:rsid w:val="00D34297"/>
    <w:rsid w:val="00D34909"/>
    <w:rsid w:val="00D35C1F"/>
    <w:rsid w:val="00D43EA9"/>
    <w:rsid w:val="00D45B1D"/>
    <w:rsid w:val="00D4636B"/>
    <w:rsid w:val="00D47F0D"/>
    <w:rsid w:val="00D5186A"/>
    <w:rsid w:val="00D5302E"/>
    <w:rsid w:val="00D54E68"/>
    <w:rsid w:val="00D5728F"/>
    <w:rsid w:val="00D578C3"/>
    <w:rsid w:val="00D57948"/>
    <w:rsid w:val="00D61909"/>
    <w:rsid w:val="00D61D1B"/>
    <w:rsid w:val="00D650FA"/>
    <w:rsid w:val="00D725AB"/>
    <w:rsid w:val="00D72644"/>
    <w:rsid w:val="00D73998"/>
    <w:rsid w:val="00D739A1"/>
    <w:rsid w:val="00D73E22"/>
    <w:rsid w:val="00D75EEC"/>
    <w:rsid w:val="00D76A70"/>
    <w:rsid w:val="00D76C68"/>
    <w:rsid w:val="00D8044C"/>
    <w:rsid w:val="00D81943"/>
    <w:rsid w:val="00D823EB"/>
    <w:rsid w:val="00D845D7"/>
    <w:rsid w:val="00D858AB"/>
    <w:rsid w:val="00D85FF3"/>
    <w:rsid w:val="00D861E3"/>
    <w:rsid w:val="00D8625D"/>
    <w:rsid w:val="00D92386"/>
    <w:rsid w:val="00D93653"/>
    <w:rsid w:val="00D95BA9"/>
    <w:rsid w:val="00D95F31"/>
    <w:rsid w:val="00DA01C0"/>
    <w:rsid w:val="00DA4E01"/>
    <w:rsid w:val="00DA5D2A"/>
    <w:rsid w:val="00DA6117"/>
    <w:rsid w:val="00DA67F4"/>
    <w:rsid w:val="00DA6EF5"/>
    <w:rsid w:val="00DA710A"/>
    <w:rsid w:val="00DA7C67"/>
    <w:rsid w:val="00DB01C1"/>
    <w:rsid w:val="00DB0483"/>
    <w:rsid w:val="00DB2711"/>
    <w:rsid w:val="00DB34E8"/>
    <w:rsid w:val="00DB35A7"/>
    <w:rsid w:val="00DB4F39"/>
    <w:rsid w:val="00DB5243"/>
    <w:rsid w:val="00DC266C"/>
    <w:rsid w:val="00DC48E1"/>
    <w:rsid w:val="00DC48EB"/>
    <w:rsid w:val="00DC6CE0"/>
    <w:rsid w:val="00DC7DF8"/>
    <w:rsid w:val="00DD04BD"/>
    <w:rsid w:val="00DD17CD"/>
    <w:rsid w:val="00DD18C3"/>
    <w:rsid w:val="00DD51B2"/>
    <w:rsid w:val="00DD5354"/>
    <w:rsid w:val="00DD6F64"/>
    <w:rsid w:val="00DD7665"/>
    <w:rsid w:val="00DD7B98"/>
    <w:rsid w:val="00DE0D92"/>
    <w:rsid w:val="00DE12CF"/>
    <w:rsid w:val="00DE1815"/>
    <w:rsid w:val="00DE582B"/>
    <w:rsid w:val="00DE67E3"/>
    <w:rsid w:val="00DE6916"/>
    <w:rsid w:val="00DE6BC0"/>
    <w:rsid w:val="00DF05DF"/>
    <w:rsid w:val="00DF2A9F"/>
    <w:rsid w:val="00DF44E3"/>
    <w:rsid w:val="00DF5C8C"/>
    <w:rsid w:val="00DF6169"/>
    <w:rsid w:val="00E01213"/>
    <w:rsid w:val="00E0698F"/>
    <w:rsid w:val="00E07FD2"/>
    <w:rsid w:val="00E13507"/>
    <w:rsid w:val="00E15246"/>
    <w:rsid w:val="00E15E83"/>
    <w:rsid w:val="00E165B7"/>
    <w:rsid w:val="00E1691B"/>
    <w:rsid w:val="00E174D9"/>
    <w:rsid w:val="00E2011A"/>
    <w:rsid w:val="00E20272"/>
    <w:rsid w:val="00E203F7"/>
    <w:rsid w:val="00E22517"/>
    <w:rsid w:val="00E23C29"/>
    <w:rsid w:val="00E23D18"/>
    <w:rsid w:val="00E25418"/>
    <w:rsid w:val="00E262B6"/>
    <w:rsid w:val="00E3062D"/>
    <w:rsid w:val="00E33D7C"/>
    <w:rsid w:val="00E33F30"/>
    <w:rsid w:val="00E358EB"/>
    <w:rsid w:val="00E41BE9"/>
    <w:rsid w:val="00E41CCF"/>
    <w:rsid w:val="00E4387F"/>
    <w:rsid w:val="00E45300"/>
    <w:rsid w:val="00E47D7B"/>
    <w:rsid w:val="00E51D46"/>
    <w:rsid w:val="00E52813"/>
    <w:rsid w:val="00E5413C"/>
    <w:rsid w:val="00E5537B"/>
    <w:rsid w:val="00E57450"/>
    <w:rsid w:val="00E57E13"/>
    <w:rsid w:val="00E60BA3"/>
    <w:rsid w:val="00E60F34"/>
    <w:rsid w:val="00E617C1"/>
    <w:rsid w:val="00E6225B"/>
    <w:rsid w:val="00E62850"/>
    <w:rsid w:val="00E639F0"/>
    <w:rsid w:val="00E645A6"/>
    <w:rsid w:val="00E73B04"/>
    <w:rsid w:val="00E8184E"/>
    <w:rsid w:val="00E82A60"/>
    <w:rsid w:val="00E8344F"/>
    <w:rsid w:val="00E8789B"/>
    <w:rsid w:val="00E87EB3"/>
    <w:rsid w:val="00E87F9D"/>
    <w:rsid w:val="00E904D9"/>
    <w:rsid w:val="00E952CB"/>
    <w:rsid w:val="00E96BD4"/>
    <w:rsid w:val="00E978EC"/>
    <w:rsid w:val="00EA2293"/>
    <w:rsid w:val="00EA2E03"/>
    <w:rsid w:val="00EA4639"/>
    <w:rsid w:val="00EA49FB"/>
    <w:rsid w:val="00EA7A12"/>
    <w:rsid w:val="00EB0883"/>
    <w:rsid w:val="00EB1BB0"/>
    <w:rsid w:val="00EB3E7A"/>
    <w:rsid w:val="00EB4B4E"/>
    <w:rsid w:val="00EC1256"/>
    <w:rsid w:val="00EC1E42"/>
    <w:rsid w:val="00EC3AE2"/>
    <w:rsid w:val="00EC3EA7"/>
    <w:rsid w:val="00EC68E0"/>
    <w:rsid w:val="00EC7D7A"/>
    <w:rsid w:val="00ED02EE"/>
    <w:rsid w:val="00ED2A90"/>
    <w:rsid w:val="00ED34FE"/>
    <w:rsid w:val="00ED4851"/>
    <w:rsid w:val="00ED49DD"/>
    <w:rsid w:val="00ED4D9A"/>
    <w:rsid w:val="00ED5124"/>
    <w:rsid w:val="00ED639A"/>
    <w:rsid w:val="00ED66D7"/>
    <w:rsid w:val="00EE2EAD"/>
    <w:rsid w:val="00EE32AF"/>
    <w:rsid w:val="00EE50CB"/>
    <w:rsid w:val="00EE5CDD"/>
    <w:rsid w:val="00EE7639"/>
    <w:rsid w:val="00EE7D3F"/>
    <w:rsid w:val="00EF02CF"/>
    <w:rsid w:val="00EF031A"/>
    <w:rsid w:val="00EF5D8C"/>
    <w:rsid w:val="00EF6B12"/>
    <w:rsid w:val="00EF71C7"/>
    <w:rsid w:val="00F0003D"/>
    <w:rsid w:val="00F01D7F"/>
    <w:rsid w:val="00F02F0D"/>
    <w:rsid w:val="00F037A1"/>
    <w:rsid w:val="00F03C66"/>
    <w:rsid w:val="00F045CD"/>
    <w:rsid w:val="00F11368"/>
    <w:rsid w:val="00F11FAF"/>
    <w:rsid w:val="00F1238B"/>
    <w:rsid w:val="00F12768"/>
    <w:rsid w:val="00F131F6"/>
    <w:rsid w:val="00F133A1"/>
    <w:rsid w:val="00F13DE4"/>
    <w:rsid w:val="00F14514"/>
    <w:rsid w:val="00F17459"/>
    <w:rsid w:val="00F21D2C"/>
    <w:rsid w:val="00F25521"/>
    <w:rsid w:val="00F30CD7"/>
    <w:rsid w:val="00F310E0"/>
    <w:rsid w:val="00F3142C"/>
    <w:rsid w:val="00F31F17"/>
    <w:rsid w:val="00F321C7"/>
    <w:rsid w:val="00F328DD"/>
    <w:rsid w:val="00F33353"/>
    <w:rsid w:val="00F35166"/>
    <w:rsid w:val="00F3535C"/>
    <w:rsid w:val="00F35889"/>
    <w:rsid w:val="00F36CAF"/>
    <w:rsid w:val="00F371C4"/>
    <w:rsid w:val="00F413DB"/>
    <w:rsid w:val="00F42E6D"/>
    <w:rsid w:val="00F436D9"/>
    <w:rsid w:val="00F46422"/>
    <w:rsid w:val="00F512E2"/>
    <w:rsid w:val="00F5176F"/>
    <w:rsid w:val="00F51BAC"/>
    <w:rsid w:val="00F5229B"/>
    <w:rsid w:val="00F57751"/>
    <w:rsid w:val="00F57F3F"/>
    <w:rsid w:val="00F607B7"/>
    <w:rsid w:val="00F62C6A"/>
    <w:rsid w:val="00F64B8F"/>
    <w:rsid w:val="00F6772F"/>
    <w:rsid w:val="00F7124E"/>
    <w:rsid w:val="00F714BA"/>
    <w:rsid w:val="00F721B8"/>
    <w:rsid w:val="00F775B5"/>
    <w:rsid w:val="00F8319A"/>
    <w:rsid w:val="00F83F29"/>
    <w:rsid w:val="00F85DE3"/>
    <w:rsid w:val="00F86A0F"/>
    <w:rsid w:val="00F875CB"/>
    <w:rsid w:val="00F92F1F"/>
    <w:rsid w:val="00F938E1"/>
    <w:rsid w:val="00F93F7E"/>
    <w:rsid w:val="00F943E5"/>
    <w:rsid w:val="00F94D99"/>
    <w:rsid w:val="00F96697"/>
    <w:rsid w:val="00F974DD"/>
    <w:rsid w:val="00F97E66"/>
    <w:rsid w:val="00F97E83"/>
    <w:rsid w:val="00FA0447"/>
    <w:rsid w:val="00FA071B"/>
    <w:rsid w:val="00FA1E03"/>
    <w:rsid w:val="00FA3596"/>
    <w:rsid w:val="00FA3905"/>
    <w:rsid w:val="00FA56C9"/>
    <w:rsid w:val="00FA64EC"/>
    <w:rsid w:val="00FB0DA6"/>
    <w:rsid w:val="00FB1AC4"/>
    <w:rsid w:val="00FB4DB9"/>
    <w:rsid w:val="00FB5E8D"/>
    <w:rsid w:val="00FC0C22"/>
    <w:rsid w:val="00FC2632"/>
    <w:rsid w:val="00FC2A51"/>
    <w:rsid w:val="00FC2F65"/>
    <w:rsid w:val="00FC3539"/>
    <w:rsid w:val="00FC3709"/>
    <w:rsid w:val="00FC7E0F"/>
    <w:rsid w:val="00FD0F69"/>
    <w:rsid w:val="00FD31D8"/>
    <w:rsid w:val="00FD3FF7"/>
    <w:rsid w:val="00FD524F"/>
    <w:rsid w:val="00FD7B2A"/>
    <w:rsid w:val="00FD7E66"/>
    <w:rsid w:val="00FE00CD"/>
    <w:rsid w:val="00FE0341"/>
    <w:rsid w:val="00FE11C6"/>
    <w:rsid w:val="00FE12A1"/>
    <w:rsid w:val="00FE54DB"/>
    <w:rsid w:val="00FE6080"/>
    <w:rsid w:val="00FF0C63"/>
    <w:rsid w:val="00FF21DD"/>
    <w:rsid w:val="00FF4FF5"/>
    <w:rsid w:val="00FF7221"/>
    <w:rsid w:val="00FF7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560A17"/>
  <w15:docId w15:val="{253825A0-9341-409E-83A8-28E1818C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4"/>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Cs/>
    </w:rPr>
  </w:style>
  <w:style w:type="paragraph" w:styleId="Heading1">
    <w:name w:val="heading 1"/>
    <w:basedOn w:val="Normal"/>
    <w:link w:val="Heading1Char"/>
    <w:uiPriority w:val="9"/>
    <w:qFormat/>
    <w:rsid w:val="00B34B19"/>
    <w:pPr>
      <w:spacing w:before="100" w:beforeAutospacing="1" w:after="100" w:afterAutospacing="1"/>
      <w:outlineLvl w:val="0"/>
    </w:pPr>
    <w:rPr>
      <w:rFonts w:ascii="Times New Roman" w:hAnsi="Times New Roman" w:cs="Times New Roman"/>
      <w:b/>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157"/>
    <w:pPr>
      <w:ind w:left="720"/>
      <w:contextualSpacing/>
    </w:pPr>
  </w:style>
  <w:style w:type="table" w:styleId="TableGrid">
    <w:name w:val="Table Grid"/>
    <w:basedOn w:val="TableNormal"/>
    <w:uiPriority w:val="39"/>
    <w:rsid w:val="00AB1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53414"/>
    <w:rPr>
      <w:b/>
      <w:bCs/>
    </w:rPr>
  </w:style>
  <w:style w:type="character" w:styleId="Hyperlink">
    <w:name w:val="Hyperlink"/>
    <w:basedOn w:val="DefaultParagraphFont"/>
    <w:uiPriority w:val="99"/>
    <w:unhideWhenUsed/>
    <w:rsid w:val="00DD5354"/>
    <w:rPr>
      <w:color w:val="0563C1" w:themeColor="hyperlink"/>
      <w:u w:val="single"/>
    </w:rPr>
  </w:style>
  <w:style w:type="character" w:styleId="CommentReference">
    <w:name w:val="annotation reference"/>
    <w:basedOn w:val="DefaultParagraphFont"/>
    <w:uiPriority w:val="99"/>
    <w:semiHidden/>
    <w:unhideWhenUsed/>
    <w:rsid w:val="003004B2"/>
    <w:rPr>
      <w:sz w:val="18"/>
      <w:szCs w:val="18"/>
    </w:rPr>
  </w:style>
  <w:style w:type="paragraph" w:styleId="CommentText">
    <w:name w:val="annotation text"/>
    <w:basedOn w:val="Normal"/>
    <w:link w:val="CommentTextChar"/>
    <w:uiPriority w:val="99"/>
    <w:unhideWhenUsed/>
    <w:rsid w:val="003004B2"/>
    <w:rPr>
      <w:szCs w:val="24"/>
    </w:rPr>
  </w:style>
  <w:style w:type="character" w:customStyle="1" w:styleId="CommentTextChar">
    <w:name w:val="Comment Text Char"/>
    <w:basedOn w:val="DefaultParagraphFont"/>
    <w:link w:val="CommentText"/>
    <w:uiPriority w:val="99"/>
    <w:rsid w:val="003004B2"/>
    <w:rPr>
      <w:bCs/>
      <w:szCs w:val="24"/>
    </w:rPr>
  </w:style>
  <w:style w:type="paragraph" w:styleId="CommentSubject">
    <w:name w:val="annotation subject"/>
    <w:basedOn w:val="CommentText"/>
    <w:next w:val="CommentText"/>
    <w:link w:val="CommentSubjectChar"/>
    <w:uiPriority w:val="99"/>
    <w:semiHidden/>
    <w:unhideWhenUsed/>
    <w:rsid w:val="003004B2"/>
    <w:rPr>
      <w:b/>
      <w:sz w:val="20"/>
      <w:szCs w:val="20"/>
    </w:rPr>
  </w:style>
  <w:style w:type="character" w:customStyle="1" w:styleId="CommentSubjectChar">
    <w:name w:val="Comment Subject Char"/>
    <w:basedOn w:val="CommentTextChar"/>
    <w:link w:val="CommentSubject"/>
    <w:uiPriority w:val="99"/>
    <w:semiHidden/>
    <w:rsid w:val="003004B2"/>
    <w:rPr>
      <w:b/>
      <w:bCs/>
      <w:sz w:val="20"/>
      <w:szCs w:val="20"/>
    </w:rPr>
  </w:style>
  <w:style w:type="paragraph" w:styleId="BalloonText">
    <w:name w:val="Balloon Text"/>
    <w:basedOn w:val="Normal"/>
    <w:link w:val="BalloonTextChar"/>
    <w:uiPriority w:val="99"/>
    <w:semiHidden/>
    <w:unhideWhenUsed/>
    <w:rsid w:val="003004B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04B2"/>
    <w:rPr>
      <w:rFonts w:ascii="Times New Roman" w:hAnsi="Times New Roman" w:cs="Times New Roman"/>
      <w:bCs/>
      <w:sz w:val="18"/>
      <w:szCs w:val="18"/>
    </w:rPr>
  </w:style>
  <w:style w:type="paragraph" w:styleId="Revision">
    <w:name w:val="Revision"/>
    <w:hidden/>
    <w:uiPriority w:val="99"/>
    <w:semiHidden/>
    <w:rsid w:val="00363CDB"/>
    <w:rPr>
      <w:bCs/>
    </w:rPr>
  </w:style>
  <w:style w:type="paragraph" w:styleId="DocumentMap">
    <w:name w:val="Document Map"/>
    <w:basedOn w:val="Normal"/>
    <w:link w:val="DocumentMapChar"/>
    <w:uiPriority w:val="99"/>
    <w:semiHidden/>
    <w:unhideWhenUsed/>
    <w:rsid w:val="00EA4639"/>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EA4639"/>
    <w:rPr>
      <w:rFonts w:ascii="Times New Roman" w:hAnsi="Times New Roman" w:cs="Times New Roman"/>
      <w:bCs/>
      <w:szCs w:val="24"/>
    </w:rPr>
  </w:style>
  <w:style w:type="table" w:customStyle="1" w:styleId="TableGridLight1">
    <w:name w:val="Table Grid Light1"/>
    <w:basedOn w:val="TableNormal"/>
    <w:uiPriority w:val="40"/>
    <w:rsid w:val="003519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B34B19"/>
    <w:rPr>
      <w:rFonts w:ascii="Times New Roman" w:hAnsi="Times New Roman" w:cs="Times New Roman"/>
      <w:b/>
      <w:bCs/>
      <w:kern w:val="36"/>
      <w:sz w:val="48"/>
      <w:szCs w:val="48"/>
    </w:rPr>
  </w:style>
  <w:style w:type="paragraph" w:customStyle="1" w:styleId="authors">
    <w:name w:val="authors"/>
    <w:basedOn w:val="Normal"/>
    <w:rsid w:val="00B34B19"/>
    <w:pPr>
      <w:spacing w:before="100" w:beforeAutospacing="1" w:after="100" w:afterAutospacing="1"/>
    </w:pPr>
    <w:rPr>
      <w:rFonts w:ascii="Times New Roman" w:hAnsi="Times New Roman" w:cs="Times New Roman"/>
      <w:bCs w:val="0"/>
      <w:szCs w:val="24"/>
    </w:rPr>
  </w:style>
  <w:style w:type="paragraph" w:styleId="Title">
    <w:name w:val="Title"/>
    <w:aliases w:val="title"/>
    <w:basedOn w:val="Normal"/>
    <w:link w:val="TitleChar"/>
    <w:uiPriority w:val="10"/>
    <w:qFormat/>
    <w:rsid w:val="004C4992"/>
    <w:pPr>
      <w:spacing w:before="100" w:beforeAutospacing="1" w:after="100" w:afterAutospacing="1"/>
    </w:pPr>
    <w:rPr>
      <w:rFonts w:ascii="Times New Roman" w:hAnsi="Times New Roman" w:cs="Times New Roman"/>
      <w:bCs w:val="0"/>
      <w:szCs w:val="24"/>
    </w:rPr>
  </w:style>
  <w:style w:type="character" w:customStyle="1" w:styleId="TitleChar">
    <w:name w:val="Title Char"/>
    <w:aliases w:val="title Char"/>
    <w:basedOn w:val="DefaultParagraphFont"/>
    <w:link w:val="Title"/>
    <w:uiPriority w:val="10"/>
    <w:rsid w:val="004C4992"/>
    <w:rPr>
      <w:rFonts w:ascii="Times New Roman" w:hAnsi="Times New Roman" w:cs="Times New Roman"/>
      <w:szCs w:val="24"/>
    </w:rPr>
  </w:style>
  <w:style w:type="character" w:customStyle="1" w:styleId="apple-converted-space">
    <w:name w:val="apple-converted-space"/>
    <w:basedOn w:val="DefaultParagraphFont"/>
    <w:rsid w:val="004C4992"/>
  </w:style>
  <w:style w:type="paragraph" w:customStyle="1" w:styleId="desc">
    <w:name w:val="desc"/>
    <w:basedOn w:val="Normal"/>
    <w:rsid w:val="004C4992"/>
    <w:pPr>
      <w:spacing w:before="100" w:beforeAutospacing="1" w:after="100" w:afterAutospacing="1"/>
    </w:pPr>
    <w:rPr>
      <w:rFonts w:ascii="Times New Roman" w:hAnsi="Times New Roman" w:cs="Times New Roman"/>
      <w:bCs w:val="0"/>
      <w:szCs w:val="24"/>
    </w:rPr>
  </w:style>
  <w:style w:type="paragraph" w:customStyle="1" w:styleId="details">
    <w:name w:val="details"/>
    <w:basedOn w:val="Normal"/>
    <w:rsid w:val="004C4992"/>
    <w:pPr>
      <w:spacing w:before="100" w:beforeAutospacing="1" w:after="100" w:afterAutospacing="1"/>
    </w:pPr>
    <w:rPr>
      <w:rFonts w:ascii="Times New Roman" w:hAnsi="Times New Roman" w:cs="Times New Roman"/>
      <w:bCs w:val="0"/>
      <w:szCs w:val="24"/>
    </w:rPr>
  </w:style>
  <w:style w:type="character" w:customStyle="1" w:styleId="jrnl">
    <w:name w:val="jrnl"/>
    <w:basedOn w:val="DefaultParagraphFont"/>
    <w:rsid w:val="004C4992"/>
  </w:style>
  <w:style w:type="character" w:customStyle="1" w:styleId="highlight">
    <w:name w:val="highlight"/>
    <w:basedOn w:val="DefaultParagraphFont"/>
    <w:rsid w:val="004C4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698125">
      <w:bodyDiv w:val="1"/>
      <w:marLeft w:val="0"/>
      <w:marRight w:val="0"/>
      <w:marTop w:val="0"/>
      <w:marBottom w:val="0"/>
      <w:divBdr>
        <w:top w:val="none" w:sz="0" w:space="0" w:color="auto"/>
        <w:left w:val="none" w:sz="0" w:space="0" w:color="auto"/>
        <w:bottom w:val="none" w:sz="0" w:space="0" w:color="auto"/>
        <w:right w:val="none" w:sz="0" w:space="0" w:color="auto"/>
      </w:divBdr>
      <w:divsChild>
        <w:div w:id="69423761">
          <w:marLeft w:val="0"/>
          <w:marRight w:val="0"/>
          <w:marTop w:val="34"/>
          <w:marBottom w:val="34"/>
          <w:divBdr>
            <w:top w:val="none" w:sz="0" w:space="0" w:color="auto"/>
            <w:left w:val="none" w:sz="0" w:space="0" w:color="auto"/>
            <w:bottom w:val="none" w:sz="0" w:space="0" w:color="auto"/>
            <w:right w:val="none" w:sz="0" w:space="0" w:color="auto"/>
          </w:divBdr>
        </w:div>
      </w:divsChild>
    </w:div>
    <w:div w:id="1029793588">
      <w:bodyDiv w:val="1"/>
      <w:marLeft w:val="0"/>
      <w:marRight w:val="0"/>
      <w:marTop w:val="0"/>
      <w:marBottom w:val="0"/>
      <w:divBdr>
        <w:top w:val="none" w:sz="0" w:space="0" w:color="auto"/>
        <w:left w:val="none" w:sz="0" w:space="0" w:color="auto"/>
        <w:bottom w:val="none" w:sz="0" w:space="0" w:color="auto"/>
        <w:right w:val="none" w:sz="0" w:space="0" w:color="auto"/>
      </w:divBdr>
      <w:divsChild>
        <w:div w:id="130556435">
          <w:marLeft w:val="0"/>
          <w:marRight w:val="0"/>
          <w:marTop w:val="0"/>
          <w:marBottom w:val="0"/>
          <w:divBdr>
            <w:top w:val="none" w:sz="0" w:space="0" w:color="auto"/>
            <w:left w:val="none" w:sz="0" w:space="0" w:color="auto"/>
            <w:bottom w:val="none" w:sz="0" w:space="0" w:color="auto"/>
            <w:right w:val="none" w:sz="0" w:space="0" w:color="auto"/>
          </w:divBdr>
        </w:div>
      </w:divsChild>
    </w:div>
    <w:div w:id="1142037759">
      <w:bodyDiv w:val="1"/>
      <w:marLeft w:val="0"/>
      <w:marRight w:val="0"/>
      <w:marTop w:val="0"/>
      <w:marBottom w:val="0"/>
      <w:divBdr>
        <w:top w:val="none" w:sz="0" w:space="0" w:color="auto"/>
        <w:left w:val="none" w:sz="0" w:space="0" w:color="auto"/>
        <w:bottom w:val="none" w:sz="0" w:space="0" w:color="auto"/>
        <w:right w:val="none" w:sz="0" w:space="0" w:color="auto"/>
      </w:divBdr>
    </w:div>
    <w:div w:id="1220629160">
      <w:bodyDiv w:val="1"/>
      <w:marLeft w:val="0"/>
      <w:marRight w:val="0"/>
      <w:marTop w:val="0"/>
      <w:marBottom w:val="0"/>
      <w:divBdr>
        <w:top w:val="none" w:sz="0" w:space="0" w:color="auto"/>
        <w:left w:val="none" w:sz="0" w:space="0" w:color="auto"/>
        <w:bottom w:val="none" w:sz="0" w:space="0" w:color="auto"/>
        <w:right w:val="none" w:sz="0" w:space="0" w:color="auto"/>
      </w:divBdr>
    </w:div>
    <w:div w:id="1334188791">
      <w:bodyDiv w:val="1"/>
      <w:marLeft w:val="0"/>
      <w:marRight w:val="0"/>
      <w:marTop w:val="0"/>
      <w:marBottom w:val="0"/>
      <w:divBdr>
        <w:top w:val="none" w:sz="0" w:space="0" w:color="auto"/>
        <w:left w:val="none" w:sz="0" w:space="0" w:color="auto"/>
        <w:bottom w:val="none" w:sz="0" w:space="0" w:color="auto"/>
        <w:right w:val="none" w:sz="0" w:space="0" w:color="auto"/>
      </w:divBdr>
    </w:div>
    <w:div w:id="1747419056">
      <w:bodyDiv w:val="1"/>
      <w:marLeft w:val="0"/>
      <w:marRight w:val="0"/>
      <w:marTop w:val="0"/>
      <w:marBottom w:val="0"/>
      <w:divBdr>
        <w:top w:val="none" w:sz="0" w:space="0" w:color="auto"/>
        <w:left w:val="none" w:sz="0" w:space="0" w:color="auto"/>
        <w:bottom w:val="none" w:sz="0" w:space="0" w:color="auto"/>
        <w:right w:val="none" w:sz="0" w:space="0" w:color="auto"/>
      </w:divBdr>
    </w:div>
    <w:div w:id="17664882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im.shaw@ncl.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F3CD-7ED4-4610-B457-F6CC00FD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1389</TotalTime>
  <Pages>24</Pages>
  <Words>6722</Words>
  <Characters>41489</Characters>
  <Application>Microsoft Office Word</Application>
  <DocSecurity>0</DocSecurity>
  <Lines>345</Lines>
  <Paragraphs>96</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Anneliese Flatt</dc:creator>
  <cp:lastModifiedBy>Marta Bourne</cp:lastModifiedBy>
  <cp:revision>101</cp:revision>
  <cp:lastPrinted>2019-06-25T19:43:00Z</cp:lastPrinted>
  <dcterms:created xsi:type="dcterms:W3CDTF">2019-10-14T09:47:00Z</dcterms:created>
  <dcterms:modified xsi:type="dcterms:W3CDTF">2019-10-15T10:17:00Z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