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6785B1" w14:textId="321757F9" w:rsidR="00A66EDD" w:rsidRPr="00DD1EEC" w:rsidRDefault="000B2C61" w:rsidP="00141659">
      <w:pPr>
        <w:pStyle w:val="BATitle"/>
      </w:pPr>
      <w:r>
        <w:t xml:space="preserve">Micellar Buchwald-Hartwig coupling of aryl and </w:t>
      </w:r>
      <w:r w:rsidRPr="00305F65">
        <w:t>heteroarylamines</w:t>
      </w:r>
      <w:r>
        <w:t xml:space="preserve"> for the synthesis of DNA-encoded libraries</w:t>
      </w:r>
      <w:r w:rsidR="00A66EDD" w:rsidRPr="00DD1EEC">
        <w:t>.</w:t>
      </w:r>
    </w:p>
    <w:p w14:paraId="75B88E99" w14:textId="7AB9615A" w:rsidR="00290495" w:rsidRDefault="00290495" w:rsidP="005D0A6F">
      <w:pPr>
        <w:pStyle w:val="BBAuthorName"/>
      </w:pPr>
      <w:r w:rsidRPr="00290495">
        <w:t>Jessica S. Graham, James H. Hunter and Michael J. Waring*</w:t>
      </w:r>
    </w:p>
    <w:p w14:paraId="1B6785B3" w14:textId="4C646F1D" w:rsidR="00A66EDD" w:rsidRDefault="005D0A6F" w:rsidP="00835CBD">
      <w:pPr>
        <w:pStyle w:val="BCAuthorAddress"/>
      </w:pPr>
      <w:r w:rsidRPr="005D0A6F">
        <w:t>Cancer Research UK Newcastle Drug Discovery Unit, Chemistry, School of Natural and Environmental Sciences, Bedson Building, Newcastle University, Newcastle upon Tyne, NE1 7RU, UK</w:t>
      </w:r>
      <w:r w:rsidR="00157E12">
        <w:t>.</w:t>
      </w:r>
    </w:p>
    <w:p w14:paraId="1B6785B4" w14:textId="35731498" w:rsidR="00BE533F" w:rsidRDefault="00BE533F" w:rsidP="00835CBD">
      <w:pPr>
        <w:pStyle w:val="BGKeywords"/>
      </w:pPr>
      <w:r w:rsidRPr="00310911">
        <w:t xml:space="preserve">KEYWORDS. </w:t>
      </w:r>
      <w:r w:rsidR="003B0737">
        <w:t xml:space="preserve">DNA encoded libraries, Buchwald-Hartwig coupling, </w:t>
      </w:r>
      <w:r w:rsidR="003B6D18">
        <w:t>palladium, aryl amines, heteroarylamines</w:t>
      </w:r>
      <w:r w:rsidRPr="00DD1EEC">
        <w:t>.</w:t>
      </w:r>
    </w:p>
    <w:p w14:paraId="1AE9D327" w14:textId="77777777" w:rsidR="0002798D" w:rsidRPr="0002798D" w:rsidRDefault="0002798D" w:rsidP="0002798D">
      <w:pPr>
        <w:pStyle w:val="BHBriefs"/>
      </w:pPr>
    </w:p>
    <w:p w14:paraId="39CACFED" w14:textId="77777777" w:rsidR="004E35E0" w:rsidRDefault="00552A07" w:rsidP="0002798D">
      <w:pPr>
        <w:pStyle w:val="BDAbstract"/>
      </w:pPr>
      <w:r w:rsidRPr="006532A9">
        <w:rPr>
          <w:rStyle w:val="BDAbstractTitleChar"/>
        </w:rPr>
        <w:t>ABSTRACT</w:t>
      </w:r>
      <w:r w:rsidR="006532A9" w:rsidRPr="006532A9">
        <w:rPr>
          <w:rStyle w:val="BDAbstractTitleChar"/>
        </w:rPr>
        <w:t>:</w:t>
      </w:r>
      <w:r w:rsidRPr="00BE533F">
        <w:t xml:space="preserve"> </w:t>
      </w:r>
      <w:r w:rsidR="00F906A3">
        <w:t>DNA-encoded libraries are a very efficient means of identifying ligands for protein targets in high throughput.</w:t>
      </w:r>
      <w:r w:rsidR="00F906A3" w:rsidRPr="003F4224">
        <w:t xml:space="preserve"> </w:t>
      </w:r>
      <w:r w:rsidR="00F906A3">
        <w:t>To fully maximise their use, it is essential to be able to carry out efficient reactions on DNA-conjugated substrates. Arylamines are privileged motifs in drug-like molecules and methods for their incorporation into DNA-encoded libraries is highly desirable. One of the preferred methods for their prep</w:t>
      </w:r>
      <w:r w:rsidR="008449C7">
        <w:t>a</w:t>
      </w:r>
      <w:r w:rsidR="00F906A3">
        <w:t xml:space="preserve">ration, the Buchwald-Hartwig coupling, does not perform well on-DNA conjugates using current approaches. We report the application of our recently developed micellar technology for on-DNA chemistry to the Buchwald-Hartwig reaction. Optimisation of conditions led to a robust, high yielding method for the synthesis of DNA-conjugated aryl and </w:t>
      </w:r>
      <w:r w:rsidR="00F906A3" w:rsidRPr="00305F65">
        <w:t>heteroarylamine</w:t>
      </w:r>
      <w:r w:rsidR="00F906A3">
        <w:t>s, which is broad in substrate scope for both the arylamine and the DNA-conjugated aryl halide and is fully compatible with DNA-encoding and decoding procedures. This method will enable the preparation of diverse, high fidelity</w:t>
      </w:r>
      <w:r w:rsidR="00F906A3" w:rsidRPr="00F267A8">
        <w:t xml:space="preserve"> </w:t>
      </w:r>
      <w:r w:rsidR="00F906A3">
        <w:t>libraries of biarylamine</w:t>
      </w:r>
      <w:r w:rsidR="008449C7">
        <w:t>s.</w:t>
      </w:r>
    </w:p>
    <w:p w14:paraId="1B6785B7" w14:textId="6ADED748" w:rsidR="008449C7" w:rsidRDefault="008449C7" w:rsidP="00D13841">
      <w:pPr>
        <w:pStyle w:val="TAMainText"/>
      </w:pPr>
    </w:p>
    <w:p w14:paraId="01F5CCC9" w14:textId="6E8D481F" w:rsidR="00D94E13" w:rsidRDefault="00D94E13" w:rsidP="00D607E0">
      <w:pPr>
        <w:pStyle w:val="TAMainText"/>
      </w:pPr>
      <w:r>
        <w:t>TOC Abstract / graphic</w:t>
      </w:r>
    </w:p>
    <w:p w14:paraId="3D14B8A2" w14:textId="5B3BBA63" w:rsidR="00051C5D" w:rsidRPr="008449C7" w:rsidRDefault="00D607E0" w:rsidP="00D607E0">
      <w:pPr>
        <w:pStyle w:val="TAMainText"/>
        <w:sectPr w:rsidR="00051C5D" w:rsidRPr="008449C7" w:rsidSect="008449C7">
          <w:footerReference w:type="even" r:id="rId12"/>
          <w:footerReference w:type="default" r:id="rId13"/>
          <w:type w:val="nextColumn"/>
          <w:pgSz w:w="12240" w:h="15840" w:code="1"/>
          <w:pgMar w:top="720" w:right="1094" w:bottom="720" w:left="1094" w:header="720" w:footer="720" w:gutter="0"/>
          <w:cols w:space="461"/>
        </w:sectPr>
      </w:pPr>
      <w:r>
        <w:object w:dxaOrig="13142" w:dyaOrig="3983" w14:anchorId="109CA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34.15pt;height:70.75pt;mso-position-horizontal:absolute" o:ole="">
            <v:imagedata r:id="rId14" o:title=""/>
          </v:shape>
          <o:OLEObject Type="Embed" ProgID="ChemDraw.Document.6.0" ShapeID="_x0000_i1046" DrawAspect="Content" ObjectID="_1696946759" r:id="rId15"/>
        </w:object>
      </w:r>
      <w:bookmarkStart w:id="0" w:name="_GoBack"/>
      <w:bookmarkEnd w:id="0"/>
    </w:p>
    <w:p w14:paraId="02929502" w14:textId="66EA22AC" w:rsidR="005C62A1" w:rsidRPr="00912C70" w:rsidRDefault="005C62A1" w:rsidP="00912C70">
      <w:pPr>
        <w:pStyle w:val="TESupportingInfoTitle"/>
      </w:pPr>
      <w:r w:rsidRPr="00912C70">
        <w:lastRenderedPageBreak/>
        <w:t>Introduction</w:t>
      </w:r>
    </w:p>
    <w:p w14:paraId="4C6B2865" w14:textId="06907F6A" w:rsidR="005C62A1" w:rsidRPr="003D2D5B" w:rsidRDefault="005C62A1" w:rsidP="00D13841">
      <w:pPr>
        <w:pStyle w:val="TAMainText"/>
      </w:pPr>
      <w:r w:rsidRPr="003D2D5B">
        <w:t>The Buchwald-Hartwig cross-coupling reaction between an amine and an aryl halide is one of the most prominent methods for C-N bond formation.</w:t>
      </w:r>
      <w:r>
        <w:fldChar w:fldCharType="begin" w:fldLock="1"/>
      </w:r>
      <w:r w:rsidR="008D2C4C">
        <w:instrText>ADDIN CSL_CITATION {"citationItems":[{"id":"ITEM-1","itemData":{"DOI":"10.1002/anie.201904795","ISSN":"1433-7851","author":[{"dropping-particle":"","family":"Dorel","given":"Ruth","non-dropping-particle":"","parse-names":false,"suffix":""},{"dropping-particle":"","family":"Grugel","given":"Christian P.","non-dropping-particle":"","parse-names":false,"suffix":""},{"dropping-particle":"","family":"Haydl","given":"Alexander M.","non-dropping-particle":"","parse-names":false,"suffix":""}],"container-title":"Angewandte Chemie International Edition","id":"ITEM-1","issue":"48","issued":{"date-parts":[["2019","11","25"]]},"page":"17118-17129","title":"The Buchwald–Hartwig Amination After 25 Years","type":"article-journal","volume":"58"},"uris":["http://www.mendeley.com/documents/?uuid=446f6315-7601-4e1f-8f44-00cf05436aff"]},{"id":"ITEM-2","itemData":{"DOI":"10.1021/acs.chemrev.6b00512","ISSN":"0009-2665","author":[{"dropping-particle":"","family":"Ruiz-Castillo","given":"Paula","non-dropping-particle":"","parse-names":false,"suffix":""},{"dropping-particle":"","family":"Buchwald","given":"Stephen L.","non-dropping-particle":"","parse-names":false,"suffix":""}],"container-title":"Chemical Reviews","id":"ITEM-2","issue":"19","issued":{"date-parts":[["2016","10","12"]]},"page":"12564-12649","title":"Applications of Palladium-Catalyzed C–N Cross-Coupling Reactions","type":"article-journal","volume":"116"},"uris":["http://www.mendeley.com/documents/?uuid=a8824c06-f0ae-4d03-a6f7-60da4245db97"]},{"id":"ITEM-3","itemData":{"DOI":"10.1016/0040-4039(95)00605-C","ISSN":"00404039","author":[{"dropping-particle":"","family":"Louie","given":"Janis","non-dropping-particle":"","parse-names":false,"suffix":""},{"dropping-particle":"","family":"Hartwig","given":"John F.","non-dropping-particle":"","parse-names":false,"suffix":""}],"container-title":"Tetrahedron Letters","id":"ITEM-3","issue":"21","issued":{"date-parts":[["1995","5"]]},"page":"3609-3612","title":"Palladium-catalyzed synthesis of arylamines from aryl halides. Mechanistic studies lead to coupling in the absence of tin reagents","type":"article-journal","volume":"36"},"uris":["http://www.mendeley.com/documents/?uuid=e6333a85-6157-423b-82d9-0994949eb36a"]},{"id":"ITEM-4","itemData":{"DOI":"10.1002/anie.199513481","ISSN":"0570-0833","author":[{"dropping-particle":"","family":"Guram","given":"Anil S.","non-dropping-particle":"","parse-names":false,"suffix":""},{"dropping-particle":"","family":"Rennels","given":"Roger A.","non-dropping-particle":"","parse-names":false,"suffix":""},{"dropping-particle":"","family":"Buchwald","given":"Stephen L.","non-dropping-particle":"","parse-names":false,"suffix":""}],"container-title":"Angewandte Chemie International Edition in English","id":"ITEM-4","issue":"12","issued":{"date-parts":[["1995","7","7"]]},"page":"1348-1350","title":"A Simple Catalytic Method for the Conversion of Aryl Bromides to Arylamines","type":"article-journal","volume":"34"},"uris":["http://www.mendeley.com/documents/?uuid=28340c80-7948-4fba-81a5-d6fdca67dcbf"]}],"mendeley":{"formattedCitation":"&lt;sup&gt;1–4&lt;/sup&gt;","plainTextFormattedCitation":"1–4","previouslyFormattedCitation":"&lt;sup&gt;1–4&lt;/sup&gt;"},"properties":{"noteIndex":0},"schema":"https://github.com/citation-style-language/schema/raw/master/csl-citation.json"}</w:instrText>
      </w:r>
      <w:r>
        <w:fldChar w:fldCharType="separate"/>
      </w:r>
      <w:r w:rsidR="008D2C4C" w:rsidRPr="008D2C4C">
        <w:rPr>
          <w:noProof/>
          <w:vertAlign w:val="superscript"/>
        </w:rPr>
        <w:t>1–4</w:t>
      </w:r>
      <w:r>
        <w:fldChar w:fldCharType="end"/>
      </w:r>
      <w:r w:rsidRPr="003D2D5B">
        <w:t xml:space="preserve"> Aromatic amines are widely used in medicinal chemistry, notably in the discovery of kinase inhibitors</w:t>
      </w:r>
      <w:r>
        <w:t>. They feature prominently in top selling marketed drugs, for example, osimertinib, palbociclib and rilpivirine</w:t>
      </w:r>
      <w:r w:rsidRPr="003D2D5B">
        <w:t xml:space="preserve"> (Figure 1).</w:t>
      </w:r>
      <w:r>
        <w:fldChar w:fldCharType="begin" w:fldLock="1"/>
      </w:r>
      <w:r w:rsidR="008D2C4C">
        <w:instrText>ADDIN CSL_CITATION {"citationItems":[{"id":"ITEM-1","itemData":{"DOI":"10.1021/jm500973a","ISSN":"0022-2623","author":[{"dropping-particle":"V.","family":"Finlay","given":"M. Raymond","non-dropping-particle":"","parse-names":false,"suffix":""},{"dropping-particle":"","family":"Anderton","given":"Mark","non-dropping-particle":"","parse-names":false,"suffix":""},{"dropping-particle":"","family":"Ashton","given":"Susan","non-dropping-particle":"","parse-names":false,"suffix":""},{"dropping-particle":"","family":"Ballard","given":"Peter","non-dropping-particle":"","parse-names":false,"suffix":""},{"dropping-particle":"","family":"Bethel","given":"Paul A.","non-dropping-particle":"","parse-names":false,"suffix":""},{"dropping-particle":"","family":"Box","given":"Matthew R.","non-dropping-particle":"","parse-names":false,"suffix":""},{"dropping-particle":"","family":"Bradbury","given":"Robert H.","non-dropping-particle":"","parse-names":false,"suffix":""},{"dropping-particle":"","family":"Brown","given":"Simon J.","non-dropping-particle":"","parse-names":false,"suffix":""},{"dropping-particle":"","family":"Butterworth","given":"Sam","non-dropping-particle":"","parse-names":false,"suffix":""},{"dropping-particle":"","family":"Campbell","given":"Andrew","non-dropping-particle":"","parse-names":false,"suffix":""},{"dropping-particle":"","family":"Chorley","given":"Christopher","non-dropping-particle":"","parse-names":false,"suffix":""},{"dropping-particle":"","family":"Colclough","given":"Nicola","non-dropping-particle":"","parse-names":false,"suffix":""},{"dropping-particle":"","family":"Cross","given":"Darren A. E.","non-dropping-particle":"","parse-names":false,"suffix":""},{"dropping-particle":"","family":"Currie","given":"Gordon S.","non-dropping-particle":"","parse-names":false,"suffix":""},{"dropping-particle":"","family":"Grist","given":"Matthew","non-dropping-particle":"","parse-names":false,"suffix":""},{"dropping-particle":"","family":"Hassall","given":"Lorraine","non-dropping-particle":"","parse-names":false,"suffix":""},{"dropping-particle":"","family":"Hill","given":"George B.","non-dropping-particle":"","parse-names":false,"suffix":""},{"dropping-particle":"","family":"James","given":"Daniel","non-dropping-particle":"","parse-names":false,"suffix":""},{"dropping-particle":"","family":"James","given":"Michael","non-dropping-particle":"","parse-names":false,"suffix":""},{"dropping-particle":"","family":"Kemmitt","given":"Paul","non-dropping-particle":"","parse-names":false,"suffix":""},{"dropping-particle":"","family":"Klinowska","given":"Teresa","non-dropping-particle":"","parse-names":false,"suffix":""},{"dropping-particle":"","family":"Lamont","given":"Gillian","non-dropping-particle":"","parse-names":false,"suffix":""},{"dropping-particle":"","family":"Lamont","given":"Scott G.","non-dropping-particle":"","parse-names":false,"suffix":""},{"dropping-particle":"","family":"Martin","given":"Nathaniel","non-dropping-particle":"","parse-names":false,"suffix":""},{"dropping-particle":"","family":"McFarland","given":"Heather L.","non-dropping-particle":"","parse-names":false,"suffix":""},{"dropping-particle":"","family":"Mellor","given":"Martine J.","non-dropping-particle":"","parse-names":false,"suffix":""},{"dropping-particle":"","family":"Orme","given":"Jonathon P.","non-dropping-particle":"","parse-names":false,"suffix":""},{"dropping-particle":"","family":"Perkins","given":"David","non-dropping-particle":"","parse-names":false,"suffix":""},{"dropping-particle":"","family":"Perkins","given":"Paula","non-dropping-particle":"","parse-names":false,"suffix":""},{"dropping-particle":"","family":"Richmond","given":"Graham","non-dropping-particle":"","parse-names":false,"suffix":""},{"dropping-particle":"","family":"Smith","given":"Peter","non-dropping-particle":"","parse-names":false,"suffix":""},{"dropping-particle":"","family":"Ward","given":"Richard A.","non-dropping-particle":"","parse-names":false,"suffix":""},{"dropping-particle":"","family":"Waring","given":"Michael J.","non-dropping-particle":"","parse-names":false,"suffix":""},{"dropping-particle":"","family":"Whittaker","given":"David","non-dropping-particle":"","parse-names":false,"suffix":""},{"dropping-particle":"","family":"Wells","given":"Stuart","non-dropping-particle":"","parse-names":false,"suffix":""},{"dropping-particle":"","family":"Wrigley","given":"Gail L.","non-dropping-particle":"","parse-names":false,"suffix":""}],"container-title":"Journal of Medicinal Chemistry","id":"ITEM-1","issue":"20","issued":{"date-parts":[["2014","10","23"]]},"page":"8249-8267","title":"Discovery of a Potent and Selective EGFR Inhibitor (AZD9291) of Both Sensitizing and T790M Resistance Mutations That Spares the Wild Type Form of the Receptor","type":"article-journal","volume":"57"},"uris":["http://www.mendeley.com/documents/?uuid=1d489bf2-84ea-46e1-bf21-c684580f4655"]},{"id":"ITEM-2","itemData":{"DOI":"10.1021/jm049354h","ISSN":"0022-2623","author":[{"dropping-particle":"","family":"Toogood","given":"Peter L.","non-dropping-particle":"","parse-names":false,"suffix":""},{"dropping-particle":"","family":"Harvey","given":"Patricia J.","non-dropping-particle":"","parse-names":false,"suffix":""},{"dropping-particle":"","family":"Repine","given":"Joseph T.","non-dropping-particle":"","parse-names":false,"suffix":""},{"dropping-particle":"","family":"Sheehan","given":"Derek J.","non-dropping-particle":"","parse-names":false,"suffix":""},{"dropping-particle":"","family":"VanderWel","given":"Scott N.","non-dropping-particle":"","parse-names":false,"suffix":""},{"dropping-particle":"","family":"Zhou","given":"Hairong","non-dropping-particle":"","parse-names":false,"suffix":""},{"dropping-particle":"","family":"Keller","given":"Paul R.","non-dropping-particle":"","parse-names":false,"suffix":""},{"dropping-particle":"","family":"McNamara","given":"Dennis J.","non-dropping-particle":"","parse-names":false,"suffix":""},{"dropping-particle":"","family":"Sherry","given":"Debra","non-dropping-particle":"","parse-names":false,"suffix":""},{"dropping-particle":"","family":"Zhu","given":"Tong","non-dropping-particle":"","parse-names":false,"suffix":""},{"dropping-particle":"","family":"Brodfuehrer","given":"Joanne","non-dropping-particle":"","parse-names":false,"suffix":""},{"dropping-particle":"","family":"Choi","given":"Chung","non-dropping-particle":"","parse-names":false,"suffix":""},{"dropping-particle":"","family":"Barvian","given":"Mark R.","non-dropping-particle":"","parse-names":false,"suffix":""},{"dropping-particle":"","family":"Fry","given":"David W.","non-dropping-particle":"","parse-names":false,"suffix":""}],"container-title":"Journal of Medicinal Chemistry","id":"ITEM-2","issue":"7","issued":{"date-parts":[["2005","4"]]},"page":"2388-2406","title":"Discovery of a Potent and Selective Inhibitor of Cyclin-Dependent Kinase 4/6","type":"article-journal","volume":"48"},"uris":["http://www.mendeley.com/documents/?uuid=addd8e29-830f-4157-a420-838b1f0af06e"]},{"id":"ITEM-3","itemData":{"DOI":"10.1021/jm040840e","ISSN":"0022-2623","author":[{"dropping-particle":"","family":"Janssen","given":"Paul A. J.","non-dropping-particle":"","parse-names":false,"suffix":""},{"dropping-particle":"","family":"Lewi","given":"Paul J.","non-dropping-particle":"","parse-names":false,"suffix":""},{"dropping-particle":"","family":"Arnold","given":"Eddy","non-dropping-particle":"","parse-names":false,"suffix":""},{"dropping-particle":"","family":"Daeyaert","given":"Frits","non-dropping-particle":"","parse-names":false,"suffix":""},{"dropping-particle":"","family":"Jonge","given":"Marc","non-dropping-particle":"de","parse-names":false,"suffix":""},{"dropping-particle":"","family":"Heeres","given":"Jan","non-dropping-particle":"","parse-names":false,"suffix":""},{"dropping-particle":"","family":"Koymans","given":"Luc","non-dropping-particle":"","parse-names":false,"suffix":""},{"dropping-particle":"","family":"Vinkers","given":"Maarten","non-dropping-particle":"","parse-names":false,"suffix":""},{"dropping-particle":"","family":"Guillemont","given":"Jérôme","non-dropping-particle":"","parse-names":false,"suffix":""},{"dropping-particle":"","family":"Pasquier","given":"Elisabeth","non-dropping-particle":"","parse-names":false,"suffix":""},{"dropping-particle":"","family":"Kukla","given":"Mike","non-dropping-particle":"","parse-names":false,"suffix":""},{"dropping-particle":"","family":"Ludovici","given":"Don","non-dropping-particle":"","parse-names":false,"suffix":""},{"dropping-particle":"","family":"Andries","given":"Koen","non-dropping-particle":"","parse-names":false,"suffix":""},{"dropping-particle":"","family":"Béthune","given":"Marie-Pierre","non-dropping-particle":"de","parse-names":false,"suffix":""},{"dropping-particle":"","family":"Pauwels","given":"Rudi","non-dropping-particle":"","parse-names":false,"suffix":""},{"dropping-particle":"","family":"Das","given":"Kalyan","non-dropping-particle":"","parse-names":false,"suffix":""},{"dropping-particle":"","family":"Clark,","given":"Art D.","non-dropping-particle":"","parse-names":false,"suffix":""},{"dropping-particle":"","family":"Frenkel","given":"Yulia Volovik","non-dropping-particle":"","parse-names":false,"suffix":""},{"dropping-particle":"","family":"Hughes","given":"Stephen H.","non-dropping-particle":"","parse-names":false,"suffix":""},{"dropping-particle":"","family":"Medaer","given":"Bart","non-dropping-particle":"","parse-names":false,"suffix":""},{"dropping-particle":"","family":"Knaep","given":"Fons","non-dropping-particle":"De","parse-names":false,"suffix":""},{"dropping-particle":"","family":"Bohets","given":"Hilde","non-dropping-particle":"","parse-names":false,"suffix":""},{"dropping-particle":"","family":"Clerck","given":"Fred","non-dropping-particle":"De","parse-names":false,"suffix":""},{"dropping-particle":"","family":"Lampo","given":"Ann","non-dropping-particle":"","parse-names":false,"suffix":""},{"dropping-particle":"","family":"Williams","given":"Peter","non-dropping-particle":"","parse-names":false,"suffix":""},{"dropping-particle":"","family":"Stoffels","given":"Paul","non-dropping-particle":"","parse-names":false,"suffix":""}],"container-title":"Journal of Medicinal Chemistry","id":"ITEM-3","issue":"6","issued":{"date-parts":[["2005","3"]]},"page":"1901-1909","title":"In Search of a Novel Anti-HIV Drug: Multidisciplinary Coordination in the Discovery of 4-[[4-[[4-[(1 E )-2-Cyanoethenyl]-2,6-dimethylphenyl]amino]-2- pyrimidinyl]amino]benzonitrile (R278474, Rilpivirine)","type":"article-journal","volume":"48"},"uris":["http://www.mendeley.com/documents/?uuid=2c15a447-9c34-4ed0-ac31-fd68cc14ca8a"]},{"id":"ITEM-4","itemData":{"DOI":"10.1039/9781788013093","ISBN":"978-1-78801-083-2","collection-title":"Drug Discovery","editor":[{"dropping-particle":"","family":"Ward","given":"Richard A","non-dropping-particle":"","parse-names":false,"suffix":""},{"dropping-particle":"","family":"Goldberg","given":"Frederick W","non-dropping-particle":"","parse-names":false,"suffix":""}],"id":"ITEM-4","issued":{"date-parts":[["2018"]]},"publisher":"Royal Society of Chemistry","publisher-place":"Cambridge","title":"Kinase Drug Discovery","type":"book"},"uris":["http://www.mendeley.com/documents/?uuid=8b6bc663-9807-45a0-a905-c8f008e04aad"]},{"id":"ITEM-5","itemData":{"DOI":"10.1016/j.phrs.2019.03.006","ISSN":"10436618","author":[{"dropping-particle":"","family":"Roskoski","given":"Robert","non-dropping-particle":"","parse-names":false,"suffix":""}],"container-title":"Pharmacological Research","id":"ITEM-5","issued":{"date-parts":[["2019","6"]]},"page":"19-50","title":"Properties of FDA-approved small molecule protein kinase inhibitors","type":"article-journal","volume":"144"},"uris":["http://www.mendeley.com/documents/?uuid=f7b84d48-2088-40de-beeb-f85fe72443c2"]}],"mendeley":{"formattedCitation":"&lt;sup&gt;5–9&lt;/sup&gt;","plainTextFormattedCitation":"5–9","previouslyFormattedCitation":"&lt;sup&gt;5–9&lt;/sup&gt;"},"properties":{"noteIndex":0},"schema":"https://github.com/citation-style-language/schema/raw/master/csl-citation.json"}</w:instrText>
      </w:r>
      <w:r>
        <w:fldChar w:fldCharType="separate"/>
      </w:r>
      <w:r w:rsidR="008D2C4C" w:rsidRPr="008D2C4C">
        <w:rPr>
          <w:noProof/>
          <w:vertAlign w:val="superscript"/>
        </w:rPr>
        <w:t>5–9</w:t>
      </w:r>
      <w:r>
        <w:fldChar w:fldCharType="end"/>
      </w:r>
      <w:r w:rsidRPr="003D2D5B">
        <w:t xml:space="preserve"> Consequently, their synthesis has attracted much attention in recent years. Although classical methods to construct arylamines, such as nucleophilic aromatic substitution</w:t>
      </w:r>
      <w:r>
        <w:fldChar w:fldCharType="begin" w:fldLock="1"/>
      </w:r>
      <w:r w:rsidR="008D2C4C">
        <w:instrText>ADDIN CSL_CITATION {"citationItems":[{"id":"ITEM-1","itemData":{"DOI":"10.1002/9783527656141","ISBN":"9783527656141","author":[{"dropping-particle":"","family":"Terrier","given":"François","non-dropping-particle":"","parse-names":false,"suffix":""}],"id":"ITEM-1","issued":{"date-parts":[["2013","6","22"]]},"publisher":"Wiley-VCH Verlag GmbH &amp; Co. KGaA","publisher-place":"Weinheim, Germany","title":"Modern Nucleophilic Aromatic Substitution","type":"book"},"uris":["http://www.mendeley.com/documents/?uuid=d649e701-e6fa-452c-a762-aec10d7ad58a"]}],"mendeley":{"formattedCitation":"&lt;sup&gt;10&lt;/sup&gt;","plainTextFormattedCitation":"10","previouslyFormattedCitation":"&lt;sup&gt;10&lt;/sup&gt;"},"properties":{"noteIndex":0},"schema":"https://github.com/citation-style-language/schema/raw/master/csl-citation.json"}</w:instrText>
      </w:r>
      <w:r>
        <w:fldChar w:fldCharType="separate"/>
      </w:r>
      <w:r w:rsidR="008D2C4C" w:rsidRPr="008D2C4C">
        <w:rPr>
          <w:noProof/>
          <w:vertAlign w:val="superscript"/>
        </w:rPr>
        <w:t>10</w:t>
      </w:r>
      <w:r>
        <w:fldChar w:fldCharType="end"/>
      </w:r>
      <w:r w:rsidRPr="003D2D5B">
        <w:t xml:space="preserve"> and Cu-catalysed aminations,</w:t>
      </w:r>
      <w:r>
        <w:fldChar w:fldCharType="begin" w:fldLock="1"/>
      </w:r>
      <w:r w:rsidR="008D2C4C">
        <w:instrText>ADDIN CSL_CITATION {"citationItems":[{"id":"ITEM-1","itemData":{"DOI":"10.1039/C3CS60289C","ISSN":"0306-0012","abstract":"Copper-catalysed arylations represent valid and complementary alternatives to Pd catalysis. This review discusses the different mechanisms suggested for these reactions, and summarises some of their latest applications in synthesis.","author":[{"dropping-particle":"","family":"Sambiagio","given":"Carlo","non-dropping-particle":"","parse-names":false,"suffix":""},{"dropping-particle":"","family":"Marsden","given":"Stephen P.","non-dropping-particle":"","parse-names":false,"suffix":""},{"dropping-particle":"","family":"Blacker","given":"A. John","non-dropping-particle":"","parse-names":false,"suffix":""},{"dropping-particle":"","family":"McGowan","given":"Patrick C.","non-dropping-particle":"","parse-names":false,"suffix":""}],"container-title":"Chem. Soc. Rev.","id":"ITEM-1","issue":"10","issued":{"date-parts":[["2014"]]},"page":"3525-3550","title":"Copper catalysed Ullmann type chemistry: from mechanistic aspects to modern development","type":"article-journal","volume":"43"},"uris":["http://www.mendeley.com/documents/?uuid=340550bb-f7a0-49d7-9b51-1a643095cb76"]}],"mendeley":{"formattedCitation":"&lt;sup&gt;11&lt;/sup&gt;","plainTextFormattedCitation":"11","previouslyFormattedCitation":"&lt;sup&gt;11&lt;/sup&gt;"},"properties":{"noteIndex":0},"schema":"https://github.com/citation-style-language/schema/raw/master/csl-citation.json"}</w:instrText>
      </w:r>
      <w:r>
        <w:fldChar w:fldCharType="separate"/>
      </w:r>
      <w:r w:rsidR="008D2C4C" w:rsidRPr="008D2C4C">
        <w:rPr>
          <w:noProof/>
          <w:vertAlign w:val="superscript"/>
        </w:rPr>
        <w:t>11</w:t>
      </w:r>
      <w:r>
        <w:fldChar w:fldCharType="end"/>
      </w:r>
      <w:r w:rsidRPr="003D2D5B">
        <w:t xml:space="preserve"> are still prominent, these approaches are limited</w:t>
      </w:r>
      <w:r>
        <w:t xml:space="preserve"> in</w:t>
      </w:r>
      <w:r w:rsidRPr="003D2D5B">
        <w:t xml:space="preserve"> scope</w:t>
      </w:r>
      <w:r>
        <w:t>; n</w:t>
      </w:r>
      <w:r w:rsidRPr="003D2D5B">
        <w:t xml:space="preserve">ucleophilic substitution requires a suitably electron poor aryl halide, for example. In recent years, palladium catalysed amination of aryl halides </w:t>
      </w:r>
      <w:r>
        <w:t xml:space="preserve">(Buchwald-Hartwig reaction) </w:t>
      </w:r>
      <w:r w:rsidRPr="003D2D5B">
        <w:t>has emerged as one of the most direct and viable methods to synthesise aromatic amines.</w:t>
      </w:r>
      <w:r w:rsidRPr="0081271F">
        <w:t xml:space="preserve"> </w:t>
      </w:r>
      <w:r>
        <w:t>Accordingly, arylamine forming reactions are commonly used in parallel synthesis for the generation of lead-like screening libraries.</w:t>
      </w:r>
      <w:r>
        <w:fldChar w:fldCharType="begin" w:fldLock="1"/>
      </w:r>
      <w:r w:rsidR="008D2C4C">
        <w:instrText>ADDIN CSL_CITATION {"citationItems":[{"id":"ITEM-1","itemData":{"DOI":"10.1021/jm200187y","ISSN":"0022-2623","author":[{"dropping-particle":"","family":"Roughley","given":"Stephen D.","non-dropping-particle":"","parse-names":false,"suffix":""},{"dropping-particle":"","family":"Jordan","given":"Allan M.","non-dropping-particle":"","parse-names":false,"suffix":""}],"container-title":"Journal of Medicinal Chemistry","id":"ITEM-1","issue":"10","issued":{"date-parts":[["2011","5","26"]]},"page":"3451-3479","title":"The Medicinal Chemist’s Toolbox: An Analysis of Reactions Used in the Pursuit of Drug Candidates","type":"article-journal","volume":"54"},"uris":["http://www.mendeley.com/documents/?uuid=f064d797-2243-4f25-bc5f-316c838e89b0"]}],"mendeley":{"formattedCitation":"&lt;sup&gt;12&lt;/sup&gt;","plainTextFormattedCitation":"12","previouslyFormattedCitation":"&lt;sup&gt;12&lt;/sup&gt;"},"properties":{"noteIndex":0},"schema":"https://github.com/citation-style-language/schema/raw/master/csl-citation.json"}</w:instrText>
      </w:r>
      <w:r>
        <w:fldChar w:fldCharType="separate"/>
      </w:r>
      <w:r w:rsidR="008D2C4C" w:rsidRPr="008D2C4C">
        <w:rPr>
          <w:noProof/>
          <w:vertAlign w:val="superscript"/>
        </w:rPr>
        <w:t>12</w:t>
      </w:r>
      <w:r>
        <w:fldChar w:fldCharType="end"/>
      </w:r>
      <w:r w:rsidRPr="001607FC">
        <w:rPr>
          <w:vertAlign w:val="superscript"/>
        </w:rPr>
        <w:t>,</w:t>
      </w:r>
      <w:r>
        <w:rPr>
          <w:vertAlign w:val="superscript"/>
        </w:rPr>
        <w:fldChar w:fldCharType="begin" w:fldLock="1"/>
      </w:r>
      <w:r w:rsidR="008D2C4C">
        <w:rPr>
          <w:vertAlign w:val="superscript"/>
        </w:rPr>
        <w:instrText>ADDIN CSL_CITATION {"citationItems":[{"id":"ITEM-1","itemData":{"DOI":"10.1021/acs.jmedchem.5b01409","ISSN":"0022-2623","author":[{"dropping-particle":"","family":"Brown","given":"Dean G.","non-dropping-particle":"","parse-names":false,"suffix":""},{"dropping-particle":"","family":"Boström","given":"Jonas","non-dropping-particle":"","parse-names":false,"suffix":""}],"container-title":"Journal of Medicinal Chemistry","id":"ITEM-1","issue":"10","issued":{"date-parts":[["2016","5","26"]]},"page":"4443-4458","title":"Analysis of Past and Present Synthetic Methodologies on Medicinal Chemistry: Where Have All the New Reactions Gone?","type":"article-journal","volume":"59"},"uris":["http://www.mendeley.com/documents/?uuid=21bca576-f29b-4838-9833-3b247aa61beb"]}],"mendeley":{"formattedCitation":"&lt;sup&gt;13&lt;/sup&gt;","plainTextFormattedCitation":"13","previouslyFormattedCitation":"&lt;sup&gt;13&lt;/sup&gt;"},"properties":{"noteIndex":0},"schema":"https://github.com/citation-style-language/schema/raw/master/csl-citation.json"}</w:instrText>
      </w:r>
      <w:r>
        <w:rPr>
          <w:vertAlign w:val="superscript"/>
        </w:rPr>
        <w:fldChar w:fldCharType="separate"/>
      </w:r>
      <w:r w:rsidR="008D2C4C" w:rsidRPr="008D2C4C">
        <w:rPr>
          <w:noProof/>
          <w:vertAlign w:val="superscript"/>
        </w:rPr>
        <w:t>13</w:t>
      </w:r>
      <w:r>
        <w:rPr>
          <w:vertAlign w:val="superscript"/>
        </w:rPr>
        <w:fldChar w:fldCharType="end"/>
      </w:r>
    </w:p>
    <w:p w14:paraId="45F98D26" w14:textId="77777777" w:rsidR="005C62A1" w:rsidRDefault="005C62A1" w:rsidP="005C62A1">
      <w:pPr>
        <w:rPr>
          <w:szCs w:val="14"/>
        </w:rPr>
      </w:pPr>
      <w:r>
        <w:rPr>
          <w:noProof/>
          <w:lang w:val="en-GB" w:eastAsia="en-GB"/>
        </w:rPr>
        <w:drawing>
          <wp:inline distT="0" distB="0" distL="0" distR="0" wp14:anchorId="2FFFB33B" wp14:editId="7F8BBA4B">
            <wp:extent cx="3171825" cy="876300"/>
            <wp:effectExtent l="0" t="0" r="3175" b="0"/>
            <wp:docPr id="69" name="Object 3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4"/>
                    <pic:cNvPicPr>
                      <a:picLocks noGrp="1" noRot="1" noChangeAspect="1" noEditPoints="1" noAdjustHandles="1" noChangeArrowheads="1" noChangeShapeType="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1825" cy="876300"/>
                    </a:xfrm>
                    <a:prstGeom prst="rect">
                      <a:avLst/>
                    </a:prstGeom>
                    <a:noFill/>
                    <a:ln>
                      <a:noFill/>
                    </a:ln>
                  </pic:spPr>
                </pic:pic>
              </a:graphicData>
            </a:graphic>
          </wp:inline>
        </w:drawing>
      </w:r>
    </w:p>
    <w:p w14:paraId="11A8CF36" w14:textId="77777777" w:rsidR="005C62A1" w:rsidRDefault="005C62A1" w:rsidP="005C62A1">
      <w:pPr>
        <w:pStyle w:val="VAFigureCaption"/>
      </w:pPr>
      <w:r w:rsidRPr="009F7157">
        <w:rPr>
          <w:b/>
          <w:bCs/>
        </w:rPr>
        <w:t>Figure 1.</w:t>
      </w:r>
      <w:r w:rsidRPr="007154D9">
        <w:t xml:space="preserve"> </w:t>
      </w:r>
      <w:r>
        <w:t>Example FDA approved drugs</w:t>
      </w:r>
      <w:r w:rsidRPr="007154D9">
        <w:t xml:space="preserve"> possess</w:t>
      </w:r>
      <w:r>
        <w:t>ing</w:t>
      </w:r>
      <w:r w:rsidRPr="007154D9">
        <w:t xml:space="preserve"> an aromatic amine.</w:t>
      </w:r>
    </w:p>
    <w:p w14:paraId="14220D62" w14:textId="098B0EB7" w:rsidR="005C62A1" w:rsidRPr="00C4546E" w:rsidRDefault="005C62A1" w:rsidP="00D13841">
      <w:pPr>
        <w:pStyle w:val="TAMainText"/>
        <w:rPr>
          <w:bCs/>
        </w:rPr>
      </w:pPr>
      <w:r>
        <w:t>DNA-encoded Libraries (DELs) have attracted much attention in recent years as an efficient means to identify hit compounds for a drug discovery campaign.</w:t>
      </w:r>
      <w:r>
        <w:fldChar w:fldCharType="begin" w:fldLock="1"/>
      </w:r>
      <w:r w:rsidR="008D2C4C">
        <w:instrText>ADDIN CSL_CITATION {"citationItems":[{"id":"ITEM-1","itemData":{"DOI":"10.1038/nrd.2016.213","ISBN":"1474-1784 (Electronic) 1474-1776 (Linking)","ISSN":"1474-1776","PMID":"27932801","abstract":"DNA-encoded chemical library technologies are increasingly being adopted in drug discovery for hit and lead generation. DNA-encoded chemistry enables the exploration of chemical spaces four to five orders of magnitude more deeply than is achievable by traditional high-throughput screening methods. Operation of this technology requires developing a range of capabilities including aqueous synthetic chemistry, building block acquisition, oligonucleotide conjugation, large-scale molecular biological transformations, selection methodologies, PCR, sequencing, sequence data analysis and the analysis of large chemistry spaces. This Review provides an overview of the development and applications of DNA-encoded chemistry, highlighting the challenges and future directions for the use of this technology.","author":[{"dropping-particle":"","family":"Goodnow","given":"Robert A.","non-dropping-particle":"","parse-names":false,"suffix":""},{"dropping-particle":"","family":"Dumelin","given":"Christoph E.","non-dropping-particle":"","parse-names":false,"suffix":""},{"dropping-particle":"","family":"Keefe","given":"Anthony D.","non-dropping-particle":"","parse-names":false,"suffix":""}],"container-title":"Nature Reviews Drug Discovery","id":"ITEM-1","issue":"2","issued":{"date-parts":[["2016","12","9"]]},"page":"131-147","title":"DNA-encoded chemistry: enabling the deeper sampling of chemical space","type":"article-journal","volume":"16"},"uris":["http://www.mendeley.com/documents/?uuid=9e15b207-b1c6-44b2-ab2b-8a8c105bbdd9"]},{"id":"ITEM-2","itemData":{"DOI":"10.1038/nchembio.211","ISSN":"1552-4450","author":[{"dropping-particle":"","family":"Clark","given":"Matthew A","non-dropping-particle":"","parse-names":false,"suffix":""},{"dropping-particle":"","family":"Acharya","given":"Raksha A","non-dropping-particle":"","parse-names":false,"suffix":""},{"dropping-particle":"","family":"Arico-Muendel","given":"Christopher C","non-dropping-particle":"","parse-names":false,"suffix":""},{"dropping-particle":"","family":"Belyanskaya","given":"Svetlana L","non-dropping-particle":"","parse-names":false,"suffix":""},{"dropping-particle":"","family":"Benjamin","given":"Dennis R","non-dropping-particle":"","parse-names":false,"suffix":""},{"dropping-particle":"","family":"Carlson","given":"Neil R","non-dropping-particle":"","parse-names":false,"suffix":""},{"dropping-particle":"","family":"Centrella","given":"Paolo A","non-dropping-particle":"","parse-names":false,"suffix":""},{"dropping-particle":"","family":"Chiu","given":"Cynthia H","non-dropping-particle":"","parse-names":false,"suffix":""},{"dropping-particle":"","family":"Creaser","given":"Steffen P","non-dropping-particle":"","parse-names":false,"suffix":""},{"dropping-particle":"","family":"Cuozzo","given":"John W","non-dropping-particle":"","parse-names":false,"suffix":""},{"dropping-particle":"","family":"Davie","given":"Christopher P","non-dropping-particle":"","parse-names":false,"suffix":""},{"dropping-particle":"","family":"Ding","given":"Yun","non-dropping-particle":"","parse-names":false,"suffix":""},{"dropping-particle":"","family":"Franklin","given":"G Joseph","non-dropping-particle":"","parse-names":false,"suffix":""},{"dropping-particle":"","family":"Franzen","given":"Kurt D","non-dropping-particle":"","parse-names":false,"suffix":""},{"dropping-particle":"","family":"Gefter","given":"Malcolm L","non-dropping-particle":"","parse-names":false,"suffix":""},{"dropping-particle":"","family":"Hale","given":"Steven P","non-dropping-particle":"","parse-names":false,"suffix":""},{"dropping-particle":"V","family":"Hansen","given":"Nils J","non-dropping-particle":"","parse-names":false,"suffix":""},{"dropping-particle":"","family":"Israel","given":"David I","non-dropping-particle":"","parse-names":false,"suffix":""},{"dropping-particle":"","family":"Jiang","given":"Jinwei","non-dropping-particle":"","parse-names":false,"suffix":""},{"dropping-particle":"","family":"Kavarana","given":"Malcolm J","non-dropping-particle":"","parse-names":false,"suffix":""},{"dropping-particle":"","family":"Kelley","given":"Michael S","non-dropping-particle":"","parse-names":false,"suffix":""},{"dropping-particle":"","family":"Kollmann","given":"Christopher S","non-dropping-particle":"","parse-names":false,"suffix":""},{"dropping-particle":"","family":"Li","given":"Fan","non-dropping-particle":"","parse-names":false,"suffix":""},{"dropping-particle":"","family":"Lind","given":"Kenneth","non-dropping-particle":"","parse-names":false,"suffix":""},{"dropping-particle":"","family":"Mataruse","given":"Sibongile","non-dropping-particle":"","parse-names":false,"suffix":""},{"dropping-particle":"","family":"Medeiros","given":"Patricia F","non-dropping-particle":"","parse-names":false,"suffix":""},{"dropping-particle":"","family":"Messer","given":"Jeffrey A","non-dropping-particle":"","parse-names":false,"suffix":""},{"dropping-particle":"","family":"Myers","given":"Paul","non-dropping-particle":"","parse-names":false,"suffix":""},{"dropping-particle":"","family":"O'Keefe","given":"Heather","non-dropping-particle":"","parse-names":false,"suffix":""},{"dropping-particle":"","family":"Oliff","given":"Matthew C","non-dropping-particle":"","parse-names":false,"suffix":""},{"dropping-particle":"","family":"Rise","given":"Cecil E","non-dropping-particle":"","parse-names":false,"suffix":""},{"dropping-particle":"","family":"Satz","given":"Alexander L","non-dropping-particle":"","parse-names":false,"suffix":""},{"dropping-particle":"","family":"Skinner","given":"Steven R","non-dropping-particle":"","parse-names":false,"suffix":""},{"dropping-particle":"","family":"Svendsen","given":"Jennifer L","non-dropping-particle":"","parse-names":false,"suffix":""},{"dropping-particle":"","family":"Tang","given":"Lujia","non-dropping-particle":"","parse-names":false,"suffix":""},{"dropping-particle":"","family":"Vloten","given":"Kurt","non-dropping-particle":"van","parse-names":false,"suffix":""},{"dropping-particle":"","family":"Wagner","given":"Richard W","non-dropping-particle":"","parse-names":false,"suffix":""},{"dropping-particle":"","family":"Yao","given":"Gang","non-dropping-particle":"","parse-names":false,"suffix":""},{"dropping-particle":"","family":"Zhao","given":"Baoguang","non-dropping-particle":"","parse-names":false,"suffix":""},{"dropping-particle":"","family":"Morgan","given":"Barry A","non-dropping-particle":"","parse-names":false,"suffix":""}],"container-title":"Nature Chemical Biology","id":"ITEM-2","issue":"9","issued":{"date-parts":[["2009","9","2"]]},"page":"647-654","title":"Design, synthesis and selection of DNA-encoded small-molecule libraries","type":"article-journal","volume":"5"},"uris":["http://www.mendeley.com/documents/?uuid=ffb997e2-0624-4741-b539-b99837e4c6d1"]},{"id":"ITEM-3","itemData":{"DOI":"10.1038/nrd.2016.213","ISSN":"1474-1776","author":[{"dropping-particle":"","family":"Goodnow","given":"Robert A.","non-dropping-particle":"","parse-names":false,"suffix":""},{"dropping-particle":"","family":"Dumelin","given":"Christoph E.","non-dropping-particle":"","parse-names":false,"suffix":""},{"dropping-particle":"","family":"Keefe","given":"Anthony D.","non-dropping-particle":"","parse-names":false,"suffix":""}],"container-title":"Nature Reviews Drug Discovery","id":"ITEM-3","issue":"2","issued":{"date-parts":[["2017","2","9"]]},"page":"131-147","title":"DNA-encoded chemistry: enabling the deeper sampling of chemical space","type":"article-journal","volume":"16"},"uris":["http://www.mendeley.com/documents/?uuid=d2a1c4c2-1f5f-4226-b794-5d74be27ff99"]},{"id":"ITEM-4","itemData":{"DOI":"10.1016/j.bmc.2021.116273","ISSN":"09680896","author":[{"dropping-particle":"","family":"Castan","given":"Isaline F.S.F.","non-dropping-particle":"","parse-names":false,"suffix":""},{"dropping-particle":"","family":"Graham","given":"Jessica S.","non-dropping-particle":"","parse-names":false,"suffix":""},{"dropping-particle":"","family":"Salvini","given":"Catherine L.A.","non-dropping-particle":"","parse-names":false,"suffix":""},{"dropping-particle":"","family":"Stanway-Gordon","given":"Harriet A.","non-dropping-particle":"","parse-names":false,"suffix":""},{"dropping-particle":"","family":"Waring","given":"Michael J.","non-dropping-particle":"","parse-names":false,"suffix":""}],"container-title":"Bioorganic &amp; Medicinal Chemistry","id":"ITEM-4","issued":{"date-parts":[["2021","8"]]},"page":"116273","title":"On the design of lead-like DNA-encoded chemical libraries","type":"article-journal","volume":"43"},"uris":["http://www.mendeley.com/documents/?uuid=261d7b7d-4023-4c5c-bfb7-a4546a810773"]}],"mendeley":{"formattedCitation":"&lt;sup&gt;14–17&lt;/sup&gt;","plainTextFormattedCitation":"14–17","previouslyFormattedCitation":"&lt;sup&gt;14–17&lt;/sup&gt;"},"properties":{"noteIndex":0},"schema":"https://github.com/citation-style-language/schema/raw/master/csl-citation.json"}</w:instrText>
      </w:r>
      <w:r>
        <w:fldChar w:fldCharType="separate"/>
      </w:r>
      <w:r w:rsidR="008D2C4C" w:rsidRPr="008D2C4C">
        <w:rPr>
          <w:noProof/>
          <w:vertAlign w:val="superscript"/>
        </w:rPr>
        <w:t>14–17</w:t>
      </w:r>
      <w:r>
        <w:fldChar w:fldCharType="end"/>
      </w:r>
      <w:r>
        <w:t xml:space="preserve"> DELs are mixtures of DNA-tagged small molecules, in which the DNA tag is unique to the chemical structure that it encodes. Typically, these libraries are typically synthesised using multiple cycles of split and pool combinatorial synthesis, </w:t>
      </w:r>
      <w:r>
        <w:rPr>
          <w:bCs/>
        </w:rPr>
        <w:t>in which</w:t>
      </w:r>
      <w:r w:rsidRPr="00DE616E">
        <w:rPr>
          <w:bCs/>
        </w:rPr>
        <w:t xml:space="preserve"> each chemical </w:t>
      </w:r>
      <w:r>
        <w:rPr>
          <w:bCs/>
        </w:rPr>
        <w:t>monomer coupling</w:t>
      </w:r>
      <w:r w:rsidRPr="00DE616E">
        <w:rPr>
          <w:bCs/>
        </w:rPr>
        <w:t xml:space="preserve"> </w:t>
      </w:r>
      <w:r>
        <w:rPr>
          <w:bCs/>
        </w:rPr>
        <w:t>is accompanied by the attachment of an</w:t>
      </w:r>
      <w:r w:rsidRPr="00DE616E">
        <w:rPr>
          <w:bCs/>
        </w:rPr>
        <w:t xml:space="preserve"> encoding DNA oligomer</w:t>
      </w:r>
      <w:r>
        <w:rPr>
          <w:bCs/>
        </w:rPr>
        <w:t xml:space="preserve"> that is unique to each monomer (Figure 2). In this way, the final composite DNA tag serves as a unique barcode for each final compound in the library</w:t>
      </w:r>
      <w:r w:rsidRPr="00DE616E">
        <w:rPr>
          <w:bCs/>
        </w:rPr>
        <w:t>.</w:t>
      </w:r>
      <w:r>
        <w:rPr>
          <w:bCs/>
        </w:rPr>
        <w:t xml:space="preserve"> The resulting libraries can then be screened by affinity selection against an immobilised protein coupled with PCR amplification and DNA sequencing to reveal hits.</w:t>
      </w:r>
    </w:p>
    <w:p w14:paraId="79681601" w14:textId="77777777" w:rsidR="005C62A1" w:rsidRDefault="005C62A1" w:rsidP="00D13841">
      <w:pPr>
        <w:pStyle w:val="TAMainText"/>
      </w:pPr>
      <w:r w:rsidRPr="003D2D5B">
        <w:rPr>
          <w:noProof/>
          <w:lang w:val="en-GB" w:eastAsia="en-GB"/>
        </w:rPr>
        <w:drawing>
          <wp:inline distT="0" distB="0" distL="0" distR="0" wp14:anchorId="2E76C39C" wp14:editId="1D3B14F6">
            <wp:extent cx="3168015" cy="2294255"/>
            <wp:effectExtent l="0" t="0" r="0" b="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8015" cy="2294255"/>
                    </a:xfrm>
                    <a:prstGeom prst="rect">
                      <a:avLst/>
                    </a:prstGeom>
                  </pic:spPr>
                </pic:pic>
              </a:graphicData>
            </a:graphic>
          </wp:inline>
        </w:drawing>
      </w:r>
    </w:p>
    <w:p w14:paraId="2921276A" w14:textId="77777777" w:rsidR="005C62A1" w:rsidRPr="00FB1D2C" w:rsidRDefault="005C62A1" w:rsidP="005C62A1">
      <w:pPr>
        <w:pStyle w:val="VAFigureCaption"/>
      </w:pPr>
      <w:r w:rsidRPr="009F7157">
        <w:rPr>
          <w:b/>
          <w:bCs/>
        </w:rPr>
        <w:t>Figure 2.</w:t>
      </w:r>
      <w:r w:rsidRPr="007154D9">
        <w:t xml:space="preserve"> </w:t>
      </w:r>
      <w:r>
        <w:t>Preparation of a DNA-Encoded Library via split and pool synthesis.</w:t>
      </w:r>
    </w:p>
    <w:p w14:paraId="77F1DB81" w14:textId="28739D73" w:rsidR="005C62A1" w:rsidRPr="00483FA1" w:rsidRDefault="005C62A1" w:rsidP="00D13841">
      <w:pPr>
        <w:pStyle w:val="TAMainText"/>
      </w:pPr>
      <w:r>
        <w:t xml:space="preserve">The success of DELs in hit identification depends on the quality of the libraries, which stems from the efficiency of transformations that are used in their construction. Reactions on DNA-conjugated </w:t>
      </w:r>
      <w:r>
        <w:t>substrates are required traditionally to be carried out in aqueous medium at high dilution using reagents that do not react with the DNA tag (thus precluding, for example, high temperatures, oxidants and acids).</w:t>
      </w:r>
      <w:r>
        <w:fldChar w:fldCharType="begin" w:fldLock="1"/>
      </w:r>
      <w:r w:rsidR="008D2C4C">
        <w:instrText>ADDIN CSL_CITATION {"citationItems":[{"id":"ITEM-1","itemData":{"DOI":"10.1021/acscombsci.5b00198","ISSN":"2156-8952","author":[{"dropping-particle":"","family":"Malone","given":"Marie L.","non-dropping-particle":"","parse-names":false,"suffix":""},{"dropping-particle":"","family":"Paegel","given":"Brian M.","non-dropping-particle":"","parse-names":false,"suffix":""}],"container-title":"ACS Combinatorial Science","id":"ITEM-1","issue":"4","issued":{"date-parts":[["2016","4","11"]]},"page":"182-187","title":"What is a “DNA-Compatible” Reaction?","type":"article-journal","volume":"18"},"uris":["http://www.mendeley.com/documents/?uuid=f4b8d292-ae18-42da-a1e9-250c014d90bc"]}],"mendeley":{"formattedCitation":"&lt;sup&gt;18&lt;/sup&gt;","plainTextFormattedCitation":"18","previouslyFormattedCitation":"&lt;sup&gt;18&lt;/sup&gt;"},"properties":{"noteIndex":0},"schema":"https://github.com/citation-style-language/schema/raw/master/csl-citation.json"}</w:instrText>
      </w:r>
      <w:r>
        <w:fldChar w:fldCharType="separate"/>
      </w:r>
      <w:r w:rsidR="008D2C4C" w:rsidRPr="008D2C4C">
        <w:rPr>
          <w:noProof/>
          <w:vertAlign w:val="superscript"/>
        </w:rPr>
        <w:t>18</w:t>
      </w:r>
      <w:r>
        <w:fldChar w:fldCharType="end"/>
      </w:r>
      <w:r>
        <w:t xml:space="preserve"> To ensure high fidelity of the libraries, the reactions must proceed cleanly with high conversions across a range of substrates. There are a wide range of DNA compatible reactions that have been reported, however these typically proceed with moderate conversion and have limited substrate scope. Consequently, the fidelity and chemical diversity of the libraries that these reactions produce will be compromised. As the field of DELs continues to grow, there is considerable attention devoted to developing new, efficient on-DNA reactions.</w:t>
      </w:r>
      <w:r>
        <w:fldChar w:fldCharType="begin" w:fldLock="1"/>
      </w:r>
      <w:r w:rsidR="008D2C4C">
        <w:instrText>ADDIN CSL_CITATION {"citationItems":[{"id":"ITEM-1","itemData":{"DOI":"10.1039/C7SC00455A","ISSN":"2041-6520","author":[{"dropping-particle":"","family":"Škopić","given":"Mateja Klika","non-dropping-particle":"","parse-names":false,"suffix":""},{"dropping-particle":"","family":"Salamon","given":"Hazem","non-dropping-particle":"","parse-names":false,"suffix":""},{"dropping-particle":"","family":"Bugain","given":"Olivia","non-dropping-particle":"","parse-names":false,"suffix":""},{"dropping-particle":"","family":"Jung","given":"Kathrin","non-dropping-particle":"","parse-names":false,"suffix":""},{"dropping-particle":"","family":"Gohla","given":"Anne","non-dropping-particle":"","parse-names":false,"suffix":""},{"dropping-particle":"","family":"Doetsch","given":"Lara J.","non-dropping-particle":"","parse-names":false,"suffix":""},{"dropping-particle":"dos","family":"Santos","given":"Denise","non-dropping-particle":"","parse-names":false,"suffix":""},{"dropping-particle":"","family":"Bhat","given":"Avinash","non-dropping-particle":"","parse-names":false,"suffix":""},{"dropping-particle":"","family":"Wagner","given":"Bernd","non-dropping-particle":"","parse-names":false,"suffix":""},{"dropping-particle":"","family":"Brunschweiger","given":"Andreas","non-dropping-particle":"","parse-names":false,"suffix":""}],"container-title":"Chem. Sci.","id":"ITEM-1","issued":{"date-parts":[["2017"]]},"title":"Acid- and Au( &lt;scp&gt;i&lt;/scp&gt; )-mediated synthesis of hexathymidine-DNA-heterocycle chimeras, an efficient entry to DNA-encoded libraries inspired by drug structures","type":"article-journal"},"uris":["http://www.mendeley.com/documents/?uuid=3a831280-0024-4eed-b5e6-4c4df92e61ab"]},{"id":"ITEM-2","itemData":{"DOI":"10.1021/jacs.9b05696","ISSN":"0002-7863","author":[{"dropping-particle":"","family":"Škopić","given":"M. Klika","non-dropping-particle":"","parse-names":false,"suffix":""},{"dropping-particle":"","family":"Götte","given":"K.","non-dropping-particle":"","parse-names":false,"suffix":""},{"dropping-particle":"","family":"Gramse","given":"C.","non-dropping-particle":"","parse-names":false,"suffix":""},{"dropping-particle":"","family":"Dieter","given":"M.","non-dropping-particle":"","parse-names":false,"suffix":""},{"dropping-particle":"","family":"Pospich","given":"S.","non-dropping-particle":"","parse-names":false,"suffix":""},{"dropping-particle":"","family":"Raunser","given":"S.","non-dropping-particle":"","parse-names":false,"suffix":""},{"dropping-particle":"","family":"Weberskirch","given":"R.","non-dropping-particle":"","parse-names":false,"suffix":""},{"dropping-particle":"","family":"Brunschweiger","given":"A.","non-dropping-particle":"","parse-names":false,"suffix":""}],"container-title":"Journal of the American Chemical Society","id":"ITEM-2","issue":"26","issued":{"date-parts":[["2019","7","3"]]},"page":"10546-10555","title":"Micellar Brønsted Acid Mediated Synthesis of DNA-Tagged Heterocycles","type":"article-journal","volume":"141"},"uris":["http://www.mendeley.com/documents/?uuid=52d66904-8c17-4942-b4fa-a621459f6851"]},{"id":"ITEM-3","itemData":{"DOI":"10.1016/j.tetlet.2020.151889","ISSN":"00404039","author":[{"dropping-particle":"","family":"Götte","given":"Katharina","non-dropping-particle":"","parse-names":false,"suffix":""},{"dropping-particle":"","family":"Chines","given":"Silvia","non-dropping-particle":"","parse-names":false,"suffix":""},{"dropping-particle":"","family":"Brunschweiger","given":"Andreas","non-dropping-particle":"","parse-names":false,"suffix":""}],"container-title":"Tetrahedron Letters","id":"ITEM-3","issue":"22","issued":{"date-parts":[["2020","5"]]},"page":"151889","title":"Reaction development for DNA-encoded library technology: From evolution to revolution?","type":"article-journal","volume":"61"},"uris":["http://www.mendeley.com/documents/?uuid=f7430d12-ee12-493a-bfa8-a487b2a688c5"]}],"mendeley":{"formattedCitation":"&lt;sup&gt;19–21&lt;/sup&gt;","plainTextFormattedCitation":"19–21","previouslyFormattedCitation":"&lt;sup&gt;19–21&lt;/sup&gt;"},"properties":{"noteIndex":0},"schema":"https://github.com/citation-style-language/schema/raw/master/csl-citation.json"}</w:instrText>
      </w:r>
      <w:r>
        <w:fldChar w:fldCharType="separate"/>
      </w:r>
      <w:r w:rsidR="008D2C4C" w:rsidRPr="008D2C4C">
        <w:rPr>
          <w:noProof/>
          <w:vertAlign w:val="superscript"/>
        </w:rPr>
        <w:t>19–21</w:t>
      </w:r>
      <w:r>
        <w:fldChar w:fldCharType="end"/>
      </w:r>
      <w:r w:rsidRPr="007560B7">
        <w:t xml:space="preserve"> </w:t>
      </w:r>
    </w:p>
    <w:p w14:paraId="147EE771" w14:textId="62E6D06D" w:rsidR="005C62A1" w:rsidRDefault="005C62A1" w:rsidP="00D607E0">
      <w:pPr>
        <w:pStyle w:val="TAMainText"/>
        <w:rPr>
          <w:rFonts w:ascii="Calibri" w:hAnsi="Calibri" w:cs="Calibri"/>
          <w:lang w:eastAsia="en-GB"/>
        </w:rPr>
      </w:pPr>
      <w:r>
        <w:t>One solution to the challenge of performing reactions in aqueous media is to use micellar surfactants.</w:t>
      </w:r>
      <w:r>
        <w:fldChar w:fldCharType="begin" w:fldLock="1"/>
      </w:r>
      <w:r w:rsidR="008D2C4C">
        <w:instrText>ADDIN CSL_CITATION {"citationItems":[{"id":"ITEM-1","itemData":{"DOI":"10.1039/C4GC01368A","ISSN":"1463-9262","abstract":"Micellar catalysis is nowadays a well established approach to convert traditional catalytic reactions commonly run in organic solvents into more efficient, selective, recyclable green catalytic reactions.","author":[{"dropping-particle":"","family":"Sorella","given":"Giorgio","non-dropping-particle":"La","parse-names":false,"suffix":""},{"dropping-particle":"","family":"Strukul","given":"Giorgio","non-dropping-particle":"","parse-names":false,"suffix":""},{"dropping-particle":"","family":"Scarso","given":"Alessandro","non-dropping-particle":"","parse-names":false,"suffix":""}],"container-title":"Green Chemistry","id":"ITEM-1","issue":"2","issued":{"date-parts":[["2015"]]},"page":"644-683","title":"Recent advances in catalysis in micellar media","type":"article-journal","volume":"17"},"uris":["http://www.mendeley.com/documents/?uuid=0b719c21-4780-4b48-bfd7-e7280ecd6dd2"]}],"mendeley":{"formattedCitation":"&lt;sup&gt;22&lt;/sup&gt;","plainTextFormattedCitation":"22","previouslyFormattedCitation":"&lt;sup&gt;22&lt;/sup&gt;"},"properties":{"noteIndex":0},"schema":"https://github.com/citation-style-language/schema/raw/master/csl-citation.json"}</w:instrText>
      </w:r>
      <w:r>
        <w:fldChar w:fldCharType="separate"/>
      </w:r>
      <w:r w:rsidR="008D2C4C" w:rsidRPr="008D2C4C">
        <w:rPr>
          <w:noProof/>
          <w:vertAlign w:val="superscript"/>
        </w:rPr>
        <w:t>22</w:t>
      </w:r>
      <w:r>
        <w:fldChar w:fldCharType="end"/>
      </w:r>
      <w:r>
        <w:t xml:space="preserve"> We have reported the use of the surfactant TPGS-750-M</w:t>
      </w:r>
      <w:r>
        <w:fldChar w:fldCharType="begin" w:fldLock="1"/>
      </w:r>
      <w:r w:rsidR="008D2C4C">
        <w:instrText>ADDIN CSL_CITATION {"citationItems":[{"id":"ITEM-1","itemData":{"DOI":"10.1021/jo101974u","ISSN":"0022-3263","author":[{"dropping-particle":"","family":"Lipshutz","given":"Bruce H.","non-dropping-particle":"","parse-names":false,"suffix":""},{"dropping-particle":"","family":"Ghorai","given":"Subir","non-dropping-particle":"","parse-names":false,"suffix":""},{"dropping-particle":"","family":"Abela","given":"Alexander R.","non-dropping-particle":"","parse-names":false,"suffix":""},{"dropping-particle":"","family":"Moser","given":"Ralph","non-dropping-particle":"","parse-names":false,"suffix":""},{"dropping-particle":"","family":"Nishikata","given":"Takashi","non-dropping-particle":"","parse-names":false,"suffix":""},{"dropping-particle":"","family":"Duplais","given":"Christophe","non-dropping-particle":"","parse-names":false,"suffix":""},{"dropping-particle":"","family":"Krasovskiy","given":"Arkady","non-dropping-particle":"","parse-names":false,"suffix":""},{"dropping-particle":"","family":"Gaston","given":"Ricky D.","non-dropping-particle":"","parse-names":false,"suffix":""},{"dropping-particle":"","family":"Gadwood","given":"Robert C.","non-dropping-particle":"","parse-names":false,"suffix":""}],"container-title":"The Journal of Organic Chemistry","id":"ITEM-1","issue":"11","issued":{"date-parts":[["2011","6","3"]]},"page":"4379-4391","title":"TPGS-750-M: A Second-Generation Amphiphile for Metal-Catalyzed Cross-Couplings in Water at Room Temperature","type":"article-journal","volume":"76"},"uris":["http://www.mendeley.com/documents/?uuid=df442ac6-87e8-4d8b-a72f-1ac636dfde02"]}],"mendeley":{"formattedCitation":"&lt;sup&gt;23&lt;/sup&gt;","plainTextFormattedCitation":"23","previouslyFormattedCitation":"&lt;sup&gt;23&lt;/sup&gt;"},"properties":{"noteIndex":0},"schema":"https://github.com/citation-style-language/schema/raw/master/csl-citation.json"}</w:instrText>
      </w:r>
      <w:r>
        <w:fldChar w:fldCharType="separate"/>
      </w:r>
      <w:r w:rsidR="008D2C4C" w:rsidRPr="008D2C4C">
        <w:rPr>
          <w:noProof/>
          <w:vertAlign w:val="superscript"/>
        </w:rPr>
        <w:t>23</w:t>
      </w:r>
      <w:r>
        <w:fldChar w:fldCharType="end"/>
      </w:r>
      <w:r>
        <w:t xml:space="preserve"> to promote on-DNA Suzuki-Miyaura</w:t>
      </w:r>
      <w:r>
        <w:fldChar w:fldCharType="begin" w:fldLock="1"/>
      </w:r>
      <w:r w:rsidR="008D2C4C">
        <w:instrText>ADDIN CSL_CITATION {"citationItems":[{"id":"ITEM-1","itemData":{"DOI":"10.1021/acs.bioconjchem.9b00838","ISSN":"1043-1802","author":[{"dropping-particle":"","family":"Hunter","given":"James H.","non-dropping-particle":"","parse-names":false,"suffix":""},{"dropping-particle":"","family":"Prendergast","given":"Lisa","non-dropping-particle":"","parse-names":false,"suffix":""},{"dropping-particle":"","family":"Valente","given":"Louis F.","non-dropping-particle":"","parse-names":false,"suffix":""},{"dropping-particle":"","family":"Madin","given":"Andrew","non-dropping-particle":"","parse-names":false,"suffix":""},{"dropping-particle":"","family":"Pairaudeau","given":"Garry","non-dropping-particle":"","parse-names":false,"suffix":""},{"dropping-particle":"","family":"Waring","given":"Michael J.","non-dropping-particle":"","parse-names":false,"suffix":""}],"container-title":"Bioconjugate Chemistry","id":"ITEM-1","issue":"1","issued":{"date-parts":[["2020","1","15"]]},"page":"149-155","title":"High Fidelity Suzuki–Miyaura Coupling for the Synthesis of DNA Encoded Libraries Enabled by Micelle Forming Surfactants","type":"article-journal","volume":"31"},"uris":["http://www.mendeley.com/documents/?uuid=6e6c912d-7a07-41e8-9983-c76f5ceebce1"]}],"mendeley":{"formattedCitation":"&lt;sup&gt;24&lt;/sup&gt;","plainTextFormattedCitation":"24","previouslyFormattedCitation":"&lt;sup&gt;24&lt;/sup&gt;"},"properties":{"noteIndex":0},"schema":"https://github.com/citation-style-language/schema/raw/master/csl-citation.json"}</w:instrText>
      </w:r>
      <w:r>
        <w:fldChar w:fldCharType="separate"/>
      </w:r>
      <w:r w:rsidR="008D2C4C" w:rsidRPr="008D2C4C">
        <w:rPr>
          <w:noProof/>
          <w:vertAlign w:val="superscript"/>
        </w:rPr>
        <w:t>24</w:t>
      </w:r>
      <w:r>
        <w:fldChar w:fldCharType="end"/>
      </w:r>
      <w:r>
        <w:t xml:space="preserve"> and amide coupling reactions.</w:t>
      </w:r>
      <w:r>
        <w:fldChar w:fldCharType="begin" w:fldLock="1"/>
      </w:r>
      <w:r w:rsidR="008D2C4C">
        <w:instrText>ADDIN CSL_CITATION {"citationItems":[{"id":"ITEM-1","itemData":{"DOI":"10.1039/D1SC03007H","ISSN":"2041-6520","abstract":"Highly efficient forward and reverse on-DNA amide couplings were developed exploiting hydrophobic linkers in combination with the micelle forming surfactant TPGS-750M. The method is highly effective for a wide range of substrates in the synthesis of DNA-encoded libraries.","author":[{"dropping-particle":"","family":"Hunter","given":"James H.","non-dropping-particle":"","parse-names":false,"suffix":""},{"dropping-particle":"","family":"Anderson","given":"Matthew J.","non-dropping-particle":"","parse-names":false,"suffix":""},{"dropping-particle":"","family":"Castan","given":"Isaline F. S. F.","non-dropping-particle":"","parse-names":false,"suffix":""},{"dropping-particle":"","family":"Graham","given":"Jessica S.","non-dropping-particle":"","parse-names":false,"suffix":""},{"dropping-particle":"","family":"Salvini","given":"Catherine L. A.","non-dropping-particle":"","parse-names":false,"suffix":""},{"dropping-particle":"","family":"Stanway-Gordon","given":"Harriet A.","non-dropping-particle":"","parse-names":false,"suffix":""},{"dropping-particle":"","family":"Crawford","given":"James J.","non-dropping-particle":"","parse-names":false,"suffix":""},{"dropping-particle":"","family":"Madin","given":"Andrew","non-dropping-particle":"","parse-names":false,"suffix":""},{"dropping-particle":"","family":"Pairaudeau","given":"Garry","non-dropping-particle":"","parse-names":false,"suffix":""},{"dropping-particle":"","family":"Waring","given":"Michael J.","non-dropping-particle":"","parse-names":false,"suffix":""}],"container-title":"Chemical Science","id":"ITEM-1","issue":"27","issued":{"date-parts":[["2021"]]},"page":"9475-9484","title":"Highly efficient on-DNA amide couplings promoted by micelle forming surfactants for the synthesis of DNA encoded libraries","type":"article-journal","volume":"12"},"uris":["http://www.mendeley.com/documents/?uuid=eed7c1d9-fed4-4419-86d2-f04a9c27c574"]}],"mendeley":{"formattedCitation":"&lt;sup&gt;25&lt;/sup&gt;","plainTextFormattedCitation":"25","previouslyFormattedCitation":"&lt;sup&gt;25&lt;/sup&gt;"},"properties":{"noteIndex":0},"schema":"https://github.com/citation-style-language/schema/raw/master/csl-citation.json"}</w:instrText>
      </w:r>
      <w:r>
        <w:fldChar w:fldCharType="separate"/>
      </w:r>
      <w:r w:rsidR="008D2C4C" w:rsidRPr="008D2C4C">
        <w:rPr>
          <w:noProof/>
          <w:vertAlign w:val="superscript"/>
        </w:rPr>
        <w:t>25</w:t>
      </w:r>
      <w:r>
        <w:fldChar w:fldCharType="end"/>
      </w:r>
      <w:r>
        <w:t xml:space="preserve"> Both reactions proceed with excellent conversion to the desired products with minimal side reactions.</w:t>
      </w:r>
    </w:p>
    <w:p w14:paraId="63818C07" w14:textId="5679AF63" w:rsidR="005C62A1" w:rsidRDefault="005C62A1" w:rsidP="0091687E">
      <w:pPr>
        <w:pStyle w:val="TAMainText"/>
      </w:pPr>
      <w:r>
        <w:t xml:space="preserve">Several groups have reported C-N bond forming reactions on DNA, however the conversions reported are suboptimal. </w:t>
      </w:r>
      <w:r w:rsidRPr="00AE1595">
        <w:t>In three pioneering previous studies</w:t>
      </w:r>
      <w:r>
        <w:t>,</w:t>
      </w:r>
      <w:r w:rsidRPr="00AE1595">
        <w:t xml:space="preserve"> greater than 70% conversion was only achieved for a limited number of the substrates screened (3% of </w:t>
      </w:r>
      <w:r>
        <w:t xml:space="preserve">primary aromatic </w:t>
      </w:r>
      <w:r w:rsidRPr="00AE1595">
        <w:t>amines with aryl iodides,</w:t>
      </w:r>
      <w:r>
        <w:fldChar w:fldCharType="begin" w:fldLock="1"/>
      </w:r>
      <w:r w:rsidR="008D2C4C">
        <w:instrText>ADDIN CSL_CITATION {"citationItems":[{"id":"ITEM-1","itemData":{"DOI":"10.1039/C7MD00289K","ISSN":"2040-2503","abstract":"We developed unprecedented Pd and Cu( i ) promoted C–N cross-coupling reactions between a DNA-conjugated aryl iodide and primary amines.","author":[{"dropping-particle":"","family":"Lu","given":"Xiaojie","non-dropping-particle":"","parse-names":false,"suffix":""},{"dropping-particle":"","family":"Roberts","given":"Sarah E.","non-dropping-particle":"","parse-names":false,"suffix":""},{"dropping-particle":"","family":"Franklin","given":"George J.","non-dropping-particle":"","parse-names":false,"suffix":""},{"dropping-particle":"","family":"Davie","given":"Christopher P.","non-dropping-particle":"","parse-names":false,"suffix":""}],"container-title":"MedChemComm","id":"ITEM-1","issue":"8","issued":{"date-parts":[["2017"]]},"page":"1614-1617","title":"On-DNA Pd and Cu promoted C–N cross-coupling reactions","type":"article-journal","volume":"8"},"uris":["http://www.mendeley.com/documents/?uuid=ee2034ea-89bf-4509-a7f2-2664788221a5"]}],"mendeley":{"formattedCitation":"&lt;sup&gt;26&lt;/sup&gt;","plainTextFormattedCitation":"26","previouslyFormattedCitation":"&lt;sup&gt;26&lt;/sup&gt;"},"properties":{"noteIndex":0},"schema":"https://github.com/citation-style-language/schema/raw/master/csl-citation.json"}</w:instrText>
      </w:r>
      <w:r>
        <w:rPr>
          <w:vertAlign w:val="superscript"/>
        </w:rPr>
        <w:fldChar w:fldCharType="separate"/>
      </w:r>
      <w:r w:rsidR="008D2C4C" w:rsidRPr="008D2C4C">
        <w:rPr>
          <w:noProof/>
          <w:vertAlign w:val="superscript"/>
        </w:rPr>
        <w:t>26</w:t>
      </w:r>
      <w:r>
        <w:fldChar w:fldCharType="end"/>
      </w:r>
      <w:r>
        <w:t xml:space="preserve"> </w:t>
      </w:r>
      <w:r w:rsidRPr="00AE1595">
        <w:t xml:space="preserve">45% of </w:t>
      </w:r>
      <w:r>
        <w:t>hetero</w:t>
      </w:r>
      <w:r w:rsidRPr="00AE1595">
        <w:t xml:space="preserve">aromatic amines with aryl iodides </w:t>
      </w:r>
      <w:r>
        <w:t>and</w:t>
      </w:r>
      <w:r w:rsidRPr="00AE1595">
        <w:t xml:space="preserve"> bromides</w:t>
      </w:r>
      <w:r>
        <w:fldChar w:fldCharType="begin" w:fldLock="1"/>
      </w:r>
      <w:r w:rsidR="008D2C4C">
        <w:instrText>ADDIN CSL_CITATION {"citationItems":[{"id":"ITEM-1","itemData":{"DOI":"10.1021/acscombsci.8b00142","ISSN":"2156-8952","author":[{"dropping-particle":"","family":"Pedro Beato","given":"Eduardo","non-dropping-particle":"de","parse-names":false,"suffix":""},{"dropping-particle":"","family":"Priego","given":"Julián","non-dropping-particle":"","parse-names":false,"suffix":""},{"dropping-particle":"","family":"Gironda-Martínez","given":"Adrián","non-dropping-particle":"","parse-names":false,"suffix":""},{"dropping-particle":"","family":"González","given":"Fernando","non-dropping-particle":"","parse-names":false,"suffix":""},{"dropping-particle":"","family":"Benavides","given":"Jesús","non-dropping-particle":"","parse-names":false,"suffix":""},{"dropping-particle":"","family":"Blas","given":"Jesús","non-dropping-particle":"","parse-names":false,"suffix":""},{"dropping-particle":"","family":"Martín-Ortega","given":"María Dolores","non-dropping-particle":"","parse-names":false,"suffix":""},{"dropping-particle":"","family":"Toledo","given":"Miguel Ángel","non-dropping-particle":"","parse-names":false,"suffix":""},{"dropping-particle":"","family":"Ezquerra","given":"Jesús","non-dropping-particle":"","parse-names":false,"suffix":""},{"dropping-particle":"","family":"Torrado","given":"Alicia","non-dropping-particle":"","parse-names":false,"suffix":""}],"container-title":"ACS Combinatorial Science","id":"ITEM-1","issue":"2","issued":{"date-parts":[["2019","2","11"]]},"page":"69-74","title":"Mild and Efficient Palladium-Mediated C–N Cross-Coupling Reaction between DNA-Conjugated Aryl Bromides and Aromatic Amines","type":"article-journal","volume":"21"},"uris":["http://www.mendeley.com/documents/?uuid=15e7a513-c349-4422-b08b-34f188d0ac3a"]}],"mendeley":{"formattedCitation":"&lt;sup&gt;27&lt;/sup&gt;","plainTextFormattedCitation":"27","previouslyFormattedCitation":"&lt;sup&gt;27&lt;/sup&gt;"},"properties":{"noteIndex":0},"schema":"https://github.com/citation-style-language/schema/raw/master/csl-citation.json"}</w:instrText>
      </w:r>
      <w:r>
        <w:fldChar w:fldCharType="separate"/>
      </w:r>
      <w:r w:rsidR="008D2C4C" w:rsidRPr="008D2C4C">
        <w:rPr>
          <w:noProof/>
          <w:vertAlign w:val="superscript"/>
        </w:rPr>
        <w:t>27</w:t>
      </w:r>
      <w:r>
        <w:fldChar w:fldCharType="end"/>
      </w:r>
      <w:r w:rsidRPr="00AE1595">
        <w:t xml:space="preserve"> and 53% of arylamines with aryl</w:t>
      </w:r>
      <w:r>
        <w:t xml:space="preserve"> </w:t>
      </w:r>
      <w:r w:rsidRPr="00AE1595">
        <w:t>iodides, bromides and chlorides</w:t>
      </w:r>
      <w:r>
        <w:fldChar w:fldCharType="begin" w:fldLock="1"/>
      </w:r>
      <w:r w:rsidR="008D2C4C">
        <w:instrText>ADDIN CSL_CITATION {"citationItems":[{"id":"ITEM-1","itemData":{"DOI":"10.1021/acs.bioconjchem.9b00863","ISSN":"1043-1802","author":[{"dropping-particle":"","family":"Chen","given":"Ying-Chu","non-dropping-particle":"","parse-names":false,"suffix":""},{"dropping-particle":"","family":"Faver","given":"John C.","non-dropping-particle":"","parse-names":false,"suffix":""},{"dropping-particle":"","family":"Ku","given":"Angela F.","non-dropping-particle":"","parse-names":false,"suffix":""},{"dropping-particle":"","family":"Miklossy","given":"Gabriella","non-dropping-particle":"","parse-names":false,"suffix":""},{"dropping-particle":"","family":"Riehle","given":"Kevin","non-dropping-particle":"","parse-names":false,"suffix":""},{"dropping-particle":"","family":"Bohren","given":"Kurt M.","non-dropping-particle":"","parse-names":false,"suffix":""},{"dropping-particle":"","family":"Ucisik","given":"Melek N.","non-dropping-particle":"","parse-names":false,"suffix":""},{"dropping-particle":"","family":"Matzuk","given":"Martin M.","non-dropping-particle":"","parse-names":false,"suffix":""},{"dropping-particle":"","family":"Yu","given":"Zhifeng","non-dropping-particle":"","parse-names":false,"suffix":""},{"dropping-particle":"","family":"Simmons","given":"Nicholas","non-dropping-particle":"","parse-names":false,"suffix":""}],"container-title":"Bioconjugate Chemistry","id":"ITEM-1","issue":"3","issued":{"date-parts":[["2020","3","18"]]},"page":"770-780","title":"C–N Coupling of DNA-Conjugated (Hetero)aryl Bromides and Chlorides for DNA-Encoded Chemical Library Synthesis","type":"article-journal","volume":"31"},"uris":["http://www.mendeley.com/documents/?uuid=07c92699-7c50-40fa-8560-f3d8439e8653"]}],"mendeley":{"formattedCitation":"&lt;sup&gt;28&lt;/sup&gt;","plainTextFormattedCitation":"28","previouslyFormattedCitation":"&lt;sup&gt;28&lt;/sup&gt;"},"properties":{"noteIndex":0},"schema":"https://github.com/citation-style-language/schema/raw/master/csl-citation.json"}</w:instrText>
      </w:r>
      <w:r>
        <w:fldChar w:fldCharType="separate"/>
      </w:r>
      <w:r w:rsidR="008D2C4C" w:rsidRPr="008D2C4C">
        <w:rPr>
          <w:noProof/>
          <w:vertAlign w:val="superscript"/>
        </w:rPr>
        <w:t>28</w:t>
      </w:r>
      <w:r>
        <w:fldChar w:fldCharType="end"/>
      </w:r>
      <w:r>
        <w:t xml:space="preserve">). This shows that </w:t>
      </w:r>
      <w:r w:rsidR="00E41E50">
        <w:t>many</w:t>
      </w:r>
      <w:r w:rsidRPr="00B63A88">
        <w:t xml:space="preserve"> substrates do not proceed with </w:t>
      </w:r>
      <w:r>
        <w:t>good conversion to the product</w:t>
      </w:r>
      <w:r w:rsidRPr="00B63A88">
        <w:t>, resulting in the starting aryl halides</w:t>
      </w:r>
      <w:r>
        <w:t xml:space="preserve"> or undesired side products</w:t>
      </w:r>
      <w:r w:rsidRPr="00B63A88">
        <w:t xml:space="preserve"> being retained in the product mixtures. This is clearly problematic in multistep library synthesis, in which </w:t>
      </w:r>
      <w:r>
        <w:t>products cannot be readily purified, meaning that resulting libraries are low fidelity and making hit identification problematic. Hence the development of a robust method for on-DNA Buchwald-Hartwig reactions that is broadly applicable across a range of drug-like substrates, particularly heteroarylamines, is highly desirable. We applied our micellar promoted approach to the development of such a process.</w:t>
      </w:r>
    </w:p>
    <w:p w14:paraId="7BE5C84C" w14:textId="77777777" w:rsidR="005C62A1" w:rsidRDefault="005C62A1" w:rsidP="005C62A1">
      <w:pPr>
        <w:pStyle w:val="RSCB02ArticleText"/>
      </w:pPr>
    </w:p>
    <w:p w14:paraId="3942110F" w14:textId="77777777" w:rsidR="005C62A1" w:rsidRPr="00912C70" w:rsidRDefault="005C62A1" w:rsidP="00912C70">
      <w:pPr>
        <w:pStyle w:val="TESupportingInfoTitle"/>
        <w:rPr>
          <w:b w:val="0"/>
          <w:smallCaps/>
        </w:rPr>
      </w:pPr>
      <w:r w:rsidRPr="00912C70">
        <w:rPr>
          <w:b w:val="0"/>
          <w:smallCaps/>
        </w:rPr>
        <w:t>Results and discussion</w:t>
      </w:r>
    </w:p>
    <w:p w14:paraId="14DC3768" w14:textId="1203CCE3" w:rsidR="005C62A1" w:rsidRPr="00E37EF9" w:rsidRDefault="005C62A1" w:rsidP="00D13841">
      <w:pPr>
        <w:pStyle w:val="TAMainText"/>
      </w:pPr>
      <w:r>
        <w:t xml:space="preserve">Our investigations into micelle promoted Buchwald-Hartwig reactions on DNA started with a brief exploration of the coupling between 2-aminopyridine and aryl iodide bearing headpiece </w:t>
      </w:r>
      <w:r w:rsidRPr="00543E07">
        <w:rPr>
          <w:b/>
          <w:bCs/>
        </w:rPr>
        <w:t>1</w:t>
      </w:r>
      <w:r>
        <w:t xml:space="preserve"> </w:t>
      </w:r>
      <w:r w:rsidRPr="005E6222">
        <w:t>to form biarylamine</w:t>
      </w:r>
      <w:r>
        <w:t xml:space="preserve"> </w:t>
      </w:r>
      <w:r w:rsidRPr="00543E07">
        <w:rPr>
          <w:b/>
          <w:bCs/>
        </w:rPr>
        <w:t>2</w:t>
      </w:r>
      <w:r>
        <w:t xml:space="preserve"> (Scheme 1). We selected </w:t>
      </w:r>
      <w:r w:rsidRPr="002458E4">
        <w:rPr>
          <w:rFonts w:eastAsiaTheme="minorHAnsi"/>
        </w:rPr>
        <w:t>[(cinnamyl)PdCl]</w:t>
      </w:r>
      <w:r w:rsidRPr="00D60CFC">
        <w:rPr>
          <w:rFonts w:eastAsiaTheme="minorHAnsi"/>
          <w:vertAlign w:val="subscript"/>
        </w:rPr>
        <w:t>2</w:t>
      </w:r>
      <w:r w:rsidRPr="002458E4">
        <w:rPr>
          <w:rFonts w:eastAsiaTheme="minorHAnsi"/>
        </w:rPr>
        <w:t xml:space="preserve"> and di-</w:t>
      </w:r>
      <w:r w:rsidRPr="00D60CFC">
        <w:rPr>
          <w:rFonts w:eastAsiaTheme="minorHAnsi"/>
          <w:i/>
        </w:rPr>
        <w:t>tert</w:t>
      </w:r>
      <w:r w:rsidRPr="002458E4">
        <w:rPr>
          <w:rFonts w:eastAsiaTheme="minorHAnsi"/>
        </w:rPr>
        <w:t>-butyl(2,2-diphenyl-1-methyl-1-cyclopropyl)phosphine (cBRIDP), as the catalyst system based on its literature precedent in surfactant promoted C-N bond forming reactions.</w:t>
      </w:r>
      <w:r w:rsidRPr="002458E4">
        <w:rPr>
          <w:rFonts w:eastAsiaTheme="minorHAnsi"/>
        </w:rPr>
        <w:fldChar w:fldCharType="begin" w:fldLock="1"/>
      </w:r>
      <w:r w:rsidR="008D2C4C">
        <w:rPr>
          <w:rFonts w:eastAsiaTheme="minorHAnsi"/>
        </w:rPr>
        <w:instrText>ADDIN CSL_CITATION {"citationItems":[{"id":"ITEM-1","itemData":{"DOI":"10.1039/C9SC03710A","ISSN":"2041-6520","abstract":"Greening-up aminations: a well-defined palladium pre-catalyst enables ppm-level Pd-catalyzed C–N cross couplings in water under very mild conditions. Comparisons using this protocol vs. traditional amination conditions for preparing key medicinal intermediates are demonstrated.","author":[{"dropping-particle":"","family":"Zhang","given":"Yitao","non-dropping-particle":"","parse-names":false,"suffix":""},{"dropping-particle":"","family":"Takale","given":"Balaram S.","non-dropping-particle":"","parse-names":false,"suffix":""},{"dropping-particle":"","family":"Gallou","given":"Fabrice","non-dropping-particle":"","parse-names":false,"suffix":""},{"dropping-particle":"","family":"Reilly","given":"John","non-dropping-particle":"","parse-names":false,"suffix":""},{"dropping-particle":"","family":"Lipshutz","given":"Bruce H.","non-dropping-particle":"","parse-names":false,"suffix":""}],"container-title":"Chemical Science","id":"ITEM-1","issue":"45","issued":{"date-parts":[["2019"]]},"page":"10556-10561","title":"Sustainable ppm level palladium-catalyzed aminations in nanoreactors under mild, aqueous conditions","type":"article-journal","volume":"10"},"uris":["http://www.mendeley.com/documents/?uuid=9b8f2ef9-ca0a-48ce-9596-d70868c1c852"]},{"id":"ITEM-2","itemData":{"DOI":"10.1021/jo101974u","ISSN":"0022-3263","author":[{"dropping-particle":"","family":"Lipshutz","given":"Bruce H.","non-dropping-particle":"","parse-names":false,"suffix":""},{"dropping-particle":"","family":"Ghorai","given":"Subir","non-dropping-particle":"","parse-names":false,"suffix":""},{"dropping-particle":"","family":"Abela","given":"Alexander R.","non-dropping-particle":"","parse-names":false,"suffix":""},{"dropping-particle":"","family":"Moser","given":"Ralph","non-dropping-particle":"","parse-names":false,"suffix":""},{"dropping-particle":"","family":"Nishikata","given":"Takashi","non-dropping-particle":"","parse-names":false,"suffix":""},{"dropping-particle":"","family":"Duplais","given":"Christophe","non-dropping-particle":"","parse-names":false,"suffix":""},{"dropping-particle":"","family":"Krasovskiy","given":"Arkady","non-dropping-particle":"","parse-names":false,"suffix":""},{"dropping-particle":"","family":"Gaston","given":"Ricky D.","non-dropping-particle":"","parse-names":false,"suffix":""},{"dropping-particle":"","family":"Gadwood","given":"Robert C.","non-dropping-particle":"","parse-names":false,"suffix":""}],"container-title":"The Journal of Organic Chemistry","id":"ITEM-2","issue":"11","issued":{"date-parts":[["2011","6","3"]]},"page":"4379-4391","title":"TPGS-750-M: A Second-Generation Amphiphile for Metal-Catalyzed Cross-Couplings in Water at Room Temperature","type":"article-journal","volume":"76"},"uris":["http://www.mendeley.com/documents/?uuid=df442ac6-87e8-4d8b-a72f-1ac636dfde02"]},{"id":"ITEM-3","itemData":{"DOI":"10.1002/adsc.200900323","ISSN":"16154150","author":[{"dropping-particle":"","family":"Lipshutz","given":"Bruce H.","non-dropping-particle":"","parse-names":false,"suffix":""},{"dropping-particle":"","family":"Chung","given":"David W.","non-dropping-particle":"","parse-names":false,"suffix":""},{"dropping-particle":"","family":"Rich","given":"Brian","non-dropping-particle":"","parse-names":false,"suffix":""}],"container-title":"Advanced Synthesis &amp; Catalysis","id":"ITEM-3","issue":"11-12","issued":{"date-parts":[["2009","8"]]},"page":"1717-1721","title":"Aminations of Aryl Bromides in Water at Room Temperature","type":"article-journal","volume":"351"},"uris":["http://www.mendeley.com/documents/?uuid=03fb707d-d8f7-44bb-a4e0-20d695eb32a5"]},{"id":"ITEM-4","itemData":{"DOI":"10.1016/j.tet.2014.03.083","ISSN":"00404020","author":[{"dropping-particle":"","family":"Salomé","given":"Christophe","non-dropping-particle":"","parse-names":false,"suffix":""},{"dropping-particle":"","family":"Wagner","given":"Patrick","non-dropping-particle":"","parse-names":false,"suffix":""},{"dropping-particle":"","family":"Bollenbach","given":"Maud","non-dropping-particle":"","parse-names":false,"suffix":""},{"dropping-particle":"","family":"Bihel","given":"Frédéric","non-dropping-particle":"","parse-names":false,"suffix":""},{"dropping-particle":"","family":"Bourguignon","given":"Jean-Jacques","non-dropping-particle":"","parse-names":false,"suffix":""},{"dropping-particle":"","family":"Schmitt","given":"Martine","non-dropping-particle":"","parse-names":false,"suffix":""}],"container-title":"Tetrahedron","id":"ITEM-4","issue":"21","issued":{"date-parts":[["2014","5"]]},"page":"3413-3421","title":"Buchwald–Hartwig reactions in water using surfactants","type":"article-journal","volume":"70"},"uris":["http://www.mendeley.com/documents/?uuid=a7aa3e55-d269-480a-ba5b-eeb98f9207f2"]}],"mendeley":{"formattedCitation":"&lt;sup&gt;23,29–31&lt;/sup&gt;","plainTextFormattedCitation":"23,29–31","previouslyFormattedCitation":"&lt;sup&gt;23,29–31&lt;/sup&gt;"},"properties":{"noteIndex":0},"schema":"https://github.com/citation-style-language/schema/raw/master/csl-citation.json"}</w:instrText>
      </w:r>
      <w:r w:rsidRPr="002458E4">
        <w:rPr>
          <w:rFonts w:eastAsiaTheme="minorHAnsi"/>
        </w:rPr>
        <w:fldChar w:fldCharType="separate"/>
      </w:r>
      <w:r w:rsidR="008D2C4C" w:rsidRPr="008D2C4C">
        <w:rPr>
          <w:rFonts w:eastAsiaTheme="minorHAnsi"/>
          <w:noProof/>
          <w:vertAlign w:val="superscript"/>
        </w:rPr>
        <w:t>23,29–31</w:t>
      </w:r>
      <w:r w:rsidRPr="002458E4">
        <w:rPr>
          <w:rFonts w:eastAsiaTheme="minorHAnsi"/>
        </w:rPr>
        <w:fldChar w:fldCharType="end"/>
      </w:r>
    </w:p>
    <w:p w14:paraId="5F464EBF" w14:textId="77777777" w:rsidR="005C62A1" w:rsidRPr="00164456" w:rsidRDefault="005C62A1" w:rsidP="00D13841">
      <w:pPr>
        <w:pStyle w:val="TAMainText"/>
      </w:pPr>
      <w:r>
        <w:rPr>
          <w:noProof/>
          <w:lang w:val="en-GB" w:eastAsia="en-GB"/>
        </w:rPr>
        <w:drawing>
          <wp:inline distT="0" distB="0" distL="0" distR="0" wp14:anchorId="7E9FDA4F" wp14:editId="55870AB3">
            <wp:extent cx="3048000" cy="381000"/>
            <wp:effectExtent l="0" t="0" r="0" b="0"/>
            <wp:docPr id="68" name="Object 3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3"/>
                    <pic:cNvPicPr>
                      <a:picLocks noGrp="1" noRot="1" noChangeAspect="1" noEditPoints="1" noAdjustHandles="1" noChangeArrowheads="1" noChangeShapeType="1" noCro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0" cy="381000"/>
                    </a:xfrm>
                    <a:prstGeom prst="rect">
                      <a:avLst/>
                    </a:prstGeom>
                    <a:noFill/>
                    <a:ln>
                      <a:noFill/>
                    </a:ln>
                  </pic:spPr>
                </pic:pic>
              </a:graphicData>
            </a:graphic>
          </wp:inline>
        </w:drawing>
      </w:r>
    </w:p>
    <w:p w14:paraId="2747D78B" w14:textId="77777777" w:rsidR="005C62A1" w:rsidRPr="002458E4" w:rsidRDefault="005C62A1" w:rsidP="002458E4">
      <w:pPr>
        <w:pStyle w:val="VCSchemeTitle"/>
      </w:pPr>
      <w:r w:rsidRPr="009F7157">
        <w:rPr>
          <w:b/>
          <w:bCs w:val="0"/>
        </w:rPr>
        <w:t>Scheme 1.</w:t>
      </w:r>
      <w:r w:rsidRPr="002458E4">
        <w:t xml:space="preserve"> Conditions: 1 (5 nmol), 2-aminopyridine (0.1 M), tBuOK (0.2 M), [(cinnamyl)PdCl</w:t>
      </w:r>
      <w:r w:rsidRPr="002458E4">
        <w:rPr>
          <w:vertAlign w:val="subscript"/>
        </w:rPr>
        <w:t>2</w:t>
      </w:r>
      <w:r w:rsidRPr="002458E4">
        <w:t xml:space="preserve"> (1 mM), cBRIDP (2 mM), 30 µL total volume, 2% TPGS-750-M, 80 </w:t>
      </w:r>
      <w:r w:rsidRPr="002458E4">
        <w:rPr>
          <w:rFonts w:cstheme="minorHAnsi"/>
        </w:rPr>
        <w:t>°</w:t>
      </w:r>
      <w:r w:rsidRPr="002458E4">
        <w:t>C, 1 h 45 mins.</w:t>
      </w:r>
    </w:p>
    <w:p w14:paraId="0A24C764" w14:textId="0C705065" w:rsidR="005C62A1" w:rsidRDefault="005C62A1" w:rsidP="00D13841">
      <w:pPr>
        <w:pStyle w:val="TAMainText"/>
      </w:pPr>
      <w:r>
        <w:t>During our investigations, we observed that the addition of DMF significantly improved the amount of product formed in the reaction and supressed the amount of dehalogenation (Table S1). It is established that the addition of co-solvents can influence the outcome of micellar promoted reactions off-DNA.</w:t>
      </w:r>
      <w:r>
        <w:fldChar w:fldCharType="begin" w:fldLock="1"/>
      </w:r>
      <w:r w:rsidR="008D2C4C">
        <w:instrText>ADDIN CSL_CITATION {"citationItems":[{"id":"ITEM-1","itemData":{"DOI":"10.1021/acs.orglett.6b03468","ISSN":"1523-7060","author":[{"dropping-particle":"","family":"Gabriel","given":"Christopher M.","non-dropping-particle":"","parse-names":false,"suffix":""},{"dropping-particle":"","family":"Lee","given":"Nicholas R.","non-dropping-particle":"","parse-names":false,"suffix":""},{"dropping-particle":"","family":"Bigorne","given":"Florence","non-dropping-particle":"","parse-names":false,"suffix":""},{"dropping-particle":"","family":"Klumphu","given":"Piyatida","non-dropping-particle":"","parse-names":false,"suffix":""},{"dropping-particle":"","family":"Parmentier","given":"Michael","non-dropping-particle":"","parse-names":false,"suffix":""},{"dropping-particle":"","family":"Gallou","given":"Fabrice","non-dropping-particle":"","parse-names":false,"suffix":""},{"dropping-particle":"","family":"Lipshutz","given":"Bruce H.","non-dropping-particle":"","parse-names":false,"suffix":""}],"container-title":"Organic Letters","id":"ITEM-1","issue":"1","issued":{"date-parts":[["2017","1","6"]]},"page":"194-197","title":"Effects of Co-solvents on Reactions Run under Micellar Catalysis Conditions","type":"article-journal","volume":"19"},"uris":["http://www.mendeley.com/documents/?uuid=0caabd8a-6bc3-4dc1-bc47-96115494dff4"]}],"mendeley":{"formattedCitation":"&lt;sup&gt;32&lt;/sup&gt;","plainTextFormattedCitation":"32","previouslyFormattedCitation":"&lt;sup&gt;32&lt;/sup&gt;"},"properties":{"noteIndex":0},"schema":"https://github.com/citation-style-language/schema/raw/master/csl-citation.json"}</w:instrText>
      </w:r>
      <w:r>
        <w:fldChar w:fldCharType="separate"/>
      </w:r>
      <w:r w:rsidR="008D2C4C" w:rsidRPr="008D2C4C">
        <w:rPr>
          <w:noProof/>
          <w:vertAlign w:val="superscript"/>
        </w:rPr>
        <w:t>32</w:t>
      </w:r>
      <w:r>
        <w:fldChar w:fldCharType="end"/>
      </w:r>
      <w:r>
        <w:t xml:space="preserve"> In this case, however, we reasoned that the coordinating solvent may also play a role in stabilising the intermediate aryl palladium species, therefore we screened further co-solvents with varying coordinating ability (Table 1).</w:t>
      </w:r>
      <w:r>
        <w:fldChar w:fldCharType="begin" w:fldLock="1"/>
      </w:r>
      <w:r w:rsidR="008D2C4C">
        <w:instrText>ADDIN CSL_CITATION {"citationItems":[{"id":"ITEM-1","itemData":{"DOI":"10.1021/acs.orglett.6b03468","ISSN":"1523-7060","author":[{"dropping-particle":"","family":"Gabriel","given":"Christopher M.","non-dropping-particle":"","parse-names":false,"suffix":""},{"dropping-particle":"","family":"Lee","given":"Nicholas R.","non-dropping-particle":"","parse-names":false,"suffix":""},{"dropping-particle":"","family":"Bigorne","given":"Florence","non-dropping-particle":"","parse-names":false,"suffix":""},{"dropping-particle":"","family":"Klumphu","given":"Piyatida","non-dropping-particle":"","parse-names":false,"suffix":""},{"dropping-particle":"","family":"Parmentier","given":"Michael","non-dropping-particle":"","parse-names":false,"suffix":""},{"dropping-particle":"","family":"Gallou","given":"Fabrice","non-dropping-particle":"","parse-names":false,"suffix":""},{"dropping-particle":"","family":"Lipshutz","given":"Bruce H.","non-dropping-particle":"","parse-names":false,"suffix":""}],"container-title":"Organic Letters","id":"ITEM-1","issue":"1","issued":{"date-parts":[["2017","1","6"]]},"page":"194-197","title":"Effects of Co-solvents on Reactions Run under Micellar Catalysis Conditions","type":"article-journal","volume":"19"},"uris":["http://www.mendeley.com/documents/?uuid=0caabd8a-6bc3-4dc1-bc47-96115494dff4"]}],"mendeley":{"formattedCitation":"&lt;sup&gt;32&lt;/sup&gt;","plainTextFormattedCitation":"32","previouslyFormattedCitation":"&lt;sup&gt;32&lt;/sup&gt;"},"properties":{"noteIndex":0},"schema":"https://github.com/citation-style-language/schema/raw/master/csl-citation.json"}</w:instrText>
      </w:r>
      <w:r>
        <w:fldChar w:fldCharType="separate"/>
      </w:r>
      <w:r w:rsidR="008D2C4C" w:rsidRPr="008D2C4C">
        <w:rPr>
          <w:noProof/>
          <w:vertAlign w:val="superscript"/>
        </w:rPr>
        <w:t>32</w:t>
      </w:r>
      <w:r>
        <w:fldChar w:fldCharType="end"/>
      </w:r>
      <w:r w:rsidRPr="005144D7">
        <w:rPr>
          <w:vertAlign w:val="superscript"/>
        </w:rPr>
        <w:t>,</w:t>
      </w:r>
      <w:r>
        <w:fldChar w:fldCharType="begin" w:fldLock="1"/>
      </w:r>
      <w:r w:rsidR="008D2C4C">
        <w:instrText>ADDIN CSL_CITATION {"citationItems":[{"id":"ITEM-1","itemData":{"DOI":"10.1021/op050226s","ISSN":"1083-6160","author":[{"dropping-particle":"","family":"Christensen","given":"Henrik","non-dropping-particle":"","parse-names":false,"suffix":""},{"dropping-particle":"","family":"Kiil","given":"Søren","non-dropping-particle":"","parse-names":false,"suffix":""},{"dropping-particle":"","family":"Dam-Johansen","given":"Kim","non-dropping-particle":"","parse-names":false,"suffix":""},{"dropping-particle":"","family":"Nielsen","given":"Ole","non-dropping-particle":"","parse-names":false,"suffix":""},{"dropping-particle":"","family":"Sommer","given":"Michael B.","non-dropping-particle":"","parse-names":false,"suffix":""}],"container-title":"Organic Process Research &amp; Development","id":"ITEM-1","issue":"4","issued":{"date-parts":[["2006","7"]]},"page":"762-769","title":"Effect of Solvents on the Product Distribution and Reaction Rate of a Buchwald−Hartwig Amination Reaction","type":"article-journal","volume":"10"},"uris":["http://www.mendeley.com/documents/?uuid=b8be683d-f61f-4339-822b-4790187bc844"]}],"mendeley":{"formattedCitation":"&lt;sup&gt;33&lt;/sup&gt;","plainTextFormattedCitation":"33","previouslyFormattedCitation":"&lt;sup&gt;33&lt;/sup&gt;"},"properties":{"noteIndex":0},"schema":"https://github.com/citation-style-language/schema/raw/master/csl-citation.json"}</w:instrText>
      </w:r>
      <w:r>
        <w:fldChar w:fldCharType="separate"/>
      </w:r>
      <w:r w:rsidR="008D2C4C" w:rsidRPr="008D2C4C">
        <w:rPr>
          <w:noProof/>
          <w:vertAlign w:val="superscript"/>
        </w:rPr>
        <w:t>33</w:t>
      </w:r>
      <w:r>
        <w:fldChar w:fldCharType="end"/>
      </w:r>
      <w:r>
        <w:t xml:space="preserve"> This revealed improved reaction efficiency </w:t>
      </w:r>
      <w:r>
        <w:lastRenderedPageBreak/>
        <w:t>with the more strongly coordinating DMPU and HMPA. Hence, further reactions were carried out in the presence of 5% DMPU.</w:t>
      </w:r>
    </w:p>
    <w:p w14:paraId="4001FD47" w14:textId="77777777" w:rsidR="005C62A1" w:rsidRPr="002458E4" w:rsidRDefault="005C62A1" w:rsidP="002458E4">
      <w:pPr>
        <w:pStyle w:val="VDTableTitle"/>
      </w:pPr>
      <w:r w:rsidRPr="00C12CD4">
        <w:rPr>
          <w:b/>
          <w:bCs w:val="0"/>
        </w:rPr>
        <w:t>Table 1.</w:t>
      </w:r>
      <w:r w:rsidRPr="002458E4">
        <w:t xml:space="preserve"> Coupling of </w:t>
      </w:r>
      <w:r w:rsidRPr="00543E07">
        <w:rPr>
          <w:b/>
          <w:bCs w:val="0"/>
        </w:rPr>
        <w:t>1</w:t>
      </w:r>
      <w:r w:rsidRPr="002458E4">
        <w:t xml:space="preserve"> with 2-aminopyridine using different co-solvents. Conditions: </w:t>
      </w:r>
      <w:r w:rsidRPr="00D60CFC">
        <w:rPr>
          <w:b/>
        </w:rPr>
        <w:t>1</w:t>
      </w:r>
      <w:r w:rsidRPr="002458E4">
        <w:t xml:space="preserve"> (5 nmol), 2-aminopyridine (0.1 M), tBuOK (0.2 M), [(Cinnamyl)PdCl]</w:t>
      </w:r>
      <w:r w:rsidRPr="002458E4">
        <w:rPr>
          <w:vertAlign w:val="subscript"/>
        </w:rPr>
        <w:t>2</w:t>
      </w:r>
      <w:r w:rsidRPr="002458E4">
        <w:t xml:space="preserve"> (1 mM), cBRIDP (2 mM), 2% aq. TPGS-750-M, 5% co-solvent, 30 µL total volume, 80 ˚C, 30 mins.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1660"/>
        <w:gridCol w:w="1660"/>
      </w:tblGrid>
      <w:tr w:rsidR="005C62A1" w14:paraId="1956B60F" w14:textId="77777777" w:rsidTr="009C0388">
        <w:tc>
          <w:tcPr>
            <w:tcW w:w="1659" w:type="dxa"/>
          </w:tcPr>
          <w:p w14:paraId="275E5E3E" w14:textId="77777777" w:rsidR="005C62A1" w:rsidRDefault="005C62A1" w:rsidP="00B2746B">
            <w:pPr>
              <w:pStyle w:val="TCTableBody"/>
            </w:pPr>
            <w:r>
              <w:t>Entry</w:t>
            </w:r>
          </w:p>
        </w:tc>
        <w:tc>
          <w:tcPr>
            <w:tcW w:w="1660" w:type="dxa"/>
          </w:tcPr>
          <w:p w14:paraId="6A523501" w14:textId="77777777" w:rsidR="005C62A1" w:rsidRDefault="005C62A1" w:rsidP="00B2746B">
            <w:pPr>
              <w:pStyle w:val="TCTableBody"/>
            </w:pPr>
            <w:r>
              <w:t>Co-solvent</w:t>
            </w:r>
          </w:p>
        </w:tc>
        <w:tc>
          <w:tcPr>
            <w:tcW w:w="1660" w:type="dxa"/>
          </w:tcPr>
          <w:p w14:paraId="6EC86850" w14:textId="77777777" w:rsidR="005C62A1" w:rsidRDefault="005C62A1" w:rsidP="00B2746B">
            <w:pPr>
              <w:pStyle w:val="TCTableBody"/>
            </w:pPr>
            <w:r>
              <w:t>Product (%)</w:t>
            </w:r>
          </w:p>
        </w:tc>
      </w:tr>
      <w:tr w:rsidR="005C62A1" w14:paraId="227EEF4F" w14:textId="77777777" w:rsidTr="009C0388">
        <w:tc>
          <w:tcPr>
            <w:tcW w:w="1659" w:type="dxa"/>
          </w:tcPr>
          <w:p w14:paraId="2E930DA1" w14:textId="77777777" w:rsidR="005C62A1" w:rsidRDefault="005C62A1" w:rsidP="00B2746B">
            <w:pPr>
              <w:pStyle w:val="TCTableBody"/>
            </w:pPr>
            <w:r>
              <w:t>1</w:t>
            </w:r>
          </w:p>
        </w:tc>
        <w:tc>
          <w:tcPr>
            <w:tcW w:w="1660" w:type="dxa"/>
          </w:tcPr>
          <w:p w14:paraId="5A7EAB75" w14:textId="77777777" w:rsidR="005C62A1" w:rsidRDefault="005C62A1" w:rsidP="00B2746B">
            <w:pPr>
              <w:pStyle w:val="TCTableBody"/>
            </w:pPr>
            <w:r>
              <w:t>None</w:t>
            </w:r>
          </w:p>
        </w:tc>
        <w:tc>
          <w:tcPr>
            <w:tcW w:w="1660" w:type="dxa"/>
          </w:tcPr>
          <w:p w14:paraId="48849CC4" w14:textId="77777777" w:rsidR="005C62A1" w:rsidRDefault="005C62A1" w:rsidP="00B2746B">
            <w:pPr>
              <w:pStyle w:val="TCTableBody"/>
            </w:pPr>
            <w:r>
              <w:t>12</w:t>
            </w:r>
          </w:p>
        </w:tc>
      </w:tr>
      <w:tr w:rsidR="005C62A1" w14:paraId="130DBAFA" w14:textId="77777777" w:rsidTr="009C0388">
        <w:tc>
          <w:tcPr>
            <w:tcW w:w="1659" w:type="dxa"/>
          </w:tcPr>
          <w:p w14:paraId="7AAF76F2" w14:textId="77777777" w:rsidR="005C62A1" w:rsidRDefault="005C62A1" w:rsidP="00B2746B">
            <w:pPr>
              <w:pStyle w:val="TCTableBody"/>
            </w:pPr>
            <w:r>
              <w:t>2</w:t>
            </w:r>
          </w:p>
        </w:tc>
        <w:tc>
          <w:tcPr>
            <w:tcW w:w="1660" w:type="dxa"/>
          </w:tcPr>
          <w:p w14:paraId="38732C88" w14:textId="77777777" w:rsidR="005C62A1" w:rsidRDefault="005C62A1" w:rsidP="00B2746B">
            <w:pPr>
              <w:pStyle w:val="TCTableBody"/>
            </w:pPr>
            <w:r>
              <w:t>DMF</w:t>
            </w:r>
          </w:p>
        </w:tc>
        <w:tc>
          <w:tcPr>
            <w:tcW w:w="1660" w:type="dxa"/>
          </w:tcPr>
          <w:p w14:paraId="358038BF" w14:textId="77777777" w:rsidR="005C62A1" w:rsidRDefault="005C62A1" w:rsidP="00B2746B">
            <w:pPr>
              <w:pStyle w:val="TCTableBody"/>
            </w:pPr>
            <w:r>
              <w:t>68</w:t>
            </w:r>
          </w:p>
        </w:tc>
      </w:tr>
      <w:tr w:rsidR="005C62A1" w14:paraId="41709875" w14:textId="77777777" w:rsidTr="009C0388">
        <w:tc>
          <w:tcPr>
            <w:tcW w:w="1659" w:type="dxa"/>
          </w:tcPr>
          <w:p w14:paraId="10CAB628" w14:textId="77777777" w:rsidR="005C62A1" w:rsidRDefault="005C62A1" w:rsidP="00B2746B">
            <w:pPr>
              <w:pStyle w:val="TCTableBody"/>
            </w:pPr>
            <w:r>
              <w:t>3</w:t>
            </w:r>
          </w:p>
        </w:tc>
        <w:tc>
          <w:tcPr>
            <w:tcW w:w="1660" w:type="dxa"/>
          </w:tcPr>
          <w:p w14:paraId="4BBACBE3" w14:textId="77777777" w:rsidR="005C62A1" w:rsidRDefault="005C62A1" w:rsidP="00B2746B">
            <w:pPr>
              <w:pStyle w:val="TCTableBody"/>
            </w:pPr>
            <w:r>
              <w:t>DMA</w:t>
            </w:r>
          </w:p>
        </w:tc>
        <w:tc>
          <w:tcPr>
            <w:tcW w:w="1660" w:type="dxa"/>
          </w:tcPr>
          <w:p w14:paraId="582C9583" w14:textId="77777777" w:rsidR="005C62A1" w:rsidRDefault="005C62A1" w:rsidP="00B2746B">
            <w:pPr>
              <w:pStyle w:val="TCTableBody"/>
            </w:pPr>
            <w:r>
              <w:t>24</w:t>
            </w:r>
          </w:p>
        </w:tc>
      </w:tr>
      <w:tr w:rsidR="005C62A1" w14:paraId="11A7AFF3" w14:textId="77777777" w:rsidTr="009C0388">
        <w:tc>
          <w:tcPr>
            <w:tcW w:w="1659" w:type="dxa"/>
          </w:tcPr>
          <w:p w14:paraId="1795A07D" w14:textId="77777777" w:rsidR="005C62A1" w:rsidRDefault="005C62A1" w:rsidP="00B2746B">
            <w:pPr>
              <w:pStyle w:val="TCTableBody"/>
            </w:pPr>
            <w:r>
              <w:t>4</w:t>
            </w:r>
          </w:p>
        </w:tc>
        <w:tc>
          <w:tcPr>
            <w:tcW w:w="1660" w:type="dxa"/>
          </w:tcPr>
          <w:p w14:paraId="623AA909" w14:textId="77777777" w:rsidR="005C62A1" w:rsidRDefault="005C62A1" w:rsidP="00B2746B">
            <w:pPr>
              <w:pStyle w:val="TCTableBody"/>
            </w:pPr>
            <w:r>
              <w:t>DMSO</w:t>
            </w:r>
          </w:p>
        </w:tc>
        <w:tc>
          <w:tcPr>
            <w:tcW w:w="1660" w:type="dxa"/>
          </w:tcPr>
          <w:p w14:paraId="7F739F00" w14:textId="77777777" w:rsidR="005C62A1" w:rsidRDefault="005C62A1" w:rsidP="00B2746B">
            <w:pPr>
              <w:pStyle w:val="TCTableBody"/>
            </w:pPr>
            <w:r>
              <w:t>28</w:t>
            </w:r>
          </w:p>
        </w:tc>
      </w:tr>
      <w:tr w:rsidR="005C62A1" w14:paraId="497502BA" w14:textId="77777777" w:rsidTr="009C0388">
        <w:tc>
          <w:tcPr>
            <w:tcW w:w="1659" w:type="dxa"/>
          </w:tcPr>
          <w:p w14:paraId="6915B4F2" w14:textId="77777777" w:rsidR="005C62A1" w:rsidRDefault="005C62A1" w:rsidP="00B2746B">
            <w:pPr>
              <w:pStyle w:val="TCTableBody"/>
            </w:pPr>
            <w:r>
              <w:t>5</w:t>
            </w:r>
          </w:p>
        </w:tc>
        <w:tc>
          <w:tcPr>
            <w:tcW w:w="1660" w:type="dxa"/>
          </w:tcPr>
          <w:p w14:paraId="00CBA68C" w14:textId="77777777" w:rsidR="005C62A1" w:rsidRDefault="005C62A1" w:rsidP="00B2746B">
            <w:pPr>
              <w:pStyle w:val="TCTableBody"/>
            </w:pPr>
            <w:r>
              <w:t>NMP</w:t>
            </w:r>
          </w:p>
        </w:tc>
        <w:tc>
          <w:tcPr>
            <w:tcW w:w="1660" w:type="dxa"/>
          </w:tcPr>
          <w:p w14:paraId="1FC0FB4A" w14:textId="77777777" w:rsidR="005C62A1" w:rsidRDefault="005C62A1" w:rsidP="00B2746B">
            <w:pPr>
              <w:pStyle w:val="TCTableBody"/>
            </w:pPr>
            <w:r>
              <w:t>68</w:t>
            </w:r>
          </w:p>
        </w:tc>
      </w:tr>
      <w:tr w:rsidR="005C62A1" w14:paraId="50965C00" w14:textId="77777777" w:rsidTr="009C0388">
        <w:tc>
          <w:tcPr>
            <w:tcW w:w="1659" w:type="dxa"/>
          </w:tcPr>
          <w:p w14:paraId="28F66B6E" w14:textId="77777777" w:rsidR="005C62A1" w:rsidRDefault="005C62A1" w:rsidP="00B2746B">
            <w:pPr>
              <w:pStyle w:val="TCTableBody"/>
            </w:pPr>
            <w:r>
              <w:t>6</w:t>
            </w:r>
          </w:p>
        </w:tc>
        <w:tc>
          <w:tcPr>
            <w:tcW w:w="1660" w:type="dxa"/>
          </w:tcPr>
          <w:p w14:paraId="108432A1" w14:textId="77777777" w:rsidR="005C62A1" w:rsidRDefault="005C62A1" w:rsidP="00B2746B">
            <w:pPr>
              <w:pStyle w:val="TCTableBody"/>
            </w:pPr>
            <w:r>
              <w:t>DMPU</w:t>
            </w:r>
          </w:p>
        </w:tc>
        <w:tc>
          <w:tcPr>
            <w:tcW w:w="1660" w:type="dxa"/>
          </w:tcPr>
          <w:p w14:paraId="3A9711E5" w14:textId="77777777" w:rsidR="005C62A1" w:rsidRDefault="005C62A1" w:rsidP="00B2746B">
            <w:pPr>
              <w:pStyle w:val="TCTableBody"/>
            </w:pPr>
            <w:r>
              <w:t>87</w:t>
            </w:r>
          </w:p>
        </w:tc>
      </w:tr>
      <w:tr w:rsidR="005C62A1" w14:paraId="0CC9FBCA" w14:textId="77777777" w:rsidTr="009C0388">
        <w:tc>
          <w:tcPr>
            <w:tcW w:w="1659" w:type="dxa"/>
          </w:tcPr>
          <w:p w14:paraId="335455BA" w14:textId="77777777" w:rsidR="005C62A1" w:rsidRDefault="005C62A1" w:rsidP="00B2746B">
            <w:pPr>
              <w:pStyle w:val="TCTableBody"/>
            </w:pPr>
            <w:r>
              <w:t>7</w:t>
            </w:r>
          </w:p>
        </w:tc>
        <w:tc>
          <w:tcPr>
            <w:tcW w:w="1660" w:type="dxa"/>
          </w:tcPr>
          <w:p w14:paraId="45697F5C" w14:textId="77777777" w:rsidR="005C62A1" w:rsidRDefault="005C62A1" w:rsidP="00B2746B">
            <w:pPr>
              <w:pStyle w:val="TCTableBody"/>
            </w:pPr>
            <w:r>
              <w:t>HMPA</w:t>
            </w:r>
          </w:p>
        </w:tc>
        <w:tc>
          <w:tcPr>
            <w:tcW w:w="1660" w:type="dxa"/>
          </w:tcPr>
          <w:p w14:paraId="7B47CE80" w14:textId="77777777" w:rsidR="005C62A1" w:rsidRDefault="005C62A1" w:rsidP="00B2746B">
            <w:pPr>
              <w:pStyle w:val="TCTableBody"/>
            </w:pPr>
            <w:r>
              <w:t>88</w:t>
            </w:r>
          </w:p>
        </w:tc>
      </w:tr>
    </w:tbl>
    <w:p w14:paraId="3BCD2E74" w14:textId="77777777" w:rsidR="005C62A1" w:rsidRDefault="005C62A1" w:rsidP="00D13841">
      <w:pPr>
        <w:pStyle w:val="TAMainText"/>
      </w:pPr>
    </w:p>
    <w:p w14:paraId="497BE936" w14:textId="43FB70FE" w:rsidR="005C62A1" w:rsidRDefault="005C62A1" w:rsidP="00F561BB">
      <w:pPr>
        <w:pStyle w:val="TAMainText"/>
      </w:pPr>
      <w:r>
        <w:t>To further optimise the conditions, a factorial experimental design (FED) was undertaken using 2-aminopyridine and 2-aminopyrimidine in parallel. We hypothesised that if the conditions could be optimised for these electron-deficient amines then the</w:t>
      </w:r>
      <w:r w:rsidR="007D33E2">
        <w:t>y</w:t>
      </w:r>
      <w:r>
        <w:t xml:space="preserve"> should be applicable across a wide range of coupling partners. The FED explored the effect of amine (0.1 – 0.4 M), palladium (0.5 mM – 5 mM) and TPGS-750-M (1 – 3.5%) concentrations.</w:t>
      </w:r>
    </w:p>
    <w:p w14:paraId="31AEAAFD" w14:textId="6D4884EE" w:rsidR="005C62A1" w:rsidRDefault="005C62A1" w:rsidP="00D607E0">
      <w:pPr>
        <w:pStyle w:val="TAMainText"/>
        <w:rPr>
          <w:rStyle w:val="06CHeading"/>
          <w:rFonts w:asciiTheme="minorHAnsi" w:hAnsiTheme="minorHAnsi"/>
          <w:b w:val="0"/>
          <w:bCs/>
          <w:smallCaps w:val="0"/>
        </w:rPr>
      </w:pPr>
      <w:r w:rsidRPr="002458E4">
        <w:rPr>
          <w:rFonts w:eastAsiaTheme="minorHAnsi"/>
        </w:rPr>
        <w:t>In an initial full FED (four centre points, 20 reactions, Table S3), the centre points were not well predicted by the best fitted model, indicating one or more of the factors were exhibiting non-linearity. Augmenting the design with eight additional experiments (Table S4) revealed second order effects with respect to the concentration of palladium. Taking this consideration into account, the output from the model predicted the reaction outcomes well (Figure 3a</w:t>
      </w:r>
      <w:r w:rsidR="002458E4">
        <w:rPr>
          <w:rFonts w:eastAsiaTheme="minorHAnsi"/>
        </w:rPr>
        <w:t>).</w:t>
      </w:r>
    </w:p>
    <w:p w14:paraId="14E274BE" w14:textId="77777777" w:rsidR="005C62A1" w:rsidRPr="00631868" w:rsidRDefault="005C62A1" w:rsidP="00C02810">
      <w:pPr>
        <w:pStyle w:val="TAMainText"/>
        <w:rPr>
          <w:rStyle w:val="06CHeading"/>
          <w:rFonts w:asciiTheme="minorHAnsi" w:hAnsiTheme="minorHAnsi"/>
          <w:b w:val="0"/>
          <w:smallCaps w:val="0"/>
          <w:color w:val="000000" w:themeColor="text1"/>
        </w:rPr>
      </w:pPr>
      <w:r>
        <w:t>The most significant effects were palladium and amine concentration (Figure 3b). There was a clear nonlinear dependence on palladium concentration, evidenced by a quadratic relationship with palladium concentration in the model. The optimum conditions for the two amines were the same (Figure 3c and d); 0.4 M amine, 3.45 mM palladium and 3.5% TPGS-750-M. These afforded high conversion for both 2-aminopyridine and 2-aminopyrimidine (95% and 72% product respectively). Since there was a linear dependence on the amine</w:t>
      </w:r>
      <w:r w:rsidRPr="00952BFF">
        <w:t xml:space="preserve"> </w:t>
      </w:r>
      <w:r>
        <w:t>concentration, we investigated higher concentrations, revealing that 1.0 M amine afforded 100% product for both 2-aminopyridine and 2-aminopyrimidine and was thus selected as optimum.</w:t>
      </w:r>
    </w:p>
    <w:p w14:paraId="4EA565C7" w14:textId="77777777" w:rsidR="005C62A1" w:rsidRDefault="005C62A1" w:rsidP="0091687E">
      <w:pPr>
        <w:pStyle w:val="TAMainText"/>
        <w:rPr>
          <w:rStyle w:val="06CHeading"/>
          <w:rFonts w:asciiTheme="minorHAnsi" w:hAnsiTheme="minorHAnsi"/>
          <w:b w:val="0"/>
          <w:bCs/>
          <w:smallCaps w:val="0"/>
        </w:rPr>
      </w:pPr>
    </w:p>
    <w:p w14:paraId="3A3E6B72" w14:textId="77777777" w:rsidR="005C62A1" w:rsidRPr="00927A4D" w:rsidRDefault="005C62A1" w:rsidP="00D7793E">
      <w:pPr>
        <w:pStyle w:val="VAFigureCaption"/>
        <w:rPr>
          <w:rStyle w:val="RSCI01FigureSchemeChartwithbottombarChar"/>
        </w:rPr>
      </w:pPr>
      <w:r>
        <w:rPr>
          <w:rStyle w:val="RSCI05CaptiontoFigureSchemeChartwithbottombarChar"/>
          <w:noProof/>
          <w:lang w:eastAsia="en-GB"/>
        </w:rPr>
        <w:drawing>
          <wp:inline distT="0" distB="0" distL="0" distR="0" wp14:anchorId="38B25490" wp14:editId="2C62E27E">
            <wp:extent cx="3156274" cy="5523546"/>
            <wp:effectExtent l="0" t="0" r="6350" b="0"/>
            <wp:docPr id="31" name="Picture 3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5562" cy="5557300"/>
                    </a:xfrm>
                    <a:prstGeom prst="rect">
                      <a:avLst/>
                    </a:prstGeom>
                    <a:noFill/>
                  </pic:spPr>
                </pic:pic>
              </a:graphicData>
            </a:graphic>
          </wp:inline>
        </w:drawing>
      </w:r>
      <w:r w:rsidRPr="00C12CD4">
        <w:rPr>
          <w:rFonts w:eastAsiaTheme="minorHAnsi"/>
          <w:b/>
          <w:bCs/>
        </w:rPr>
        <w:t>Figure 3.</w:t>
      </w:r>
      <w:r w:rsidRPr="00D7793E">
        <w:rPr>
          <w:rFonts w:eastAsiaTheme="minorHAnsi"/>
        </w:rPr>
        <w:t xml:space="preserve"> Optimisation of concentration of Pd, concentration of amine and surfactant strength (%TPGS) by factorial experimental design, conditions: </w:t>
      </w:r>
      <w:r w:rsidRPr="009B6A8D">
        <w:rPr>
          <w:rFonts w:eastAsiaTheme="minorHAnsi"/>
          <w:b/>
          <w:bCs/>
        </w:rPr>
        <w:t>1</w:t>
      </w:r>
      <w:r w:rsidRPr="00D7793E">
        <w:rPr>
          <w:rFonts w:eastAsiaTheme="minorHAnsi"/>
        </w:rPr>
        <w:t xml:space="preserve"> (5 nmol), tBuOK (0.2 M), Pd:L (1:2) 5% DMPU, 30 µL total volume, 80 °C, 30 mins; a) Comparison of predictive model with the experimental data for % product, red line shows line of best fit, red shaded areas shows the 95% confidence region for the fit, r2 = 0.88, RMSE = 10; b) Significance of effects; c) Cube plots of modelled % product for 2-aminopyridine and 2-aminopyrimidine; d) % Product responses for each parameter for 2-aminopyridine and 2-aminopyrimidine.</w:t>
      </w:r>
    </w:p>
    <w:p w14:paraId="07ACBA53" w14:textId="77777777" w:rsidR="005C62A1" w:rsidRDefault="005C62A1" w:rsidP="00D13841">
      <w:pPr>
        <w:pStyle w:val="TAMainText"/>
      </w:pPr>
    </w:p>
    <w:p w14:paraId="031D73FF" w14:textId="77777777" w:rsidR="005C62A1" w:rsidRPr="002458E4" w:rsidRDefault="005C62A1" w:rsidP="00D13841">
      <w:pPr>
        <w:pStyle w:val="TAMainText"/>
      </w:pPr>
      <w:r w:rsidRPr="002458E4">
        <w:t xml:space="preserve">The optimal conditions were applied to the coupling of </w:t>
      </w:r>
      <w:r w:rsidRPr="00D60CFC">
        <w:rPr>
          <w:b/>
        </w:rPr>
        <w:t>1</w:t>
      </w:r>
      <w:r w:rsidRPr="002458E4">
        <w:t xml:space="preserve"> with 20 diverse arylamines (Table 2). The optimal conditions could be used to couple five and six membered (hetero)anilines, as well as bicyclic systems. All 20 of the amines coupled with greater than 80% conversion to the desired product and all but one proceeded with 100% consumption of the starting material.</w:t>
      </w:r>
    </w:p>
    <w:p w14:paraId="1BF7B4F0" w14:textId="36027158" w:rsidR="005C62A1" w:rsidRDefault="005C62A1" w:rsidP="00F561BB">
      <w:pPr>
        <w:pStyle w:val="TAMainText"/>
        <w:rPr>
          <w:rStyle w:val="06CHeading"/>
          <w:rFonts w:asciiTheme="minorHAnsi" w:hAnsiTheme="minorHAnsi"/>
          <w:b w:val="0"/>
          <w:bCs/>
          <w:smallCaps w:val="0"/>
        </w:rPr>
      </w:pPr>
      <w:r w:rsidRPr="009F7157">
        <w:rPr>
          <w:rFonts w:eastAsiaTheme="minorHAnsi"/>
        </w:rPr>
        <w:t xml:space="preserve">Aniline, </w:t>
      </w:r>
      <w:r w:rsidRPr="00BA2656">
        <w:rPr>
          <w:rFonts w:eastAsiaTheme="minorHAnsi"/>
          <w:i/>
          <w:iCs/>
        </w:rPr>
        <w:t>p</w:t>
      </w:r>
      <w:r w:rsidRPr="009F7157">
        <w:rPr>
          <w:rFonts w:eastAsiaTheme="minorHAnsi"/>
        </w:rPr>
        <w:t>-anisidine and 3-(oxazol-5-yl)aniline gave 100% product, whilst electron-deficient p-nitroaniline gave 97% product and 100% conversion (entries 1-4). Methyl 4-aminobenzoate gave 94% product and 100% conversion (entry 4), however the ester was partially hydrolysed under the basic conditions, as reported by other procedures.</w:t>
      </w:r>
      <w:r w:rsidRPr="009F7157">
        <w:rPr>
          <w:rFonts w:eastAsiaTheme="minorHAnsi"/>
        </w:rPr>
        <w:fldChar w:fldCharType="begin" w:fldLock="1"/>
      </w:r>
      <w:r w:rsidR="008D2C4C">
        <w:rPr>
          <w:rFonts w:eastAsiaTheme="minorHAnsi"/>
        </w:rPr>
        <w:instrText>ADDIN CSL_CITATION {"citationItems":[{"id":"ITEM-1","itemData":{"DOI":"10.1021/acscombsci.8b00142","ISSN":"2156-8952","author":[{"dropping-particle":"","family":"Pedro Beato","given":"Eduardo","non-dropping-particle":"de","parse-names":false,"suffix":""},{"dropping-particle":"","family":"Priego","given":"Julián","non-dropping-particle":"","parse-names":false,"suffix":""},{"dropping-particle":"","family":"Gironda-Martínez","given":"Adrián","non-dropping-particle":"","parse-names":false,"suffix":""},{"dropping-particle":"","family":"González","given":"Fernando","non-dropping-particle":"","parse-names":false,"suffix":""},{"dropping-particle":"","family":"Benavides","given":"Jesús","non-dropping-particle":"","parse-names":false,"suffix":""},{"dropping-particle":"","family":"Blas","given":"Jesús","non-dropping-particle":"","parse-names":false,"suffix":""},{"dropping-particle":"","family":"Martín-Ortega","given":"María Dolores","non-dropping-particle":"","parse-names":false,"suffix":""},{"dropping-particle":"","family":"Toledo","given":"Miguel Ángel","non-dropping-particle":"","parse-names":false,"suffix":""},{"dropping-particle":"","family":"Ezquerra","given":"Jesús","non-dropping-particle":"","parse-names":false,"suffix":""},{"dropping-particle":"","family":"Torrado","given":"Alicia","non-dropping-particle":"","parse-names":false,"suffix":""}],"container-title":"ACS Combinatorial Science","id":"ITEM-1","issue":"2","issued":{"date-parts":[["2019","2","11"]]},"page":"69-74","title":"Mild and Efficient Palladium-Mediated C–N Cross-Coupling Reaction between DNA-Conjugated Aryl Bromides and Aromatic Amines","type":"article-journal","volume":"21"},"uris":["http://www.mendeley.com/documents/?uuid=15e7a513-c349-4422-b08b-34f188d0ac3a"]}],"mendeley":{"formattedCitation":"&lt;sup&gt;27&lt;/sup&gt;","plainTextFormattedCitation":"27","previouslyFormattedCitation":"&lt;sup&gt;27&lt;/sup&gt;"},"properties":{"noteIndex":0},"schema":"https://github.com/citation-style-language/schema/raw/master/csl-citation.json"}</w:instrText>
      </w:r>
      <w:r w:rsidRPr="009F7157">
        <w:rPr>
          <w:rFonts w:eastAsiaTheme="minorHAnsi"/>
        </w:rPr>
        <w:fldChar w:fldCharType="separate"/>
      </w:r>
      <w:r w:rsidR="008D2C4C" w:rsidRPr="008D2C4C">
        <w:rPr>
          <w:rFonts w:eastAsiaTheme="minorHAnsi"/>
          <w:noProof/>
          <w:vertAlign w:val="superscript"/>
        </w:rPr>
        <w:t>27</w:t>
      </w:r>
      <w:r w:rsidRPr="009F7157">
        <w:rPr>
          <w:rFonts w:eastAsiaTheme="minorHAnsi"/>
        </w:rPr>
        <w:fldChar w:fldCharType="end"/>
      </w:r>
      <w:r w:rsidRPr="009F7157">
        <w:rPr>
          <w:rFonts w:eastAsiaTheme="minorHAnsi"/>
        </w:rPr>
        <w:t xml:space="preserve"> o-Anisidine was the only amine out </w:t>
      </w:r>
      <w:r w:rsidRPr="009F7157">
        <w:rPr>
          <w:rFonts w:eastAsiaTheme="minorHAnsi"/>
        </w:rPr>
        <w:lastRenderedPageBreak/>
        <w:t xml:space="preserve">of this subset that didn’t couple with full consumption of the starting material (91% conversion, 85% product, entry 6). Disubstituted 3,4-dimethoxyaniline gave 100% product (entry 7), as did 2-, 3- and 4-aminopyridine (entries 8-10). Trisubstituted aminopyridines also gave 100% conversion (entries 11 and 12). </w:t>
      </w:r>
      <w:r w:rsidRPr="009F7157">
        <w:t>3-Methyl-5-(methylthio)pyridin-2-amine</w:t>
      </w:r>
      <w:r w:rsidRPr="009F7157">
        <w:rPr>
          <w:rFonts w:eastAsiaTheme="minorHAnsi"/>
        </w:rPr>
        <w:t xml:space="preserve"> (entry 11) also shows that the reaction is tolerant of thioethers, which are potential catalyst poisons. Electron deficient 2-aminopyridazine and 2-aminopyrimidine both gave 100% product (entries 13 and 14). 4-Amino-2-methoxypyrimidine (entry 15) gave 90% product and 100% conversion. The optimised conditions gave 93% product with 1-methyl-2-amino-benzimidazole (entry 16) with 100% conversion. It is established that Pd-catalysed N-arylation of five-membered aminoheterocycles can be problematic.</w:t>
      </w:r>
      <w:r w:rsidRPr="009F7157">
        <w:rPr>
          <w:rFonts w:eastAsiaTheme="minorHAnsi"/>
        </w:rPr>
        <w:fldChar w:fldCharType="begin" w:fldLock="1"/>
      </w:r>
      <w:r w:rsidR="008D2C4C">
        <w:rPr>
          <w:rFonts w:eastAsiaTheme="minorHAnsi"/>
        </w:rPr>
        <w:instrText>ADDIN CSL_CITATION {"citationItems":[{"id":"ITEM-1","itemData":{"DOI":"10.1021/ol300178j","ISSN":"1523-7060","author":[{"dropping-particle":"","family":"McGowan","given":"Meredeth A.","non-dropping-particle":"","parse-names":false,"suffix":""},{"dropping-particle":"","family":"Henderson","given":"Jaclyn L.","non-dropping-particle":"","parse-names":false,"suffix":""},{"dropping-particle":"","family":"Buchwald","given":"Stephen L.","non-dropping-particle":"","parse-names":false,"suffix":""}],"container-title":"Organic Letters","id":"ITEM-1","issue":"6","issued":{"date-parts":[["2012","3","16"]]},"page":"1432-1435","title":"Palladium-Catalyzed N-Arylation of 2-Aminothiazoles","type":"article-journal","volume":"14"},"uris":["http://www.mendeley.com/documents/?uuid=8b95ac7d-f035-4ba8-9bbd-73cba7110a85"]}],"mendeley":{"formattedCitation":"&lt;sup&gt;34&lt;/sup&gt;","plainTextFormattedCitation":"34","previouslyFormattedCitation":"&lt;sup&gt;34&lt;/sup&gt;"},"properties":{"noteIndex":0},"schema":"https://github.com/citation-style-language/schema/raw/master/csl-citation.json"}</w:instrText>
      </w:r>
      <w:r w:rsidRPr="009F7157">
        <w:rPr>
          <w:rFonts w:eastAsiaTheme="minorHAnsi"/>
        </w:rPr>
        <w:fldChar w:fldCharType="separate"/>
      </w:r>
      <w:r w:rsidR="008D2C4C" w:rsidRPr="008D2C4C">
        <w:rPr>
          <w:rFonts w:eastAsiaTheme="minorHAnsi"/>
          <w:noProof/>
          <w:vertAlign w:val="superscript"/>
        </w:rPr>
        <w:t>34</w:t>
      </w:r>
      <w:r w:rsidRPr="009F7157">
        <w:rPr>
          <w:rFonts w:eastAsiaTheme="minorHAnsi"/>
        </w:rPr>
        <w:fldChar w:fldCharType="end"/>
      </w:r>
      <w:r w:rsidRPr="009F7157">
        <w:rPr>
          <w:rFonts w:eastAsiaTheme="minorHAnsi"/>
        </w:rPr>
        <w:t xml:space="preserve"> We were encouraged to see excellent conversion with this class of amines (entries 17-20), perhaps most notably, the excellent conversion for 2-aminothiazole (entry 19), an amine that has failed to couple on-DNA before by Pd-catalysed reactions.</w:t>
      </w:r>
      <w:r w:rsidRPr="009F7157">
        <w:rPr>
          <w:rFonts w:eastAsiaTheme="minorHAnsi"/>
        </w:rPr>
        <w:fldChar w:fldCharType="begin" w:fldLock="1"/>
      </w:r>
      <w:r w:rsidR="008D2C4C">
        <w:rPr>
          <w:rFonts w:eastAsiaTheme="minorHAnsi"/>
        </w:rPr>
        <w:instrText>ADDIN CSL_CITATION {"citationItems":[{"id":"ITEM-1","itemData":{"DOI":"10.1021/acscombsci.8b00142","ISSN":"2156-8952","author":[{"dropping-particle":"","family":"Pedro Beato","given":"Eduardo","non-dropping-particle":"de","parse-names":false,"suffix":""},{"dropping-particle":"","family":"Priego","given":"Julián","non-dropping-particle":"","parse-names":false,"suffix":""},{"dropping-particle":"","family":"Gironda-Martínez","given":"Adrián","non-dropping-particle":"","parse-names":false,"suffix":""},{"dropping-particle":"","family":"González","given":"Fernando","non-dropping-particle":"","parse-names":false,"suffix":""},{"dropping-particle":"","family":"Benavides","given":"Jesús","non-dropping-particle":"","parse-names":false,"suffix":""},{"dropping-particle":"","family":"Blas","given":"Jesús","non-dropping-particle":"","parse-names":false,"suffix":""},{"dropping-particle":"","family":"Martín-Ortega","given":"María Dolores","non-dropping-particle":"","parse-names":false,"suffix":""},{"dropping-particle":"","family":"Toledo","given":"Miguel Ángel","non-dropping-particle":"","parse-names":false,"suffix":""},{"dropping-particle":"","family":"Ezquerra","given":"Jesús","non-dropping-particle":"","parse-names":false,"suffix":""},{"dropping-particle":"","family":"Torrado","given":"Alicia","non-dropping-particle":"","parse-names":false,"suffix":""}],"container-title":"ACS Combinatorial Science","id":"ITEM-1","issue":"2","issued":{"date-parts":[["2019","2","11"]]},"page":"69-74","title":"Mild and Efficient Palladium-Mediated C–N Cross-Coupling Reaction between DNA-Conjugated Aryl Bromides and Aromatic Amines","type":"article-journal","volume":"21"},"uris":["http://www.mendeley.com/documents/?uuid=15e7a513-c349-4422-b08b-34f188d0ac3a"]}],"mendeley":{"formattedCitation":"&lt;sup&gt;27&lt;/sup&gt;","plainTextFormattedCitation":"27","previouslyFormattedCitation":"&lt;sup&gt;27&lt;/sup&gt;"},"properties":{"noteIndex":0},"schema":"https://github.com/citation-style-language/schema/raw/master/csl-citation.json"}</w:instrText>
      </w:r>
      <w:r w:rsidRPr="009F7157">
        <w:rPr>
          <w:rFonts w:eastAsiaTheme="minorHAnsi"/>
        </w:rPr>
        <w:fldChar w:fldCharType="separate"/>
      </w:r>
      <w:r w:rsidR="008D2C4C" w:rsidRPr="008D2C4C">
        <w:rPr>
          <w:rFonts w:eastAsiaTheme="minorHAnsi"/>
          <w:noProof/>
          <w:vertAlign w:val="superscript"/>
        </w:rPr>
        <w:t>27</w:t>
      </w:r>
      <w:r w:rsidRPr="009F7157">
        <w:rPr>
          <w:rFonts w:eastAsiaTheme="minorHAnsi"/>
        </w:rPr>
        <w:fldChar w:fldCharType="end"/>
      </w:r>
      <w:r w:rsidRPr="009F7157">
        <w:rPr>
          <w:rFonts w:eastAsiaTheme="minorHAnsi"/>
        </w:rPr>
        <w:t xml:space="preserve"> Overall, this represents an exceptional level of conversion across a wide range of substrates of varied reactivity and polarity desired for library synthesis</w:t>
      </w:r>
      <w:r>
        <w:rPr>
          <w:rStyle w:val="06CHeading"/>
          <w:rFonts w:asciiTheme="minorHAnsi" w:hAnsiTheme="minorHAnsi"/>
          <w:bCs/>
        </w:rPr>
        <w:t>.</w:t>
      </w:r>
    </w:p>
    <w:p w14:paraId="14F95B48" w14:textId="4D4400DF" w:rsidR="00D83EC6" w:rsidRDefault="00D83EC6" w:rsidP="0091687E">
      <w:pPr>
        <w:pStyle w:val="TAMainText"/>
        <w:rPr>
          <w:rStyle w:val="06CHeading"/>
          <w:rFonts w:asciiTheme="minorHAnsi" w:hAnsiTheme="minorHAnsi"/>
          <w:b w:val="0"/>
          <w:bCs/>
          <w:smallCaps w:val="0"/>
        </w:rPr>
      </w:pPr>
      <w:r>
        <w:rPr>
          <w:rFonts w:eastAsiaTheme="minorHAnsi"/>
        </w:rPr>
        <w:t>T</w:t>
      </w:r>
      <w:r w:rsidRPr="00A41A0E">
        <w:rPr>
          <w:rFonts w:eastAsiaTheme="minorHAnsi"/>
        </w:rPr>
        <w:t>hese results indicate that the method is superior to previously published methods, for example aniline, 4-methoxyaniline, methyl 4-aminobenzoate and 2-aminopyridine had all been reported to couple with inferior conversions in previously reported studies.</w:t>
      </w:r>
      <w:r w:rsidRPr="00A41A0E">
        <w:rPr>
          <w:rFonts w:eastAsiaTheme="minorHAnsi"/>
        </w:rPr>
        <w:fldChar w:fldCharType="begin" w:fldLock="1"/>
      </w:r>
      <w:r>
        <w:rPr>
          <w:rFonts w:eastAsiaTheme="minorHAnsi"/>
        </w:rPr>
        <w:instrText>ADDIN CSL_CITATION {"citationItems":[{"id":"ITEM-1","itemData":{"DOI":"10.1021/acscombsci.8b00142","ISSN":"2156-8952","author":[{"dropping-particle":"","family":"Pedro Beato","given":"Eduardo","non-dropping-particle":"de","parse-names":false,"suffix":""},{"dropping-particle":"","family":"Priego","given":"Julián","non-dropping-particle":"","parse-names":false,"suffix":""},{"dropping-particle":"","family":"Gironda-Martínez","given":"Adrián","non-dropping-particle":"","parse-names":false,"suffix":""},{"dropping-particle":"","family":"González","given":"Fernando","non-dropping-particle":"","parse-names":false,"suffix":""},{"dropping-particle":"","family":"Benavides","given":"Jesús","non-dropping-particle":"","parse-names":false,"suffix":""},{"dropping-particle":"","family":"Blas","given":"Jesús","non-dropping-particle":"","parse-names":false,"suffix":""},{"dropping-particle":"","family":"Martín-Ortega","given":"María Dolores","non-dropping-particle":"","parse-names":false,"suffix":""},{"dropping-particle":"","family":"Toledo","given":"Miguel Ángel","non-dropping-particle":"","parse-names":false,"suffix":""},{"dropping-particle":"","family":"Ezquerra","given":"Jesús","non-dropping-particle":"","parse-names":false,"suffix":""},{"dropping-particle":"","family":"Torrado","given":"Alicia","non-dropping-particle":"","parse-names":false,"suffix":""}],"container-title":"ACS Combinatorial Science","id":"ITEM-1","issue":"2","issued":{"date-parts":[["2019","2","11"]]},"page":"69-74","title":"Mild and Efficient Palladium-Mediated C–N Cross-Coupling Reaction between DNA-Conjugated Aryl Bromides and Aromatic Amines","type":"article-journal","volume":"21"},"uris":["http://www.mendeley.com/documents/?uuid=15e7a513-c349-4422-b08b-34f188d0ac3a"]}],"mendeley":{"formattedCitation":"&lt;sup&gt;27&lt;/sup&gt;","plainTextFormattedCitation":"27","previouslyFormattedCitation":"&lt;sup&gt;27&lt;/sup&gt;"},"properties":{"noteIndex":0},"schema":"https://github.com/citation-style-language/schema/raw/master/csl-citation.json"}</w:instrText>
      </w:r>
      <w:r w:rsidRPr="00A41A0E">
        <w:rPr>
          <w:rFonts w:eastAsiaTheme="minorHAnsi"/>
        </w:rPr>
        <w:fldChar w:fldCharType="separate"/>
      </w:r>
      <w:r w:rsidRPr="008D2C4C">
        <w:rPr>
          <w:rFonts w:eastAsiaTheme="minorHAnsi"/>
          <w:noProof/>
          <w:vertAlign w:val="superscript"/>
        </w:rPr>
        <w:t>27</w:t>
      </w:r>
      <w:r w:rsidRPr="00A41A0E">
        <w:rPr>
          <w:rFonts w:eastAsiaTheme="minorHAnsi"/>
        </w:rPr>
        <w:fldChar w:fldCharType="end"/>
      </w:r>
      <w:r w:rsidRPr="00A41A0E">
        <w:rPr>
          <w:rFonts w:eastAsiaTheme="minorHAnsi"/>
        </w:rPr>
        <w:t>,</w:t>
      </w:r>
      <w:r w:rsidRPr="00A41A0E">
        <w:rPr>
          <w:rFonts w:eastAsiaTheme="minorHAnsi"/>
        </w:rPr>
        <w:fldChar w:fldCharType="begin" w:fldLock="1"/>
      </w:r>
      <w:r>
        <w:rPr>
          <w:rFonts w:eastAsiaTheme="minorHAnsi"/>
        </w:rPr>
        <w:instrText>ADDIN CSL_CITATION {"citationItems":[{"id":"ITEM-1","itemData":{"DOI":"10.1021/acs.bioconjchem.9b00863","ISSN":"1043-1802","author":[{"dropping-particle":"","family":"Chen","given":"Ying-Chu","non-dropping-particle":"","parse-names":false,"suffix":""},{"dropping-particle":"","family":"Faver","given":"John C.","non-dropping-particle":"","parse-names":false,"suffix":""},{"dropping-particle":"","family":"Ku","given":"Angela F.","non-dropping-particle":"","parse-names":false,"suffix":""},{"dropping-particle":"","family":"Miklossy","given":"Gabriella","non-dropping-particle":"","parse-names":false,"suffix":""},{"dropping-particle":"","family":"Riehle","given":"Kevin","non-dropping-particle":"","parse-names":false,"suffix":""},{"dropping-particle":"","family":"Bohren","given":"Kurt M.","non-dropping-particle":"","parse-names":false,"suffix":""},{"dropping-particle":"","family":"Ucisik","given":"Melek N.","non-dropping-particle":"","parse-names":false,"suffix":""},{"dropping-particle":"","family":"Matzuk","given":"Martin M.","non-dropping-particle":"","parse-names":false,"suffix":""},{"dropping-particle":"","family":"Yu","given":"Zhifeng","non-dropping-particle":"","parse-names":false,"suffix":""},{"dropping-particle":"","family":"Simmons","given":"Nicholas","non-dropping-particle":"","parse-names":false,"suffix":""}],"container-title":"Bioconjugate Chemistry","id":"ITEM-1","issue":"3","issued":{"date-parts":[["2020","3","18"]]},"page":"770-780","title":"C–N Coupling of DNA-Conjugated (Hetero)aryl Bromides and Chlorides for DNA-Encoded Chemical Library Synthesis","type":"article-journal","volume":"31"},"uris":["http://www.mendeley.com/documents/?uuid=07c92699-7c50-40fa-8560-f3d8439e8653"]}],"mendeley":{"formattedCitation":"&lt;sup&gt;28&lt;/sup&gt;","plainTextFormattedCitation":"28","previouslyFormattedCitation":"&lt;sup&gt;28&lt;/sup&gt;"},"properties":{"noteIndex":0},"schema":"https://github.com/citation-style-language/schema/raw/master/csl-citation.json"}</w:instrText>
      </w:r>
      <w:r w:rsidRPr="00A41A0E">
        <w:rPr>
          <w:rFonts w:eastAsiaTheme="minorHAnsi"/>
        </w:rPr>
        <w:fldChar w:fldCharType="separate"/>
      </w:r>
      <w:r w:rsidRPr="008D2C4C">
        <w:rPr>
          <w:rFonts w:eastAsiaTheme="minorHAnsi"/>
          <w:noProof/>
          <w:vertAlign w:val="superscript"/>
        </w:rPr>
        <w:t>28</w:t>
      </w:r>
      <w:r w:rsidRPr="00A41A0E">
        <w:rPr>
          <w:rFonts w:eastAsiaTheme="minorHAnsi"/>
        </w:rPr>
        <w:fldChar w:fldCharType="end"/>
      </w:r>
      <w:r w:rsidRPr="00A41A0E">
        <w:rPr>
          <w:rFonts w:eastAsiaTheme="minorHAnsi"/>
        </w:rPr>
        <w:t xml:space="preserve"> To establish the improvements in reaction efficiency offered by the micellar method, selected aromatic amines exemplified in previous reports were screened (</w:t>
      </w:r>
      <w:r w:rsidR="00F65AB6">
        <w:rPr>
          <w:rFonts w:eastAsiaTheme="minorHAnsi"/>
        </w:rPr>
        <w:t>Table 3</w:t>
      </w:r>
      <w:r w:rsidRPr="00A41A0E">
        <w:rPr>
          <w:rFonts w:eastAsiaTheme="minorHAnsi"/>
        </w:rPr>
        <w:t xml:space="preserve">), which included some from Table 2 (entries 5-8), using iodide </w:t>
      </w:r>
      <w:r w:rsidRPr="00D60CFC">
        <w:rPr>
          <w:rFonts w:eastAsiaTheme="minorHAnsi"/>
          <w:b/>
        </w:rPr>
        <w:t>1</w:t>
      </w:r>
      <w:r w:rsidRPr="00A41A0E">
        <w:rPr>
          <w:rFonts w:eastAsiaTheme="minorHAnsi"/>
        </w:rPr>
        <w:t xml:space="preserve"> and bromide </w:t>
      </w:r>
      <w:r w:rsidRPr="00D60CFC">
        <w:rPr>
          <w:rFonts w:eastAsiaTheme="minorHAnsi"/>
          <w:b/>
        </w:rPr>
        <w:t>3</w:t>
      </w:r>
      <w:r w:rsidRPr="00A41A0E">
        <w:rPr>
          <w:rFonts w:eastAsiaTheme="minorHAnsi"/>
        </w:rPr>
        <w:t>. The results further demonstrated that our conditions are superior to previously described conditions in all cases and can be used to couple challenging aromatic amines to on DNA aryl halides</w:t>
      </w:r>
      <w:r>
        <w:rPr>
          <w:rFonts w:eastAsiaTheme="minorHAnsi"/>
        </w:rPr>
        <w:t>.</w:t>
      </w:r>
    </w:p>
    <w:p w14:paraId="08E5109E" w14:textId="77777777" w:rsidR="005C62A1" w:rsidRDefault="005C62A1" w:rsidP="008360B6">
      <w:pPr>
        <w:pStyle w:val="TAMainText"/>
        <w:rPr>
          <w:rStyle w:val="06CHeading"/>
          <w:rFonts w:asciiTheme="minorHAnsi" w:hAnsiTheme="minorHAnsi"/>
          <w:b w:val="0"/>
          <w:bCs/>
          <w:smallCaps w:val="0"/>
        </w:rPr>
      </w:pPr>
    </w:p>
    <w:p w14:paraId="56BB3512" w14:textId="77777777" w:rsidR="005C62A1" w:rsidRDefault="005C62A1" w:rsidP="00D60CFC">
      <w:pPr>
        <w:pStyle w:val="TAMainText"/>
        <w:rPr>
          <w:rStyle w:val="06CHeading"/>
          <w:rFonts w:asciiTheme="minorHAnsi" w:hAnsiTheme="minorHAnsi"/>
          <w:b w:val="0"/>
          <w:bCs/>
          <w:smallCaps w:val="0"/>
        </w:rPr>
      </w:pPr>
    </w:p>
    <w:p w14:paraId="66EFCBCD" w14:textId="77777777" w:rsidR="005C62A1" w:rsidRDefault="005C62A1" w:rsidP="00D60CFC">
      <w:pPr>
        <w:pStyle w:val="TAMainText"/>
        <w:rPr>
          <w:rStyle w:val="06CHeading"/>
          <w:rFonts w:asciiTheme="minorHAnsi" w:hAnsiTheme="minorHAnsi"/>
          <w:b w:val="0"/>
          <w:bCs/>
          <w:smallCaps w:val="0"/>
        </w:rPr>
      </w:pPr>
    </w:p>
    <w:p w14:paraId="186A76A1" w14:textId="77777777" w:rsidR="005C62A1" w:rsidRDefault="005C62A1" w:rsidP="00D60CFC">
      <w:pPr>
        <w:pStyle w:val="TAMainText"/>
        <w:rPr>
          <w:rStyle w:val="06CHeading"/>
          <w:rFonts w:asciiTheme="minorHAnsi" w:hAnsiTheme="minorHAnsi"/>
          <w:b w:val="0"/>
          <w:bCs/>
          <w:smallCaps w:val="0"/>
        </w:rPr>
      </w:pPr>
    </w:p>
    <w:p w14:paraId="4755BB54" w14:textId="77777777" w:rsidR="005C62A1" w:rsidRDefault="005C62A1" w:rsidP="00D60CFC">
      <w:pPr>
        <w:pStyle w:val="TAMainText"/>
        <w:rPr>
          <w:rStyle w:val="06CHeading"/>
          <w:rFonts w:asciiTheme="minorHAnsi" w:hAnsiTheme="minorHAnsi"/>
          <w:b w:val="0"/>
          <w:bCs/>
          <w:smallCaps w:val="0"/>
        </w:rPr>
      </w:pPr>
    </w:p>
    <w:p w14:paraId="3F00723D" w14:textId="77777777" w:rsidR="005C62A1" w:rsidRDefault="005C62A1" w:rsidP="00D60CFC">
      <w:pPr>
        <w:pStyle w:val="TAMainText"/>
        <w:rPr>
          <w:rStyle w:val="06CHeading"/>
          <w:rFonts w:asciiTheme="minorHAnsi" w:hAnsiTheme="minorHAnsi"/>
          <w:b w:val="0"/>
          <w:bCs/>
          <w:smallCaps w:val="0"/>
        </w:rPr>
      </w:pPr>
    </w:p>
    <w:p w14:paraId="0F2B5725" w14:textId="77777777" w:rsidR="005C62A1" w:rsidRDefault="005C62A1" w:rsidP="00D60CFC">
      <w:pPr>
        <w:pStyle w:val="TAMainText"/>
        <w:rPr>
          <w:rStyle w:val="06CHeading"/>
          <w:rFonts w:asciiTheme="minorHAnsi" w:hAnsiTheme="minorHAnsi"/>
          <w:b w:val="0"/>
          <w:bCs/>
          <w:smallCaps w:val="0"/>
        </w:rPr>
      </w:pPr>
    </w:p>
    <w:p w14:paraId="0CBAD6C6" w14:textId="77777777" w:rsidR="005C62A1" w:rsidRDefault="005C62A1" w:rsidP="00D60CFC">
      <w:pPr>
        <w:pStyle w:val="TAMainText"/>
        <w:rPr>
          <w:rStyle w:val="06CHeading"/>
          <w:rFonts w:asciiTheme="minorHAnsi" w:hAnsiTheme="minorHAnsi"/>
          <w:b w:val="0"/>
          <w:bCs/>
          <w:smallCaps w:val="0"/>
        </w:rPr>
      </w:pPr>
    </w:p>
    <w:p w14:paraId="76CE2379" w14:textId="77777777" w:rsidR="005C62A1" w:rsidRDefault="005C62A1" w:rsidP="00D60CFC">
      <w:pPr>
        <w:pStyle w:val="TAMainText"/>
        <w:rPr>
          <w:rStyle w:val="06CHeading"/>
          <w:rFonts w:asciiTheme="minorHAnsi" w:hAnsiTheme="minorHAnsi"/>
          <w:b w:val="0"/>
          <w:bCs/>
          <w:smallCaps w:val="0"/>
        </w:rPr>
      </w:pPr>
    </w:p>
    <w:p w14:paraId="5D33C5FA" w14:textId="77777777" w:rsidR="005C62A1" w:rsidRDefault="005C62A1" w:rsidP="00D60CFC">
      <w:pPr>
        <w:pStyle w:val="TAMainText"/>
        <w:rPr>
          <w:rStyle w:val="06CHeading"/>
          <w:rFonts w:asciiTheme="minorHAnsi" w:hAnsiTheme="minorHAnsi"/>
          <w:b w:val="0"/>
          <w:bCs/>
          <w:smallCaps w:val="0"/>
        </w:rPr>
      </w:pPr>
    </w:p>
    <w:p w14:paraId="263EECC0" w14:textId="77777777" w:rsidR="005C62A1" w:rsidRDefault="005C62A1" w:rsidP="00D60CFC">
      <w:pPr>
        <w:pStyle w:val="TAMainText"/>
        <w:rPr>
          <w:rStyle w:val="06CHeading"/>
          <w:rFonts w:asciiTheme="minorHAnsi" w:hAnsiTheme="minorHAnsi"/>
          <w:b w:val="0"/>
          <w:bCs/>
          <w:smallCaps w:val="0"/>
        </w:rPr>
      </w:pPr>
    </w:p>
    <w:p w14:paraId="570D4EED" w14:textId="77777777" w:rsidR="005C62A1" w:rsidRDefault="005C62A1" w:rsidP="00D60CFC">
      <w:pPr>
        <w:pStyle w:val="TAMainText"/>
        <w:rPr>
          <w:rStyle w:val="06CHeading"/>
          <w:rFonts w:asciiTheme="minorHAnsi" w:hAnsiTheme="minorHAnsi"/>
          <w:b w:val="0"/>
          <w:bCs/>
          <w:smallCaps w:val="0"/>
        </w:rPr>
      </w:pPr>
    </w:p>
    <w:p w14:paraId="3499B762" w14:textId="77777777" w:rsidR="005C62A1" w:rsidRDefault="005C62A1" w:rsidP="00D60CFC">
      <w:pPr>
        <w:pStyle w:val="TAMainText"/>
        <w:rPr>
          <w:rStyle w:val="06CHeading"/>
          <w:rFonts w:asciiTheme="minorHAnsi" w:hAnsiTheme="minorHAnsi"/>
          <w:b w:val="0"/>
          <w:bCs/>
          <w:smallCaps w:val="0"/>
        </w:rPr>
      </w:pPr>
    </w:p>
    <w:p w14:paraId="081D09EA" w14:textId="77777777" w:rsidR="005C62A1" w:rsidRDefault="005C62A1" w:rsidP="00D60CFC">
      <w:pPr>
        <w:pStyle w:val="TAMainText"/>
        <w:rPr>
          <w:rStyle w:val="06CHeading"/>
          <w:rFonts w:asciiTheme="minorHAnsi" w:hAnsiTheme="minorHAnsi"/>
          <w:b w:val="0"/>
          <w:bCs/>
          <w:smallCaps w:val="0"/>
        </w:rPr>
      </w:pPr>
    </w:p>
    <w:p w14:paraId="5D120B48" w14:textId="77777777" w:rsidR="005C62A1" w:rsidRDefault="005C62A1" w:rsidP="00D60CFC">
      <w:pPr>
        <w:pStyle w:val="TAMainText"/>
        <w:rPr>
          <w:rStyle w:val="06CHeading"/>
          <w:rFonts w:asciiTheme="minorHAnsi" w:hAnsiTheme="minorHAnsi"/>
          <w:b w:val="0"/>
          <w:bCs/>
          <w:smallCaps w:val="0"/>
        </w:rPr>
      </w:pPr>
    </w:p>
    <w:p w14:paraId="1847A89E" w14:textId="77777777" w:rsidR="005C62A1" w:rsidRDefault="005C62A1" w:rsidP="00D60CFC">
      <w:pPr>
        <w:pStyle w:val="TAMainText"/>
        <w:rPr>
          <w:rStyle w:val="06CHeading"/>
          <w:rFonts w:asciiTheme="minorHAnsi" w:hAnsiTheme="minorHAnsi"/>
          <w:b w:val="0"/>
          <w:bCs/>
          <w:smallCaps w:val="0"/>
        </w:rPr>
      </w:pPr>
    </w:p>
    <w:p w14:paraId="101C789D" w14:textId="77777777" w:rsidR="005C62A1" w:rsidRDefault="005C62A1" w:rsidP="00D60CFC">
      <w:pPr>
        <w:pStyle w:val="TAMainText"/>
        <w:rPr>
          <w:rStyle w:val="06CHeading"/>
          <w:rFonts w:asciiTheme="minorHAnsi" w:hAnsiTheme="minorHAnsi"/>
          <w:b w:val="0"/>
          <w:bCs/>
          <w:smallCaps w:val="0"/>
        </w:rPr>
      </w:pPr>
    </w:p>
    <w:p w14:paraId="2F4BCFE4" w14:textId="77777777" w:rsidR="005C62A1" w:rsidRDefault="005C62A1" w:rsidP="00D60CFC">
      <w:pPr>
        <w:pStyle w:val="TAMainText"/>
        <w:rPr>
          <w:rStyle w:val="06CHeading"/>
          <w:rFonts w:asciiTheme="minorHAnsi" w:hAnsiTheme="minorHAnsi"/>
          <w:b w:val="0"/>
          <w:bCs/>
          <w:smallCaps w:val="0"/>
        </w:rPr>
      </w:pPr>
    </w:p>
    <w:p w14:paraId="0A7321CB" w14:textId="77777777" w:rsidR="005C62A1" w:rsidRDefault="005C62A1" w:rsidP="00D60CFC">
      <w:pPr>
        <w:pStyle w:val="TAMainText"/>
        <w:rPr>
          <w:rStyle w:val="06CHeading"/>
          <w:rFonts w:asciiTheme="minorHAnsi" w:hAnsiTheme="minorHAnsi"/>
          <w:b w:val="0"/>
          <w:bCs/>
          <w:smallCaps w:val="0"/>
        </w:rPr>
      </w:pPr>
    </w:p>
    <w:p w14:paraId="7DE4128D" w14:textId="77777777" w:rsidR="005C62A1" w:rsidRDefault="005C62A1" w:rsidP="00D60CFC">
      <w:pPr>
        <w:pStyle w:val="TAMainText"/>
        <w:rPr>
          <w:rStyle w:val="06CHeading"/>
          <w:rFonts w:asciiTheme="minorHAnsi" w:hAnsiTheme="minorHAnsi"/>
          <w:b w:val="0"/>
          <w:bCs/>
          <w:smallCaps w:val="0"/>
        </w:rPr>
      </w:pPr>
    </w:p>
    <w:p w14:paraId="31A8B910" w14:textId="77777777" w:rsidR="005C62A1" w:rsidRDefault="005C62A1" w:rsidP="00D60CFC">
      <w:pPr>
        <w:pStyle w:val="TAMainText"/>
        <w:rPr>
          <w:rStyle w:val="06CHeading"/>
          <w:rFonts w:asciiTheme="minorHAnsi" w:hAnsiTheme="minorHAnsi"/>
          <w:b w:val="0"/>
          <w:bCs/>
          <w:smallCaps w:val="0"/>
        </w:rPr>
      </w:pPr>
    </w:p>
    <w:p w14:paraId="30D06ECF" w14:textId="77777777" w:rsidR="005C62A1" w:rsidRDefault="005C62A1" w:rsidP="00D60CFC">
      <w:pPr>
        <w:pStyle w:val="TAMainText"/>
        <w:rPr>
          <w:rStyle w:val="06CHeading"/>
          <w:rFonts w:asciiTheme="minorHAnsi" w:hAnsiTheme="minorHAnsi"/>
          <w:b w:val="0"/>
          <w:bCs/>
          <w:smallCaps w:val="0"/>
        </w:rPr>
      </w:pPr>
    </w:p>
    <w:p w14:paraId="4737C66D" w14:textId="77777777" w:rsidR="005C62A1" w:rsidRDefault="005C62A1" w:rsidP="00D60CFC">
      <w:pPr>
        <w:pStyle w:val="TAMainText"/>
        <w:rPr>
          <w:rStyle w:val="06CHeading"/>
          <w:rFonts w:asciiTheme="minorHAnsi" w:hAnsiTheme="minorHAnsi"/>
          <w:b w:val="0"/>
          <w:bCs/>
          <w:smallCaps w:val="0"/>
        </w:rPr>
      </w:pPr>
    </w:p>
    <w:p w14:paraId="41C42B86" w14:textId="77777777" w:rsidR="005C62A1" w:rsidRDefault="005C62A1" w:rsidP="00D60CFC">
      <w:pPr>
        <w:pStyle w:val="TAMainText"/>
        <w:rPr>
          <w:rStyle w:val="06CHeading"/>
          <w:rFonts w:asciiTheme="minorHAnsi" w:hAnsiTheme="minorHAnsi"/>
          <w:b w:val="0"/>
          <w:bCs/>
          <w:smallCaps w:val="0"/>
        </w:rPr>
      </w:pPr>
    </w:p>
    <w:p w14:paraId="1DC68B0C" w14:textId="77777777" w:rsidR="005C62A1" w:rsidRDefault="005C62A1" w:rsidP="00D60CFC">
      <w:pPr>
        <w:pStyle w:val="TAMainText"/>
        <w:rPr>
          <w:rStyle w:val="06CHeading"/>
          <w:rFonts w:asciiTheme="minorHAnsi" w:hAnsiTheme="minorHAnsi"/>
          <w:b w:val="0"/>
          <w:bCs/>
          <w:smallCaps w:val="0"/>
        </w:rPr>
      </w:pPr>
    </w:p>
    <w:p w14:paraId="5E52055F" w14:textId="77777777" w:rsidR="005C62A1" w:rsidRPr="00551C6A" w:rsidRDefault="005C62A1" w:rsidP="00BA2656">
      <w:pPr>
        <w:pStyle w:val="VDTableTitle"/>
        <w:rPr>
          <w:rStyle w:val="06CHeading"/>
          <w:rFonts w:asciiTheme="minorHAnsi" w:hAnsiTheme="minorHAnsi"/>
          <w:b w:val="0"/>
          <w:smallCaps w:val="0"/>
          <w:color w:val="000000" w:themeColor="text1"/>
          <w:sz w:val="14"/>
          <w:szCs w:val="14"/>
        </w:rPr>
      </w:pPr>
      <w:r w:rsidRPr="00BA2656">
        <w:rPr>
          <w:b/>
          <w:bCs w:val="0"/>
        </w:rPr>
        <w:t>Table 2.</w:t>
      </w:r>
      <w:r>
        <w:t xml:space="preserve"> Coupling between </w:t>
      </w:r>
      <w:r w:rsidRPr="009B6A8D">
        <w:rPr>
          <w:b/>
          <w:bCs w:val="0"/>
        </w:rPr>
        <w:t>1</w:t>
      </w:r>
      <w:r>
        <w:t xml:space="preserve"> and a wide range of aromatic amines. Conditions: </w:t>
      </w:r>
      <w:r w:rsidRPr="00D60CFC">
        <w:rPr>
          <w:b/>
        </w:rPr>
        <w:t>1</w:t>
      </w:r>
      <w:r>
        <w:t xml:space="preserve"> (5 nmol), </w:t>
      </w:r>
      <w:r w:rsidRPr="00551C6A">
        <w:t xml:space="preserve">amine (1.0 M), </w:t>
      </w:r>
      <w:r>
        <w:t>tBuOK</w:t>
      </w:r>
      <w:r w:rsidRPr="00551C6A">
        <w:t xml:space="preserve"> (0.2 M), [(Cinnamyl)PdCl]</w:t>
      </w:r>
      <w:r w:rsidRPr="00551C6A">
        <w:rPr>
          <w:vertAlign w:val="subscript"/>
        </w:rPr>
        <w:t xml:space="preserve">2 </w:t>
      </w:r>
      <w:r w:rsidRPr="00551C6A">
        <w:t>(3.45 mM), cBRIDP (6.9 mM), 3.5%</w:t>
      </w:r>
      <w:r>
        <w:t xml:space="preserve"> aq.</w:t>
      </w:r>
      <w:r w:rsidRPr="00551C6A">
        <w:t xml:space="preserve"> TPGS-750-M, 5% DMPU,</w:t>
      </w:r>
      <w:r>
        <w:t xml:space="preserve"> 30 µL total volume,</w:t>
      </w:r>
      <w:r w:rsidRPr="00551C6A">
        <w:t xml:space="preserve"> 80 ˚C, 30 mins.</w:t>
      </w:r>
    </w:p>
    <w:tbl>
      <w:tblPr>
        <w:tblStyle w:val="TableGrid"/>
        <w:tblW w:w="4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276"/>
        <w:gridCol w:w="1417"/>
        <w:gridCol w:w="1418"/>
      </w:tblGrid>
      <w:tr w:rsidR="005C62A1" w:rsidRPr="008F30BA" w14:paraId="288EA200" w14:textId="77777777" w:rsidTr="009C0388">
        <w:trPr>
          <w:trHeight w:val="339"/>
        </w:trPr>
        <w:tc>
          <w:tcPr>
            <w:tcW w:w="709" w:type="dxa"/>
            <w:vAlign w:val="center"/>
          </w:tcPr>
          <w:p w14:paraId="0BA4E4E2" w14:textId="77777777" w:rsidR="005C62A1" w:rsidRPr="00B2746B" w:rsidRDefault="005C62A1" w:rsidP="00B2746B">
            <w:pPr>
              <w:pStyle w:val="TCTableBody"/>
            </w:pPr>
          </w:p>
        </w:tc>
        <w:tc>
          <w:tcPr>
            <w:tcW w:w="1276" w:type="dxa"/>
            <w:vAlign w:val="center"/>
          </w:tcPr>
          <w:p w14:paraId="4FED5DA2" w14:textId="77777777" w:rsidR="005C62A1" w:rsidRPr="00B2746B" w:rsidRDefault="005C62A1" w:rsidP="00B2746B">
            <w:pPr>
              <w:pStyle w:val="TCTableBody"/>
            </w:pPr>
            <w:r w:rsidRPr="00B2746B">
              <w:t>Amine</w:t>
            </w:r>
          </w:p>
        </w:tc>
        <w:tc>
          <w:tcPr>
            <w:tcW w:w="1417" w:type="dxa"/>
            <w:vAlign w:val="center"/>
          </w:tcPr>
          <w:p w14:paraId="602DFE25" w14:textId="77777777" w:rsidR="005C62A1" w:rsidRPr="00B2746B" w:rsidRDefault="005C62A1" w:rsidP="00B2746B">
            <w:pPr>
              <w:pStyle w:val="TCTableBody"/>
            </w:pPr>
            <w:r w:rsidRPr="00B2746B">
              <w:t>Product (%)</w:t>
            </w:r>
          </w:p>
        </w:tc>
        <w:tc>
          <w:tcPr>
            <w:tcW w:w="1418" w:type="dxa"/>
            <w:vAlign w:val="center"/>
          </w:tcPr>
          <w:p w14:paraId="5F7BB9AA" w14:textId="77777777" w:rsidR="005C62A1" w:rsidRPr="00B2746B" w:rsidRDefault="005C62A1" w:rsidP="00B2746B">
            <w:pPr>
              <w:pStyle w:val="TCTableBody"/>
            </w:pPr>
            <w:r w:rsidRPr="00B2746B">
              <w:t>Conversion (%)</w:t>
            </w:r>
          </w:p>
        </w:tc>
      </w:tr>
      <w:tr w:rsidR="005C62A1" w:rsidRPr="008F30BA" w14:paraId="297BD83B" w14:textId="77777777" w:rsidTr="009C0388">
        <w:trPr>
          <w:trHeight w:val="567"/>
        </w:trPr>
        <w:tc>
          <w:tcPr>
            <w:tcW w:w="709" w:type="dxa"/>
            <w:vAlign w:val="center"/>
          </w:tcPr>
          <w:p w14:paraId="02E99B6B" w14:textId="77777777" w:rsidR="005C62A1" w:rsidRPr="00B2746B" w:rsidRDefault="005C62A1" w:rsidP="00B2746B">
            <w:pPr>
              <w:pStyle w:val="TCTableBody"/>
              <w:rPr>
                <w:noProof/>
              </w:rPr>
            </w:pPr>
            <w:r w:rsidRPr="00B2746B">
              <w:t>1</w:t>
            </w:r>
          </w:p>
        </w:tc>
        <w:tc>
          <w:tcPr>
            <w:tcW w:w="1276" w:type="dxa"/>
            <w:vAlign w:val="center"/>
          </w:tcPr>
          <w:p w14:paraId="56FBFAF0" w14:textId="77777777" w:rsidR="005C62A1" w:rsidRPr="00B2746B" w:rsidRDefault="005C62A1" w:rsidP="00B2746B">
            <w:pPr>
              <w:pStyle w:val="TCTableBody"/>
            </w:pPr>
            <w:r w:rsidRPr="00B2746B">
              <w:rPr>
                <w:noProof/>
                <w:lang w:eastAsia="en-GB"/>
              </w:rPr>
              <w:drawing>
                <wp:inline distT="0" distB="0" distL="0" distR="0" wp14:anchorId="6897CEDE" wp14:editId="22E80559">
                  <wp:extent cx="363600" cy="241200"/>
                  <wp:effectExtent l="0" t="0" r="508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3600" cy="241200"/>
                          </a:xfrm>
                          <a:prstGeom prst="rect">
                            <a:avLst/>
                          </a:prstGeom>
                        </pic:spPr>
                      </pic:pic>
                    </a:graphicData>
                  </a:graphic>
                </wp:inline>
              </w:drawing>
            </w:r>
          </w:p>
        </w:tc>
        <w:tc>
          <w:tcPr>
            <w:tcW w:w="1417" w:type="dxa"/>
            <w:vAlign w:val="center"/>
          </w:tcPr>
          <w:p w14:paraId="1BD6A355" w14:textId="77777777" w:rsidR="005C62A1" w:rsidRPr="00B2746B" w:rsidRDefault="005C62A1" w:rsidP="00B2746B">
            <w:pPr>
              <w:pStyle w:val="TCTableBody"/>
            </w:pPr>
            <w:r w:rsidRPr="00B2746B">
              <w:t>100</w:t>
            </w:r>
          </w:p>
        </w:tc>
        <w:tc>
          <w:tcPr>
            <w:tcW w:w="1418" w:type="dxa"/>
            <w:vAlign w:val="center"/>
          </w:tcPr>
          <w:p w14:paraId="1444ABB4" w14:textId="77777777" w:rsidR="005C62A1" w:rsidRPr="00B2746B" w:rsidRDefault="005C62A1" w:rsidP="00B2746B">
            <w:pPr>
              <w:pStyle w:val="TCTableBody"/>
            </w:pPr>
            <w:r w:rsidRPr="00B2746B">
              <w:t>100</w:t>
            </w:r>
          </w:p>
        </w:tc>
      </w:tr>
      <w:tr w:rsidR="005C62A1" w:rsidRPr="008F30BA" w14:paraId="477BD917" w14:textId="77777777" w:rsidTr="009C0388">
        <w:trPr>
          <w:trHeight w:val="567"/>
        </w:trPr>
        <w:tc>
          <w:tcPr>
            <w:tcW w:w="709" w:type="dxa"/>
            <w:vAlign w:val="center"/>
          </w:tcPr>
          <w:p w14:paraId="0F231FFC" w14:textId="77777777" w:rsidR="005C62A1" w:rsidRPr="00B2746B" w:rsidRDefault="005C62A1" w:rsidP="00B2746B">
            <w:pPr>
              <w:pStyle w:val="TCTableBody"/>
              <w:rPr>
                <w:noProof/>
              </w:rPr>
            </w:pPr>
            <w:r w:rsidRPr="00B2746B">
              <w:t>2</w:t>
            </w:r>
          </w:p>
        </w:tc>
        <w:tc>
          <w:tcPr>
            <w:tcW w:w="1276" w:type="dxa"/>
            <w:vAlign w:val="center"/>
          </w:tcPr>
          <w:p w14:paraId="518EC423" w14:textId="77777777" w:rsidR="005C62A1" w:rsidRPr="00B2746B" w:rsidRDefault="005C62A1" w:rsidP="00B2746B">
            <w:pPr>
              <w:pStyle w:val="TCTableBody"/>
            </w:pPr>
            <w:r w:rsidRPr="00B2746B">
              <w:rPr>
                <w:noProof/>
                <w:lang w:eastAsia="en-GB"/>
              </w:rPr>
              <w:drawing>
                <wp:inline distT="0" distB="0" distL="0" distR="0" wp14:anchorId="3A21F3FC" wp14:editId="4399DD6B">
                  <wp:extent cx="518400" cy="266400"/>
                  <wp:effectExtent l="0" t="0" r="254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8400" cy="266400"/>
                          </a:xfrm>
                          <a:prstGeom prst="rect">
                            <a:avLst/>
                          </a:prstGeom>
                        </pic:spPr>
                      </pic:pic>
                    </a:graphicData>
                  </a:graphic>
                </wp:inline>
              </w:drawing>
            </w:r>
          </w:p>
        </w:tc>
        <w:tc>
          <w:tcPr>
            <w:tcW w:w="1417" w:type="dxa"/>
            <w:vAlign w:val="center"/>
          </w:tcPr>
          <w:p w14:paraId="6D075864" w14:textId="77777777" w:rsidR="005C62A1" w:rsidRPr="00B2746B" w:rsidRDefault="005C62A1" w:rsidP="00B2746B">
            <w:pPr>
              <w:pStyle w:val="TCTableBody"/>
            </w:pPr>
            <w:r w:rsidRPr="00B2746B">
              <w:t>100</w:t>
            </w:r>
          </w:p>
        </w:tc>
        <w:tc>
          <w:tcPr>
            <w:tcW w:w="1418" w:type="dxa"/>
            <w:vAlign w:val="center"/>
          </w:tcPr>
          <w:p w14:paraId="4DD6E0D3" w14:textId="77777777" w:rsidR="005C62A1" w:rsidRPr="00B2746B" w:rsidRDefault="005C62A1" w:rsidP="00B2746B">
            <w:pPr>
              <w:pStyle w:val="TCTableBody"/>
            </w:pPr>
            <w:r w:rsidRPr="00B2746B">
              <w:t>100</w:t>
            </w:r>
          </w:p>
        </w:tc>
      </w:tr>
      <w:tr w:rsidR="005C62A1" w:rsidRPr="008F30BA" w14:paraId="531C6ACB" w14:textId="77777777" w:rsidTr="009C0388">
        <w:trPr>
          <w:trHeight w:val="567"/>
        </w:trPr>
        <w:tc>
          <w:tcPr>
            <w:tcW w:w="709" w:type="dxa"/>
            <w:vAlign w:val="center"/>
          </w:tcPr>
          <w:p w14:paraId="75442A68" w14:textId="77777777" w:rsidR="005C62A1" w:rsidRPr="00B2746B" w:rsidRDefault="005C62A1" w:rsidP="00B2746B">
            <w:pPr>
              <w:pStyle w:val="TCTableBody"/>
              <w:rPr>
                <w:noProof/>
              </w:rPr>
            </w:pPr>
            <w:r w:rsidRPr="00B2746B">
              <w:t>3</w:t>
            </w:r>
          </w:p>
        </w:tc>
        <w:tc>
          <w:tcPr>
            <w:tcW w:w="1276" w:type="dxa"/>
            <w:vAlign w:val="center"/>
          </w:tcPr>
          <w:p w14:paraId="531BDCEE" w14:textId="77777777" w:rsidR="005C62A1" w:rsidRPr="00B2746B" w:rsidRDefault="005C62A1" w:rsidP="00B2746B">
            <w:pPr>
              <w:pStyle w:val="TCTableBody"/>
            </w:pPr>
            <w:r w:rsidRPr="00B2746B">
              <w:rPr>
                <w:noProof/>
                <w:lang w:eastAsia="en-GB"/>
              </w:rPr>
              <w:drawing>
                <wp:inline distT="0" distB="0" distL="0" distR="0" wp14:anchorId="00D027AB" wp14:editId="4C8E7DC6">
                  <wp:extent cx="432000" cy="457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2000" cy="457200"/>
                          </a:xfrm>
                          <a:prstGeom prst="rect">
                            <a:avLst/>
                          </a:prstGeom>
                        </pic:spPr>
                      </pic:pic>
                    </a:graphicData>
                  </a:graphic>
                </wp:inline>
              </w:drawing>
            </w:r>
          </w:p>
        </w:tc>
        <w:tc>
          <w:tcPr>
            <w:tcW w:w="1417" w:type="dxa"/>
            <w:vAlign w:val="center"/>
          </w:tcPr>
          <w:p w14:paraId="6EF767C1" w14:textId="77777777" w:rsidR="005C62A1" w:rsidRPr="00B2746B" w:rsidRDefault="005C62A1" w:rsidP="00B2746B">
            <w:pPr>
              <w:pStyle w:val="TCTableBody"/>
            </w:pPr>
            <w:r w:rsidRPr="00B2746B">
              <w:t>100</w:t>
            </w:r>
          </w:p>
        </w:tc>
        <w:tc>
          <w:tcPr>
            <w:tcW w:w="1418" w:type="dxa"/>
            <w:vAlign w:val="center"/>
          </w:tcPr>
          <w:p w14:paraId="24545A64" w14:textId="77777777" w:rsidR="005C62A1" w:rsidRPr="00B2746B" w:rsidRDefault="005C62A1" w:rsidP="00B2746B">
            <w:pPr>
              <w:pStyle w:val="TCTableBody"/>
            </w:pPr>
            <w:r w:rsidRPr="00B2746B">
              <w:t>100</w:t>
            </w:r>
          </w:p>
        </w:tc>
      </w:tr>
      <w:tr w:rsidR="005C62A1" w:rsidRPr="008F30BA" w14:paraId="5E692590" w14:textId="77777777" w:rsidTr="009C0388">
        <w:trPr>
          <w:trHeight w:val="567"/>
        </w:trPr>
        <w:tc>
          <w:tcPr>
            <w:tcW w:w="709" w:type="dxa"/>
            <w:vAlign w:val="center"/>
          </w:tcPr>
          <w:p w14:paraId="0439DDFE" w14:textId="77777777" w:rsidR="005C62A1" w:rsidRPr="00B2746B" w:rsidRDefault="005C62A1" w:rsidP="00B2746B">
            <w:pPr>
              <w:pStyle w:val="TCTableBody"/>
            </w:pPr>
            <w:r w:rsidRPr="00B2746B">
              <w:t>5</w:t>
            </w:r>
          </w:p>
        </w:tc>
        <w:tc>
          <w:tcPr>
            <w:tcW w:w="1276" w:type="dxa"/>
            <w:vAlign w:val="center"/>
          </w:tcPr>
          <w:p w14:paraId="3B06107F" w14:textId="77777777" w:rsidR="005C62A1" w:rsidRPr="00B2746B" w:rsidRDefault="005C62A1" w:rsidP="00B2746B">
            <w:pPr>
              <w:pStyle w:val="TCTableBody"/>
              <w:rPr>
                <w:noProof/>
                <w:lang w:eastAsia="en-GB"/>
              </w:rPr>
            </w:pPr>
            <w:r w:rsidRPr="00B2746B">
              <w:rPr>
                <w:noProof/>
                <w:lang w:eastAsia="en-GB"/>
              </w:rPr>
              <w:drawing>
                <wp:inline distT="0" distB="0" distL="0" distR="0" wp14:anchorId="117BE6AE" wp14:editId="594D66AB">
                  <wp:extent cx="540000" cy="2736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0" cy="273600"/>
                          </a:xfrm>
                          <a:prstGeom prst="rect">
                            <a:avLst/>
                          </a:prstGeom>
                        </pic:spPr>
                      </pic:pic>
                    </a:graphicData>
                  </a:graphic>
                </wp:inline>
              </w:drawing>
            </w:r>
          </w:p>
        </w:tc>
        <w:tc>
          <w:tcPr>
            <w:tcW w:w="1417" w:type="dxa"/>
            <w:vAlign w:val="center"/>
          </w:tcPr>
          <w:p w14:paraId="72B3ACF4" w14:textId="77777777" w:rsidR="005C62A1" w:rsidRPr="00B2746B" w:rsidRDefault="005C62A1" w:rsidP="00B2746B">
            <w:pPr>
              <w:pStyle w:val="TCTableBody"/>
            </w:pPr>
            <w:r w:rsidRPr="00B2746B">
              <w:t>97</w:t>
            </w:r>
          </w:p>
        </w:tc>
        <w:tc>
          <w:tcPr>
            <w:tcW w:w="1418" w:type="dxa"/>
            <w:vAlign w:val="center"/>
          </w:tcPr>
          <w:p w14:paraId="71FEFE27" w14:textId="77777777" w:rsidR="005C62A1" w:rsidRPr="00B2746B" w:rsidRDefault="005C62A1" w:rsidP="00B2746B">
            <w:pPr>
              <w:pStyle w:val="TCTableBody"/>
            </w:pPr>
            <w:r w:rsidRPr="00B2746B">
              <w:t>100</w:t>
            </w:r>
          </w:p>
        </w:tc>
      </w:tr>
      <w:tr w:rsidR="005C62A1" w:rsidRPr="008F30BA" w14:paraId="6AF93DB6" w14:textId="77777777" w:rsidTr="009C0388">
        <w:trPr>
          <w:trHeight w:val="567"/>
        </w:trPr>
        <w:tc>
          <w:tcPr>
            <w:tcW w:w="709" w:type="dxa"/>
            <w:vAlign w:val="center"/>
          </w:tcPr>
          <w:p w14:paraId="02D2E7D9" w14:textId="77777777" w:rsidR="005C62A1" w:rsidRPr="00B2746B" w:rsidRDefault="005C62A1" w:rsidP="00B2746B">
            <w:pPr>
              <w:pStyle w:val="TCTableBody"/>
              <w:rPr>
                <w:noProof/>
              </w:rPr>
            </w:pPr>
            <w:r w:rsidRPr="00B2746B">
              <w:t>4</w:t>
            </w:r>
          </w:p>
        </w:tc>
        <w:tc>
          <w:tcPr>
            <w:tcW w:w="1276" w:type="dxa"/>
            <w:vAlign w:val="center"/>
          </w:tcPr>
          <w:p w14:paraId="70151DD6" w14:textId="77777777" w:rsidR="005C62A1" w:rsidRPr="00B2746B" w:rsidRDefault="005C62A1" w:rsidP="00B2746B">
            <w:pPr>
              <w:pStyle w:val="TCTableBody"/>
            </w:pPr>
            <w:r w:rsidRPr="00B2746B">
              <w:rPr>
                <w:noProof/>
                <w:lang w:eastAsia="en-GB"/>
              </w:rPr>
              <w:drawing>
                <wp:inline distT="0" distB="0" distL="0" distR="0" wp14:anchorId="09689693" wp14:editId="0C6540D3">
                  <wp:extent cx="597600" cy="356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600" cy="356400"/>
                          </a:xfrm>
                          <a:prstGeom prst="rect">
                            <a:avLst/>
                          </a:prstGeom>
                        </pic:spPr>
                      </pic:pic>
                    </a:graphicData>
                  </a:graphic>
                </wp:inline>
              </w:drawing>
            </w:r>
          </w:p>
        </w:tc>
        <w:tc>
          <w:tcPr>
            <w:tcW w:w="1417" w:type="dxa"/>
            <w:vAlign w:val="center"/>
          </w:tcPr>
          <w:p w14:paraId="752688D0" w14:textId="77777777" w:rsidR="005C62A1" w:rsidRPr="00B2746B" w:rsidRDefault="005C62A1" w:rsidP="00B2746B">
            <w:pPr>
              <w:pStyle w:val="TCTableBody"/>
            </w:pPr>
            <w:r w:rsidRPr="00B2746B">
              <w:t>94</w:t>
            </w:r>
            <w:r w:rsidRPr="00B2746B">
              <w:rPr>
                <w:vertAlign w:val="superscript"/>
              </w:rPr>
              <w:t>a</w:t>
            </w:r>
          </w:p>
        </w:tc>
        <w:tc>
          <w:tcPr>
            <w:tcW w:w="1418" w:type="dxa"/>
            <w:vAlign w:val="center"/>
          </w:tcPr>
          <w:p w14:paraId="625B7DE2" w14:textId="77777777" w:rsidR="005C62A1" w:rsidRPr="00B2746B" w:rsidRDefault="005C62A1" w:rsidP="00B2746B">
            <w:pPr>
              <w:pStyle w:val="TCTableBody"/>
            </w:pPr>
            <w:r w:rsidRPr="00B2746B">
              <w:t>100</w:t>
            </w:r>
          </w:p>
        </w:tc>
      </w:tr>
      <w:tr w:rsidR="005C62A1" w:rsidRPr="008F30BA" w14:paraId="7D44B66E" w14:textId="77777777" w:rsidTr="009C0388">
        <w:trPr>
          <w:trHeight w:val="567"/>
        </w:trPr>
        <w:tc>
          <w:tcPr>
            <w:tcW w:w="709" w:type="dxa"/>
            <w:vAlign w:val="center"/>
          </w:tcPr>
          <w:p w14:paraId="76C15D8F" w14:textId="77777777" w:rsidR="005C62A1" w:rsidRPr="00B2746B" w:rsidRDefault="005C62A1" w:rsidP="00B2746B">
            <w:pPr>
              <w:pStyle w:val="TCTableBody"/>
              <w:rPr>
                <w:noProof/>
              </w:rPr>
            </w:pPr>
            <w:r w:rsidRPr="00B2746B">
              <w:t>6</w:t>
            </w:r>
          </w:p>
        </w:tc>
        <w:tc>
          <w:tcPr>
            <w:tcW w:w="1276" w:type="dxa"/>
            <w:vAlign w:val="center"/>
          </w:tcPr>
          <w:p w14:paraId="732F2D42" w14:textId="77777777" w:rsidR="005C62A1" w:rsidRPr="00B2746B" w:rsidRDefault="005C62A1" w:rsidP="00B2746B">
            <w:pPr>
              <w:pStyle w:val="TCTableBody"/>
            </w:pPr>
            <w:r w:rsidRPr="00B2746B">
              <w:rPr>
                <w:noProof/>
                <w:lang w:eastAsia="en-GB"/>
              </w:rPr>
              <w:drawing>
                <wp:inline distT="0" distB="0" distL="0" distR="0" wp14:anchorId="237493B4" wp14:editId="4A532AF2">
                  <wp:extent cx="363600" cy="262800"/>
                  <wp:effectExtent l="0" t="0" r="508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3600" cy="262800"/>
                          </a:xfrm>
                          <a:prstGeom prst="rect">
                            <a:avLst/>
                          </a:prstGeom>
                        </pic:spPr>
                      </pic:pic>
                    </a:graphicData>
                  </a:graphic>
                </wp:inline>
              </w:drawing>
            </w:r>
          </w:p>
        </w:tc>
        <w:tc>
          <w:tcPr>
            <w:tcW w:w="1417" w:type="dxa"/>
            <w:vAlign w:val="center"/>
          </w:tcPr>
          <w:p w14:paraId="73E835FC" w14:textId="77777777" w:rsidR="005C62A1" w:rsidRPr="00B2746B" w:rsidRDefault="005C62A1" w:rsidP="00B2746B">
            <w:pPr>
              <w:pStyle w:val="TCTableBody"/>
            </w:pPr>
            <w:r w:rsidRPr="00B2746B">
              <w:t>85</w:t>
            </w:r>
          </w:p>
        </w:tc>
        <w:tc>
          <w:tcPr>
            <w:tcW w:w="1418" w:type="dxa"/>
            <w:vAlign w:val="center"/>
          </w:tcPr>
          <w:p w14:paraId="2E6BEBE0" w14:textId="77777777" w:rsidR="005C62A1" w:rsidRPr="00B2746B" w:rsidRDefault="005C62A1" w:rsidP="00B2746B">
            <w:pPr>
              <w:pStyle w:val="TCTableBody"/>
            </w:pPr>
            <w:r w:rsidRPr="00B2746B">
              <w:t>91</w:t>
            </w:r>
          </w:p>
        </w:tc>
      </w:tr>
      <w:tr w:rsidR="005C62A1" w:rsidRPr="008F30BA" w14:paraId="20112F08" w14:textId="77777777" w:rsidTr="009C0388">
        <w:trPr>
          <w:trHeight w:val="567"/>
        </w:trPr>
        <w:tc>
          <w:tcPr>
            <w:tcW w:w="709" w:type="dxa"/>
            <w:vAlign w:val="center"/>
          </w:tcPr>
          <w:p w14:paraId="501793CB" w14:textId="77777777" w:rsidR="005C62A1" w:rsidRPr="00B2746B" w:rsidRDefault="005C62A1" w:rsidP="00B2746B">
            <w:pPr>
              <w:pStyle w:val="TCTableBody"/>
              <w:rPr>
                <w:noProof/>
              </w:rPr>
            </w:pPr>
            <w:r w:rsidRPr="00B2746B">
              <w:t>7</w:t>
            </w:r>
          </w:p>
        </w:tc>
        <w:tc>
          <w:tcPr>
            <w:tcW w:w="1276" w:type="dxa"/>
            <w:vAlign w:val="center"/>
          </w:tcPr>
          <w:p w14:paraId="338DBA13" w14:textId="77777777" w:rsidR="005C62A1" w:rsidRPr="00B2746B" w:rsidRDefault="005C62A1" w:rsidP="00B2746B">
            <w:pPr>
              <w:pStyle w:val="TCTableBody"/>
            </w:pPr>
            <w:r w:rsidRPr="00B2746B">
              <w:rPr>
                <w:noProof/>
                <w:lang w:eastAsia="en-GB"/>
              </w:rPr>
              <w:drawing>
                <wp:inline distT="0" distB="0" distL="0" distR="0" wp14:anchorId="73A3557C" wp14:editId="5C137280">
                  <wp:extent cx="558000" cy="262800"/>
                  <wp:effectExtent l="0" t="0" r="127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8000" cy="262800"/>
                          </a:xfrm>
                          <a:prstGeom prst="rect">
                            <a:avLst/>
                          </a:prstGeom>
                        </pic:spPr>
                      </pic:pic>
                    </a:graphicData>
                  </a:graphic>
                </wp:inline>
              </w:drawing>
            </w:r>
          </w:p>
        </w:tc>
        <w:tc>
          <w:tcPr>
            <w:tcW w:w="1417" w:type="dxa"/>
            <w:vAlign w:val="center"/>
          </w:tcPr>
          <w:p w14:paraId="5F2830E2" w14:textId="77777777" w:rsidR="005C62A1" w:rsidRPr="00B2746B" w:rsidRDefault="005C62A1" w:rsidP="00B2746B">
            <w:pPr>
              <w:pStyle w:val="TCTableBody"/>
            </w:pPr>
            <w:r w:rsidRPr="00B2746B">
              <w:t>100</w:t>
            </w:r>
          </w:p>
        </w:tc>
        <w:tc>
          <w:tcPr>
            <w:tcW w:w="1418" w:type="dxa"/>
            <w:vAlign w:val="center"/>
          </w:tcPr>
          <w:p w14:paraId="23E840F8" w14:textId="77777777" w:rsidR="005C62A1" w:rsidRPr="00B2746B" w:rsidRDefault="005C62A1" w:rsidP="00B2746B">
            <w:pPr>
              <w:pStyle w:val="TCTableBody"/>
            </w:pPr>
            <w:r w:rsidRPr="00B2746B">
              <w:t>100</w:t>
            </w:r>
          </w:p>
        </w:tc>
      </w:tr>
      <w:tr w:rsidR="005C62A1" w:rsidRPr="008F30BA" w14:paraId="2F3D523E" w14:textId="77777777" w:rsidTr="009C0388">
        <w:trPr>
          <w:trHeight w:val="567"/>
        </w:trPr>
        <w:tc>
          <w:tcPr>
            <w:tcW w:w="709" w:type="dxa"/>
            <w:vAlign w:val="center"/>
          </w:tcPr>
          <w:p w14:paraId="4E45FD94" w14:textId="77777777" w:rsidR="005C62A1" w:rsidRPr="00B2746B" w:rsidRDefault="005C62A1" w:rsidP="00B2746B">
            <w:pPr>
              <w:pStyle w:val="TCTableBody"/>
              <w:rPr>
                <w:noProof/>
              </w:rPr>
            </w:pPr>
            <w:r w:rsidRPr="00B2746B">
              <w:t>8</w:t>
            </w:r>
          </w:p>
        </w:tc>
        <w:tc>
          <w:tcPr>
            <w:tcW w:w="1276" w:type="dxa"/>
            <w:vAlign w:val="center"/>
          </w:tcPr>
          <w:p w14:paraId="6E1DEF07" w14:textId="77777777" w:rsidR="005C62A1" w:rsidRPr="00B2746B" w:rsidRDefault="005C62A1" w:rsidP="00B2746B">
            <w:pPr>
              <w:pStyle w:val="TCTableBody"/>
            </w:pPr>
            <w:r w:rsidRPr="00B2746B">
              <w:rPr>
                <w:noProof/>
                <w:lang w:eastAsia="en-GB"/>
              </w:rPr>
              <w:drawing>
                <wp:inline distT="0" distB="0" distL="0" distR="0" wp14:anchorId="711C8D76" wp14:editId="6F6BD675">
                  <wp:extent cx="360000" cy="23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0000" cy="234000"/>
                          </a:xfrm>
                          <a:prstGeom prst="rect">
                            <a:avLst/>
                          </a:prstGeom>
                        </pic:spPr>
                      </pic:pic>
                    </a:graphicData>
                  </a:graphic>
                </wp:inline>
              </w:drawing>
            </w:r>
          </w:p>
        </w:tc>
        <w:tc>
          <w:tcPr>
            <w:tcW w:w="1417" w:type="dxa"/>
            <w:vAlign w:val="center"/>
          </w:tcPr>
          <w:p w14:paraId="0D67DEB3" w14:textId="77777777" w:rsidR="005C62A1" w:rsidRPr="00B2746B" w:rsidRDefault="005C62A1" w:rsidP="00B2746B">
            <w:pPr>
              <w:pStyle w:val="TCTableBody"/>
            </w:pPr>
            <w:r w:rsidRPr="00B2746B">
              <w:t>100</w:t>
            </w:r>
          </w:p>
        </w:tc>
        <w:tc>
          <w:tcPr>
            <w:tcW w:w="1418" w:type="dxa"/>
            <w:vAlign w:val="center"/>
          </w:tcPr>
          <w:p w14:paraId="64D735F1" w14:textId="77777777" w:rsidR="005C62A1" w:rsidRPr="00B2746B" w:rsidRDefault="005C62A1" w:rsidP="00B2746B">
            <w:pPr>
              <w:pStyle w:val="TCTableBody"/>
            </w:pPr>
            <w:r w:rsidRPr="00B2746B">
              <w:t>100</w:t>
            </w:r>
          </w:p>
        </w:tc>
      </w:tr>
      <w:tr w:rsidR="005C62A1" w:rsidRPr="008F30BA" w14:paraId="583AC44E" w14:textId="77777777" w:rsidTr="009C0388">
        <w:trPr>
          <w:trHeight w:val="567"/>
        </w:trPr>
        <w:tc>
          <w:tcPr>
            <w:tcW w:w="709" w:type="dxa"/>
            <w:vAlign w:val="center"/>
          </w:tcPr>
          <w:p w14:paraId="5E88D962" w14:textId="77777777" w:rsidR="005C62A1" w:rsidRPr="00B2746B" w:rsidRDefault="005C62A1" w:rsidP="00B2746B">
            <w:pPr>
              <w:pStyle w:val="TCTableBody"/>
              <w:rPr>
                <w:noProof/>
              </w:rPr>
            </w:pPr>
            <w:r w:rsidRPr="00B2746B">
              <w:t>9</w:t>
            </w:r>
          </w:p>
        </w:tc>
        <w:tc>
          <w:tcPr>
            <w:tcW w:w="1276" w:type="dxa"/>
            <w:vAlign w:val="center"/>
          </w:tcPr>
          <w:p w14:paraId="43085BAB" w14:textId="77777777" w:rsidR="005C62A1" w:rsidRPr="00B2746B" w:rsidRDefault="005C62A1" w:rsidP="00B2746B">
            <w:pPr>
              <w:pStyle w:val="TCTableBody"/>
            </w:pPr>
            <w:r w:rsidRPr="00B2746B">
              <w:rPr>
                <w:noProof/>
                <w:lang w:eastAsia="en-GB"/>
              </w:rPr>
              <w:drawing>
                <wp:inline distT="0" distB="0" distL="0" distR="0" wp14:anchorId="170F4A9B" wp14:editId="40ADD8C7">
                  <wp:extent cx="360000" cy="25200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0000" cy="252000"/>
                          </a:xfrm>
                          <a:prstGeom prst="rect">
                            <a:avLst/>
                          </a:prstGeom>
                        </pic:spPr>
                      </pic:pic>
                    </a:graphicData>
                  </a:graphic>
                </wp:inline>
              </w:drawing>
            </w:r>
          </w:p>
        </w:tc>
        <w:tc>
          <w:tcPr>
            <w:tcW w:w="1417" w:type="dxa"/>
            <w:vAlign w:val="center"/>
          </w:tcPr>
          <w:p w14:paraId="32B18B82" w14:textId="77777777" w:rsidR="005C62A1" w:rsidRPr="00B2746B" w:rsidRDefault="005C62A1" w:rsidP="00B2746B">
            <w:pPr>
              <w:pStyle w:val="TCTableBody"/>
            </w:pPr>
            <w:r w:rsidRPr="00B2746B">
              <w:t>100</w:t>
            </w:r>
          </w:p>
        </w:tc>
        <w:tc>
          <w:tcPr>
            <w:tcW w:w="1418" w:type="dxa"/>
            <w:vAlign w:val="center"/>
          </w:tcPr>
          <w:p w14:paraId="6041D2A4" w14:textId="77777777" w:rsidR="005C62A1" w:rsidRPr="00B2746B" w:rsidRDefault="005C62A1" w:rsidP="00B2746B">
            <w:pPr>
              <w:pStyle w:val="TCTableBody"/>
            </w:pPr>
            <w:r w:rsidRPr="00B2746B">
              <w:t>100</w:t>
            </w:r>
          </w:p>
        </w:tc>
      </w:tr>
      <w:tr w:rsidR="005C62A1" w:rsidRPr="008F30BA" w14:paraId="24D94AF9" w14:textId="77777777" w:rsidTr="009C0388">
        <w:trPr>
          <w:trHeight w:val="567"/>
        </w:trPr>
        <w:tc>
          <w:tcPr>
            <w:tcW w:w="709" w:type="dxa"/>
            <w:vAlign w:val="center"/>
          </w:tcPr>
          <w:p w14:paraId="6189BF4C" w14:textId="77777777" w:rsidR="005C62A1" w:rsidRPr="00B2746B" w:rsidRDefault="005C62A1" w:rsidP="00B2746B">
            <w:pPr>
              <w:pStyle w:val="TCTableBody"/>
              <w:rPr>
                <w:noProof/>
              </w:rPr>
            </w:pPr>
            <w:r w:rsidRPr="00B2746B">
              <w:t>10</w:t>
            </w:r>
          </w:p>
        </w:tc>
        <w:tc>
          <w:tcPr>
            <w:tcW w:w="1276" w:type="dxa"/>
            <w:vAlign w:val="center"/>
          </w:tcPr>
          <w:p w14:paraId="7C7CB414" w14:textId="77777777" w:rsidR="005C62A1" w:rsidRPr="00B2746B" w:rsidRDefault="005C62A1" w:rsidP="00B2746B">
            <w:pPr>
              <w:pStyle w:val="TCTableBody"/>
            </w:pPr>
            <w:r w:rsidRPr="00B2746B">
              <w:rPr>
                <w:noProof/>
                <w:lang w:eastAsia="en-GB"/>
              </w:rPr>
              <w:drawing>
                <wp:inline distT="0" distB="0" distL="0" distR="0" wp14:anchorId="6862142C" wp14:editId="15ACB993">
                  <wp:extent cx="378000" cy="2340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8000" cy="234000"/>
                          </a:xfrm>
                          <a:prstGeom prst="rect">
                            <a:avLst/>
                          </a:prstGeom>
                        </pic:spPr>
                      </pic:pic>
                    </a:graphicData>
                  </a:graphic>
                </wp:inline>
              </w:drawing>
            </w:r>
          </w:p>
        </w:tc>
        <w:tc>
          <w:tcPr>
            <w:tcW w:w="1417" w:type="dxa"/>
            <w:vAlign w:val="center"/>
          </w:tcPr>
          <w:p w14:paraId="57154B91" w14:textId="77777777" w:rsidR="005C62A1" w:rsidRPr="00B2746B" w:rsidRDefault="005C62A1" w:rsidP="00B2746B">
            <w:pPr>
              <w:pStyle w:val="TCTableBody"/>
            </w:pPr>
            <w:r w:rsidRPr="00B2746B">
              <w:t>100</w:t>
            </w:r>
          </w:p>
        </w:tc>
        <w:tc>
          <w:tcPr>
            <w:tcW w:w="1418" w:type="dxa"/>
            <w:vAlign w:val="center"/>
          </w:tcPr>
          <w:p w14:paraId="6700CD85" w14:textId="77777777" w:rsidR="005C62A1" w:rsidRPr="00B2746B" w:rsidRDefault="005C62A1" w:rsidP="00B2746B">
            <w:pPr>
              <w:pStyle w:val="TCTableBody"/>
            </w:pPr>
            <w:r w:rsidRPr="00B2746B">
              <w:t>100</w:t>
            </w:r>
          </w:p>
        </w:tc>
      </w:tr>
      <w:tr w:rsidR="005C62A1" w:rsidRPr="008F30BA" w14:paraId="03DDC3A8" w14:textId="77777777" w:rsidTr="009C0388">
        <w:trPr>
          <w:trHeight w:val="567"/>
        </w:trPr>
        <w:tc>
          <w:tcPr>
            <w:tcW w:w="709" w:type="dxa"/>
            <w:vAlign w:val="center"/>
          </w:tcPr>
          <w:p w14:paraId="3F1DFC43" w14:textId="77777777" w:rsidR="005C62A1" w:rsidRPr="00B2746B" w:rsidRDefault="005C62A1" w:rsidP="00B2746B">
            <w:pPr>
              <w:pStyle w:val="TCTableBody"/>
            </w:pPr>
            <w:r w:rsidRPr="00B2746B">
              <w:t>11</w:t>
            </w:r>
          </w:p>
        </w:tc>
        <w:tc>
          <w:tcPr>
            <w:tcW w:w="1276" w:type="dxa"/>
            <w:vAlign w:val="center"/>
          </w:tcPr>
          <w:p w14:paraId="7C636CF4" w14:textId="77777777" w:rsidR="005C62A1" w:rsidRPr="00B2746B" w:rsidRDefault="005C62A1" w:rsidP="00B2746B">
            <w:pPr>
              <w:pStyle w:val="TCTableBody"/>
              <w:rPr>
                <w:noProof/>
                <w:lang w:eastAsia="en-GB"/>
              </w:rPr>
            </w:pPr>
            <w:r w:rsidRPr="00B2746B">
              <w:rPr>
                <w:noProof/>
                <w:lang w:eastAsia="en-GB"/>
              </w:rPr>
              <w:drawing>
                <wp:inline distT="0" distB="0" distL="0" distR="0" wp14:anchorId="1E57EADC" wp14:editId="2DD9C514">
                  <wp:extent cx="543600" cy="367200"/>
                  <wp:effectExtent l="0" t="0" r="2540" b="1270"/>
                  <wp:docPr id="83" name="Picture 8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 schematic&#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3600" cy="367200"/>
                          </a:xfrm>
                          <a:prstGeom prst="rect">
                            <a:avLst/>
                          </a:prstGeom>
                        </pic:spPr>
                      </pic:pic>
                    </a:graphicData>
                  </a:graphic>
                </wp:inline>
              </w:drawing>
            </w:r>
          </w:p>
        </w:tc>
        <w:tc>
          <w:tcPr>
            <w:tcW w:w="1417" w:type="dxa"/>
            <w:vAlign w:val="center"/>
          </w:tcPr>
          <w:p w14:paraId="0D57CBF2" w14:textId="77777777" w:rsidR="005C62A1" w:rsidRPr="00B2746B" w:rsidRDefault="005C62A1" w:rsidP="00B2746B">
            <w:pPr>
              <w:pStyle w:val="TCTableBody"/>
            </w:pPr>
            <w:r w:rsidRPr="00B2746B">
              <w:t>93</w:t>
            </w:r>
          </w:p>
        </w:tc>
        <w:tc>
          <w:tcPr>
            <w:tcW w:w="1418" w:type="dxa"/>
            <w:vAlign w:val="center"/>
          </w:tcPr>
          <w:p w14:paraId="7C37CDC4" w14:textId="77777777" w:rsidR="005C62A1" w:rsidRPr="00B2746B" w:rsidRDefault="005C62A1" w:rsidP="00B2746B">
            <w:pPr>
              <w:pStyle w:val="TCTableBody"/>
            </w:pPr>
            <w:r w:rsidRPr="00B2746B">
              <w:t>100</w:t>
            </w:r>
          </w:p>
        </w:tc>
      </w:tr>
      <w:tr w:rsidR="005C62A1" w:rsidRPr="008F30BA" w14:paraId="6E81CAB8" w14:textId="77777777" w:rsidTr="009C0388">
        <w:trPr>
          <w:trHeight w:val="567"/>
        </w:trPr>
        <w:tc>
          <w:tcPr>
            <w:tcW w:w="709" w:type="dxa"/>
            <w:vAlign w:val="center"/>
          </w:tcPr>
          <w:p w14:paraId="6DA7A36C" w14:textId="77777777" w:rsidR="005C62A1" w:rsidRPr="00B2746B" w:rsidRDefault="005C62A1" w:rsidP="00B2746B">
            <w:pPr>
              <w:pStyle w:val="TCTableBody"/>
            </w:pPr>
            <w:r w:rsidRPr="00B2746B">
              <w:t>12</w:t>
            </w:r>
          </w:p>
        </w:tc>
        <w:tc>
          <w:tcPr>
            <w:tcW w:w="1276" w:type="dxa"/>
            <w:vAlign w:val="center"/>
          </w:tcPr>
          <w:p w14:paraId="53356A8F" w14:textId="77777777" w:rsidR="005C62A1" w:rsidRPr="00B2746B" w:rsidRDefault="005C62A1" w:rsidP="00B2746B">
            <w:pPr>
              <w:pStyle w:val="TCTableBody"/>
              <w:rPr>
                <w:noProof/>
                <w:lang w:eastAsia="en-GB"/>
              </w:rPr>
            </w:pPr>
            <w:r w:rsidRPr="00B2746B">
              <w:rPr>
                <w:noProof/>
                <w:lang w:eastAsia="en-GB"/>
              </w:rPr>
              <w:drawing>
                <wp:inline distT="0" distB="0" distL="0" distR="0" wp14:anchorId="166A4ADD" wp14:editId="06C6B56A">
                  <wp:extent cx="522000" cy="374400"/>
                  <wp:effectExtent l="0" t="0" r="0" b="0"/>
                  <wp:docPr id="84" name="Picture 8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Diagram, schematic&#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2000" cy="374400"/>
                          </a:xfrm>
                          <a:prstGeom prst="rect">
                            <a:avLst/>
                          </a:prstGeom>
                        </pic:spPr>
                      </pic:pic>
                    </a:graphicData>
                  </a:graphic>
                </wp:inline>
              </w:drawing>
            </w:r>
          </w:p>
        </w:tc>
        <w:tc>
          <w:tcPr>
            <w:tcW w:w="1417" w:type="dxa"/>
            <w:vAlign w:val="center"/>
          </w:tcPr>
          <w:p w14:paraId="4345C165" w14:textId="77777777" w:rsidR="005C62A1" w:rsidRPr="00B2746B" w:rsidRDefault="005C62A1" w:rsidP="00B2746B">
            <w:pPr>
              <w:pStyle w:val="TCTableBody"/>
            </w:pPr>
            <w:r w:rsidRPr="00B2746B">
              <w:t>100</w:t>
            </w:r>
          </w:p>
        </w:tc>
        <w:tc>
          <w:tcPr>
            <w:tcW w:w="1418" w:type="dxa"/>
            <w:vAlign w:val="center"/>
          </w:tcPr>
          <w:p w14:paraId="66192A8A" w14:textId="77777777" w:rsidR="005C62A1" w:rsidRPr="00B2746B" w:rsidRDefault="005C62A1" w:rsidP="00B2746B">
            <w:pPr>
              <w:pStyle w:val="TCTableBody"/>
            </w:pPr>
            <w:r w:rsidRPr="00B2746B">
              <w:t>100</w:t>
            </w:r>
          </w:p>
        </w:tc>
      </w:tr>
      <w:tr w:rsidR="005C62A1" w:rsidRPr="008F30BA" w14:paraId="50136997" w14:textId="77777777" w:rsidTr="009C0388">
        <w:trPr>
          <w:trHeight w:val="567"/>
        </w:trPr>
        <w:tc>
          <w:tcPr>
            <w:tcW w:w="709" w:type="dxa"/>
            <w:vAlign w:val="center"/>
          </w:tcPr>
          <w:p w14:paraId="044AE5D7" w14:textId="77777777" w:rsidR="005C62A1" w:rsidRPr="00B2746B" w:rsidRDefault="005C62A1" w:rsidP="00B2746B">
            <w:pPr>
              <w:pStyle w:val="TCTableBody"/>
              <w:rPr>
                <w:noProof/>
              </w:rPr>
            </w:pPr>
            <w:r w:rsidRPr="00B2746B">
              <w:t>13</w:t>
            </w:r>
          </w:p>
        </w:tc>
        <w:tc>
          <w:tcPr>
            <w:tcW w:w="1276" w:type="dxa"/>
            <w:vAlign w:val="center"/>
          </w:tcPr>
          <w:p w14:paraId="48601949" w14:textId="77777777" w:rsidR="005C62A1" w:rsidRPr="00B2746B" w:rsidRDefault="005C62A1" w:rsidP="00B2746B">
            <w:pPr>
              <w:pStyle w:val="TCTableBody"/>
            </w:pPr>
            <w:r w:rsidRPr="00B2746B">
              <w:rPr>
                <w:noProof/>
                <w:lang w:eastAsia="en-GB"/>
              </w:rPr>
              <w:drawing>
                <wp:inline distT="0" distB="0" distL="0" distR="0" wp14:anchorId="102A4EAB" wp14:editId="4218C193">
                  <wp:extent cx="367200" cy="2592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7200" cy="259200"/>
                          </a:xfrm>
                          <a:prstGeom prst="rect">
                            <a:avLst/>
                          </a:prstGeom>
                        </pic:spPr>
                      </pic:pic>
                    </a:graphicData>
                  </a:graphic>
                </wp:inline>
              </w:drawing>
            </w:r>
          </w:p>
        </w:tc>
        <w:tc>
          <w:tcPr>
            <w:tcW w:w="1417" w:type="dxa"/>
            <w:vAlign w:val="center"/>
          </w:tcPr>
          <w:p w14:paraId="29B6D77E" w14:textId="77777777" w:rsidR="005C62A1" w:rsidRPr="00B2746B" w:rsidRDefault="005C62A1" w:rsidP="00B2746B">
            <w:pPr>
              <w:pStyle w:val="TCTableBody"/>
            </w:pPr>
            <w:r w:rsidRPr="00B2746B">
              <w:t>100</w:t>
            </w:r>
          </w:p>
        </w:tc>
        <w:tc>
          <w:tcPr>
            <w:tcW w:w="1418" w:type="dxa"/>
            <w:vAlign w:val="center"/>
          </w:tcPr>
          <w:p w14:paraId="6675CBAC" w14:textId="77777777" w:rsidR="005C62A1" w:rsidRPr="00B2746B" w:rsidRDefault="005C62A1" w:rsidP="00B2746B">
            <w:pPr>
              <w:pStyle w:val="TCTableBody"/>
            </w:pPr>
            <w:r w:rsidRPr="00B2746B">
              <w:t>100</w:t>
            </w:r>
          </w:p>
        </w:tc>
      </w:tr>
      <w:tr w:rsidR="005C62A1" w:rsidRPr="008F30BA" w14:paraId="556FF707" w14:textId="77777777" w:rsidTr="009C0388">
        <w:trPr>
          <w:trHeight w:val="567"/>
        </w:trPr>
        <w:tc>
          <w:tcPr>
            <w:tcW w:w="709" w:type="dxa"/>
            <w:vAlign w:val="center"/>
          </w:tcPr>
          <w:p w14:paraId="13C6931C" w14:textId="77777777" w:rsidR="005C62A1" w:rsidRPr="00B2746B" w:rsidRDefault="005C62A1" w:rsidP="00B2746B">
            <w:pPr>
              <w:pStyle w:val="TCTableBody"/>
              <w:rPr>
                <w:noProof/>
              </w:rPr>
            </w:pPr>
            <w:r w:rsidRPr="00B2746B">
              <w:t>14</w:t>
            </w:r>
          </w:p>
        </w:tc>
        <w:tc>
          <w:tcPr>
            <w:tcW w:w="1276" w:type="dxa"/>
            <w:vAlign w:val="center"/>
          </w:tcPr>
          <w:p w14:paraId="44065710" w14:textId="77777777" w:rsidR="005C62A1" w:rsidRPr="00B2746B" w:rsidRDefault="005C62A1" w:rsidP="00B2746B">
            <w:pPr>
              <w:pStyle w:val="TCTableBody"/>
            </w:pPr>
            <w:r w:rsidRPr="00B2746B">
              <w:rPr>
                <w:noProof/>
                <w:lang w:eastAsia="en-GB"/>
              </w:rPr>
              <w:drawing>
                <wp:inline distT="0" distB="0" distL="0" distR="0" wp14:anchorId="4AC6FADF" wp14:editId="4E930804">
                  <wp:extent cx="367200" cy="241200"/>
                  <wp:effectExtent l="0" t="0" r="127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7200" cy="241200"/>
                          </a:xfrm>
                          <a:prstGeom prst="rect">
                            <a:avLst/>
                          </a:prstGeom>
                        </pic:spPr>
                      </pic:pic>
                    </a:graphicData>
                  </a:graphic>
                </wp:inline>
              </w:drawing>
            </w:r>
          </w:p>
        </w:tc>
        <w:tc>
          <w:tcPr>
            <w:tcW w:w="1417" w:type="dxa"/>
            <w:vAlign w:val="center"/>
          </w:tcPr>
          <w:p w14:paraId="4246DC00" w14:textId="77777777" w:rsidR="005C62A1" w:rsidRPr="00B2746B" w:rsidRDefault="005C62A1" w:rsidP="00B2746B">
            <w:pPr>
              <w:pStyle w:val="TCTableBody"/>
            </w:pPr>
            <w:r w:rsidRPr="00B2746B">
              <w:t>100</w:t>
            </w:r>
          </w:p>
        </w:tc>
        <w:tc>
          <w:tcPr>
            <w:tcW w:w="1418" w:type="dxa"/>
            <w:vAlign w:val="center"/>
          </w:tcPr>
          <w:p w14:paraId="3372C803" w14:textId="77777777" w:rsidR="005C62A1" w:rsidRPr="00B2746B" w:rsidRDefault="005C62A1" w:rsidP="00B2746B">
            <w:pPr>
              <w:pStyle w:val="TCTableBody"/>
            </w:pPr>
            <w:r w:rsidRPr="00B2746B">
              <w:t>100</w:t>
            </w:r>
          </w:p>
        </w:tc>
      </w:tr>
      <w:tr w:rsidR="005C62A1" w:rsidRPr="008F30BA" w14:paraId="00D3CEBA" w14:textId="77777777" w:rsidTr="009C0388">
        <w:trPr>
          <w:trHeight w:val="567"/>
        </w:trPr>
        <w:tc>
          <w:tcPr>
            <w:tcW w:w="709" w:type="dxa"/>
            <w:vAlign w:val="center"/>
          </w:tcPr>
          <w:p w14:paraId="43649C83" w14:textId="77777777" w:rsidR="005C62A1" w:rsidRPr="00B2746B" w:rsidRDefault="005C62A1" w:rsidP="00B2746B">
            <w:pPr>
              <w:pStyle w:val="TCTableBody"/>
              <w:rPr>
                <w:noProof/>
              </w:rPr>
            </w:pPr>
            <w:r w:rsidRPr="00B2746B">
              <w:t>15</w:t>
            </w:r>
          </w:p>
        </w:tc>
        <w:tc>
          <w:tcPr>
            <w:tcW w:w="1276" w:type="dxa"/>
            <w:vAlign w:val="center"/>
          </w:tcPr>
          <w:p w14:paraId="05D526AF" w14:textId="77777777" w:rsidR="005C62A1" w:rsidRPr="00B2746B" w:rsidRDefault="005C62A1" w:rsidP="00B2746B">
            <w:pPr>
              <w:pStyle w:val="TCTableBody"/>
            </w:pPr>
            <w:r w:rsidRPr="00B2746B">
              <w:rPr>
                <w:noProof/>
                <w:lang w:eastAsia="en-GB"/>
              </w:rPr>
              <w:drawing>
                <wp:inline distT="0" distB="0" distL="0" distR="0" wp14:anchorId="79A75478" wp14:editId="236089B0">
                  <wp:extent cx="427990" cy="421005"/>
                  <wp:effectExtent l="0" t="0" r="3810" b="0"/>
                  <wp:docPr id="82" name="Picture 8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Diagram, schematic&#10;&#10;Description automatically generated"/>
                          <pic:cNvPicPr/>
                        </pic:nvPicPr>
                        <pic:blipFill rotWithShape="1">
                          <a:blip r:embed="rId34" cstate="print">
                            <a:extLst>
                              <a:ext uri="{28A0092B-C50C-407E-A947-70E740481C1C}">
                                <a14:useLocalDpi xmlns:a14="http://schemas.microsoft.com/office/drawing/2010/main" val="0"/>
                              </a:ext>
                            </a:extLst>
                          </a:blip>
                          <a:srcRect b="-48"/>
                          <a:stretch/>
                        </pic:blipFill>
                        <pic:spPr bwMode="auto">
                          <a:xfrm>
                            <a:off x="0" y="0"/>
                            <a:ext cx="428400" cy="421408"/>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5D39B9ED" w14:textId="77777777" w:rsidR="005C62A1" w:rsidRPr="00B2746B" w:rsidRDefault="005C62A1" w:rsidP="00B2746B">
            <w:pPr>
              <w:pStyle w:val="TCTableBody"/>
            </w:pPr>
            <w:r w:rsidRPr="00B2746B">
              <w:t>90</w:t>
            </w:r>
          </w:p>
        </w:tc>
        <w:tc>
          <w:tcPr>
            <w:tcW w:w="1418" w:type="dxa"/>
            <w:vAlign w:val="center"/>
          </w:tcPr>
          <w:p w14:paraId="0A9E9557" w14:textId="77777777" w:rsidR="005C62A1" w:rsidRPr="00B2746B" w:rsidRDefault="005C62A1" w:rsidP="00B2746B">
            <w:pPr>
              <w:pStyle w:val="TCTableBody"/>
            </w:pPr>
            <w:r w:rsidRPr="00B2746B">
              <w:t>100</w:t>
            </w:r>
          </w:p>
        </w:tc>
      </w:tr>
      <w:tr w:rsidR="005C62A1" w:rsidRPr="008F30BA" w14:paraId="6E0FAFE5" w14:textId="77777777" w:rsidTr="009C0388">
        <w:trPr>
          <w:trHeight w:val="567"/>
        </w:trPr>
        <w:tc>
          <w:tcPr>
            <w:tcW w:w="709" w:type="dxa"/>
            <w:vAlign w:val="center"/>
          </w:tcPr>
          <w:p w14:paraId="58AE57D0" w14:textId="77777777" w:rsidR="005C62A1" w:rsidRPr="00B2746B" w:rsidRDefault="005C62A1" w:rsidP="00B2746B">
            <w:pPr>
              <w:pStyle w:val="TCTableBody"/>
              <w:rPr>
                <w:noProof/>
              </w:rPr>
            </w:pPr>
            <w:r w:rsidRPr="00B2746B">
              <w:t>16</w:t>
            </w:r>
          </w:p>
        </w:tc>
        <w:tc>
          <w:tcPr>
            <w:tcW w:w="1276" w:type="dxa"/>
            <w:vAlign w:val="center"/>
          </w:tcPr>
          <w:p w14:paraId="336BA0C7" w14:textId="77777777" w:rsidR="005C62A1" w:rsidRPr="00B2746B" w:rsidRDefault="005C62A1" w:rsidP="00B2746B">
            <w:pPr>
              <w:pStyle w:val="TCTableBody"/>
            </w:pPr>
            <w:r w:rsidRPr="00B2746B">
              <w:rPr>
                <w:noProof/>
                <w:lang w:eastAsia="en-GB"/>
              </w:rPr>
              <w:drawing>
                <wp:inline distT="0" distB="0" distL="0" distR="0" wp14:anchorId="498EF5C9" wp14:editId="0C77F97D">
                  <wp:extent cx="525600" cy="288000"/>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5600" cy="288000"/>
                          </a:xfrm>
                          <a:prstGeom prst="rect">
                            <a:avLst/>
                          </a:prstGeom>
                        </pic:spPr>
                      </pic:pic>
                    </a:graphicData>
                  </a:graphic>
                </wp:inline>
              </w:drawing>
            </w:r>
          </w:p>
        </w:tc>
        <w:tc>
          <w:tcPr>
            <w:tcW w:w="1417" w:type="dxa"/>
            <w:vAlign w:val="center"/>
          </w:tcPr>
          <w:p w14:paraId="4303CBE8" w14:textId="77777777" w:rsidR="005C62A1" w:rsidRPr="00B2746B" w:rsidRDefault="005C62A1" w:rsidP="00B2746B">
            <w:pPr>
              <w:pStyle w:val="TCTableBody"/>
            </w:pPr>
            <w:r w:rsidRPr="00B2746B">
              <w:t>93</w:t>
            </w:r>
          </w:p>
        </w:tc>
        <w:tc>
          <w:tcPr>
            <w:tcW w:w="1418" w:type="dxa"/>
            <w:vAlign w:val="center"/>
          </w:tcPr>
          <w:p w14:paraId="03B2666A" w14:textId="77777777" w:rsidR="005C62A1" w:rsidRPr="00B2746B" w:rsidRDefault="005C62A1" w:rsidP="00B2746B">
            <w:pPr>
              <w:pStyle w:val="TCTableBody"/>
            </w:pPr>
            <w:r w:rsidRPr="00B2746B">
              <w:t>100</w:t>
            </w:r>
          </w:p>
        </w:tc>
      </w:tr>
      <w:tr w:rsidR="005C62A1" w:rsidRPr="008F30BA" w14:paraId="18A21D86" w14:textId="77777777" w:rsidTr="009C0388">
        <w:trPr>
          <w:trHeight w:val="567"/>
        </w:trPr>
        <w:tc>
          <w:tcPr>
            <w:tcW w:w="709" w:type="dxa"/>
            <w:vAlign w:val="center"/>
          </w:tcPr>
          <w:p w14:paraId="6ADBD7A7" w14:textId="77777777" w:rsidR="005C62A1" w:rsidRPr="00B2746B" w:rsidRDefault="005C62A1" w:rsidP="00B2746B">
            <w:pPr>
              <w:pStyle w:val="TCTableBody"/>
              <w:rPr>
                <w:noProof/>
              </w:rPr>
            </w:pPr>
            <w:r w:rsidRPr="00B2746B">
              <w:t>17</w:t>
            </w:r>
          </w:p>
        </w:tc>
        <w:tc>
          <w:tcPr>
            <w:tcW w:w="1276" w:type="dxa"/>
            <w:vAlign w:val="center"/>
          </w:tcPr>
          <w:p w14:paraId="0EED1E6D" w14:textId="77777777" w:rsidR="005C62A1" w:rsidRPr="00B2746B" w:rsidRDefault="005C62A1" w:rsidP="00B2746B">
            <w:pPr>
              <w:pStyle w:val="TCTableBody"/>
            </w:pPr>
            <w:r w:rsidRPr="00B2746B">
              <w:rPr>
                <w:noProof/>
                <w:lang w:eastAsia="en-GB"/>
              </w:rPr>
              <w:drawing>
                <wp:inline distT="0" distB="0" distL="0" distR="0" wp14:anchorId="71AADF3D" wp14:editId="43431528">
                  <wp:extent cx="241200" cy="3816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1200" cy="381600"/>
                          </a:xfrm>
                          <a:prstGeom prst="rect">
                            <a:avLst/>
                          </a:prstGeom>
                        </pic:spPr>
                      </pic:pic>
                    </a:graphicData>
                  </a:graphic>
                </wp:inline>
              </w:drawing>
            </w:r>
          </w:p>
        </w:tc>
        <w:tc>
          <w:tcPr>
            <w:tcW w:w="1417" w:type="dxa"/>
            <w:vAlign w:val="center"/>
          </w:tcPr>
          <w:p w14:paraId="39B4FFB5" w14:textId="77777777" w:rsidR="005C62A1" w:rsidRPr="00B2746B" w:rsidRDefault="005C62A1" w:rsidP="00B2746B">
            <w:pPr>
              <w:pStyle w:val="TCTableBody"/>
            </w:pPr>
            <w:r w:rsidRPr="00B2746B">
              <w:t>100</w:t>
            </w:r>
          </w:p>
        </w:tc>
        <w:tc>
          <w:tcPr>
            <w:tcW w:w="1418" w:type="dxa"/>
            <w:vAlign w:val="center"/>
          </w:tcPr>
          <w:p w14:paraId="6FC2A0DC" w14:textId="77777777" w:rsidR="005C62A1" w:rsidRPr="00B2746B" w:rsidRDefault="005C62A1" w:rsidP="00B2746B">
            <w:pPr>
              <w:pStyle w:val="TCTableBody"/>
            </w:pPr>
            <w:r w:rsidRPr="00B2746B">
              <w:t>100</w:t>
            </w:r>
          </w:p>
        </w:tc>
      </w:tr>
      <w:tr w:rsidR="005C62A1" w:rsidRPr="008F30BA" w14:paraId="1E4A5323" w14:textId="77777777" w:rsidTr="009C0388">
        <w:trPr>
          <w:trHeight w:val="567"/>
        </w:trPr>
        <w:tc>
          <w:tcPr>
            <w:tcW w:w="709" w:type="dxa"/>
            <w:vAlign w:val="center"/>
          </w:tcPr>
          <w:p w14:paraId="1E534C10" w14:textId="77777777" w:rsidR="005C62A1" w:rsidRPr="00B2746B" w:rsidRDefault="005C62A1" w:rsidP="00B2746B">
            <w:pPr>
              <w:pStyle w:val="TCTableBody"/>
              <w:rPr>
                <w:noProof/>
              </w:rPr>
            </w:pPr>
            <w:r w:rsidRPr="00B2746B">
              <w:t>18</w:t>
            </w:r>
          </w:p>
        </w:tc>
        <w:tc>
          <w:tcPr>
            <w:tcW w:w="1276" w:type="dxa"/>
            <w:vAlign w:val="center"/>
          </w:tcPr>
          <w:p w14:paraId="7C99C5FE" w14:textId="77777777" w:rsidR="005C62A1" w:rsidRPr="00B2746B" w:rsidRDefault="005C62A1" w:rsidP="00B2746B">
            <w:pPr>
              <w:pStyle w:val="TCTableBody"/>
            </w:pPr>
            <w:r w:rsidRPr="00B2746B">
              <w:rPr>
                <w:noProof/>
                <w:lang w:eastAsia="en-GB"/>
              </w:rPr>
              <w:drawing>
                <wp:inline distT="0" distB="0" distL="0" distR="0" wp14:anchorId="7F8F6BE1" wp14:editId="3C2A9A76">
                  <wp:extent cx="273600" cy="291600"/>
                  <wp:effectExtent l="0" t="0" r="635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3600" cy="291600"/>
                          </a:xfrm>
                          <a:prstGeom prst="rect">
                            <a:avLst/>
                          </a:prstGeom>
                        </pic:spPr>
                      </pic:pic>
                    </a:graphicData>
                  </a:graphic>
                </wp:inline>
              </w:drawing>
            </w:r>
          </w:p>
        </w:tc>
        <w:tc>
          <w:tcPr>
            <w:tcW w:w="1417" w:type="dxa"/>
            <w:vAlign w:val="center"/>
          </w:tcPr>
          <w:p w14:paraId="324DACB7" w14:textId="77777777" w:rsidR="005C62A1" w:rsidRPr="00B2746B" w:rsidRDefault="005C62A1" w:rsidP="00B2746B">
            <w:pPr>
              <w:pStyle w:val="TCTableBody"/>
            </w:pPr>
            <w:r w:rsidRPr="00B2746B">
              <w:t>81</w:t>
            </w:r>
          </w:p>
        </w:tc>
        <w:tc>
          <w:tcPr>
            <w:tcW w:w="1418" w:type="dxa"/>
            <w:vAlign w:val="center"/>
          </w:tcPr>
          <w:p w14:paraId="68E7C3AB" w14:textId="77777777" w:rsidR="005C62A1" w:rsidRPr="00B2746B" w:rsidRDefault="005C62A1" w:rsidP="00B2746B">
            <w:pPr>
              <w:pStyle w:val="TCTableBody"/>
            </w:pPr>
            <w:r w:rsidRPr="00B2746B">
              <w:t>100</w:t>
            </w:r>
          </w:p>
        </w:tc>
      </w:tr>
      <w:tr w:rsidR="005C62A1" w:rsidRPr="008F30BA" w14:paraId="2C672509" w14:textId="77777777" w:rsidTr="009C0388">
        <w:trPr>
          <w:trHeight w:val="567"/>
        </w:trPr>
        <w:tc>
          <w:tcPr>
            <w:tcW w:w="709" w:type="dxa"/>
            <w:vAlign w:val="center"/>
          </w:tcPr>
          <w:p w14:paraId="24641B4A" w14:textId="77777777" w:rsidR="005C62A1" w:rsidRPr="00B2746B" w:rsidRDefault="005C62A1" w:rsidP="00B2746B">
            <w:pPr>
              <w:pStyle w:val="TCTableBody"/>
              <w:rPr>
                <w:noProof/>
              </w:rPr>
            </w:pPr>
            <w:r w:rsidRPr="00B2746B">
              <w:t>19</w:t>
            </w:r>
          </w:p>
        </w:tc>
        <w:tc>
          <w:tcPr>
            <w:tcW w:w="1276" w:type="dxa"/>
            <w:vAlign w:val="center"/>
          </w:tcPr>
          <w:p w14:paraId="2F77BADA" w14:textId="77777777" w:rsidR="005C62A1" w:rsidRPr="00B2746B" w:rsidRDefault="005C62A1" w:rsidP="00B2746B">
            <w:pPr>
              <w:pStyle w:val="TCTableBody"/>
            </w:pPr>
            <w:r w:rsidRPr="00B2746B">
              <w:rPr>
                <w:noProof/>
                <w:lang w:eastAsia="en-GB"/>
              </w:rPr>
              <w:drawing>
                <wp:inline distT="0" distB="0" distL="0" distR="0" wp14:anchorId="4974874B" wp14:editId="16772DB4">
                  <wp:extent cx="273600" cy="2844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3600" cy="284400"/>
                          </a:xfrm>
                          <a:prstGeom prst="rect">
                            <a:avLst/>
                          </a:prstGeom>
                        </pic:spPr>
                      </pic:pic>
                    </a:graphicData>
                  </a:graphic>
                </wp:inline>
              </w:drawing>
            </w:r>
          </w:p>
        </w:tc>
        <w:tc>
          <w:tcPr>
            <w:tcW w:w="1417" w:type="dxa"/>
            <w:vAlign w:val="center"/>
          </w:tcPr>
          <w:p w14:paraId="1F48164A" w14:textId="77777777" w:rsidR="005C62A1" w:rsidRPr="00B2746B" w:rsidRDefault="005C62A1" w:rsidP="00B2746B">
            <w:pPr>
              <w:pStyle w:val="TCTableBody"/>
            </w:pPr>
            <w:r w:rsidRPr="00B2746B">
              <w:t>88</w:t>
            </w:r>
          </w:p>
        </w:tc>
        <w:tc>
          <w:tcPr>
            <w:tcW w:w="1418" w:type="dxa"/>
            <w:vAlign w:val="center"/>
          </w:tcPr>
          <w:p w14:paraId="2B8BC73C" w14:textId="77777777" w:rsidR="005C62A1" w:rsidRPr="00B2746B" w:rsidRDefault="005C62A1" w:rsidP="00B2746B">
            <w:pPr>
              <w:pStyle w:val="TCTableBody"/>
            </w:pPr>
            <w:r w:rsidRPr="00B2746B">
              <w:t>100</w:t>
            </w:r>
          </w:p>
        </w:tc>
      </w:tr>
      <w:tr w:rsidR="005C62A1" w:rsidRPr="008F30BA" w14:paraId="30D916EA" w14:textId="77777777" w:rsidTr="009C0388">
        <w:trPr>
          <w:trHeight w:val="567"/>
        </w:trPr>
        <w:tc>
          <w:tcPr>
            <w:tcW w:w="709" w:type="dxa"/>
            <w:vAlign w:val="center"/>
          </w:tcPr>
          <w:p w14:paraId="0C0494C0" w14:textId="77777777" w:rsidR="005C62A1" w:rsidRPr="00B2746B" w:rsidRDefault="005C62A1" w:rsidP="00B2746B">
            <w:pPr>
              <w:pStyle w:val="TCTableBody"/>
            </w:pPr>
            <w:r w:rsidRPr="00B2746B">
              <w:t>20</w:t>
            </w:r>
          </w:p>
        </w:tc>
        <w:tc>
          <w:tcPr>
            <w:tcW w:w="1276" w:type="dxa"/>
            <w:vAlign w:val="center"/>
          </w:tcPr>
          <w:p w14:paraId="26CB525B" w14:textId="77777777" w:rsidR="005C62A1" w:rsidRPr="00B2746B" w:rsidRDefault="005C62A1" w:rsidP="00B2746B">
            <w:pPr>
              <w:pStyle w:val="TCTableBody"/>
            </w:pPr>
            <w:r w:rsidRPr="00B2746B">
              <w:rPr>
                <w:noProof/>
                <w:lang w:eastAsia="en-GB"/>
              </w:rPr>
              <w:drawing>
                <wp:inline distT="0" distB="0" distL="0" distR="0" wp14:anchorId="7521039E" wp14:editId="0E94AB34">
                  <wp:extent cx="489600" cy="248400"/>
                  <wp:effectExtent l="0" t="0" r="571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9600" cy="248400"/>
                          </a:xfrm>
                          <a:prstGeom prst="rect">
                            <a:avLst/>
                          </a:prstGeom>
                        </pic:spPr>
                      </pic:pic>
                    </a:graphicData>
                  </a:graphic>
                </wp:inline>
              </w:drawing>
            </w:r>
          </w:p>
        </w:tc>
        <w:tc>
          <w:tcPr>
            <w:tcW w:w="1417" w:type="dxa"/>
            <w:vAlign w:val="center"/>
          </w:tcPr>
          <w:p w14:paraId="61234745" w14:textId="77777777" w:rsidR="005C62A1" w:rsidRPr="00B2746B" w:rsidRDefault="005C62A1" w:rsidP="00B2746B">
            <w:pPr>
              <w:pStyle w:val="TCTableBody"/>
            </w:pPr>
            <w:r w:rsidRPr="00B2746B">
              <w:t>100</w:t>
            </w:r>
          </w:p>
        </w:tc>
        <w:tc>
          <w:tcPr>
            <w:tcW w:w="1418" w:type="dxa"/>
            <w:vAlign w:val="center"/>
          </w:tcPr>
          <w:p w14:paraId="21721695" w14:textId="77777777" w:rsidR="005C62A1" w:rsidRPr="00B2746B" w:rsidRDefault="005C62A1" w:rsidP="00B2746B">
            <w:pPr>
              <w:pStyle w:val="TCTableBody"/>
            </w:pPr>
            <w:r w:rsidRPr="00B2746B">
              <w:t>100</w:t>
            </w:r>
          </w:p>
        </w:tc>
      </w:tr>
    </w:tbl>
    <w:p w14:paraId="1350DF1C" w14:textId="77777777" w:rsidR="005C62A1" w:rsidRPr="00B2746B" w:rsidRDefault="005C62A1" w:rsidP="00D13841">
      <w:pPr>
        <w:pStyle w:val="TAMainText"/>
        <w:rPr>
          <w:noProof/>
        </w:rPr>
      </w:pPr>
      <w:r w:rsidRPr="00B2746B">
        <w:rPr>
          <w:i/>
          <w:iCs/>
          <w:noProof/>
          <w:vertAlign w:val="superscript"/>
        </w:rPr>
        <w:t>a</w:t>
      </w:r>
      <w:r w:rsidRPr="00B2746B">
        <w:rPr>
          <w:noProof/>
        </w:rPr>
        <w:t>Indicates the sum of desired product and the product of ester hydrolysis.</w:t>
      </w:r>
    </w:p>
    <w:p w14:paraId="56C5957A" w14:textId="77777777" w:rsidR="005C62A1" w:rsidRDefault="005C62A1" w:rsidP="00D13841">
      <w:pPr>
        <w:pStyle w:val="TAMainText"/>
        <w:rPr>
          <w:rStyle w:val="06CHeading"/>
          <w:rFonts w:asciiTheme="minorHAnsi" w:hAnsiTheme="minorHAnsi"/>
          <w:b w:val="0"/>
          <w:bCs/>
          <w:smallCaps w:val="0"/>
        </w:rPr>
      </w:pPr>
    </w:p>
    <w:p w14:paraId="750458E3" w14:textId="4032FAEF" w:rsidR="005C62A1" w:rsidRPr="00B91399" w:rsidRDefault="00745F27" w:rsidP="000F61EE">
      <w:pPr>
        <w:pStyle w:val="VDTableTitle"/>
        <w:rPr>
          <w:rStyle w:val="06CHeading"/>
          <w:rFonts w:asciiTheme="minorHAnsi" w:hAnsiTheme="minorHAnsi"/>
          <w:b w:val="0"/>
          <w:smallCaps w:val="0"/>
          <w:color w:val="000000" w:themeColor="text1"/>
          <w:sz w:val="14"/>
          <w:szCs w:val="14"/>
        </w:rPr>
      </w:pPr>
      <w:r w:rsidRPr="00BA2656">
        <w:rPr>
          <w:b/>
          <w:bCs w:val="0"/>
        </w:rPr>
        <w:t xml:space="preserve">Table </w:t>
      </w:r>
      <w:r>
        <w:rPr>
          <w:b/>
          <w:bCs w:val="0"/>
        </w:rPr>
        <w:t>3</w:t>
      </w:r>
      <w:r w:rsidRPr="00BA2656">
        <w:rPr>
          <w:b/>
          <w:bCs w:val="0"/>
        </w:rPr>
        <w:t>.</w:t>
      </w:r>
      <w:r>
        <w:t xml:space="preserve"> Comparison of reaction </w:t>
      </w:r>
      <w:r w:rsidR="00E44832">
        <w:t>performance for the micellar promoted reaction with literature procedures</w:t>
      </w:r>
      <w:r w:rsidRPr="00551C6A">
        <w:t>.</w:t>
      </w:r>
      <w:r w:rsidR="00B2746B">
        <w:t xml:space="preserve"> </w:t>
      </w:r>
      <w:r w:rsidR="005D3B0D" w:rsidRPr="005D3B0D">
        <w:rPr>
          <w:vertAlign w:val="superscript"/>
        </w:rPr>
        <w:t>a</w:t>
      </w:r>
      <w:r w:rsidR="005D3B0D">
        <w:t xml:space="preserve">Reported reaction conversions from Ref. 24. </w:t>
      </w:r>
      <w:r w:rsidR="005D3B0D" w:rsidRPr="005D3B0D">
        <w:rPr>
          <w:vertAlign w:val="superscript"/>
        </w:rPr>
        <w:t>b</w:t>
      </w:r>
      <w:r w:rsidR="005D3B0D">
        <w:t>Reported reaction conversions from Ref. 25.</w:t>
      </w:r>
      <w:r w:rsidR="005D3B0D" w:rsidRPr="005D3B0D">
        <w:t xml:space="preserve"> </w:t>
      </w:r>
      <w:r w:rsidR="005D3B0D" w:rsidRPr="005D3B0D">
        <w:rPr>
          <w:vertAlign w:val="superscript"/>
        </w:rPr>
        <w:t>c</w:t>
      </w:r>
      <w:r w:rsidR="005D3B0D">
        <w:t>Reported reaction conversions from Ref. 26.</w:t>
      </w:r>
    </w:p>
    <w:tbl>
      <w:tblPr>
        <w:tblStyle w:val="TableGrid"/>
        <w:tblW w:w="5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134"/>
        <w:gridCol w:w="907"/>
        <w:gridCol w:w="865"/>
        <w:gridCol w:w="42"/>
        <w:gridCol w:w="907"/>
        <w:gridCol w:w="907"/>
        <w:gridCol w:w="167"/>
      </w:tblGrid>
      <w:tr w:rsidR="005C62A1" w14:paraId="5F8BA45C" w14:textId="77777777" w:rsidTr="003F1D9D">
        <w:trPr>
          <w:trHeight w:val="772"/>
        </w:trPr>
        <w:tc>
          <w:tcPr>
            <w:tcW w:w="284" w:type="dxa"/>
            <w:vMerge w:val="restart"/>
            <w:vAlign w:val="bottom"/>
          </w:tcPr>
          <w:p w14:paraId="42D2E810" w14:textId="77777777" w:rsidR="005C62A1" w:rsidRPr="00B2746B" w:rsidRDefault="005C62A1" w:rsidP="00B2746B">
            <w:pPr>
              <w:pStyle w:val="TCTableBody"/>
              <w:rPr>
                <w:rStyle w:val="06CHeading"/>
                <w:rFonts w:ascii="Arno Pro" w:hAnsi="Arno Pro"/>
                <w:b w:val="0"/>
                <w:smallCaps w:val="0"/>
                <w:w w:val="100"/>
                <w:kern w:val="0"/>
              </w:rPr>
            </w:pPr>
          </w:p>
        </w:tc>
        <w:tc>
          <w:tcPr>
            <w:tcW w:w="1134" w:type="dxa"/>
            <w:vMerge w:val="restart"/>
            <w:vAlign w:val="bottom"/>
          </w:tcPr>
          <w:p w14:paraId="301D815C"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Amine</w:t>
            </w:r>
          </w:p>
        </w:tc>
        <w:tc>
          <w:tcPr>
            <w:tcW w:w="1772" w:type="dxa"/>
            <w:gridSpan w:val="2"/>
          </w:tcPr>
          <w:p w14:paraId="33A89B2E" w14:textId="77777777" w:rsidR="005C62A1" w:rsidRPr="00B2746B" w:rsidRDefault="005C62A1" w:rsidP="00B2746B">
            <w:pPr>
              <w:pStyle w:val="TCTableBody"/>
              <w:rPr>
                <w:rStyle w:val="06CHeading"/>
                <w:rFonts w:ascii="Arno Pro" w:hAnsi="Arno Pro"/>
                <w:b w:val="0"/>
                <w:smallCaps w:val="0"/>
                <w:w w:val="100"/>
                <w:kern w:val="0"/>
              </w:rPr>
            </w:pPr>
            <w:r w:rsidRPr="00B2746B">
              <w:rPr>
                <w:noProof/>
                <w:kern w:val="0"/>
                <w:lang w:eastAsia="en-GB"/>
              </w:rPr>
              <w:drawing>
                <wp:inline distT="0" distB="0" distL="0" distR="0" wp14:anchorId="7878A575" wp14:editId="477062DA">
                  <wp:extent cx="723900" cy="485775"/>
                  <wp:effectExtent l="0" t="0" r="0" b="0"/>
                  <wp:docPr id="67" name="Object 3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2"/>
                          <pic:cNvPicPr>
                            <a:picLocks noGrp="1" noRot="1" noChangeAspect="1" noEditPoints="1" noAdjustHandles="1" noChangeArrowheads="1" noChangeShapeType="1" noCrop="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3900" cy="485775"/>
                          </a:xfrm>
                          <a:prstGeom prst="rect">
                            <a:avLst/>
                          </a:prstGeom>
                          <a:noFill/>
                          <a:ln>
                            <a:noFill/>
                          </a:ln>
                        </pic:spPr>
                      </pic:pic>
                    </a:graphicData>
                  </a:graphic>
                </wp:inline>
              </w:drawing>
            </w:r>
          </w:p>
        </w:tc>
        <w:tc>
          <w:tcPr>
            <w:tcW w:w="2023" w:type="dxa"/>
            <w:gridSpan w:val="4"/>
            <w:vAlign w:val="center"/>
          </w:tcPr>
          <w:p w14:paraId="0DA073EB" w14:textId="77777777" w:rsidR="005C62A1" w:rsidRPr="00B2746B" w:rsidRDefault="005C62A1" w:rsidP="00B2746B">
            <w:pPr>
              <w:pStyle w:val="TCTableBody"/>
              <w:rPr>
                <w:rStyle w:val="06CHeading"/>
                <w:rFonts w:ascii="Arno Pro" w:hAnsi="Arno Pro"/>
                <w:b w:val="0"/>
                <w:smallCaps w:val="0"/>
                <w:w w:val="100"/>
                <w:kern w:val="0"/>
              </w:rPr>
            </w:pPr>
            <w:r w:rsidRPr="00B2746B">
              <w:rPr>
                <w:noProof/>
                <w:kern w:val="0"/>
                <w:lang w:eastAsia="en-GB"/>
              </w:rPr>
              <w:drawing>
                <wp:inline distT="0" distB="0" distL="0" distR="0" wp14:anchorId="3D8D2E05" wp14:editId="6C2B5413">
                  <wp:extent cx="762000" cy="485775"/>
                  <wp:effectExtent l="0" t="0" r="0" b="0"/>
                  <wp:docPr id="66" name="Object 3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1"/>
                          <pic:cNvPicPr>
                            <a:picLocks noGrp="1" noRot="1" noChangeAspect="1" noEditPoints="1" noAdjustHandles="1" noChangeArrowheads="1" noChangeShapeType="1" noCrop="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00" cy="485775"/>
                          </a:xfrm>
                          <a:prstGeom prst="rect">
                            <a:avLst/>
                          </a:prstGeom>
                          <a:noFill/>
                          <a:ln>
                            <a:noFill/>
                          </a:ln>
                        </pic:spPr>
                      </pic:pic>
                    </a:graphicData>
                  </a:graphic>
                </wp:inline>
              </w:drawing>
            </w:r>
          </w:p>
        </w:tc>
      </w:tr>
      <w:tr w:rsidR="003F1D9D" w14:paraId="32C22520" w14:textId="77777777" w:rsidTr="003F1D9D">
        <w:trPr>
          <w:gridAfter w:val="1"/>
          <w:wAfter w:w="167" w:type="dxa"/>
          <w:trHeight w:val="230"/>
        </w:trPr>
        <w:tc>
          <w:tcPr>
            <w:tcW w:w="284" w:type="dxa"/>
            <w:vMerge/>
          </w:tcPr>
          <w:p w14:paraId="0B2D3AC9" w14:textId="77777777" w:rsidR="005C62A1" w:rsidRPr="00B2746B" w:rsidRDefault="005C62A1" w:rsidP="00B2746B">
            <w:pPr>
              <w:pStyle w:val="TCTableBody"/>
              <w:rPr>
                <w:rStyle w:val="06CHeading"/>
                <w:rFonts w:ascii="Arno Pro" w:hAnsi="Arno Pro"/>
                <w:b w:val="0"/>
                <w:smallCaps w:val="0"/>
                <w:w w:val="100"/>
                <w:kern w:val="0"/>
              </w:rPr>
            </w:pPr>
          </w:p>
        </w:tc>
        <w:tc>
          <w:tcPr>
            <w:tcW w:w="1134" w:type="dxa"/>
            <w:vMerge/>
          </w:tcPr>
          <w:p w14:paraId="6134F0EF" w14:textId="77777777" w:rsidR="005C62A1" w:rsidRPr="00B2746B" w:rsidRDefault="005C62A1" w:rsidP="00B2746B">
            <w:pPr>
              <w:pStyle w:val="TCTableBody"/>
              <w:rPr>
                <w:rStyle w:val="06CHeading"/>
                <w:rFonts w:ascii="Arno Pro" w:hAnsi="Arno Pro"/>
                <w:b w:val="0"/>
                <w:smallCaps w:val="0"/>
                <w:w w:val="100"/>
                <w:kern w:val="0"/>
                <w:lang w:eastAsia="en-GB"/>
              </w:rPr>
            </w:pPr>
          </w:p>
        </w:tc>
        <w:tc>
          <w:tcPr>
            <w:tcW w:w="907" w:type="dxa"/>
          </w:tcPr>
          <w:p w14:paraId="470BD857"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This work</w:t>
            </w:r>
          </w:p>
        </w:tc>
        <w:tc>
          <w:tcPr>
            <w:tcW w:w="907" w:type="dxa"/>
            <w:gridSpan w:val="2"/>
          </w:tcPr>
          <w:p w14:paraId="2C776171"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Literature</w:t>
            </w:r>
          </w:p>
        </w:tc>
        <w:tc>
          <w:tcPr>
            <w:tcW w:w="907" w:type="dxa"/>
          </w:tcPr>
          <w:p w14:paraId="7AE1EBBD"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This work</w:t>
            </w:r>
          </w:p>
        </w:tc>
        <w:tc>
          <w:tcPr>
            <w:tcW w:w="907" w:type="dxa"/>
          </w:tcPr>
          <w:p w14:paraId="481D9AA2"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Literature</w:t>
            </w:r>
          </w:p>
        </w:tc>
      </w:tr>
      <w:tr w:rsidR="003F1D9D" w14:paraId="3A308002" w14:textId="77777777" w:rsidTr="003F1D9D">
        <w:trPr>
          <w:gridAfter w:val="1"/>
          <w:wAfter w:w="167" w:type="dxa"/>
          <w:trHeight w:val="624"/>
        </w:trPr>
        <w:tc>
          <w:tcPr>
            <w:tcW w:w="284" w:type="dxa"/>
          </w:tcPr>
          <w:p w14:paraId="5D170228"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1</w:t>
            </w:r>
          </w:p>
        </w:tc>
        <w:tc>
          <w:tcPr>
            <w:tcW w:w="1134" w:type="dxa"/>
            <w:vAlign w:val="center"/>
          </w:tcPr>
          <w:p w14:paraId="56BAA7F3" w14:textId="77777777" w:rsidR="005C62A1" w:rsidRPr="00B2746B" w:rsidRDefault="005C62A1" w:rsidP="00B2746B">
            <w:pPr>
              <w:pStyle w:val="TCTableBody"/>
              <w:rPr>
                <w:rStyle w:val="06CHeading"/>
                <w:rFonts w:ascii="Arno Pro" w:hAnsi="Arno Pro"/>
                <w:b w:val="0"/>
                <w:smallCaps w:val="0"/>
                <w:w w:val="100"/>
                <w:kern w:val="0"/>
                <w:lang w:eastAsia="en-GB"/>
              </w:rPr>
            </w:pPr>
            <w:r w:rsidRPr="00B2746B">
              <w:rPr>
                <w:noProof/>
                <w:kern w:val="0"/>
                <w:lang w:eastAsia="en-GB"/>
              </w:rPr>
              <w:drawing>
                <wp:inline distT="0" distB="0" distL="0" distR="0" wp14:anchorId="55454A12" wp14:editId="5E378767">
                  <wp:extent cx="403200" cy="388800"/>
                  <wp:effectExtent l="0" t="0" r="0" b="0"/>
                  <wp:docPr id="14" name="Picture 4">
                    <a:extLst xmlns:a="http://schemas.openxmlformats.org/drawingml/2006/main">
                      <a:ext uri="{FF2B5EF4-FFF2-40B4-BE49-F238E27FC236}">
                        <a16:creationId xmlns:a16="http://schemas.microsoft.com/office/drawing/2014/main" id="{CCD94BE0-DF6C-5E42-B354-842633D5DD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CD94BE0-DF6C-5E42-B354-842633D5DD48}"/>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403200" cy="388800"/>
                          </a:xfrm>
                          <a:prstGeom prst="rect">
                            <a:avLst/>
                          </a:prstGeom>
                        </pic:spPr>
                      </pic:pic>
                    </a:graphicData>
                  </a:graphic>
                </wp:inline>
              </w:drawing>
            </w:r>
          </w:p>
        </w:tc>
        <w:tc>
          <w:tcPr>
            <w:tcW w:w="907" w:type="dxa"/>
          </w:tcPr>
          <w:p w14:paraId="51C9F2F0"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98</w:t>
            </w:r>
          </w:p>
        </w:tc>
        <w:tc>
          <w:tcPr>
            <w:tcW w:w="907" w:type="dxa"/>
            <w:gridSpan w:val="2"/>
          </w:tcPr>
          <w:p w14:paraId="5E7372FA" w14:textId="77777777" w:rsidR="003F1D9D"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81</w:t>
            </w:r>
            <w:r w:rsidRPr="00B91399">
              <w:rPr>
                <w:rStyle w:val="06CHeading"/>
                <w:rFonts w:ascii="Arno Pro" w:hAnsi="Arno Pro"/>
                <w:b w:val="0"/>
                <w:smallCaps w:val="0"/>
                <w:w w:val="100"/>
                <w:kern w:val="0"/>
                <w:vertAlign w:val="superscript"/>
              </w:rPr>
              <w:t>a</w:t>
            </w:r>
            <w:r w:rsidRPr="00B2746B">
              <w:rPr>
                <w:rStyle w:val="06CHeading"/>
                <w:rFonts w:ascii="Arno Pro" w:hAnsi="Arno Pro"/>
                <w:b w:val="0"/>
                <w:smallCaps w:val="0"/>
                <w:w w:val="100"/>
                <w:kern w:val="0"/>
              </w:rPr>
              <w:t>,</w:t>
            </w:r>
          </w:p>
          <w:p w14:paraId="4B79BCF9" w14:textId="3EB91BFC"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79</w:t>
            </w:r>
            <w:r w:rsidRPr="00B91399">
              <w:rPr>
                <w:rStyle w:val="06CHeading"/>
                <w:rFonts w:ascii="Arno Pro" w:hAnsi="Arno Pro"/>
                <w:b w:val="0"/>
                <w:smallCaps w:val="0"/>
                <w:w w:val="100"/>
                <w:kern w:val="0"/>
                <w:vertAlign w:val="superscript"/>
              </w:rPr>
              <w:t>b</w:t>
            </w:r>
            <w:r w:rsidRPr="00B2746B">
              <w:rPr>
                <w:rStyle w:val="06CHeading"/>
                <w:rFonts w:ascii="Arno Pro" w:hAnsi="Arno Pro"/>
                <w:b w:val="0"/>
                <w:smallCaps w:val="0"/>
                <w:w w:val="100"/>
                <w:kern w:val="0"/>
              </w:rPr>
              <w:t xml:space="preserve"> </w:t>
            </w:r>
          </w:p>
        </w:tc>
        <w:tc>
          <w:tcPr>
            <w:tcW w:w="907" w:type="dxa"/>
          </w:tcPr>
          <w:p w14:paraId="185389DB"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96</w:t>
            </w:r>
          </w:p>
        </w:tc>
        <w:tc>
          <w:tcPr>
            <w:tcW w:w="907" w:type="dxa"/>
          </w:tcPr>
          <w:p w14:paraId="57DC5187"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51</w:t>
            </w:r>
            <w:r w:rsidRPr="00B91399">
              <w:rPr>
                <w:rStyle w:val="06CHeading"/>
                <w:rFonts w:ascii="Arno Pro" w:hAnsi="Arno Pro"/>
                <w:b w:val="0"/>
                <w:smallCaps w:val="0"/>
                <w:w w:val="100"/>
                <w:kern w:val="0"/>
                <w:vertAlign w:val="superscript"/>
              </w:rPr>
              <w:t>b</w:t>
            </w:r>
          </w:p>
        </w:tc>
      </w:tr>
      <w:tr w:rsidR="003F1D9D" w14:paraId="6677AFDE" w14:textId="77777777" w:rsidTr="003F1D9D">
        <w:trPr>
          <w:gridAfter w:val="1"/>
          <w:wAfter w:w="167" w:type="dxa"/>
          <w:trHeight w:val="624"/>
        </w:trPr>
        <w:tc>
          <w:tcPr>
            <w:tcW w:w="284" w:type="dxa"/>
          </w:tcPr>
          <w:p w14:paraId="71ABB001"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2</w:t>
            </w:r>
          </w:p>
        </w:tc>
        <w:tc>
          <w:tcPr>
            <w:tcW w:w="1134" w:type="dxa"/>
            <w:vAlign w:val="center"/>
          </w:tcPr>
          <w:p w14:paraId="628C0A0D" w14:textId="77777777" w:rsidR="005C62A1" w:rsidRPr="00B2746B" w:rsidRDefault="005C62A1" w:rsidP="00B2746B">
            <w:pPr>
              <w:pStyle w:val="TCTableBody"/>
              <w:rPr>
                <w:rStyle w:val="06CHeading"/>
                <w:rFonts w:ascii="Arno Pro" w:hAnsi="Arno Pro"/>
                <w:b w:val="0"/>
                <w:smallCaps w:val="0"/>
                <w:w w:val="100"/>
                <w:kern w:val="0"/>
                <w:lang w:eastAsia="en-GB"/>
              </w:rPr>
            </w:pPr>
            <w:r w:rsidRPr="00B2746B">
              <w:rPr>
                <w:noProof/>
                <w:kern w:val="0"/>
                <w:lang w:eastAsia="en-GB"/>
              </w:rPr>
              <w:drawing>
                <wp:inline distT="0" distB="0" distL="0" distR="0" wp14:anchorId="135265B8" wp14:editId="5B14FB84">
                  <wp:extent cx="363600" cy="255600"/>
                  <wp:effectExtent l="0" t="0" r="0" b="0"/>
                  <wp:docPr id="23" name="Picture 5">
                    <a:extLst xmlns:a="http://schemas.openxmlformats.org/drawingml/2006/main">
                      <a:ext uri="{FF2B5EF4-FFF2-40B4-BE49-F238E27FC236}">
                        <a16:creationId xmlns:a16="http://schemas.microsoft.com/office/drawing/2014/main" id="{1A362AAE-6CD7-6249-95EA-8683AE0235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A362AAE-6CD7-6249-95EA-8683AE023504}"/>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63600" cy="255600"/>
                          </a:xfrm>
                          <a:prstGeom prst="rect">
                            <a:avLst/>
                          </a:prstGeom>
                        </pic:spPr>
                      </pic:pic>
                    </a:graphicData>
                  </a:graphic>
                </wp:inline>
              </w:drawing>
            </w:r>
          </w:p>
        </w:tc>
        <w:tc>
          <w:tcPr>
            <w:tcW w:w="907" w:type="dxa"/>
          </w:tcPr>
          <w:p w14:paraId="316A7FF2"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100</w:t>
            </w:r>
          </w:p>
        </w:tc>
        <w:tc>
          <w:tcPr>
            <w:tcW w:w="907" w:type="dxa"/>
            <w:gridSpan w:val="2"/>
          </w:tcPr>
          <w:p w14:paraId="5DBB3DFB"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 xml:space="preserve">N/A </w:t>
            </w:r>
          </w:p>
        </w:tc>
        <w:tc>
          <w:tcPr>
            <w:tcW w:w="907" w:type="dxa"/>
          </w:tcPr>
          <w:p w14:paraId="7345A291"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100</w:t>
            </w:r>
          </w:p>
        </w:tc>
        <w:tc>
          <w:tcPr>
            <w:tcW w:w="907" w:type="dxa"/>
          </w:tcPr>
          <w:p w14:paraId="517A9374"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75</w:t>
            </w:r>
            <w:r w:rsidRPr="00B91399">
              <w:rPr>
                <w:rStyle w:val="06CHeading"/>
                <w:rFonts w:ascii="Arno Pro" w:hAnsi="Arno Pro"/>
                <w:b w:val="0"/>
                <w:smallCaps w:val="0"/>
                <w:w w:val="100"/>
                <w:kern w:val="0"/>
                <w:vertAlign w:val="superscript"/>
              </w:rPr>
              <w:t>b</w:t>
            </w:r>
          </w:p>
        </w:tc>
      </w:tr>
      <w:tr w:rsidR="003F1D9D" w14:paraId="4C142FC5" w14:textId="77777777" w:rsidTr="003F1D9D">
        <w:trPr>
          <w:gridAfter w:val="1"/>
          <w:wAfter w:w="167" w:type="dxa"/>
          <w:trHeight w:val="624"/>
        </w:trPr>
        <w:tc>
          <w:tcPr>
            <w:tcW w:w="284" w:type="dxa"/>
          </w:tcPr>
          <w:p w14:paraId="18A2B29D"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3</w:t>
            </w:r>
          </w:p>
        </w:tc>
        <w:tc>
          <w:tcPr>
            <w:tcW w:w="1134" w:type="dxa"/>
            <w:vAlign w:val="center"/>
          </w:tcPr>
          <w:p w14:paraId="34AAF825" w14:textId="77777777" w:rsidR="005C62A1" w:rsidRPr="00B2746B" w:rsidRDefault="005C62A1" w:rsidP="00B2746B">
            <w:pPr>
              <w:pStyle w:val="TCTableBody"/>
              <w:rPr>
                <w:rStyle w:val="06CHeading"/>
                <w:rFonts w:ascii="Arno Pro" w:hAnsi="Arno Pro"/>
                <w:b w:val="0"/>
                <w:smallCaps w:val="0"/>
                <w:w w:val="100"/>
                <w:kern w:val="0"/>
                <w:lang w:eastAsia="en-GB"/>
              </w:rPr>
            </w:pPr>
            <w:r w:rsidRPr="00B2746B">
              <w:rPr>
                <w:noProof/>
                <w:kern w:val="0"/>
                <w:lang w:eastAsia="en-GB"/>
              </w:rPr>
              <w:drawing>
                <wp:inline distT="0" distB="0" distL="0" distR="0" wp14:anchorId="4F01CF38" wp14:editId="13777023">
                  <wp:extent cx="457200" cy="234000"/>
                  <wp:effectExtent l="0" t="0" r="0" b="0"/>
                  <wp:docPr id="27" name="Picture 6">
                    <a:extLst xmlns:a="http://schemas.openxmlformats.org/drawingml/2006/main">
                      <a:ext uri="{FF2B5EF4-FFF2-40B4-BE49-F238E27FC236}">
                        <a16:creationId xmlns:a16="http://schemas.microsoft.com/office/drawing/2014/main" id="{EF23C2C7-06DE-5649-BA5B-120646363C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F23C2C7-06DE-5649-BA5B-120646363C1F}"/>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57200" cy="234000"/>
                          </a:xfrm>
                          <a:prstGeom prst="rect">
                            <a:avLst/>
                          </a:prstGeom>
                        </pic:spPr>
                      </pic:pic>
                    </a:graphicData>
                  </a:graphic>
                </wp:inline>
              </w:drawing>
            </w:r>
          </w:p>
        </w:tc>
        <w:tc>
          <w:tcPr>
            <w:tcW w:w="907" w:type="dxa"/>
          </w:tcPr>
          <w:p w14:paraId="1DFE6561"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100</w:t>
            </w:r>
          </w:p>
        </w:tc>
        <w:tc>
          <w:tcPr>
            <w:tcW w:w="907" w:type="dxa"/>
            <w:gridSpan w:val="2"/>
          </w:tcPr>
          <w:p w14:paraId="43840E15"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84</w:t>
            </w:r>
            <w:r w:rsidRPr="00B91399">
              <w:rPr>
                <w:rStyle w:val="06CHeading"/>
                <w:rFonts w:ascii="Arno Pro" w:hAnsi="Arno Pro"/>
                <w:b w:val="0"/>
                <w:smallCaps w:val="0"/>
                <w:w w:val="100"/>
                <w:kern w:val="0"/>
                <w:vertAlign w:val="superscript"/>
              </w:rPr>
              <w:t>b</w:t>
            </w:r>
          </w:p>
        </w:tc>
        <w:tc>
          <w:tcPr>
            <w:tcW w:w="907" w:type="dxa"/>
          </w:tcPr>
          <w:p w14:paraId="3C1D1F49"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96</w:t>
            </w:r>
          </w:p>
        </w:tc>
        <w:tc>
          <w:tcPr>
            <w:tcW w:w="907" w:type="dxa"/>
          </w:tcPr>
          <w:p w14:paraId="4445FD53"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80</w:t>
            </w:r>
            <w:r w:rsidRPr="00B91399">
              <w:rPr>
                <w:rStyle w:val="06CHeading"/>
                <w:rFonts w:ascii="Arno Pro" w:hAnsi="Arno Pro"/>
                <w:b w:val="0"/>
                <w:smallCaps w:val="0"/>
                <w:w w:val="100"/>
                <w:kern w:val="0"/>
                <w:vertAlign w:val="superscript"/>
              </w:rPr>
              <w:t>b</w:t>
            </w:r>
          </w:p>
        </w:tc>
      </w:tr>
      <w:tr w:rsidR="003F1D9D" w14:paraId="2EAC1E53" w14:textId="77777777" w:rsidTr="003F1D9D">
        <w:trPr>
          <w:gridAfter w:val="1"/>
          <w:wAfter w:w="167" w:type="dxa"/>
          <w:trHeight w:val="624"/>
        </w:trPr>
        <w:tc>
          <w:tcPr>
            <w:tcW w:w="284" w:type="dxa"/>
          </w:tcPr>
          <w:p w14:paraId="3D797182"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4</w:t>
            </w:r>
          </w:p>
        </w:tc>
        <w:tc>
          <w:tcPr>
            <w:tcW w:w="1134" w:type="dxa"/>
            <w:vAlign w:val="center"/>
          </w:tcPr>
          <w:p w14:paraId="77045301" w14:textId="77777777" w:rsidR="005C62A1" w:rsidRPr="00B2746B" w:rsidRDefault="005C62A1" w:rsidP="00B2746B">
            <w:pPr>
              <w:pStyle w:val="TCTableBody"/>
              <w:rPr>
                <w:rStyle w:val="06CHeading"/>
                <w:rFonts w:ascii="Arno Pro" w:hAnsi="Arno Pro"/>
                <w:b w:val="0"/>
                <w:smallCaps w:val="0"/>
                <w:w w:val="100"/>
                <w:kern w:val="0"/>
                <w:lang w:eastAsia="en-GB"/>
              </w:rPr>
            </w:pPr>
            <w:r w:rsidRPr="00B2746B">
              <w:rPr>
                <w:noProof/>
                <w:kern w:val="0"/>
                <w:lang w:eastAsia="en-GB"/>
              </w:rPr>
              <w:drawing>
                <wp:inline distT="0" distB="0" distL="0" distR="0" wp14:anchorId="6815AB8E" wp14:editId="2263534F">
                  <wp:extent cx="478800" cy="255600"/>
                  <wp:effectExtent l="0" t="0" r="0" b="0"/>
                  <wp:docPr id="28" name="Picture 7">
                    <a:extLst xmlns:a="http://schemas.openxmlformats.org/drawingml/2006/main">
                      <a:ext uri="{FF2B5EF4-FFF2-40B4-BE49-F238E27FC236}">
                        <a16:creationId xmlns:a16="http://schemas.microsoft.com/office/drawing/2014/main" id="{F66448A4-2EF9-3249-8E06-5B4CE2237F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66448A4-2EF9-3249-8E06-5B4CE2237FCF}"/>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478800" cy="255600"/>
                          </a:xfrm>
                          <a:prstGeom prst="rect">
                            <a:avLst/>
                          </a:prstGeom>
                        </pic:spPr>
                      </pic:pic>
                    </a:graphicData>
                  </a:graphic>
                </wp:inline>
              </w:drawing>
            </w:r>
          </w:p>
        </w:tc>
        <w:tc>
          <w:tcPr>
            <w:tcW w:w="907" w:type="dxa"/>
          </w:tcPr>
          <w:p w14:paraId="7BF131D7"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100</w:t>
            </w:r>
          </w:p>
        </w:tc>
        <w:tc>
          <w:tcPr>
            <w:tcW w:w="907" w:type="dxa"/>
            <w:gridSpan w:val="2"/>
          </w:tcPr>
          <w:p w14:paraId="6F43EE94" w14:textId="77777777" w:rsidR="003F1D9D"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69</w:t>
            </w:r>
            <w:r w:rsidRPr="00B91399">
              <w:rPr>
                <w:rStyle w:val="06CHeading"/>
                <w:rFonts w:ascii="Arno Pro" w:hAnsi="Arno Pro"/>
                <w:b w:val="0"/>
                <w:smallCaps w:val="0"/>
                <w:w w:val="100"/>
                <w:kern w:val="0"/>
                <w:vertAlign w:val="superscript"/>
              </w:rPr>
              <w:t>a</w:t>
            </w:r>
            <w:r w:rsidRPr="00B2746B">
              <w:rPr>
                <w:rStyle w:val="06CHeading"/>
                <w:rFonts w:ascii="Arno Pro" w:hAnsi="Arno Pro"/>
                <w:b w:val="0"/>
                <w:smallCaps w:val="0"/>
                <w:w w:val="100"/>
                <w:kern w:val="0"/>
              </w:rPr>
              <w:t>,</w:t>
            </w:r>
          </w:p>
          <w:p w14:paraId="6F11F545" w14:textId="3DF4B155"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46</w:t>
            </w:r>
            <w:r w:rsidRPr="00B91399">
              <w:rPr>
                <w:rStyle w:val="06CHeading"/>
                <w:rFonts w:ascii="Arno Pro" w:hAnsi="Arno Pro"/>
                <w:b w:val="0"/>
                <w:smallCaps w:val="0"/>
                <w:w w:val="100"/>
                <w:kern w:val="0"/>
                <w:vertAlign w:val="superscript"/>
              </w:rPr>
              <w:t>b</w:t>
            </w:r>
          </w:p>
          <w:p w14:paraId="1EFB5520" w14:textId="77777777" w:rsidR="005C62A1" w:rsidRPr="00B2746B" w:rsidRDefault="005C62A1" w:rsidP="00B2746B">
            <w:pPr>
              <w:pStyle w:val="TCTableBody"/>
              <w:rPr>
                <w:rStyle w:val="06CHeading"/>
                <w:rFonts w:ascii="Arno Pro" w:hAnsi="Arno Pro"/>
                <w:b w:val="0"/>
                <w:smallCaps w:val="0"/>
                <w:w w:val="100"/>
                <w:kern w:val="0"/>
              </w:rPr>
            </w:pPr>
          </w:p>
        </w:tc>
        <w:tc>
          <w:tcPr>
            <w:tcW w:w="907" w:type="dxa"/>
          </w:tcPr>
          <w:p w14:paraId="2AFD663F"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100</w:t>
            </w:r>
          </w:p>
        </w:tc>
        <w:tc>
          <w:tcPr>
            <w:tcW w:w="907" w:type="dxa"/>
          </w:tcPr>
          <w:p w14:paraId="56484C83"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77</w:t>
            </w:r>
            <w:r w:rsidRPr="00B91399">
              <w:rPr>
                <w:rStyle w:val="06CHeading"/>
                <w:rFonts w:ascii="Arno Pro" w:hAnsi="Arno Pro"/>
                <w:b w:val="0"/>
                <w:smallCaps w:val="0"/>
                <w:w w:val="100"/>
                <w:kern w:val="0"/>
                <w:vertAlign w:val="superscript"/>
              </w:rPr>
              <w:t>b</w:t>
            </w:r>
          </w:p>
        </w:tc>
      </w:tr>
      <w:tr w:rsidR="003F1D9D" w14:paraId="17EB305C" w14:textId="77777777" w:rsidTr="003F1D9D">
        <w:trPr>
          <w:gridAfter w:val="1"/>
          <w:wAfter w:w="167" w:type="dxa"/>
          <w:trHeight w:val="624"/>
        </w:trPr>
        <w:tc>
          <w:tcPr>
            <w:tcW w:w="284" w:type="dxa"/>
          </w:tcPr>
          <w:p w14:paraId="1C141CBD"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5</w:t>
            </w:r>
          </w:p>
        </w:tc>
        <w:tc>
          <w:tcPr>
            <w:tcW w:w="1134" w:type="dxa"/>
            <w:vAlign w:val="center"/>
          </w:tcPr>
          <w:p w14:paraId="4A9F362F" w14:textId="77777777" w:rsidR="005C62A1" w:rsidRPr="00B2746B" w:rsidRDefault="005C62A1" w:rsidP="00B2746B">
            <w:pPr>
              <w:pStyle w:val="TCTableBody"/>
              <w:rPr>
                <w:noProof/>
                <w:kern w:val="0"/>
                <w:lang w:eastAsia="en-GB"/>
              </w:rPr>
            </w:pPr>
            <w:r w:rsidRPr="00B2746B">
              <w:rPr>
                <w:noProof/>
                <w:kern w:val="0"/>
                <w:lang w:eastAsia="en-GB"/>
              </w:rPr>
              <w:drawing>
                <wp:inline distT="0" distB="0" distL="0" distR="0" wp14:anchorId="577FC6AE" wp14:editId="5BF5D7E7">
                  <wp:extent cx="363600" cy="241200"/>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63600" cy="241200"/>
                          </a:xfrm>
                          <a:prstGeom prst="rect">
                            <a:avLst/>
                          </a:prstGeom>
                        </pic:spPr>
                      </pic:pic>
                    </a:graphicData>
                  </a:graphic>
                </wp:inline>
              </w:drawing>
            </w:r>
          </w:p>
        </w:tc>
        <w:tc>
          <w:tcPr>
            <w:tcW w:w="907" w:type="dxa"/>
          </w:tcPr>
          <w:p w14:paraId="58EE7367"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100</w:t>
            </w:r>
          </w:p>
        </w:tc>
        <w:tc>
          <w:tcPr>
            <w:tcW w:w="907" w:type="dxa"/>
            <w:gridSpan w:val="2"/>
          </w:tcPr>
          <w:p w14:paraId="3B4CBB77" w14:textId="77777777" w:rsidR="003F1D9D"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90</w:t>
            </w:r>
            <w:r w:rsidRPr="00B91399">
              <w:rPr>
                <w:rStyle w:val="06CHeading"/>
                <w:rFonts w:ascii="Arno Pro" w:hAnsi="Arno Pro"/>
                <w:b w:val="0"/>
                <w:smallCaps w:val="0"/>
                <w:w w:val="100"/>
                <w:kern w:val="0"/>
                <w:vertAlign w:val="superscript"/>
              </w:rPr>
              <w:t>b</w:t>
            </w:r>
            <w:r w:rsidRPr="00B2746B">
              <w:rPr>
                <w:rStyle w:val="06CHeading"/>
                <w:rFonts w:ascii="Arno Pro" w:hAnsi="Arno Pro"/>
                <w:b w:val="0"/>
                <w:smallCaps w:val="0"/>
                <w:w w:val="100"/>
                <w:kern w:val="0"/>
              </w:rPr>
              <w:t>,</w:t>
            </w:r>
          </w:p>
          <w:p w14:paraId="4ECE1773" w14:textId="456B2A90"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100</w:t>
            </w:r>
            <w:r w:rsidRPr="00B91399">
              <w:rPr>
                <w:rStyle w:val="06CHeading"/>
                <w:rFonts w:ascii="Arno Pro" w:hAnsi="Arno Pro"/>
                <w:b w:val="0"/>
                <w:smallCaps w:val="0"/>
                <w:w w:val="100"/>
                <w:kern w:val="0"/>
                <w:vertAlign w:val="superscript"/>
              </w:rPr>
              <w:t>c</w:t>
            </w:r>
          </w:p>
        </w:tc>
        <w:tc>
          <w:tcPr>
            <w:tcW w:w="907" w:type="dxa"/>
          </w:tcPr>
          <w:p w14:paraId="5366793B"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100</w:t>
            </w:r>
          </w:p>
        </w:tc>
        <w:tc>
          <w:tcPr>
            <w:tcW w:w="907" w:type="dxa"/>
          </w:tcPr>
          <w:p w14:paraId="1D45C033"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100</w:t>
            </w:r>
            <w:r w:rsidRPr="00B91399">
              <w:rPr>
                <w:rStyle w:val="06CHeading"/>
                <w:rFonts w:ascii="Arno Pro" w:hAnsi="Arno Pro"/>
                <w:b w:val="0"/>
                <w:smallCaps w:val="0"/>
                <w:w w:val="100"/>
                <w:kern w:val="0"/>
                <w:vertAlign w:val="superscript"/>
              </w:rPr>
              <w:t>c</w:t>
            </w:r>
          </w:p>
        </w:tc>
      </w:tr>
      <w:tr w:rsidR="003F1D9D" w14:paraId="5107FC7F" w14:textId="77777777" w:rsidTr="003F1D9D">
        <w:trPr>
          <w:gridAfter w:val="1"/>
          <w:wAfter w:w="167" w:type="dxa"/>
          <w:trHeight w:val="624"/>
        </w:trPr>
        <w:tc>
          <w:tcPr>
            <w:tcW w:w="284" w:type="dxa"/>
          </w:tcPr>
          <w:p w14:paraId="34AAE601"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6</w:t>
            </w:r>
          </w:p>
        </w:tc>
        <w:tc>
          <w:tcPr>
            <w:tcW w:w="1134" w:type="dxa"/>
            <w:vAlign w:val="center"/>
          </w:tcPr>
          <w:p w14:paraId="1B469121" w14:textId="77777777" w:rsidR="005C62A1" w:rsidRPr="00B2746B" w:rsidRDefault="005C62A1" w:rsidP="00B2746B">
            <w:pPr>
              <w:pStyle w:val="TCTableBody"/>
              <w:rPr>
                <w:noProof/>
                <w:kern w:val="0"/>
                <w:lang w:eastAsia="en-GB"/>
              </w:rPr>
            </w:pPr>
            <w:r w:rsidRPr="00B2746B">
              <w:rPr>
                <w:noProof/>
                <w:kern w:val="0"/>
                <w:lang w:eastAsia="en-GB"/>
              </w:rPr>
              <w:drawing>
                <wp:inline distT="0" distB="0" distL="0" distR="0" wp14:anchorId="016898D5" wp14:editId="24BBC3AD">
                  <wp:extent cx="518400" cy="266400"/>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18400" cy="266400"/>
                          </a:xfrm>
                          <a:prstGeom prst="rect">
                            <a:avLst/>
                          </a:prstGeom>
                        </pic:spPr>
                      </pic:pic>
                    </a:graphicData>
                  </a:graphic>
                </wp:inline>
              </w:drawing>
            </w:r>
          </w:p>
        </w:tc>
        <w:tc>
          <w:tcPr>
            <w:tcW w:w="907" w:type="dxa"/>
          </w:tcPr>
          <w:p w14:paraId="7D3A4D84"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100</w:t>
            </w:r>
          </w:p>
        </w:tc>
        <w:tc>
          <w:tcPr>
            <w:tcW w:w="907" w:type="dxa"/>
            <w:gridSpan w:val="2"/>
          </w:tcPr>
          <w:p w14:paraId="40BCB970"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80</w:t>
            </w:r>
            <w:r w:rsidRPr="00B91399">
              <w:rPr>
                <w:rStyle w:val="06CHeading"/>
                <w:rFonts w:ascii="Arno Pro" w:hAnsi="Arno Pro"/>
                <w:b w:val="0"/>
                <w:smallCaps w:val="0"/>
                <w:w w:val="100"/>
                <w:kern w:val="0"/>
                <w:vertAlign w:val="superscript"/>
              </w:rPr>
              <w:t>b</w:t>
            </w:r>
            <w:r w:rsidRPr="00B2746B">
              <w:rPr>
                <w:rStyle w:val="06CHeading"/>
                <w:rFonts w:ascii="Arno Pro" w:hAnsi="Arno Pro"/>
                <w:b w:val="0"/>
                <w:smallCaps w:val="0"/>
                <w:w w:val="100"/>
                <w:kern w:val="0"/>
              </w:rPr>
              <w:t xml:space="preserve"> </w:t>
            </w:r>
          </w:p>
        </w:tc>
        <w:tc>
          <w:tcPr>
            <w:tcW w:w="907" w:type="dxa"/>
          </w:tcPr>
          <w:p w14:paraId="2322DA87"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100</w:t>
            </w:r>
          </w:p>
        </w:tc>
        <w:tc>
          <w:tcPr>
            <w:tcW w:w="907" w:type="dxa"/>
          </w:tcPr>
          <w:p w14:paraId="0B26228C"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75</w:t>
            </w:r>
            <w:r w:rsidRPr="00B91399">
              <w:rPr>
                <w:rStyle w:val="06CHeading"/>
                <w:rFonts w:ascii="Arno Pro" w:hAnsi="Arno Pro"/>
                <w:b w:val="0"/>
                <w:smallCaps w:val="0"/>
                <w:w w:val="100"/>
                <w:kern w:val="0"/>
                <w:vertAlign w:val="superscript"/>
              </w:rPr>
              <w:t>b</w:t>
            </w:r>
          </w:p>
        </w:tc>
      </w:tr>
      <w:tr w:rsidR="003F1D9D" w14:paraId="177EAC9D" w14:textId="77777777" w:rsidTr="003F1D9D">
        <w:trPr>
          <w:gridAfter w:val="1"/>
          <w:wAfter w:w="167" w:type="dxa"/>
          <w:trHeight w:val="624"/>
        </w:trPr>
        <w:tc>
          <w:tcPr>
            <w:tcW w:w="284" w:type="dxa"/>
          </w:tcPr>
          <w:p w14:paraId="3A6E7159"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7</w:t>
            </w:r>
          </w:p>
        </w:tc>
        <w:tc>
          <w:tcPr>
            <w:tcW w:w="1134" w:type="dxa"/>
            <w:vAlign w:val="center"/>
          </w:tcPr>
          <w:p w14:paraId="39FF3BAC" w14:textId="77777777" w:rsidR="005C62A1" w:rsidRPr="00B2746B" w:rsidRDefault="005C62A1" w:rsidP="00B2746B">
            <w:pPr>
              <w:pStyle w:val="TCTableBody"/>
              <w:rPr>
                <w:noProof/>
                <w:kern w:val="0"/>
                <w:lang w:eastAsia="en-GB"/>
              </w:rPr>
            </w:pPr>
            <w:r w:rsidRPr="00B2746B">
              <w:rPr>
                <w:noProof/>
                <w:kern w:val="0"/>
                <w:lang w:eastAsia="en-GB"/>
              </w:rPr>
              <w:drawing>
                <wp:inline distT="0" distB="0" distL="0" distR="0" wp14:anchorId="524E8257" wp14:editId="28EB1551">
                  <wp:extent cx="360000" cy="23400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60000" cy="234000"/>
                          </a:xfrm>
                          <a:prstGeom prst="rect">
                            <a:avLst/>
                          </a:prstGeom>
                        </pic:spPr>
                      </pic:pic>
                    </a:graphicData>
                  </a:graphic>
                </wp:inline>
              </w:drawing>
            </w:r>
          </w:p>
        </w:tc>
        <w:tc>
          <w:tcPr>
            <w:tcW w:w="907" w:type="dxa"/>
          </w:tcPr>
          <w:p w14:paraId="0FA1153F"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100</w:t>
            </w:r>
          </w:p>
        </w:tc>
        <w:tc>
          <w:tcPr>
            <w:tcW w:w="907" w:type="dxa"/>
            <w:gridSpan w:val="2"/>
          </w:tcPr>
          <w:p w14:paraId="31B8CA9C"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84</w:t>
            </w:r>
            <w:r w:rsidRPr="00B91399">
              <w:rPr>
                <w:rStyle w:val="06CHeading"/>
                <w:rFonts w:ascii="Arno Pro" w:hAnsi="Arno Pro"/>
                <w:b w:val="0"/>
                <w:smallCaps w:val="0"/>
                <w:w w:val="100"/>
                <w:kern w:val="0"/>
                <w:vertAlign w:val="superscript"/>
              </w:rPr>
              <w:t xml:space="preserve">c </w:t>
            </w:r>
          </w:p>
        </w:tc>
        <w:tc>
          <w:tcPr>
            <w:tcW w:w="907" w:type="dxa"/>
          </w:tcPr>
          <w:p w14:paraId="19418968"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100</w:t>
            </w:r>
          </w:p>
        </w:tc>
        <w:tc>
          <w:tcPr>
            <w:tcW w:w="907" w:type="dxa"/>
          </w:tcPr>
          <w:p w14:paraId="0241203E"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85</w:t>
            </w:r>
            <w:r w:rsidRPr="003F1D9D">
              <w:rPr>
                <w:rStyle w:val="06CHeading"/>
                <w:rFonts w:ascii="Arno Pro" w:hAnsi="Arno Pro"/>
                <w:b w:val="0"/>
                <w:smallCaps w:val="0"/>
                <w:w w:val="100"/>
                <w:kern w:val="0"/>
                <w:vertAlign w:val="superscript"/>
              </w:rPr>
              <w:t>c</w:t>
            </w:r>
          </w:p>
        </w:tc>
      </w:tr>
      <w:tr w:rsidR="003F1D9D" w14:paraId="3CD5C2D7" w14:textId="77777777" w:rsidTr="003F1D9D">
        <w:trPr>
          <w:gridAfter w:val="1"/>
          <w:wAfter w:w="167" w:type="dxa"/>
          <w:trHeight w:val="624"/>
        </w:trPr>
        <w:tc>
          <w:tcPr>
            <w:tcW w:w="284" w:type="dxa"/>
          </w:tcPr>
          <w:p w14:paraId="71B0BE74" w14:textId="221C8FBB" w:rsidR="005C62A1" w:rsidRPr="00B2746B" w:rsidRDefault="00B91399" w:rsidP="00B91399">
            <w:pPr>
              <w:pStyle w:val="TCTableBody"/>
              <w:rPr>
                <w:rStyle w:val="06CHeading"/>
                <w:rFonts w:ascii="Arno Pro" w:hAnsi="Arno Pro"/>
                <w:b w:val="0"/>
                <w:smallCaps w:val="0"/>
                <w:w w:val="100"/>
                <w:kern w:val="0"/>
              </w:rPr>
            </w:pPr>
            <w:r>
              <w:rPr>
                <w:rStyle w:val="06CHeading"/>
                <w:rFonts w:ascii="Arno Pro" w:hAnsi="Arno Pro"/>
                <w:b w:val="0"/>
                <w:smallCaps w:val="0"/>
                <w:w w:val="100"/>
                <w:kern w:val="0"/>
              </w:rPr>
              <w:t>8</w:t>
            </w:r>
          </w:p>
        </w:tc>
        <w:tc>
          <w:tcPr>
            <w:tcW w:w="1134" w:type="dxa"/>
            <w:vAlign w:val="center"/>
          </w:tcPr>
          <w:p w14:paraId="24875A8F" w14:textId="77777777" w:rsidR="005C62A1" w:rsidRPr="00B2746B" w:rsidRDefault="005C62A1" w:rsidP="00B2746B">
            <w:pPr>
              <w:pStyle w:val="TCTableBody"/>
              <w:rPr>
                <w:noProof/>
                <w:kern w:val="0"/>
                <w:lang w:eastAsia="en-GB"/>
              </w:rPr>
            </w:pPr>
            <w:r w:rsidRPr="00B2746B">
              <w:rPr>
                <w:noProof/>
                <w:kern w:val="0"/>
                <w:lang w:eastAsia="en-GB"/>
              </w:rPr>
              <w:drawing>
                <wp:inline distT="0" distB="0" distL="0" distR="0" wp14:anchorId="5D9D8E27" wp14:editId="0063642F">
                  <wp:extent cx="597600" cy="356400"/>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7600" cy="356400"/>
                          </a:xfrm>
                          <a:prstGeom prst="rect">
                            <a:avLst/>
                          </a:prstGeom>
                        </pic:spPr>
                      </pic:pic>
                    </a:graphicData>
                  </a:graphic>
                </wp:inline>
              </w:drawing>
            </w:r>
          </w:p>
        </w:tc>
        <w:tc>
          <w:tcPr>
            <w:tcW w:w="907" w:type="dxa"/>
          </w:tcPr>
          <w:p w14:paraId="77A9E182"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94</w:t>
            </w:r>
          </w:p>
        </w:tc>
        <w:tc>
          <w:tcPr>
            <w:tcW w:w="907" w:type="dxa"/>
            <w:gridSpan w:val="2"/>
          </w:tcPr>
          <w:p w14:paraId="4B3D35F5"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92</w:t>
            </w:r>
            <w:r w:rsidRPr="003F1D9D">
              <w:rPr>
                <w:rStyle w:val="06CHeading"/>
                <w:rFonts w:ascii="Arno Pro" w:hAnsi="Arno Pro"/>
                <w:b w:val="0"/>
                <w:smallCaps w:val="0"/>
                <w:w w:val="100"/>
                <w:kern w:val="0"/>
                <w:vertAlign w:val="superscript"/>
              </w:rPr>
              <w:t>b</w:t>
            </w:r>
          </w:p>
        </w:tc>
        <w:tc>
          <w:tcPr>
            <w:tcW w:w="907" w:type="dxa"/>
          </w:tcPr>
          <w:p w14:paraId="064BCA0E"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86</w:t>
            </w:r>
          </w:p>
        </w:tc>
        <w:tc>
          <w:tcPr>
            <w:tcW w:w="907" w:type="dxa"/>
          </w:tcPr>
          <w:p w14:paraId="24932A98" w14:textId="77777777" w:rsidR="005C62A1" w:rsidRPr="00B2746B" w:rsidRDefault="005C62A1" w:rsidP="00B2746B">
            <w:pPr>
              <w:pStyle w:val="TCTableBody"/>
              <w:rPr>
                <w:rStyle w:val="06CHeading"/>
                <w:rFonts w:ascii="Arno Pro" w:hAnsi="Arno Pro"/>
                <w:b w:val="0"/>
                <w:smallCaps w:val="0"/>
                <w:w w:val="100"/>
                <w:kern w:val="0"/>
              </w:rPr>
            </w:pPr>
            <w:r w:rsidRPr="00B2746B">
              <w:rPr>
                <w:rStyle w:val="06CHeading"/>
                <w:rFonts w:ascii="Arno Pro" w:hAnsi="Arno Pro"/>
                <w:b w:val="0"/>
                <w:smallCaps w:val="0"/>
                <w:w w:val="100"/>
                <w:kern w:val="0"/>
              </w:rPr>
              <w:t>86</w:t>
            </w:r>
            <w:r w:rsidRPr="003F1D9D">
              <w:rPr>
                <w:rStyle w:val="06CHeading"/>
                <w:rFonts w:ascii="Arno Pro" w:hAnsi="Arno Pro"/>
                <w:b w:val="0"/>
                <w:smallCaps w:val="0"/>
                <w:w w:val="100"/>
                <w:kern w:val="0"/>
                <w:vertAlign w:val="superscript"/>
              </w:rPr>
              <w:t>b</w:t>
            </w:r>
          </w:p>
        </w:tc>
      </w:tr>
    </w:tbl>
    <w:p w14:paraId="6FA07FBB" w14:textId="12A4ED62" w:rsidR="005C62A1" w:rsidRDefault="005C62A1" w:rsidP="00D13841">
      <w:pPr>
        <w:pStyle w:val="TAMainText"/>
        <w:rPr>
          <w:rStyle w:val="06CHeading"/>
          <w:rFonts w:asciiTheme="minorHAnsi" w:hAnsiTheme="minorHAnsi"/>
          <w:b w:val="0"/>
          <w:bCs/>
          <w:smallCaps w:val="0"/>
        </w:rPr>
      </w:pPr>
    </w:p>
    <w:p w14:paraId="3C739AF2" w14:textId="68995AFD" w:rsidR="004C1F7A" w:rsidRPr="005C62A1" w:rsidRDefault="005C62A1" w:rsidP="00F561BB">
      <w:pPr>
        <w:pStyle w:val="TAMainText"/>
        <w:rPr>
          <w:rStyle w:val="06CHeading"/>
          <w:rFonts w:ascii="Arno Pro" w:hAnsi="Arno Pro"/>
          <w:b w:val="0"/>
          <w:smallCaps w:val="0"/>
          <w:w w:val="100"/>
          <w:lang w:val="en-US"/>
        </w:rPr>
      </w:pPr>
      <w:r w:rsidRPr="00A41A0E">
        <w:rPr>
          <w:rStyle w:val="06CHeading"/>
          <w:rFonts w:ascii="Arno Pro" w:hAnsi="Arno Pro"/>
          <w:b w:val="0"/>
          <w:smallCaps w:val="0"/>
          <w:w w:val="100"/>
          <w:lang w:val="en-US"/>
        </w:rPr>
        <w:t>We further tested the coupling efficiency between seven DNA-coupled aryl halides (</w:t>
      </w:r>
      <w:r w:rsidRPr="00D83EC6">
        <w:rPr>
          <w:rStyle w:val="06CHeading"/>
          <w:rFonts w:ascii="Arno Pro" w:hAnsi="Arno Pro"/>
          <w:bCs/>
          <w:smallCaps w:val="0"/>
          <w:w w:val="100"/>
          <w:lang w:val="en-US"/>
        </w:rPr>
        <w:t>3</w:t>
      </w:r>
      <w:r w:rsidRPr="00A41A0E">
        <w:rPr>
          <w:rStyle w:val="06CHeading"/>
          <w:rFonts w:ascii="Arno Pro" w:hAnsi="Arno Pro"/>
          <w:b w:val="0"/>
          <w:smallCaps w:val="0"/>
          <w:w w:val="100"/>
          <w:lang w:val="en-US"/>
        </w:rPr>
        <w:t>-</w:t>
      </w:r>
      <w:r w:rsidRPr="00D83EC6">
        <w:rPr>
          <w:rStyle w:val="06CHeading"/>
          <w:rFonts w:ascii="Arno Pro" w:hAnsi="Arno Pro"/>
          <w:bCs/>
          <w:smallCaps w:val="0"/>
          <w:w w:val="100"/>
          <w:lang w:val="en-US"/>
        </w:rPr>
        <w:t>9</w:t>
      </w:r>
      <w:r w:rsidRPr="00A41A0E">
        <w:rPr>
          <w:rStyle w:val="06CHeading"/>
          <w:rFonts w:ascii="Arno Pro" w:hAnsi="Arno Pro"/>
          <w:b w:val="0"/>
          <w:smallCaps w:val="0"/>
          <w:w w:val="100"/>
          <w:lang w:val="en-US"/>
        </w:rPr>
        <w:t xml:space="preserve">) and five representative aromatic amines (Table 4). Overall, we observed excellent conversions, with most reactions </w:t>
      </w:r>
      <w:r w:rsidR="00F561BB">
        <w:rPr>
          <w:rStyle w:val="06CHeading"/>
          <w:rFonts w:ascii="Arno Pro" w:hAnsi="Arno Pro"/>
          <w:b w:val="0"/>
          <w:smallCaps w:val="0"/>
          <w:w w:val="100"/>
          <w:lang w:val="en-US"/>
        </w:rPr>
        <w:t>resulting in</w:t>
      </w:r>
      <w:r w:rsidR="00F561BB" w:rsidRPr="00A41A0E">
        <w:rPr>
          <w:rStyle w:val="06CHeading"/>
          <w:rFonts w:ascii="Arno Pro" w:hAnsi="Arno Pro"/>
          <w:b w:val="0"/>
          <w:smallCaps w:val="0"/>
          <w:w w:val="100"/>
          <w:lang w:val="en-US"/>
        </w:rPr>
        <w:t xml:space="preserve"> </w:t>
      </w:r>
      <w:r w:rsidRPr="00A41A0E">
        <w:rPr>
          <w:rStyle w:val="06CHeading"/>
          <w:rFonts w:ascii="Arno Pro" w:hAnsi="Arno Pro"/>
          <w:b w:val="0"/>
          <w:smallCaps w:val="0"/>
          <w:w w:val="100"/>
          <w:lang w:val="en-US"/>
        </w:rPr>
        <w:t xml:space="preserve">greater than 95% </w:t>
      </w:r>
      <w:r w:rsidR="00F561BB">
        <w:rPr>
          <w:rStyle w:val="06CHeading"/>
          <w:rFonts w:ascii="Arno Pro" w:hAnsi="Arno Pro"/>
          <w:b w:val="0"/>
          <w:smallCaps w:val="0"/>
          <w:w w:val="100"/>
          <w:lang w:val="en-US"/>
        </w:rPr>
        <w:t xml:space="preserve">of the </w:t>
      </w:r>
      <w:r w:rsidRPr="00A41A0E">
        <w:rPr>
          <w:rStyle w:val="06CHeading"/>
          <w:rFonts w:ascii="Arno Pro" w:hAnsi="Arno Pro"/>
          <w:b w:val="0"/>
          <w:smallCaps w:val="0"/>
          <w:w w:val="100"/>
          <w:lang w:val="en-US"/>
        </w:rPr>
        <w:t>desired product for iodides (</w:t>
      </w:r>
      <w:r w:rsidRPr="00D83EC6">
        <w:rPr>
          <w:rStyle w:val="06CHeading"/>
          <w:rFonts w:ascii="Arno Pro" w:hAnsi="Arno Pro"/>
          <w:bCs/>
          <w:smallCaps w:val="0"/>
          <w:w w:val="100"/>
          <w:lang w:val="en-US"/>
        </w:rPr>
        <w:t>4</w:t>
      </w:r>
      <w:r w:rsidRPr="00A41A0E">
        <w:rPr>
          <w:rStyle w:val="06CHeading"/>
          <w:rFonts w:ascii="Arno Pro" w:hAnsi="Arno Pro"/>
          <w:b w:val="0"/>
          <w:smallCaps w:val="0"/>
          <w:w w:val="100"/>
          <w:lang w:val="en-US"/>
        </w:rPr>
        <w:t>,</w:t>
      </w:r>
      <w:r w:rsidRPr="00D83EC6">
        <w:rPr>
          <w:rStyle w:val="06CHeading"/>
          <w:rFonts w:ascii="Arno Pro" w:hAnsi="Arno Pro"/>
          <w:bCs/>
          <w:smallCaps w:val="0"/>
          <w:w w:val="100"/>
          <w:lang w:val="en-US"/>
        </w:rPr>
        <w:t>5</w:t>
      </w:r>
      <w:r w:rsidRPr="00A41A0E">
        <w:rPr>
          <w:rStyle w:val="06CHeading"/>
          <w:rFonts w:ascii="Arno Pro" w:hAnsi="Arno Pro"/>
          <w:b w:val="0"/>
          <w:smallCaps w:val="0"/>
          <w:w w:val="100"/>
          <w:lang w:val="en-US"/>
        </w:rPr>
        <w:t>), bromides (</w:t>
      </w:r>
      <w:r w:rsidRPr="00D83EC6">
        <w:rPr>
          <w:rStyle w:val="06CHeading"/>
          <w:rFonts w:ascii="Arno Pro" w:hAnsi="Arno Pro"/>
          <w:bCs/>
          <w:smallCaps w:val="0"/>
          <w:w w:val="100"/>
          <w:lang w:val="en-US"/>
        </w:rPr>
        <w:t>3</w:t>
      </w:r>
      <w:r w:rsidRPr="00A41A0E">
        <w:rPr>
          <w:rStyle w:val="06CHeading"/>
          <w:rFonts w:ascii="Arno Pro" w:hAnsi="Arno Pro"/>
          <w:b w:val="0"/>
          <w:smallCaps w:val="0"/>
          <w:w w:val="100"/>
          <w:lang w:val="en-US"/>
        </w:rPr>
        <w:t>,</w:t>
      </w:r>
      <w:r w:rsidRPr="00D83EC6">
        <w:rPr>
          <w:rStyle w:val="06CHeading"/>
          <w:rFonts w:ascii="Arno Pro" w:hAnsi="Arno Pro"/>
          <w:bCs/>
          <w:smallCaps w:val="0"/>
          <w:w w:val="100"/>
          <w:lang w:val="en-US"/>
        </w:rPr>
        <w:t>6</w:t>
      </w:r>
      <w:r w:rsidRPr="00A41A0E">
        <w:rPr>
          <w:rStyle w:val="06CHeading"/>
          <w:rFonts w:ascii="Arno Pro" w:hAnsi="Arno Pro"/>
          <w:b w:val="0"/>
          <w:smallCaps w:val="0"/>
          <w:w w:val="100"/>
          <w:lang w:val="en-US"/>
        </w:rPr>
        <w:t>) and chlorides (</w:t>
      </w:r>
      <w:r w:rsidRPr="00F561BB">
        <w:rPr>
          <w:rStyle w:val="06CHeading"/>
          <w:rFonts w:ascii="Arno Pro" w:hAnsi="Arno Pro"/>
          <w:smallCaps w:val="0"/>
          <w:w w:val="100"/>
          <w:lang w:val="en-US"/>
        </w:rPr>
        <w:t>8</w:t>
      </w:r>
      <w:r w:rsidRPr="00A41A0E">
        <w:rPr>
          <w:rStyle w:val="06CHeading"/>
          <w:rFonts w:ascii="Arno Pro" w:hAnsi="Arno Pro"/>
          <w:b w:val="0"/>
          <w:smallCaps w:val="0"/>
          <w:w w:val="100"/>
          <w:lang w:val="en-US"/>
        </w:rPr>
        <w:t>,</w:t>
      </w:r>
      <w:r w:rsidRPr="00F561BB">
        <w:rPr>
          <w:rStyle w:val="06CHeading"/>
          <w:rFonts w:ascii="Arno Pro" w:hAnsi="Arno Pro"/>
          <w:smallCaps w:val="0"/>
          <w:w w:val="100"/>
          <w:lang w:val="en-US"/>
        </w:rPr>
        <w:t>9</w:t>
      </w:r>
      <w:r w:rsidRPr="00A41A0E">
        <w:rPr>
          <w:rStyle w:val="06CHeading"/>
          <w:rFonts w:ascii="Arno Pro" w:hAnsi="Arno Pro"/>
          <w:b w:val="0"/>
          <w:smallCaps w:val="0"/>
          <w:w w:val="100"/>
          <w:lang w:val="en-US"/>
        </w:rPr>
        <w:t xml:space="preserve">). The coupling between ortho-substituted bromide </w:t>
      </w:r>
      <w:r w:rsidRPr="00EF7A54">
        <w:rPr>
          <w:rStyle w:val="06CHeading"/>
          <w:rFonts w:ascii="Arno Pro" w:hAnsi="Arno Pro"/>
          <w:bCs/>
          <w:smallCaps w:val="0"/>
          <w:w w:val="100"/>
          <w:lang w:val="en-US"/>
        </w:rPr>
        <w:t>7</w:t>
      </w:r>
      <w:r w:rsidRPr="00A41A0E">
        <w:rPr>
          <w:rStyle w:val="06CHeading"/>
          <w:rFonts w:ascii="Arno Pro" w:hAnsi="Arno Pro"/>
          <w:b w:val="0"/>
          <w:smallCaps w:val="0"/>
          <w:w w:val="100"/>
          <w:lang w:val="en-US"/>
        </w:rPr>
        <w:t xml:space="preserve"> failed to give product with any of the five amines, as with previous literature procedures.</w:t>
      </w:r>
      <w:r w:rsidRPr="00A41A0E">
        <w:rPr>
          <w:rStyle w:val="06CHeading"/>
          <w:rFonts w:ascii="Arno Pro" w:hAnsi="Arno Pro"/>
          <w:b w:val="0"/>
          <w:smallCaps w:val="0"/>
          <w:w w:val="100"/>
          <w:lang w:val="en-US"/>
        </w:rPr>
        <w:fldChar w:fldCharType="begin" w:fldLock="1"/>
      </w:r>
      <w:r w:rsidR="008D2C4C">
        <w:rPr>
          <w:rStyle w:val="06CHeading"/>
          <w:rFonts w:ascii="Arno Pro" w:hAnsi="Arno Pro"/>
          <w:b w:val="0"/>
          <w:smallCaps w:val="0"/>
          <w:w w:val="100"/>
          <w:lang w:val="en-US"/>
        </w:rPr>
        <w:instrText>ADDIN CSL_CITATION {"citationItems":[{"id":"ITEM-1","itemData":{"DOI":"10.1021/acscombsci.8b00142","ISSN":"2156-8952","author":[{"dropping-particle":"","family":"Pedro Beato","given":"Eduardo","non-dropping-particle":"de","parse-names":false,"suffix":""},{"dropping-particle":"","family":"Priego","given":"Julián","non-dropping-particle":"","parse-names":false,"suffix":""},{"dropping-particle":"","family":"Gironda-Martínez","given":"Adrián","non-dropping-particle":"","parse-names":false,"suffix":""},{"dropping-particle":"","family":"González","given":"Fernando","non-dropping-particle":"","parse-names":false,"suffix":""},{"dropping-particle":"","family":"Benavides","given":"Jesús","non-dropping-particle":"","parse-names":false,"suffix":""},{"dropping-particle":"","family":"Blas","given":"Jesús","non-dropping-particle":"","parse-names":false,"suffix":""},{"dropping-particle":"","family":"Martín-Ortega","given":"María Dolores","non-dropping-particle":"","parse-names":false,"suffix":""},{"dropping-particle":"","family":"Toledo","given":"Miguel Ángel","non-dropping-particle":"","parse-names":false,"suffix":""},{"dropping-particle":"","family":"Ezquerra","given":"Jesús","non-dropping-particle":"","parse-names":false,"suffix":""},{"dropping-particle":"","family":"Torrado","given":"Alicia","non-dropping-particle":"","parse-names":false,"suffix":""}],"container-title":"ACS Combinatorial Science","id":"ITEM-1","issue":"2","issued":{"date-parts":[["2019","2","11"]]},"page":"69-74","title":"Mild and Efficient Palladium-Mediated C–N Cross-Coupling Reaction between DNA-Conjugated Aryl Bromides and Aromatic Amines","type":"article-journal","volume":"21"},"uris":["http://www.mendeley.com/documents/?uuid=15e7a513-c349-4422-b08b-34f188d0ac3a"]}],"mendeley":{"formattedCitation":"&lt;sup&gt;27&lt;/sup&gt;","plainTextFormattedCitation":"27","previouslyFormattedCitation":"&lt;sup&gt;27&lt;/sup&gt;"},"properties":{"noteIndex":0},"schema":"https://github.com/citation-style-language/schema/raw/master/csl-citation.json"}</w:instrText>
      </w:r>
      <w:r w:rsidRPr="00A41A0E">
        <w:rPr>
          <w:rStyle w:val="06CHeading"/>
          <w:rFonts w:ascii="Arno Pro" w:hAnsi="Arno Pro"/>
          <w:b w:val="0"/>
          <w:smallCaps w:val="0"/>
          <w:w w:val="100"/>
          <w:lang w:val="en-US"/>
        </w:rPr>
        <w:fldChar w:fldCharType="separate"/>
      </w:r>
      <w:r w:rsidR="008D2C4C" w:rsidRPr="008D2C4C">
        <w:rPr>
          <w:rStyle w:val="06CHeading"/>
          <w:rFonts w:ascii="Arno Pro" w:hAnsi="Arno Pro"/>
          <w:b w:val="0"/>
          <w:smallCaps w:val="0"/>
          <w:noProof/>
          <w:w w:val="100"/>
          <w:vertAlign w:val="superscript"/>
          <w:lang w:val="en-US"/>
        </w:rPr>
        <w:t>27</w:t>
      </w:r>
      <w:r w:rsidRPr="00A41A0E">
        <w:rPr>
          <w:rStyle w:val="06CHeading"/>
          <w:rFonts w:ascii="Arno Pro" w:hAnsi="Arno Pro"/>
          <w:b w:val="0"/>
          <w:smallCaps w:val="0"/>
          <w:w w:val="100"/>
          <w:lang w:val="en-US"/>
        </w:rPr>
        <w:fldChar w:fldCharType="end"/>
      </w:r>
      <w:r w:rsidRPr="00A41A0E">
        <w:rPr>
          <w:rStyle w:val="06CHeading"/>
          <w:rFonts w:ascii="Arno Pro" w:hAnsi="Arno Pro"/>
          <w:b w:val="0"/>
          <w:smallCaps w:val="0"/>
          <w:w w:val="100"/>
          <w:lang w:val="en-US"/>
        </w:rPr>
        <w:t>,</w:t>
      </w:r>
      <w:r w:rsidRPr="00A41A0E">
        <w:rPr>
          <w:rStyle w:val="06CHeading"/>
          <w:rFonts w:ascii="Arno Pro" w:hAnsi="Arno Pro"/>
          <w:b w:val="0"/>
          <w:smallCaps w:val="0"/>
          <w:w w:val="100"/>
          <w:lang w:val="en-US"/>
        </w:rPr>
        <w:fldChar w:fldCharType="begin" w:fldLock="1"/>
      </w:r>
      <w:r w:rsidR="008D2C4C">
        <w:rPr>
          <w:rStyle w:val="06CHeading"/>
          <w:rFonts w:ascii="Arno Pro" w:hAnsi="Arno Pro"/>
          <w:b w:val="0"/>
          <w:smallCaps w:val="0"/>
          <w:w w:val="100"/>
          <w:lang w:val="en-US"/>
        </w:rPr>
        <w:instrText>ADDIN CSL_CITATION {"citationItems":[{"id":"ITEM-1","itemData":{"DOI":"10.1021/acs.bioconjchem.9b00863","ISSN":"1043-1802","author":[{"dropping-particle":"","family":"Chen","given":"Ying-Chu","non-dropping-particle":"","parse-names":false,"suffix":""},{"dropping-particle":"","family":"Faver","given":"John C.","non-dropping-particle":"","parse-names":false,"suffix":""},{"dropping-particle":"","family":"Ku","given":"Angela F.","non-dropping-particle":"","parse-names":false,"suffix":""},{"dropping-particle":"","family":"Miklossy","given":"Gabriella","non-dropping-particle":"","parse-names":false,"suffix":""},{"dropping-particle":"","family":"Riehle","given":"Kevin","non-dropping-particle":"","parse-names":false,"suffix":""},{"dropping-particle":"","family":"Bohren","given":"Kurt M.","non-dropping-particle":"","parse-names":false,"suffix":""},{"dropping-particle":"","family":"Ucisik","given":"Melek N.","non-dropping-particle":"","parse-names":false,"suffix":""},{"dropping-particle":"","family":"Matzuk","given":"Martin M.","non-dropping-particle":"","parse-names":false,"suffix":""},{"dropping-particle":"","family":"Yu","given":"Zhifeng","non-dropping-particle":"","parse-names":false,"suffix":""},{"dropping-particle":"","family":"Simmons","given":"Nicholas","non-dropping-particle":"","parse-names":false,"suffix":""}],"container-title":"Bioconjugate Chemistry","id":"ITEM-1","issue":"3","issued":{"date-parts":[["2020","3","18"]]},"page":"770-780","title":"C–N Coupling of DNA-Conjugated (Hetero)aryl Bromides and Chlorides for DNA-Encoded Chemical Library Synthesis","type":"article-journal","volume":"31"},"uris":["http://www.mendeley.com/documents/?uuid=07c92699-7c50-40fa-8560-f3d8439e8653"]}],"mendeley":{"formattedCitation":"&lt;sup&gt;28&lt;/sup&gt;","plainTextFormattedCitation":"28","previouslyFormattedCitation":"&lt;sup&gt;28&lt;/sup&gt;"},"properties":{"noteIndex":0},"schema":"https://github.com/citation-style-language/schema/raw/master/csl-citation.json"}</w:instrText>
      </w:r>
      <w:r w:rsidRPr="00A41A0E">
        <w:rPr>
          <w:rStyle w:val="06CHeading"/>
          <w:rFonts w:ascii="Arno Pro" w:hAnsi="Arno Pro"/>
          <w:b w:val="0"/>
          <w:smallCaps w:val="0"/>
          <w:w w:val="100"/>
          <w:lang w:val="en-US"/>
        </w:rPr>
        <w:fldChar w:fldCharType="separate"/>
      </w:r>
      <w:r w:rsidR="008D2C4C" w:rsidRPr="008D2C4C">
        <w:rPr>
          <w:rStyle w:val="06CHeading"/>
          <w:rFonts w:ascii="Arno Pro" w:hAnsi="Arno Pro"/>
          <w:b w:val="0"/>
          <w:smallCaps w:val="0"/>
          <w:noProof/>
          <w:w w:val="100"/>
          <w:vertAlign w:val="superscript"/>
          <w:lang w:val="en-US"/>
        </w:rPr>
        <w:t>28</w:t>
      </w:r>
      <w:r w:rsidRPr="00A41A0E">
        <w:rPr>
          <w:rStyle w:val="06CHeading"/>
          <w:rFonts w:ascii="Arno Pro" w:hAnsi="Arno Pro"/>
          <w:b w:val="0"/>
          <w:smallCaps w:val="0"/>
          <w:w w:val="100"/>
          <w:lang w:val="en-US"/>
        </w:rPr>
        <w:fldChar w:fldCharType="end"/>
      </w:r>
      <w:r w:rsidRPr="00A41A0E">
        <w:rPr>
          <w:rStyle w:val="06CHeading"/>
          <w:rFonts w:ascii="Arno Pro" w:hAnsi="Arno Pro"/>
          <w:b w:val="0"/>
          <w:smallCaps w:val="0"/>
          <w:w w:val="100"/>
          <w:lang w:val="en-US"/>
        </w:rPr>
        <w:t xml:space="preserve"> Moderate conversions were only observed between </w:t>
      </w:r>
      <w:r w:rsidRPr="00D83EC6">
        <w:rPr>
          <w:rStyle w:val="06CHeading"/>
          <w:rFonts w:ascii="Arno Pro" w:hAnsi="Arno Pro"/>
          <w:bCs/>
          <w:smallCaps w:val="0"/>
          <w:w w:val="100"/>
          <w:lang w:val="en-US"/>
        </w:rPr>
        <w:t>4</w:t>
      </w:r>
      <w:r w:rsidRPr="00A41A0E">
        <w:rPr>
          <w:rStyle w:val="06CHeading"/>
          <w:rFonts w:ascii="Arno Pro" w:hAnsi="Arno Pro"/>
          <w:b w:val="0"/>
          <w:smallCaps w:val="0"/>
          <w:w w:val="100"/>
          <w:lang w:val="en-US"/>
        </w:rPr>
        <w:t xml:space="preserve"> or </w:t>
      </w:r>
      <w:r w:rsidRPr="00D83EC6">
        <w:rPr>
          <w:rStyle w:val="06CHeading"/>
          <w:rFonts w:ascii="Arno Pro" w:hAnsi="Arno Pro"/>
          <w:bCs/>
          <w:smallCaps w:val="0"/>
          <w:w w:val="100"/>
          <w:lang w:val="en-US"/>
        </w:rPr>
        <w:t>5</w:t>
      </w:r>
      <w:r w:rsidRPr="00A41A0E">
        <w:rPr>
          <w:rStyle w:val="06CHeading"/>
          <w:rFonts w:ascii="Arno Pro" w:hAnsi="Arno Pro"/>
          <w:b w:val="0"/>
          <w:smallCaps w:val="0"/>
          <w:w w:val="100"/>
          <w:lang w:val="en-US"/>
        </w:rPr>
        <w:t xml:space="preserve"> and 1-methyl-2-aminobenzimidazole. Reactions between chloride </w:t>
      </w:r>
      <w:r w:rsidRPr="00D83EC6">
        <w:rPr>
          <w:rStyle w:val="06CHeading"/>
          <w:rFonts w:ascii="Arno Pro" w:hAnsi="Arno Pro"/>
          <w:bCs/>
          <w:smallCaps w:val="0"/>
          <w:w w:val="100"/>
          <w:lang w:val="en-US"/>
        </w:rPr>
        <w:t>8</w:t>
      </w:r>
      <w:r w:rsidRPr="00A41A0E">
        <w:rPr>
          <w:rStyle w:val="06CHeading"/>
          <w:rFonts w:ascii="Arno Pro" w:hAnsi="Arno Pro"/>
          <w:b w:val="0"/>
          <w:smallCaps w:val="0"/>
          <w:w w:val="100"/>
          <w:lang w:val="en-US"/>
        </w:rPr>
        <w:t xml:space="preserve"> and aniline or </w:t>
      </w:r>
      <w:r w:rsidRPr="00A41A0E">
        <w:t>1-methyl-pyrazol-3-amine</w:t>
      </w:r>
      <w:r w:rsidRPr="00A41A0E">
        <w:rPr>
          <w:rStyle w:val="06CHeading"/>
          <w:rFonts w:ascii="Arno Pro" w:hAnsi="Arno Pro"/>
          <w:b w:val="0"/>
          <w:smallCaps w:val="0"/>
          <w:w w:val="100"/>
          <w:lang w:val="en-US"/>
        </w:rPr>
        <w:t xml:space="preserve"> required 15% co-solvent to increase their conversion to desired product. </w:t>
      </w:r>
      <w:r w:rsidR="004C1F7A">
        <w:rPr>
          <w:rStyle w:val="06CHeading"/>
          <w:rFonts w:ascii="Arno Pro" w:hAnsi="Arno Pro"/>
          <w:b w:val="0"/>
          <w:smallCaps w:val="0"/>
          <w:w w:val="100"/>
          <w:lang w:val="en-US"/>
        </w:rPr>
        <w:t>T</w:t>
      </w:r>
      <w:r w:rsidR="004C1F7A" w:rsidRPr="005C62A1">
        <w:rPr>
          <w:rStyle w:val="06CHeading"/>
          <w:rFonts w:ascii="Arno Pro" w:hAnsi="Arno Pro"/>
          <w:b w:val="0"/>
          <w:smallCaps w:val="0"/>
          <w:w w:val="100"/>
          <w:lang w:val="en-US"/>
        </w:rPr>
        <w:t>h</w:t>
      </w:r>
      <w:r w:rsidR="004C1F7A">
        <w:rPr>
          <w:rStyle w:val="06CHeading"/>
          <w:rFonts w:ascii="Arno Pro" w:hAnsi="Arno Pro"/>
          <w:b w:val="0"/>
          <w:smallCaps w:val="0"/>
          <w:w w:val="100"/>
          <w:lang w:val="en-US"/>
        </w:rPr>
        <w:t>is</w:t>
      </w:r>
      <w:r w:rsidR="004C1F7A" w:rsidRPr="005C62A1">
        <w:rPr>
          <w:rStyle w:val="06CHeading"/>
          <w:rFonts w:ascii="Arno Pro" w:hAnsi="Arno Pro"/>
          <w:b w:val="0"/>
          <w:smallCaps w:val="0"/>
          <w:w w:val="100"/>
          <w:lang w:val="en-US"/>
        </w:rPr>
        <w:t xml:space="preserve"> work demonstrates that the method is applicable to varied on DNA components; efficient coupling can be achieved between (hetero)aromatic amines and on-DNA (hetero)aryl iodides, bromides or chlorides, which increases the available building blocks that can be used.</w:t>
      </w:r>
    </w:p>
    <w:p w14:paraId="7B5109AA" w14:textId="3A0BFCB9" w:rsidR="005C62A1" w:rsidRPr="00A41A0E" w:rsidRDefault="005C62A1" w:rsidP="0091687E">
      <w:pPr>
        <w:pStyle w:val="TAMainText"/>
        <w:rPr>
          <w:rStyle w:val="06CHeading"/>
          <w:rFonts w:ascii="Arno Pro" w:hAnsi="Arno Pro"/>
          <w:b w:val="0"/>
          <w:smallCaps w:val="0"/>
          <w:w w:val="100"/>
          <w:lang w:val="en-US"/>
        </w:rPr>
        <w:sectPr w:rsidR="005C62A1" w:rsidRPr="00A41A0E" w:rsidSect="002E0551">
          <w:pgSz w:w="11907" w:h="16840" w:code="9"/>
          <w:pgMar w:top="1009" w:right="851" w:bottom="1758" w:left="851" w:header="851" w:footer="1049" w:gutter="0"/>
          <w:cols w:num="2" w:space="227"/>
          <w:titlePg/>
          <w:docGrid w:linePitch="360"/>
        </w:sectPr>
      </w:pPr>
      <w:r w:rsidRPr="00A41A0E">
        <w:rPr>
          <w:rStyle w:val="06CHeading"/>
          <w:rFonts w:ascii="Arno Pro" w:hAnsi="Arno Pro"/>
          <w:b w:val="0"/>
          <w:smallCaps w:val="0"/>
          <w:w w:val="100"/>
          <w:lang w:val="en-US"/>
        </w:rPr>
        <w:t xml:space="preserve"> </w:t>
      </w:r>
    </w:p>
    <w:p w14:paraId="1CF2F3F1" w14:textId="298C9426" w:rsidR="003C72B8" w:rsidRDefault="003C72B8" w:rsidP="00EF7A54">
      <w:pPr>
        <w:pStyle w:val="VDTableTitle"/>
        <w:rPr>
          <w:bCs w:val="0"/>
          <w:smallCaps/>
        </w:rPr>
      </w:pPr>
    </w:p>
    <w:p w14:paraId="6EECABC7" w14:textId="5E4498E4" w:rsidR="005C62A1" w:rsidRPr="001B34BB" w:rsidRDefault="003C72B8" w:rsidP="00EF7A54">
      <w:pPr>
        <w:pStyle w:val="VDTableTitle"/>
        <w:rPr>
          <w:rFonts w:asciiTheme="minorHAnsi" w:eastAsiaTheme="minorHAnsi" w:hAnsiTheme="minorHAnsi"/>
          <w:color w:val="000000" w:themeColor="text1"/>
          <w:w w:val="108"/>
          <w:sz w:val="14"/>
          <w:szCs w:val="14"/>
          <w:lang w:val="en-GB"/>
        </w:rPr>
      </w:pPr>
      <w:r w:rsidRPr="00BA2656">
        <w:rPr>
          <w:b/>
          <w:bCs w:val="0"/>
        </w:rPr>
        <w:t xml:space="preserve">Table </w:t>
      </w:r>
      <w:r>
        <w:rPr>
          <w:b/>
          <w:bCs w:val="0"/>
        </w:rPr>
        <w:t>4</w:t>
      </w:r>
      <w:r w:rsidRPr="00BA2656">
        <w:rPr>
          <w:b/>
          <w:bCs w:val="0"/>
        </w:rPr>
        <w:t>.</w:t>
      </w:r>
      <w:r>
        <w:t xml:space="preserve"> </w:t>
      </w:r>
      <w:r w:rsidR="00F561BB">
        <w:t>% Product for c</w:t>
      </w:r>
      <w:r w:rsidR="00F561BB">
        <w:t xml:space="preserve">oupling </w:t>
      </w:r>
      <w:r>
        <w:t>between DNA</w:t>
      </w:r>
      <w:r w:rsidR="001B34BB">
        <w:t>-linked</w:t>
      </w:r>
      <w:r>
        <w:t xml:space="preserve"> substrate</w:t>
      </w:r>
      <w:r w:rsidR="001B34BB">
        <w:t xml:space="preserve">s </w:t>
      </w:r>
      <w:r w:rsidR="001B34BB" w:rsidRPr="001B34BB">
        <w:rPr>
          <w:b/>
          <w:bCs w:val="0"/>
        </w:rPr>
        <w:t>3</w:t>
      </w:r>
      <w:r w:rsidR="001B34BB">
        <w:t>-</w:t>
      </w:r>
      <w:r w:rsidR="001B34BB" w:rsidRPr="001B34BB">
        <w:rPr>
          <w:b/>
          <w:bCs w:val="0"/>
        </w:rPr>
        <w:t>9</w:t>
      </w:r>
      <w:r w:rsidR="001B34BB">
        <w:t xml:space="preserve"> with selected aryl amines</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1295"/>
        <w:gridCol w:w="1295"/>
        <w:gridCol w:w="1295"/>
        <w:gridCol w:w="1295"/>
        <w:gridCol w:w="1295"/>
        <w:gridCol w:w="1295"/>
        <w:gridCol w:w="1296"/>
      </w:tblGrid>
      <w:tr w:rsidR="005C62A1" w14:paraId="1A2E6959" w14:textId="77777777" w:rsidTr="009C0388">
        <w:tc>
          <w:tcPr>
            <w:tcW w:w="1129" w:type="dxa"/>
          </w:tcPr>
          <w:p w14:paraId="0886D63A" w14:textId="77777777" w:rsidR="005C62A1" w:rsidRDefault="005C62A1" w:rsidP="00D13841">
            <w:pPr>
              <w:pStyle w:val="TAMainText"/>
              <w:rPr>
                <w:noProof/>
              </w:rPr>
            </w:pPr>
          </w:p>
        </w:tc>
        <w:tc>
          <w:tcPr>
            <w:tcW w:w="1295" w:type="dxa"/>
            <w:vAlign w:val="bottom"/>
          </w:tcPr>
          <w:p w14:paraId="37D515F5" w14:textId="38271C22" w:rsidR="005C62A1" w:rsidRPr="00D60CFC" w:rsidRDefault="005C62A1" w:rsidP="00D13841">
            <w:pPr>
              <w:pStyle w:val="TAMainText"/>
              <w:rPr>
                <w:b/>
              </w:rPr>
            </w:pPr>
            <w:r w:rsidRPr="00D60CFC">
              <w:rPr>
                <w:b/>
                <w:noProof/>
                <w:lang w:eastAsia="en-GB"/>
              </w:rPr>
              <w:drawing>
                <wp:inline distT="0" distB="0" distL="0" distR="0" wp14:anchorId="000715C7" wp14:editId="0DE3CF98">
                  <wp:extent cx="533400" cy="453390"/>
                  <wp:effectExtent l="0" t="0" r="0" b="3810"/>
                  <wp:docPr id="65" name="Object 3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0"/>
                          <pic:cNvPicPr>
                            <a:picLocks noGrp="1" noRot="1" noChangeAspect="1" noEditPoints="1" noAdjustHandles="1" noChangeArrowheads="1" noChangeShapeType="1" noCrop="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5125" cy="454856"/>
                          </a:xfrm>
                          <a:prstGeom prst="rect">
                            <a:avLst/>
                          </a:prstGeom>
                          <a:noFill/>
                          <a:ln>
                            <a:noFill/>
                          </a:ln>
                        </pic:spPr>
                      </pic:pic>
                    </a:graphicData>
                  </a:graphic>
                </wp:inline>
              </w:drawing>
            </w:r>
          </w:p>
          <w:p w14:paraId="04B83C43" w14:textId="77777777" w:rsidR="005C62A1" w:rsidRPr="00D60CFC" w:rsidRDefault="005C62A1" w:rsidP="00761BD1">
            <w:pPr>
              <w:pStyle w:val="TAMainText"/>
              <w:rPr>
                <w:b/>
                <w:noProof/>
              </w:rPr>
            </w:pPr>
            <w:r w:rsidRPr="00D60CFC">
              <w:rPr>
                <w:b/>
              </w:rPr>
              <w:t>4</w:t>
            </w:r>
          </w:p>
        </w:tc>
        <w:tc>
          <w:tcPr>
            <w:tcW w:w="1295" w:type="dxa"/>
            <w:vAlign w:val="bottom"/>
          </w:tcPr>
          <w:p w14:paraId="2AEC8B2A" w14:textId="3F1EC16C" w:rsidR="005C62A1" w:rsidRPr="00D60CFC" w:rsidRDefault="005C62A1" w:rsidP="00761BD1">
            <w:pPr>
              <w:pStyle w:val="TAMainText"/>
              <w:rPr>
                <w:b/>
              </w:rPr>
            </w:pPr>
            <w:r w:rsidRPr="00D60CFC">
              <w:rPr>
                <w:b/>
                <w:noProof/>
                <w:lang w:eastAsia="en-GB"/>
              </w:rPr>
              <w:drawing>
                <wp:inline distT="0" distB="0" distL="0" distR="0" wp14:anchorId="321B0E41" wp14:editId="12764C13">
                  <wp:extent cx="614218" cy="266700"/>
                  <wp:effectExtent l="0" t="0" r="0" b="0"/>
                  <wp:docPr id="64" name="Object 2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29"/>
                          <pic:cNvPicPr>
                            <a:picLocks noGrp="1" noRot="1" noChangeAspect="1" noEditPoints="1" noAdjustHandles="1" noChangeArrowheads="1" noChangeShapeType="1" noCrop="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5888" cy="267425"/>
                          </a:xfrm>
                          <a:prstGeom prst="rect">
                            <a:avLst/>
                          </a:prstGeom>
                          <a:noFill/>
                          <a:ln>
                            <a:noFill/>
                          </a:ln>
                        </pic:spPr>
                      </pic:pic>
                    </a:graphicData>
                  </a:graphic>
                </wp:inline>
              </w:drawing>
            </w:r>
          </w:p>
          <w:p w14:paraId="4FA3A645" w14:textId="77777777" w:rsidR="005C62A1" w:rsidRPr="00D60CFC" w:rsidRDefault="005C62A1" w:rsidP="00761BD1">
            <w:pPr>
              <w:pStyle w:val="TAMainText"/>
              <w:rPr>
                <w:b/>
                <w:noProof/>
              </w:rPr>
            </w:pPr>
            <w:r w:rsidRPr="00D60CFC">
              <w:rPr>
                <w:b/>
              </w:rPr>
              <w:t>5</w:t>
            </w:r>
          </w:p>
        </w:tc>
        <w:tc>
          <w:tcPr>
            <w:tcW w:w="1295" w:type="dxa"/>
            <w:vAlign w:val="bottom"/>
          </w:tcPr>
          <w:p w14:paraId="0D68C3A7" w14:textId="77777777" w:rsidR="00761BD1" w:rsidRDefault="005C62A1" w:rsidP="00F561BB">
            <w:pPr>
              <w:pStyle w:val="TAMainText"/>
              <w:rPr>
                <w:b/>
              </w:rPr>
            </w:pPr>
            <w:r w:rsidRPr="00D60CFC">
              <w:rPr>
                <w:b/>
                <w:noProof/>
                <w:lang w:eastAsia="en-GB"/>
              </w:rPr>
              <w:drawing>
                <wp:inline distT="0" distB="0" distL="0" distR="0" wp14:anchorId="0E513853" wp14:editId="05C3AD75">
                  <wp:extent cx="579120" cy="304800"/>
                  <wp:effectExtent l="0" t="0" r="0" b="0"/>
                  <wp:docPr id="63" name="Object 2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28"/>
                          <pic:cNvPicPr>
                            <a:picLocks noGrp="1" noRot="1" noChangeAspect="1" noEditPoints="1" noAdjustHandles="1" noChangeArrowheads="1" noChangeShapeType="1" noCrop="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0745" cy="305655"/>
                          </a:xfrm>
                          <a:prstGeom prst="rect">
                            <a:avLst/>
                          </a:prstGeom>
                          <a:noFill/>
                          <a:ln>
                            <a:noFill/>
                          </a:ln>
                        </pic:spPr>
                      </pic:pic>
                    </a:graphicData>
                  </a:graphic>
                </wp:inline>
              </w:drawing>
            </w:r>
          </w:p>
          <w:p w14:paraId="542E8101" w14:textId="5C85A070" w:rsidR="005C62A1" w:rsidRPr="00D60CFC" w:rsidRDefault="005C62A1" w:rsidP="00F561BB">
            <w:pPr>
              <w:pStyle w:val="TAMainText"/>
              <w:rPr>
                <w:b/>
                <w:noProof/>
              </w:rPr>
            </w:pPr>
            <w:r w:rsidRPr="00D60CFC">
              <w:rPr>
                <w:b/>
              </w:rPr>
              <w:t>3</w:t>
            </w:r>
          </w:p>
        </w:tc>
        <w:tc>
          <w:tcPr>
            <w:tcW w:w="1295" w:type="dxa"/>
            <w:vAlign w:val="bottom"/>
          </w:tcPr>
          <w:p w14:paraId="1717D856" w14:textId="0B11BE3B" w:rsidR="005C62A1" w:rsidRPr="00D60CFC" w:rsidRDefault="005C62A1" w:rsidP="00F561BB">
            <w:pPr>
              <w:pStyle w:val="TAMainText"/>
              <w:rPr>
                <w:b/>
              </w:rPr>
            </w:pPr>
            <w:r w:rsidRPr="00D60CFC">
              <w:rPr>
                <w:b/>
                <w:noProof/>
                <w:lang w:eastAsia="en-GB"/>
              </w:rPr>
              <w:drawing>
                <wp:inline distT="0" distB="0" distL="0" distR="0" wp14:anchorId="2DBD5CD2" wp14:editId="455A7053">
                  <wp:extent cx="625078" cy="333375"/>
                  <wp:effectExtent l="0" t="0" r="3810" b="0"/>
                  <wp:docPr id="62" name="Object 2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27"/>
                          <pic:cNvPicPr>
                            <a:picLocks noGrp="1" noRot="1" noChangeAspect="1" noEditPoints="1" noAdjustHandles="1" noChangeArrowheads="1" noChangeShapeType="1" noCrop="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32685" cy="337432"/>
                          </a:xfrm>
                          <a:prstGeom prst="rect">
                            <a:avLst/>
                          </a:prstGeom>
                          <a:noFill/>
                          <a:ln>
                            <a:noFill/>
                          </a:ln>
                        </pic:spPr>
                      </pic:pic>
                    </a:graphicData>
                  </a:graphic>
                </wp:inline>
              </w:drawing>
            </w:r>
          </w:p>
          <w:p w14:paraId="08D30DF9" w14:textId="77777777" w:rsidR="005C62A1" w:rsidRPr="00D60CFC" w:rsidRDefault="005C62A1" w:rsidP="0091687E">
            <w:pPr>
              <w:pStyle w:val="TAMainText"/>
              <w:rPr>
                <w:b/>
                <w:noProof/>
              </w:rPr>
            </w:pPr>
            <w:r w:rsidRPr="00D60CFC">
              <w:rPr>
                <w:b/>
              </w:rPr>
              <w:t>6</w:t>
            </w:r>
          </w:p>
        </w:tc>
        <w:tc>
          <w:tcPr>
            <w:tcW w:w="1295" w:type="dxa"/>
            <w:vAlign w:val="bottom"/>
          </w:tcPr>
          <w:p w14:paraId="23CBBBD0" w14:textId="3B8D7A54" w:rsidR="005C62A1" w:rsidRPr="00D60CFC" w:rsidRDefault="005C62A1" w:rsidP="008360B6">
            <w:pPr>
              <w:pStyle w:val="TAMainText"/>
              <w:rPr>
                <w:b/>
              </w:rPr>
            </w:pPr>
            <w:r w:rsidRPr="00D60CFC">
              <w:rPr>
                <w:b/>
                <w:noProof/>
                <w:lang w:eastAsia="en-GB"/>
              </w:rPr>
              <w:drawing>
                <wp:inline distT="0" distB="0" distL="0" distR="0" wp14:anchorId="67CE76B8" wp14:editId="73C0DFC9">
                  <wp:extent cx="526256" cy="323850"/>
                  <wp:effectExtent l="0" t="0" r="7620" b="0"/>
                  <wp:docPr id="61" name="Object 2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26"/>
                          <pic:cNvPicPr>
                            <a:picLocks noGrp="1" noRot="1" noChangeAspect="1" noEditPoints="1" noAdjustHandles="1" noChangeArrowheads="1" noChangeShapeType="1" noCrop="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2997" cy="327998"/>
                          </a:xfrm>
                          <a:prstGeom prst="rect">
                            <a:avLst/>
                          </a:prstGeom>
                          <a:noFill/>
                          <a:ln>
                            <a:noFill/>
                          </a:ln>
                        </pic:spPr>
                      </pic:pic>
                    </a:graphicData>
                  </a:graphic>
                </wp:inline>
              </w:drawing>
            </w:r>
          </w:p>
          <w:p w14:paraId="59F0D06F" w14:textId="77777777" w:rsidR="005C62A1" w:rsidRPr="00D60CFC" w:rsidRDefault="005C62A1" w:rsidP="008360B6">
            <w:pPr>
              <w:pStyle w:val="TAMainText"/>
              <w:rPr>
                <w:b/>
                <w:noProof/>
              </w:rPr>
            </w:pPr>
            <w:r w:rsidRPr="00D60CFC">
              <w:rPr>
                <w:b/>
              </w:rPr>
              <w:t>7</w:t>
            </w:r>
          </w:p>
        </w:tc>
        <w:tc>
          <w:tcPr>
            <w:tcW w:w="1295" w:type="dxa"/>
            <w:vAlign w:val="bottom"/>
          </w:tcPr>
          <w:p w14:paraId="0679232C" w14:textId="3A032B39" w:rsidR="005C62A1" w:rsidRPr="00D60CFC" w:rsidRDefault="005C62A1" w:rsidP="00D60CFC">
            <w:pPr>
              <w:pStyle w:val="TAMainText"/>
              <w:rPr>
                <w:b/>
              </w:rPr>
            </w:pPr>
            <w:r w:rsidRPr="00D60CFC">
              <w:rPr>
                <w:b/>
                <w:noProof/>
                <w:lang w:eastAsia="en-GB"/>
              </w:rPr>
              <w:drawing>
                <wp:inline distT="0" distB="0" distL="0" distR="0" wp14:anchorId="75E815C3" wp14:editId="54C37086">
                  <wp:extent cx="615315" cy="323850"/>
                  <wp:effectExtent l="0" t="0" r="0" b="0"/>
                  <wp:docPr id="60" name="Object 2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25"/>
                          <pic:cNvPicPr>
                            <a:picLocks noGrp="1" noRot="1" noChangeAspect="1" noEditPoints="1" noAdjustHandles="1" noChangeArrowheads="1" noChangeShapeType="1" noCrop="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6902" cy="324685"/>
                          </a:xfrm>
                          <a:prstGeom prst="rect">
                            <a:avLst/>
                          </a:prstGeom>
                          <a:noFill/>
                          <a:ln>
                            <a:noFill/>
                          </a:ln>
                        </pic:spPr>
                      </pic:pic>
                    </a:graphicData>
                  </a:graphic>
                </wp:inline>
              </w:drawing>
            </w:r>
          </w:p>
          <w:p w14:paraId="7046F139" w14:textId="77777777" w:rsidR="005C62A1" w:rsidRPr="00D60CFC" w:rsidRDefault="005C62A1" w:rsidP="00D60CFC">
            <w:pPr>
              <w:pStyle w:val="TAMainText"/>
              <w:rPr>
                <w:b/>
                <w:noProof/>
              </w:rPr>
            </w:pPr>
            <w:r w:rsidRPr="00D60CFC">
              <w:rPr>
                <w:b/>
              </w:rPr>
              <w:t>8</w:t>
            </w:r>
          </w:p>
        </w:tc>
        <w:tc>
          <w:tcPr>
            <w:tcW w:w="1296" w:type="dxa"/>
            <w:vAlign w:val="bottom"/>
          </w:tcPr>
          <w:p w14:paraId="6CA11848" w14:textId="48D7E93A" w:rsidR="005C62A1" w:rsidRPr="00D60CFC" w:rsidRDefault="005C62A1" w:rsidP="00D60CFC">
            <w:pPr>
              <w:pStyle w:val="TAMainText"/>
              <w:rPr>
                <w:b/>
              </w:rPr>
            </w:pPr>
            <w:r w:rsidRPr="00D60CFC">
              <w:rPr>
                <w:b/>
                <w:noProof/>
                <w:lang w:eastAsia="en-GB"/>
              </w:rPr>
              <w:drawing>
                <wp:inline distT="0" distB="0" distL="0" distR="0" wp14:anchorId="530AAFF3" wp14:editId="3A01FF6E">
                  <wp:extent cx="651510" cy="342900"/>
                  <wp:effectExtent l="0" t="0" r="0" b="0"/>
                  <wp:docPr id="59" name="Object 2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24"/>
                          <pic:cNvPicPr>
                            <a:picLocks noGrp="1" noRot="1" noChangeAspect="1" noEditPoints="1" noAdjustHandles="1" noChangeArrowheads="1" noChangeShapeType="1" noCrop="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54875" cy="344671"/>
                          </a:xfrm>
                          <a:prstGeom prst="rect">
                            <a:avLst/>
                          </a:prstGeom>
                          <a:noFill/>
                          <a:ln>
                            <a:noFill/>
                          </a:ln>
                        </pic:spPr>
                      </pic:pic>
                    </a:graphicData>
                  </a:graphic>
                </wp:inline>
              </w:drawing>
            </w:r>
          </w:p>
          <w:p w14:paraId="7B2D76AB" w14:textId="77777777" w:rsidR="005C62A1" w:rsidRPr="00D60CFC" w:rsidRDefault="005C62A1" w:rsidP="00D60CFC">
            <w:pPr>
              <w:pStyle w:val="TAMainText"/>
              <w:rPr>
                <w:b/>
                <w:noProof/>
              </w:rPr>
            </w:pPr>
            <w:r w:rsidRPr="00D60CFC">
              <w:rPr>
                <w:b/>
              </w:rPr>
              <w:t>9</w:t>
            </w:r>
          </w:p>
        </w:tc>
      </w:tr>
      <w:tr w:rsidR="005C62A1" w14:paraId="28C62583" w14:textId="77777777" w:rsidTr="009C0388">
        <w:trPr>
          <w:trHeight w:val="624"/>
        </w:trPr>
        <w:tc>
          <w:tcPr>
            <w:tcW w:w="1129" w:type="dxa"/>
            <w:vAlign w:val="center"/>
          </w:tcPr>
          <w:p w14:paraId="018C2C1D" w14:textId="77777777" w:rsidR="005C62A1" w:rsidRDefault="005C62A1" w:rsidP="00D13841">
            <w:pPr>
              <w:pStyle w:val="TAMainText"/>
              <w:rPr>
                <w:noProof/>
              </w:rPr>
            </w:pPr>
            <w:r>
              <w:rPr>
                <w:noProof/>
                <w:lang w:eastAsia="en-GB"/>
              </w:rPr>
              <w:drawing>
                <wp:inline distT="0" distB="0" distL="0" distR="0" wp14:anchorId="758575F8" wp14:editId="1C0BAD2C">
                  <wp:extent cx="485775" cy="304800"/>
                  <wp:effectExtent l="0" t="0" r="0" b="0"/>
                  <wp:docPr id="58" name="Object 2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23"/>
                          <pic:cNvPicPr>
                            <a:picLocks noGrp="1" noRot="1" noChangeAspect="1" noEditPoints="1" noAdjustHandles="1" noChangeArrowheads="1" noChangeShapeType="1" noCrop="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p>
        </w:tc>
        <w:tc>
          <w:tcPr>
            <w:tcW w:w="1295" w:type="dxa"/>
            <w:vAlign w:val="center"/>
          </w:tcPr>
          <w:p w14:paraId="79851186" w14:textId="77777777" w:rsidR="005C62A1" w:rsidRPr="000536A2" w:rsidRDefault="005C62A1" w:rsidP="0091687E">
            <w:pPr>
              <w:pStyle w:val="TAMainText"/>
              <w:rPr>
                <w:noProof/>
              </w:rPr>
            </w:pPr>
            <w:r w:rsidRPr="000536A2">
              <w:rPr>
                <w:noProof/>
              </w:rPr>
              <w:t>97</w:t>
            </w:r>
          </w:p>
        </w:tc>
        <w:tc>
          <w:tcPr>
            <w:tcW w:w="1295" w:type="dxa"/>
            <w:vAlign w:val="center"/>
          </w:tcPr>
          <w:p w14:paraId="00FE3C58" w14:textId="77777777" w:rsidR="005C62A1" w:rsidRPr="000536A2" w:rsidRDefault="005C62A1" w:rsidP="008360B6">
            <w:pPr>
              <w:pStyle w:val="TAMainText"/>
              <w:rPr>
                <w:noProof/>
              </w:rPr>
            </w:pPr>
            <w:r w:rsidRPr="000536A2">
              <w:rPr>
                <w:noProof/>
              </w:rPr>
              <w:t>95</w:t>
            </w:r>
          </w:p>
        </w:tc>
        <w:tc>
          <w:tcPr>
            <w:tcW w:w="1295" w:type="dxa"/>
            <w:vAlign w:val="center"/>
          </w:tcPr>
          <w:p w14:paraId="345DA1F5" w14:textId="77777777" w:rsidR="005C62A1" w:rsidRPr="000536A2" w:rsidRDefault="005C62A1" w:rsidP="00D60CFC">
            <w:pPr>
              <w:pStyle w:val="TAMainText"/>
              <w:rPr>
                <w:noProof/>
              </w:rPr>
            </w:pPr>
            <w:r w:rsidRPr="000536A2">
              <w:rPr>
                <w:noProof/>
              </w:rPr>
              <w:t>100</w:t>
            </w:r>
          </w:p>
        </w:tc>
        <w:tc>
          <w:tcPr>
            <w:tcW w:w="1295" w:type="dxa"/>
            <w:vAlign w:val="center"/>
          </w:tcPr>
          <w:p w14:paraId="071B115F" w14:textId="77777777" w:rsidR="005C62A1" w:rsidRPr="000536A2" w:rsidRDefault="005C62A1" w:rsidP="00D60CFC">
            <w:pPr>
              <w:pStyle w:val="TAMainText"/>
              <w:rPr>
                <w:noProof/>
              </w:rPr>
            </w:pPr>
            <w:r w:rsidRPr="000536A2">
              <w:rPr>
                <w:noProof/>
              </w:rPr>
              <w:t>100</w:t>
            </w:r>
          </w:p>
        </w:tc>
        <w:tc>
          <w:tcPr>
            <w:tcW w:w="1295" w:type="dxa"/>
            <w:vAlign w:val="center"/>
          </w:tcPr>
          <w:p w14:paraId="34760E91" w14:textId="77777777" w:rsidR="005C62A1" w:rsidRPr="000536A2" w:rsidRDefault="005C62A1" w:rsidP="00D60CFC">
            <w:pPr>
              <w:pStyle w:val="TAMainText"/>
              <w:rPr>
                <w:noProof/>
              </w:rPr>
            </w:pPr>
            <w:r w:rsidRPr="000536A2">
              <w:rPr>
                <w:noProof/>
              </w:rPr>
              <w:t>0</w:t>
            </w:r>
          </w:p>
        </w:tc>
        <w:tc>
          <w:tcPr>
            <w:tcW w:w="1295" w:type="dxa"/>
            <w:vAlign w:val="center"/>
          </w:tcPr>
          <w:p w14:paraId="3019907B" w14:textId="77777777" w:rsidR="005C62A1" w:rsidRPr="000536A2" w:rsidRDefault="005C62A1" w:rsidP="00D60CFC">
            <w:pPr>
              <w:pStyle w:val="TAMainText"/>
              <w:rPr>
                <w:noProof/>
              </w:rPr>
            </w:pPr>
            <w:r w:rsidRPr="0003649C">
              <w:t>85</w:t>
            </w:r>
            <w:r w:rsidRPr="0073426B">
              <w:rPr>
                <w:vertAlign w:val="superscript"/>
              </w:rPr>
              <w:t>a</w:t>
            </w:r>
          </w:p>
        </w:tc>
        <w:tc>
          <w:tcPr>
            <w:tcW w:w="1296" w:type="dxa"/>
            <w:vAlign w:val="center"/>
          </w:tcPr>
          <w:p w14:paraId="5FC87890" w14:textId="77777777" w:rsidR="005C62A1" w:rsidRPr="000536A2" w:rsidRDefault="005C62A1" w:rsidP="00D60CFC">
            <w:pPr>
              <w:pStyle w:val="TAMainText"/>
              <w:rPr>
                <w:noProof/>
              </w:rPr>
            </w:pPr>
            <w:r w:rsidRPr="000536A2">
              <w:rPr>
                <w:noProof/>
              </w:rPr>
              <w:t>100</w:t>
            </w:r>
          </w:p>
        </w:tc>
      </w:tr>
      <w:tr w:rsidR="005C62A1" w14:paraId="7B4D39AB" w14:textId="77777777" w:rsidTr="009C0388">
        <w:trPr>
          <w:trHeight w:val="624"/>
        </w:trPr>
        <w:tc>
          <w:tcPr>
            <w:tcW w:w="1129" w:type="dxa"/>
            <w:vAlign w:val="center"/>
          </w:tcPr>
          <w:p w14:paraId="5499D1AE" w14:textId="77777777" w:rsidR="005C62A1" w:rsidRDefault="005C62A1" w:rsidP="00D13841">
            <w:pPr>
              <w:pStyle w:val="TAMainText"/>
              <w:rPr>
                <w:noProof/>
              </w:rPr>
            </w:pPr>
            <w:r>
              <w:rPr>
                <w:noProof/>
                <w:lang w:eastAsia="en-GB"/>
              </w:rPr>
              <w:drawing>
                <wp:inline distT="0" distB="0" distL="0" distR="0" wp14:anchorId="06FF310D" wp14:editId="07097ED1">
                  <wp:extent cx="428625" cy="304800"/>
                  <wp:effectExtent l="0" t="0" r="3175" b="0"/>
                  <wp:docPr id="57" name="Object 2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22"/>
                          <pic:cNvPicPr>
                            <a:picLocks noGrp="1" noRot="1" noChangeAspect="1" noEditPoints="1" noAdjustHandles="1" noChangeArrowheads="1" noChangeShapeType="1" noCrop="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8625" cy="304800"/>
                          </a:xfrm>
                          <a:prstGeom prst="rect">
                            <a:avLst/>
                          </a:prstGeom>
                          <a:noFill/>
                          <a:ln>
                            <a:noFill/>
                          </a:ln>
                        </pic:spPr>
                      </pic:pic>
                    </a:graphicData>
                  </a:graphic>
                </wp:inline>
              </w:drawing>
            </w:r>
          </w:p>
        </w:tc>
        <w:tc>
          <w:tcPr>
            <w:tcW w:w="1295" w:type="dxa"/>
            <w:vAlign w:val="center"/>
          </w:tcPr>
          <w:p w14:paraId="2C0DD7CE" w14:textId="77777777" w:rsidR="005C62A1" w:rsidRPr="000536A2" w:rsidRDefault="005C62A1" w:rsidP="0091687E">
            <w:pPr>
              <w:pStyle w:val="TAMainText"/>
              <w:rPr>
                <w:noProof/>
              </w:rPr>
            </w:pPr>
            <w:r w:rsidRPr="000536A2">
              <w:rPr>
                <w:noProof/>
              </w:rPr>
              <w:t>100</w:t>
            </w:r>
          </w:p>
        </w:tc>
        <w:tc>
          <w:tcPr>
            <w:tcW w:w="1295" w:type="dxa"/>
            <w:vAlign w:val="center"/>
          </w:tcPr>
          <w:p w14:paraId="2A1CBA47" w14:textId="77777777" w:rsidR="005C62A1" w:rsidRPr="000536A2" w:rsidRDefault="005C62A1" w:rsidP="008360B6">
            <w:pPr>
              <w:pStyle w:val="TAMainText"/>
              <w:rPr>
                <w:noProof/>
              </w:rPr>
            </w:pPr>
            <w:r w:rsidRPr="000536A2">
              <w:rPr>
                <w:noProof/>
              </w:rPr>
              <w:t>100</w:t>
            </w:r>
          </w:p>
        </w:tc>
        <w:tc>
          <w:tcPr>
            <w:tcW w:w="1295" w:type="dxa"/>
            <w:vAlign w:val="center"/>
          </w:tcPr>
          <w:p w14:paraId="2B22F15D" w14:textId="77777777" w:rsidR="005C62A1" w:rsidRPr="000536A2" w:rsidRDefault="005C62A1" w:rsidP="00D60CFC">
            <w:pPr>
              <w:pStyle w:val="TAMainText"/>
              <w:rPr>
                <w:noProof/>
              </w:rPr>
            </w:pPr>
            <w:r w:rsidRPr="000536A2">
              <w:rPr>
                <w:noProof/>
              </w:rPr>
              <w:t>100</w:t>
            </w:r>
          </w:p>
        </w:tc>
        <w:tc>
          <w:tcPr>
            <w:tcW w:w="1295" w:type="dxa"/>
            <w:vAlign w:val="center"/>
          </w:tcPr>
          <w:p w14:paraId="76923FC5" w14:textId="77777777" w:rsidR="005C62A1" w:rsidRPr="000536A2" w:rsidRDefault="005C62A1" w:rsidP="00D60CFC">
            <w:pPr>
              <w:pStyle w:val="TAMainText"/>
              <w:rPr>
                <w:noProof/>
              </w:rPr>
            </w:pPr>
            <w:r w:rsidRPr="000536A2">
              <w:rPr>
                <w:noProof/>
              </w:rPr>
              <w:t>100</w:t>
            </w:r>
          </w:p>
        </w:tc>
        <w:tc>
          <w:tcPr>
            <w:tcW w:w="1295" w:type="dxa"/>
            <w:vAlign w:val="center"/>
          </w:tcPr>
          <w:p w14:paraId="63A5513D" w14:textId="77777777" w:rsidR="005C62A1" w:rsidRPr="000536A2" w:rsidRDefault="005C62A1" w:rsidP="00D60CFC">
            <w:pPr>
              <w:pStyle w:val="TAMainText"/>
              <w:rPr>
                <w:noProof/>
              </w:rPr>
            </w:pPr>
            <w:r w:rsidRPr="000536A2">
              <w:rPr>
                <w:noProof/>
              </w:rPr>
              <w:t>0</w:t>
            </w:r>
          </w:p>
        </w:tc>
        <w:tc>
          <w:tcPr>
            <w:tcW w:w="1295" w:type="dxa"/>
            <w:vAlign w:val="center"/>
          </w:tcPr>
          <w:p w14:paraId="582A87EC" w14:textId="77777777" w:rsidR="005C62A1" w:rsidRPr="000536A2" w:rsidRDefault="005C62A1" w:rsidP="00D60CFC">
            <w:pPr>
              <w:pStyle w:val="TAMainText"/>
              <w:rPr>
                <w:noProof/>
              </w:rPr>
            </w:pPr>
            <w:r w:rsidRPr="000536A2">
              <w:rPr>
                <w:noProof/>
              </w:rPr>
              <w:t>100</w:t>
            </w:r>
          </w:p>
        </w:tc>
        <w:tc>
          <w:tcPr>
            <w:tcW w:w="1296" w:type="dxa"/>
            <w:vAlign w:val="center"/>
          </w:tcPr>
          <w:p w14:paraId="72AD3EC0" w14:textId="77777777" w:rsidR="005C62A1" w:rsidRPr="000536A2" w:rsidRDefault="005C62A1" w:rsidP="00D60CFC">
            <w:pPr>
              <w:pStyle w:val="TAMainText"/>
              <w:rPr>
                <w:noProof/>
              </w:rPr>
            </w:pPr>
            <w:r w:rsidRPr="000536A2">
              <w:rPr>
                <w:noProof/>
              </w:rPr>
              <w:t>100</w:t>
            </w:r>
          </w:p>
        </w:tc>
      </w:tr>
      <w:tr w:rsidR="005C62A1" w14:paraId="12FFD0E9" w14:textId="77777777" w:rsidTr="009C0388">
        <w:trPr>
          <w:trHeight w:val="624"/>
        </w:trPr>
        <w:tc>
          <w:tcPr>
            <w:tcW w:w="1129" w:type="dxa"/>
            <w:vAlign w:val="center"/>
          </w:tcPr>
          <w:p w14:paraId="5CAA40F1" w14:textId="77777777" w:rsidR="005C62A1" w:rsidRDefault="005C62A1" w:rsidP="00D13841">
            <w:pPr>
              <w:pStyle w:val="TAMainText"/>
              <w:rPr>
                <w:noProof/>
              </w:rPr>
            </w:pPr>
            <w:r>
              <w:rPr>
                <w:noProof/>
                <w:lang w:eastAsia="en-GB"/>
              </w:rPr>
              <w:drawing>
                <wp:inline distT="0" distB="0" distL="0" distR="0" wp14:anchorId="1252C928" wp14:editId="0CFBC3F9">
                  <wp:extent cx="485775" cy="304800"/>
                  <wp:effectExtent l="0" t="0" r="0" b="0"/>
                  <wp:docPr id="56" name="Object 2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21"/>
                          <pic:cNvPicPr>
                            <a:picLocks noGrp="1" noRot="1" noChangeAspect="1" noEditPoints="1" noAdjustHandles="1" noChangeArrowheads="1" noChangeShapeType="1" noCrop="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p>
        </w:tc>
        <w:tc>
          <w:tcPr>
            <w:tcW w:w="1295" w:type="dxa"/>
            <w:vAlign w:val="center"/>
          </w:tcPr>
          <w:p w14:paraId="0A8A4614" w14:textId="77777777" w:rsidR="005C62A1" w:rsidRPr="000536A2" w:rsidRDefault="005C62A1" w:rsidP="0091687E">
            <w:pPr>
              <w:pStyle w:val="TAMainText"/>
              <w:rPr>
                <w:noProof/>
              </w:rPr>
            </w:pPr>
            <w:r w:rsidRPr="000536A2">
              <w:rPr>
                <w:noProof/>
              </w:rPr>
              <w:t>98</w:t>
            </w:r>
          </w:p>
        </w:tc>
        <w:tc>
          <w:tcPr>
            <w:tcW w:w="1295" w:type="dxa"/>
            <w:vAlign w:val="center"/>
          </w:tcPr>
          <w:p w14:paraId="75AF2FA6" w14:textId="77777777" w:rsidR="005C62A1" w:rsidRPr="000536A2" w:rsidRDefault="005C62A1" w:rsidP="008360B6">
            <w:pPr>
              <w:pStyle w:val="TAMainText"/>
              <w:rPr>
                <w:noProof/>
              </w:rPr>
            </w:pPr>
            <w:r w:rsidRPr="000536A2">
              <w:rPr>
                <w:noProof/>
              </w:rPr>
              <w:t>100</w:t>
            </w:r>
          </w:p>
        </w:tc>
        <w:tc>
          <w:tcPr>
            <w:tcW w:w="1295" w:type="dxa"/>
            <w:vAlign w:val="center"/>
          </w:tcPr>
          <w:p w14:paraId="5CC3F0F5" w14:textId="77777777" w:rsidR="005C62A1" w:rsidRPr="000536A2" w:rsidRDefault="005C62A1" w:rsidP="00D60CFC">
            <w:pPr>
              <w:pStyle w:val="TAMainText"/>
              <w:rPr>
                <w:noProof/>
              </w:rPr>
            </w:pPr>
            <w:r w:rsidRPr="000536A2">
              <w:rPr>
                <w:noProof/>
              </w:rPr>
              <w:t>100</w:t>
            </w:r>
          </w:p>
        </w:tc>
        <w:tc>
          <w:tcPr>
            <w:tcW w:w="1295" w:type="dxa"/>
            <w:vAlign w:val="center"/>
          </w:tcPr>
          <w:p w14:paraId="63FFD85E" w14:textId="77777777" w:rsidR="005C62A1" w:rsidRPr="000536A2" w:rsidRDefault="005C62A1" w:rsidP="00D60CFC">
            <w:pPr>
              <w:pStyle w:val="TAMainText"/>
              <w:rPr>
                <w:noProof/>
              </w:rPr>
            </w:pPr>
            <w:r w:rsidRPr="000536A2">
              <w:rPr>
                <w:noProof/>
              </w:rPr>
              <w:t>100</w:t>
            </w:r>
          </w:p>
        </w:tc>
        <w:tc>
          <w:tcPr>
            <w:tcW w:w="1295" w:type="dxa"/>
            <w:vAlign w:val="center"/>
          </w:tcPr>
          <w:p w14:paraId="691C8788" w14:textId="77777777" w:rsidR="005C62A1" w:rsidRPr="000536A2" w:rsidRDefault="005C62A1" w:rsidP="00D60CFC">
            <w:pPr>
              <w:pStyle w:val="TAMainText"/>
              <w:rPr>
                <w:noProof/>
              </w:rPr>
            </w:pPr>
            <w:r w:rsidRPr="000536A2">
              <w:rPr>
                <w:noProof/>
              </w:rPr>
              <w:t>0</w:t>
            </w:r>
          </w:p>
        </w:tc>
        <w:tc>
          <w:tcPr>
            <w:tcW w:w="1295" w:type="dxa"/>
            <w:vAlign w:val="center"/>
          </w:tcPr>
          <w:p w14:paraId="06885024" w14:textId="77777777" w:rsidR="005C62A1" w:rsidRPr="0003649C" w:rsidRDefault="005C62A1" w:rsidP="00D60CFC">
            <w:pPr>
              <w:pStyle w:val="TAMainText"/>
            </w:pPr>
            <w:r w:rsidRPr="0003649C">
              <w:t>100</w:t>
            </w:r>
          </w:p>
        </w:tc>
        <w:tc>
          <w:tcPr>
            <w:tcW w:w="1296" w:type="dxa"/>
            <w:vAlign w:val="center"/>
          </w:tcPr>
          <w:p w14:paraId="36771F7D" w14:textId="77777777" w:rsidR="005C62A1" w:rsidRPr="000536A2" w:rsidRDefault="005C62A1" w:rsidP="00D60CFC">
            <w:pPr>
              <w:pStyle w:val="TAMainText"/>
              <w:rPr>
                <w:noProof/>
              </w:rPr>
            </w:pPr>
            <w:r w:rsidRPr="000536A2">
              <w:rPr>
                <w:noProof/>
              </w:rPr>
              <w:t>100</w:t>
            </w:r>
          </w:p>
        </w:tc>
      </w:tr>
      <w:tr w:rsidR="005C62A1" w14:paraId="5921657D" w14:textId="77777777" w:rsidTr="009C0388">
        <w:trPr>
          <w:trHeight w:val="624"/>
        </w:trPr>
        <w:tc>
          <w:tcPr>
            <w:tcW w:w="1129" w:type="dxa"/>
            <w:vAlign w:val="center"/>
          </w:tcPr>
          <w:p w14:paraId="7AFE2D98" w14:textId="77777777" w:rsidR="005C62A1" w:rsidRDefault="005C62A1" w:rsidP="00D13841">
            <w:pPr>
              <w:pStyle w:val="TAMainText"/>
              <w:rPr>
                <w:noProof/>
              </w:rPr>
            </w:pPr>
            <w:r>
              <w:rPr>
                <w:noProof/>
                <w:lang w:eastAsia="en-GB"/>
              </w:rPr>
              <w:drawing>
                <wp:inline distT="0" distB="0" distL="0" distR="0" wp14:anchorId="3199E307" wp14:editId="77A74687">
                  <wp:extent cx="647700" cy="342900"/>
                  <wp:effectExtent l="0" t="0" r="0" b="0"/>
                  <wp:docPr id="55" name="Object 2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20"/>
                          <pic:cNvPicPr>
                            <a:picLocks noGrp="1" noRot="1" noChangeAspect="1" noEditPoints="1" noAdjustHandles="1" noChangeArrowheads="1" noChangeShapeType="1" noCrop="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7700" cy="342900"/>
                          </a:xfrm>
                          <a:prstGeom prst="rect">
                            <a:avLst/>
                          </a:prstGeom>
                          <a:noFill/>
                          <a:ln>
                            <a:noFill/>
                          </a:ln>
                        </pic:spPr>
                      </pic:pic>
                    </a:graphicData>
                  </a:graphic>
                </wp:inline>
              </w:drawing>
            </w:r>
          </w:p>
        </w:tc>
        <w:tc>
          <w:tcPr>
            <w:tcW w:w="1295" w:type="dxa"/>
            <w:vAlign w:val="center"/>
          </w:tcPr>
          <w:p w14:paraId="04280DD8" w14:textId="77777777" w:rsidR="005C62A1" w:rsidRPr="000536A2" w:rsidRDefault="005C62A1" w:rsidP="0091687E">
            <w:pPr>
              <w:pStyle w:val="TAMainText"/>
              <w:rPr>
                <w:noProof/>
                <w:color w:val="4F6228" w:themeColor="accent3" w:themeShade="80"/>
              </w:rPr>
            </w:pPr>
            <w:r w:rsidRPr="003F033F">
              <w:rPr>
                <w:noProof/>
              </w:rPr>
              <w:t>63</w:t>
            </w:r>
          </w:p>
        </w:tc>
        <w:tc>
          <w:tcPr>
            <w:tcW w:w="1295" w:type="dxa"/>
            <w:vAlign w:val="center"/>
          </w:tcPr>
          <w:p w14:paraId="0FA7C10F" w14:textId="77777777" w:rsidR="005C62A1" w:rsidRPr="000536A2" w:rsidRDefault="005C62A1" w:rsidP="008360B6">
            <w:pPr>
              <w:pStyle w:val="TAMainText"/>
              <w:rPr>
                <w:noProof/>
                <w:color w:val="4F6228" w:themeColor="accent3" w:themeShade="80"/>
              </w:rPr>
            </w:pPr>
            <w:r w:rsidRPr="0003649C">
              <w:t>45</w:t>
            </w:r>
          </w:p>
        </w:tc>
        <w:tc>
          <w:tcPr>
            <w:tcW w:w="1295" w:type="dxa"/>
            <w:vAlign w:val="center"/>
          </w:tcPr>
          <w:p w14:paraId="31A608A8" w14:textId="77777777" w:rsidR="005C62A1" w:rsidRPr="000536A2" w:rsidRDefault="005C62A1" w:rsidP="00D60CFC">
            <w:pPr>
              <w:pStyle w:val="TAMainText"/>
              <w:rPr>
                <w:noProof/>
              </w:rPr>
            </w:pPr>
            <w:r w:rsidRPr="000536A2">
              <w:rPr>
                <w:noProof/>
              </w:rPr>
              <w:t>97</w:t>
            </w:r>
          </w:p>
        </w:tc>
        <w:tc>
          <w:tcPr>
            <w:tcW w:w="1295" w:type="dxa"/>
            <w:vAlign w:val="center"/>
          </w:tcPr>
          <w:p w14:paraId="49A6F550" w14:textId="77777777" w:rsidR="005C62A1" w:rsidRPr="000536A2" w:rsidRDefault="005C62A1" w:rsidP="00D60CFC">
            <w:pPr>
              <w:pStyle w:val="TAMainText"/>
              <w:rPr>
                <w:noProof/>
              </w:rPr>
            </w:pPr>
            <w:r w:rsidRPr="000536A2">
              <w:rPr>
                <w:noProof/>
              </w:rPr>
              <w:t>100</w:t>
            </w:r>
          </w:p>
        </w:tc>
        <w:tc>
          <w:tcPr>
            <w:tcW w:w="1295" w:type="dxa"/>
            <w:vAlign w:val="center"/>
          </w:tcPr>
          <w:p w14:paraId="251DE790" w14:textId="77777777" w:rsidR="005C62A1" w:rsidRPr="000536A2" w:rsidRDefault="005C62A1" w:rsidP="00D60CFC">
            <w:pPr>
              <w:pStyle w:val="TAMainText"/>
              <w:rPr>
                <w:noProof/>
              </w:rPr>
            </w:pPr>
            <w:r w:rsidRPr="000536A2">
              <w:rPr>
                <w:noProof/>
              </w:rPr>
              <w:t>0</w:t>
            </w:r>
          </w:p>
        </w:tc>
        <w:tc>
          <w:tcPr>
            <w:tcW w:w="1295" w:type="dxa"/>
            <w:vAlign w:val="center"/>
          </w:tcPr>
          <w:p w14:paraId="07494F91" w14:textId="77777777" w:rsidR="005C62A1" w:rsidRPr="0003649C" w:rsidRDefault="005C62A1" w:rsidP="00D60CFC">
            <w:pPr>
              <w:pStyle w:val="TAMainText"/>
            </w:pPr>
            <w:r w:rsidRPr="0003649C">
              <w:t>100</w:t>
            </w:r>
          </w:p>
        </w:tc>
        <w:tc>
          <w:tcPr>
            <w:tcW w:w="1296" w:type="dxa"/>
            <w:vAlign w:val="center"/>
          </w:tcPr>
          <w:p w14:paraId="227E0F65" w14:textId="77777777" w:rsidR="005C62A1" w:rsidRPr="000536A2" w:rsidRDefault="005C62A1" w:rsidP="00D60CFC">
            <w:pPr>
              <w:pStyle w:val="TAMainText"/>
              <w:rPr>
                <w:noProof/>
              </w:rPr>
            </w:pPr>
            <w:r w:rsidRPr="000536A2">
              <w:rPr>
                <w:noProof/>
              </w:rPr>
              <w:t>100</w:t>
            </w:r>
          </w:p>
        </w:tc>
      </w:tr>
      <w:tr w:rsidR="005C62A1" w14:paraId="7C8D2266" w14:textId="77777777" w:rsidTr="009C0388">
        <w:trPr>
          <w:trHeight w:val="624"/>
        </w:trPr>
        <w:tc>
          <w:tcPr>
            <w:tcW w:w="1129" w:type="dxa"/>
            <w:vAlign w:val="center"/>
          </w:tcPr>
          <w:p w14:paraId="713F5768" w14:textId="77777777" w:rsidR="005C62A1" w:rsidRDefault="005C62A1" w:rsidP="00D13841">
            <w:pPr>
              <w:pStyle w:val="TAMainText"/>
              <w:rPr>
                <w:noProof/>
              </w:rPr>
            </w:pPr>
            <w:r>
              <w:rPr>
                <w:noProof/>
                <w:lang w:eastAsia="en-GB"/>
              </w:rPr>
              <w:drawing>
                <wp:inline distT="0" distB="0" distL="0" distR="0" wp14:anchorId="674991B7" wp14:editId="0C68103F">
                  <wp:extent cx="533400" cy="295275"/>
                  <wp:effectExtent l="0" t="0" r="0" b="0"/>
                  <wp:docPr id="54" name="Object 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9"/>
                          <pic:cNvPicPr>
                            <a:picLocks noGrp="1" noRot="1" noChangeAspect="1" noEditPoints="1" noAdjustHandles="1" noChangeArrowheads="1" noChangeShapeType="1" noCrop="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3400" cy="295275"/>
                          </a:xfrm>
                          <a:prstGeom prst="rect">
                            <a:avLst/>
                          </a:prstGeom>
                          <a:noFill/>
                          <a:ln>
                            <a:noFill/>
                          </a:ln>
                        </pic:spPr>
                      </pic:pic>
                    </a:graphicData>
                  </a:graphic>
                </wp:inline>
              </w:drawing>
            </w:r>
          </w:p>
        </w:tc>
        <w:tc>
          <w:tcPr>
            <w:tcW w:w="1295" w:type="dxa"/>
            <w:vAlign w:val="center"/>
          </w:tcPr>
          <w:p w14:paraId="2609194F" w14:textId="77777777" w:rsidR="005C62A1" w:rsidRPr="000536A2" w:rsidRDefault="005C62A1" w:rsidP="0091687E">
            <w:pPr>
              <w:pStyle w:val="TAMainText"/>
              <w:rPr>
                <w:noProof/>
              </w:rPr>
            </w:pPr>
            <w:r w:rsidRPr="000536A2">
              <w:rPr>
                <w:noProof/>
              </w:rPr>
              <w:t>100</w:t>
            </w:r>
          </w:p>
        </w:tc>
        <w:tc>
          <w:tcPr>
            <w:tcW w:w="1295" w:type="dxa"/>
            <w:vAlign w:val="center"/>
          </w:tcPr>
          <w:p w14:paraId="461CAE29" w14:textId="77777777" w:rsidR="005C62A1" w:rsidRPr="000536A2" w:rsidRDefault="005C62A1" w:rsidP="008360B6">
            <w:pPr>
              <w:pStyle w:val="TAMainText"/>
              <w:rPr>
                <w:noProof/>
              </w:rPr>
            </w:pPr>
            <w:r w:rsidRPr="000536A2">
              <w:rPr>
                <w:noProof/>
              </w:rPr>
              <w:t>100</w:t>
            </w:r>
          </w:p>
        </w:tc>
        <w:tc>
          <w:tcPr>
            <w:tcW w:w="1295" w:type="dxa"/>
            <w:vAlign w:val="center"/>
          </w:tcPr>
          <w:p w14:paraId="55523927" w14:textId="77777777" w:rsidR="005C62A1" w:rsidRPr="000536A2" w:rsidRDefault="005C62A1" w:rsidP="00D60CFC">
            <w:pPr>
              <w:pStyle w:val="TAMainText"/>
              <w:rPr>
                <w:noProof/>
              </w:rPr>
            </w:pPr>
            <w:r w:rsidRPr="000536A2">
              <w:rPr>
                <w:noProof/>
              </w:rPr>
              <w:t>100</w:t>
            </w:r>
          </w:p>
        </w:tc>
        <w:tc>
          <w:tcPr>
            <w:tcW w:w="1295" w:type="dxa"/>
            <w:vAlign w:val="center"/>
          </w:tcPr>
          <w:p w14:paraId="4E677A57" w14:textId="77777777" w:rsidR="005C62A1" w:rsidRPr="000536A2" w:rsidRDefault="005C62A1" w:rsidP="00D60CFC">
            <w:pPr>
              <w:pStyle w:val="TAMainText"/>
              <w:rPr>
                <w:noProof/>
              </w:rPr>
            </w:pPr>
            <w:r w:rsidRPr="000536A2">
              <w:rPr>
                <w:noProof/>
              </w:rPr>
              <w:t>100</w:t>
            </w:r>
          </w:p>
        </w:tc>
        <w:tc>
          <w:tcPr>
            <w:tcW w:w="1295" w:type="dxa"/>
            <w:vAlign w:val="center"/>
          </w:tcPr>
          <w:p w14:paraId="72CD2808" w14:textId="77777777" w:rsidR="005C62A1" w:rsidRPr="000536A2" w:rsidRDefault="005C62A1" w:rsidP="00D60CFC">
            <w:pPr>
              <w:pStyle w:val="TAMainText"/>
              <w:rPr>
                <w:noProof/>
              </w:rPr>
            </w:pPr>
            <w:r w:rsidRPr="000536A2">
              <w:rPr>
                <w:noProof/>
              </w:rPr>
              <w:t>0</w:t>
            </w:r>
          </w:p>
        </w:tc>
        <w:tc>
          <w:tcPr>
            <w:tcW w:w="1295" w:type="dxa"/>
            <w:vAlign w:val="center"/>
          </w:tcPr>
          <w:p w14:paraId="43859F3C" w14:textId="77777777" w:rsidR="005C62A1" w:rsidRPr="0003649C" w:rsidRDefault="005C62A1" w:rsidP="00D60CFC">
            <w:pPr>
              <w:pStyle w:val="TAMainText"/>
            </w:pPr>
            <w:r w:rsidRPr="0003649C">
              <w:t>96</w:t>
            </w:r>
            <w:r w:rsidRPr="0073426B">
              <w:rPr>
                <w:vertAlign w:val="superscript"/>
              </w:rPr>
              <w:t>a</w:t>
            </w:r>
          </w:p>
        </w:tc>
        <w:tc>
          <w:tcPr>
            <w:tcW w:w="1296" w:type="dxa"/>
            <w:vAlign w:val="center"/>
          </w:tcPr>
          <w:p w14:paraId="783AA306" w14:textId="77777777" w:rsidR="005C62A1" w:rsidRPr="000536A2" w:rsidRDefault="005C62A1" w:rsidP="00D60CFC">
            <w:pPr>
              <w:pStyle w:val="TAMainText"/>
              <w:rPr>
                <w:noProof/>
              </w:rPr>
            </w:pPr>
            <w:r w:rsidRPr="000536A2">
              <w:rPr>
                <w:noProof/>
              </w:rPr>
              <w:t>100</w:t>
            </w:r>
          </w:p>
        </w:tc>
      </w:tr>
    </w:tbl>
    <w:p w14:paraId="4D6DA1C2" w14:textId="77777777" w:rsidR="005C62A1" w:rsidRPr="00C513A9" w:rsidRDefault="005C62A1" w:rsidP="00D13841">
      <w:pPr>
        <w:pStyle w:val="TAMainText"/>
        <w:rPr>
          <w:noProof/>
        </w:rPr>
      </w:pPr>
      <w:r>
        <w:rPr>
          <w:i/>
          <w:iCs/>
          <w:noProof/>
          <w:vertAlign w:val="superscript"/>
        </w:rPr>
        <w:t>a</w:t>
      </w:r>
      <w:r>
        <w:rPr>
          <w:noProof/>
        </w:rPr>
        <w:t xml:space="preserve">15% DMPU was used with </w:t>
      </w:r>
      <w:r w:rsidRPr="00912C70">
        <w:rPr>
          <w:b/>
          <w:bCs/>
        </w:rPr>
        <w:t>8</w:t>
      </w:r>
    </w:p>
    <w:p w14:paraId="01E36F50" w14:textId="77777777" w:rsidR="005C62A1" w:rsidRDefault="005C62A1" w:rsidP="00D13841">
      <w:pPr>
        <w:pStyle w:val="TAMainText"/>
      </w:pPr>
    </w:p>
    <w:p w14:paraId="0D320FC1" w14:textId="77777777" w:rsidR="005C62A1" w:rsidRDefault="005C62A1" w:rsidP="00D60CFC">
      <w:pPr>
        <w:pStyle w:val="TAMainText"/>
        <w:rPr>
          <w:rStyle w:val="06CHeading"/>
          <w:rFonts w:asciiTheme="minorHAnsi" w:hAnsiTheme="minorHAnsi"/>
          <w:b w:val="0"/>
          <w:bCs/>
          <w:smallCaps w:val="0"/>
        </w:rPr>
        <w:sectPr w:rsidR="005C62A1" w:rsidSect="00D42CD9">
          <w:type w:val="continuous"/>
          <w:pgSz w:w="11907" w:h="16840" w:code="9"/>
          <w:pgMar w:top="1009" w:right="851" w:bottom="1758" w:left="851" w:header="851" w:footer="1049" w:gutter="0"/>
          <w:cols w:space="227"/>
          <w:titlePg/>
          <w:docGrid w:linePitch="360"/>
        </w:sectPr>
      </w:pPr>
    </w:p>
    <w:p w14:paraId="2B81B966" w14:textId="77777777" w:rsidR="005C62A1" w:rsidRPr="005C62A1" w:rsidRDefault="005C62A1" w:rsidP="00D60CFC">
      <w:pPr>
        <w:pStyle w:val="TAMainText"/>
        <w:rPr>
          <w:rStyle w:val="06CHeading"/>
          <w:rFonts w:ascii="Arno Pro" w:hAnsi="Arno Pro"/>
          <w:b w:val="0"/>
          <w:smallCaps w:val="0"/>
          <w:w w:val="100"/>
          <w:lang w:val="en-US"/>
        </w:rPr>
      </w:pPr>
      <w:r w:rsidRPr="005C62A1">
        <w:rPr>
          <w:rStyle w:val="06CHeading"/>
          <w:rFonts w:ascii="Arno Pro" w:hAnsi="Arno Pro"/>
          <w:b w:val="0"/>
          <w:smallCaps w:val="0"/>
          <w:noProof/>
          <w:w w:val="100"/>
          <w:lang w:eastAsia="en-GB"/>
        </w:rPr>
        <w:lastRenderedPageBreak/>
        <w:drawing>
          <wp:inline distT="0" distB="0" distL="0" distR="0" wp14:anchorId="0F43F08B" wp14:editId="3C6FCC0E">
            <wp:extent cx="3168015" cy="32454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68015" cy="3245445"/>
                    </a:xfrm>
                    <a:prstGeom prst="rect">
                      <a:avLst/>
                    </a:prstGeom>
                    <a:noFill/>
                    <a:ln>
                      <a:noFill/>
                    </a:ln>
                  </pic:spPr>
                </pic:pic>
              </a:graphicData>
            </a:graphic>
          </wp:inline>
        </w:drawing>
      </w:r>
    </w:p>
    <w:p w14:paraId="2AB24AA2" w14:textId="77777777" w:rsidR="005C62A1" w:rsidRPr="005C62A1" w:rsidRDefault="005C62A1" w:rsidP="00912C70">
      <w:pPr>
        <w:pStyle w:val="VAFigureCaption"/>
      </w:pPr>
      <w:r w:rsidRPr="00912C70">
        <w:rPr>
          <w:rStyle w:val="06CHeading"/>
          <w:rFonts w:ascii="Arno Pro" w:hAnsi="Arno Pro"/>
          <w:bCs/>
          <w:smallCaps w:val="0"/>
          <w:w w:val="100"/>
          <w:szCs w:val="20"/>
          <w:lang w:val="en-US"/>
        </w:rPr>
        <w:t>Figure 4.</w:t>
      </w:r>
      <w:r w:rsidRPr="005C62A1">
        <w:rPr>
          <w:rStyle w:val="06CHeading"/>
          <w:rFonts w:ascii="Arno Pro" w:hAnsi="Arno Pro"/>
          <w:b w:val="0"/>
          <w:smallCaps w:val="0"/>
          <w:w w:val="100"/>
          <w:szCs w:val="20"/>
          <w:lang w:val="en-US"/>
        </w:rPr>
        <w:t xml:space="preserve"> </w:t>
      </w:r>
      <w:r w:rsidRPr="005C62A1">
        <w:t>Comparison of reaction outcomes for a range of DNA-conjugated halides and arylamines in the absence of surfactant, DMPU or both, pie charts show the distribution of biarylamine product (green), starting material (blue) and dehalogenated starting material (red).</w:t>
      </w:r>
    </w:p>
    <w:p w14:paraId="14E5F4C2" w14:textId="77777777" w:rsidR="005C62A1" w:rsidRPr="005C62A1" w:rsidRDefault="005C62A1" w:rsidP="00D13841">
      <w:pPr>
        <w:pStyle w:val="TAMainText"/>
        <w:rPr>
          <w:rStyle w:val="06CHeading"/>
          <w:rFonts w:ascii="Arno Pro" w:hAnsi="Arno Pro"/>
          <w:b w:val="0"/>
          <w:smallCaps w:val="0"/>
          <w:w w:val="100"/>
          <w:lang w:val="en-US"/>
        </w:rPr>
      </w:pPr>
      <w:r w:rsidRPr="005C62A1">
        <w:rPr>
          <w:rStyle w:val="06CHeading"/>
          <w:rFonts w:ascii="Arno Pro" w:hAnsi="Arno Pro"/>
          <w:b w:val="0"/>
          <w:smallCaps w:val="0"/>
          <w:w w:val="100"/>
          <w:lang w:val="en-US"/>
        </w:rPr>
        <w:t xml:space="preserve">Carrying out analogous reactions in the absence of the surfactant, DMPU or both, further demonstrated the importance of both components. Coupling of substrates </w:t>
      </w:r>
      <w:r w:rsidRPr="00D83EC6">
        <w:rPr>
          <w:rStyle w:val="06CHeading"/>
          <w:rFonts w:ascii="Arno Pro" w:hAnsi="Arno Pro"/>
          <w:bCs/>
          <w:smallCaps w:val="0"/>
          <w:w w:val="100"/>
          <w:lang w:val="en-US"/>
        </w:rPr>
        <w:t>1</w:t>
      </w:r>
      <w:r w:rsidRPr="005C62A1">
        <w:rPr>
          <w:rStyle w:val="06CHeading"/>
          <w:rFonts w:ascii="Arno Pro" w:hAnsi="Arno Pro"/>
          <w:b w:val="0"/>
          <w:smallCaps w:val="0"/>
          <w:w w:val="100"/>
          <w:lang w:val="en-US"/>
        </w:rPr>
        <w:t xml:space="preserve">, </w:t>
      </w:r>
      <w:r w:rsidRPr="00D83EC6">
        <w:rPr>
          <w:rStyle w:val="06CHeading"/>
          <w:rFonts w:ascii="Arno Pro" w:hAnsi="Arno Pro"/>
          <w:bCs/>
          <w:smallCaps w:val="0"/>
          <w:w w:val="100"/>
          <w:lang w:val="en-US"/>
        </w:rPr>
        <w:t>3</w:t>
      </w:r>
      <w:r w:rsidRPr="005C62A1">
        <w:rPr>
          <w:rStyle w:val="06CHeading"/>
          <w:rFonts w:ascii="Arno Pro" w:hAnsi="Arno Pro"/>
          <w:b w:val="0"/>
          <w:smallCaps w:val="0"/>
          <w:w w:val="100"/>
          <w:lang w:val="en-US"/>
        </w:rPr>
        <w:t>-</w:t>
      </w:r>
      <w:r w:rsidRPr="00D83EC6">
        <w:rPr>
          <w:rStyle w:val="06CHeading"/>
          <w:rFonts w:ascii="Arno Pro" w:hAnsi="Arno Pro"/>
          <w:bCs/>
          <w:smallCaps w:val="0"/>
          <w:w w:val="100"/>
          <w:lang w:val="en-US"/>
        </w:rPr>
        <w:t>6</w:t>
      </w:r>
      <w:r w:rsidRPr="005C62A1">
        <w:rPr>
          <w:rStyle w:val="06CHeading"/>
          <w:rFonts w:ascii="Arno Pro" w:hAnsi="Arno Pro"/>
          <w:b w:val="0"/>
          <w:smallCaps w:val="0"/>
          <w:w w:val="100"/>
          <w:lang w:val="en-US"/>
        </w:rPr>
        <w:t xml:space="preserve"> and </w:t>
      </w:r>
      <w:r w:rsidRPr="00D83EC6">
        <w:rPr>
          <w:rStyle w:val="06CHeading"/>
          <w:rFonts w:ascii="Arno Pro" w:hAnsi="Arno Pro"/>
          <w:bCs/>
          <w:smallCaps w:val="0"/>
          <w:w w:val="100"/>
          <w:lang w:val="en-US"/>
        </w:rPr>
        <w:t>9</w:t>
      </w:r>
      <w:r w:rsidRPr="005C62A1">
        <w:rPr>
          <w:rStyle w:val="06CHeading"/>
          <w:rFonts w:ascii="Arno Pro" w:hAnsi="Arno Pro"/>
          <w:b w:val="0"/>
          <w:smallCaps w:val="0"/>
          <w:w w:val="100"/>
          <w:lang w:val="en-US"/>
        </w:rPr>
        <w:t xml:space="preserve"> with varied arylamines performed significantly less well in the absence of surfactant, or the absence of both surfactant and DMPU, in all cases (Figure 4). In the absence of DMPU alone, all but substrate </w:t>
      </w:r>
      <w:r w:rsidRPr="00D83EC6">
        <w:rPr>
          <w:rStyle w:val="06CHeading"/>
          <w:rFonts w:ascii="Arno Pro" w:hAnsi="Arno Pro"/>
          <w:bCs/>
          <w:smallCaps w:val="0"/>
          <w:w w:val="100"/>
          <w:lang w:val="en-US"/>
        </w:rPr>
        <w:t>5</w:t>
      </w:r>
      <w:r w:rsidRPr="005C62A1">
        <w:rPr>
          <w:rStyle w:val="06CHeading"/>
          <w:rFonts w:ascii="Arno Pro" w:hAnsi="Arno Pro"/>
          <w:b w:val="0"/>
          <w:smallCaps w:val="0"/>
          <w:w w:val="100"/>
          <w:lang w:val="en-US"/>
        </w:rPr>
        <w:t xml:space="preserve"> were less efficient, resulting in appreciable amounts of starting material, dehalogenated substrate or both. In some notable cases, no product formed at all (eg. </w:t>
      </w:r>
      <w:r w:rsidRPr="00D83EC6">
        <w:rPr>
          <w:rStyle w:val="06CHeading"/>
          <w:rFonts w:ascii="Arno Pro" w:hAnsi="Arno Pro"/>
          <w:bCs/>
          <w:smallCaps w:val="0"/>
          <w:w w:val="100"/>
          <w:lang w:val="en-US"/>
        </w:rPr>
        <w:t>3</w:t>
      </w:r>
      <w:r w:rsidRPr="005C62A1">
        <w:rPr>
          <w:rStyle w:val="06CHeading"/>
          <w:rFonts w:ascii="Arno Pro" w:hAnsi="Arno Pro"/>
          <w:b w:val="0"/>
          <w:smallCaps w:val="0"/>
          <w:w w:val="100"/>
          <w:lang w:val="en-US"/>
        </w:rPr>
        <w:t xml:space="preserve"> without surfactant and </w:t>
      </w:r>
      <w:r w:rsidRPr="00D83EC6">
        <w:rPr>
          <w:rStyle w:val="06CHeading"/>
          <w:rFonts w:ascii="Arno Pro" w:hAnsi="Arno Pro"/>
          <w:bCs/>
          <w:smallCaps w:val="0"/>
          <w:w w:val="100"/>
          <w:lang w:val="en-US"/>
        </w:rPr>
        <w:t>9</w:t>
      </w:r>
      <w:r w:rsidRPr="005C62A1">
        <w:rPr>
          <w:rStyle w:val="06CHeading"/>
          <w:rFonts w:ascii="Arno Pro" w:hAnsi="Arno Pro"/>
          <w:b w:val="0"/>
          <w:smallCaps w:val="0"/>
          <w:w w:val="100"/>
          <w:lang w:val="en-US"/>
        </w:rPr>
        <w:t xml:space="preserve"> without DMPU). </w:t>
      </w:r>
    </w:p>
    <w:p w14:paraId="54EB6A07" w14:textId="77777777" w:rsidR="005C62A1" w:rsidRPr="005C62A1" w:rsidRDefault="005C62A1" w:rsidP="00D13841">
      <w:pPr>
        <w:pStyle w:val="TAMainText"/>
        <w:rPr>
          <w:rStyle w:val="06CHeading"/>
          <w:rFonts w:ascii="Arno Pro" w:hAnsi="Arno Pro"/>
          <w:b w:val="0"/>
          <w:smallCaps w:val="0"/>
          <w:w w:val="100"/>
          <w:lang w:val="en-US"/>
        </w:rPr>
      </w:pPr>
      <w:r w:rsidRPr="005C62A1">
        <w:rPr>
          <w:rStyle w:val="06CHeading"/>
          <w:rFonts w:ascii="Arno Pro" w:hAnsi="Arno Pro"/>
          <w:b w:val="0"/>
          <w:smallCaps w:val="0"/>
          <w:w w:val="100"/>
          <w:lang w:val="en-US"/>
        </w:rPr>
        <w:t xml:space="preserve">Using the optimised conditions, we prepared a fully-DNA encoded compound in a manner analogous to that which would be used in a library synthesis. This would confirm that the reaction could be employed in a synthetic sequence and that the DNA ligations, PCR amplifications and sequencing were compatible with the synthetic operations. We therefore carried out a 2-cycle library synthesis protocol involving the sequential coupling of </w:t>
      </w:r>
      <w:r w:rsidRPr="00AB22B9">
        <w:rPr>
          <w:rStyle w:val="06CHeading"/>
          <w:rFonts w:ascii="Arno Pro" w:hAnsi="Arno Pro"/>
          <w:bCs/>
          <w:smallCaps w:val="0"/>
          <w:w w:val="100"/>
          <w:lang w:val="en-US"/>
        </w:rPr>
        <w:t>11</w:t>
      </w:r>
      <w:r w:rsidRPr="005C62A1">
        <w:rPr>
          <w:rStyle w:val="06CHeading"/>
          <w:rFonts w:ascii="Arno Pro" w:hAnsi="Arno Pro"/>
          <w:b w:val="0"/>
          <w:smallCaps w:val="0"/>
          <w:w w:val="100"/>
          <w:lang w:val="en-US"/>
        </w:rPr>
        <w:t xml:space="preserve"> with 4-iodobenzoic acid to give aryl iodide </w:t>
      </w:r>
      <w:r w:rsidRPr="00AB22B9">
        <w:rPr>
          <w:rStyle w:val="06CHeading"/>
          <w:rFonts w:ascii="Arno Pro" w:hAnsi="Arno Pro"/>
          <w:bCs/>
          <w:smallCaps w:val="0"/>
          <w:w w:val="100"/>
          <w:lang w:val="en-US"/>
        </w:rPr>
        <w:t>12</w:t>
      </w:r>
      <w:r w:rsidRPr="005C62A1">
        <w:rPr>
          <w:rStyle w:val="06CHeading"/>
          <w:rFonts w:ascii="Arno Pro" w:hAnsi="Arno Pro"/>
          <w:b w:val="0"/>
          <w:smallCaps w:val="0"/>
          <w:w w:val="100"/>
          <w:lang w:val="en-US"/>
        </w:rPr>
        <w:t xml:space="preserve">, followed by coupling of 2-aminopyridine to give the biarylamine </w:t>
      </w:r>
      <w:r w:rsidRPr="00D13841">
        <w:rPr>
          <w:rStyle w:val="06CHeading"/>
          <w:rFonts w:ascii="Arno Pro" w:hAnsi="Arno Pro"/>
          <w:smallCaps w:val="0"/>
          <w:w w:val="100"/>
          <w:lang w:val="en-US"/>
        </w:rPr>
        <w:t>13</w:t>
      </w:r>
      <w:r w:rsidRPr="005C62A1">
        <w:rPr>
          <w:rStyle w:val="06CHeading"/>
          <w:rFonts w:ascii="Arno Pro" w:hAnsi="Arno Pro"/>
          <w:b w:val="0"/>
          <w:smallCaps w:val="0"/>
          <w:w w:val="100"/>
          <w:lang w:val="en-US"/>
        </w:rPr>
        <w:t xml:space="preserve"> as the final product, with a tandem codon ligation at each step (Scheme 2). Gel electrophoresis confirmed the product 13 was successfully encoded, with a major band at corresponding to the expected 97 base pair oligonucleotide conjugate. PCR amplification (40 cycles) of a sample of </w:t>
      </w:r>
      <w:r w:rsidRPr="00AB22B9">
        <w:rPr>
          <w:rStyle w:val="06CHeading"/>
          <w:rFonts w:ascii="Arno Pro" w:hAnsi="Arno Pro"/>
          <w:bCs/>
          <w:smallCaps w:val="0"/>
          <w:w w:val="100"/>
          <w:lang w:val="en-US"/>
        </w:rPr>
        <w:t>13</w:t>
      </w:r>
      <w:r w:rsidRPr="005C62A1">
        <w:rPr>
          <w:rStyle w:val="06CHeading"/>
          <w:rFonts w:ascii="Arno Pro" w:hAnsi="Arno Pro"/>
          <w:b w:val="0"/>
          <w:smallCaps w:val="0"/>
          <w:w w:val="100"/>
          <w:lang w:val="en-US"/>
        </w:rPr>
        <w:t xml:space="preserve"> resulted in a major band of the expected 148 base pair length. Next generation sequencing of the amplified sample showed that the only major sequence corresponded exactly to that which was expected (73% of total reads for both substrate and complementary strands, Table S4). Hence the amination conditions are fully compatible with library synthesis protocols and DNA encoding / decoding.</w:t>
      </w:r>
    </w:p>
    <w:p w14:paraId="664F672E" w14:textId="77777777" w:rsidR="005C62A1" w:rsidRDefault="005C62A1" w:rsidP="0091687E">
      <w:pPr>
        <w:pStyle w:val="TAMainText"/>
      </w:pPr>
    </w:p>
    <w:p w14:paraId="0F364B59" w14:textId="77777777" w:rsidR="005C62A1" w:rsidRDefault="005C62A1" w:rsidP="008360B6">
      <w:pPr>
        <w:pStyle w:val="TAMainText"/>
        <w:rPr>
          <w:szCs w:val="14"/>
        </w:rPr>
      </w:pPr>
      <w:r>
        <w:rPr>
          <w:noProof/>
          <w:lang w:val="en-GB" w:eastAsia="en-GB"/>
        </w:rPr>
        <w:drawing>
          <wp:inline distT="0" distB="0" distL="0" distR="0" wp14:anchorId="27F3FA79" wp14:editId="55DCAF13">
            <wp:extent cx="2466975" cy="1952625"/>
            <wp:effectExtent l="0" t="0" r="0" b="3175"/>
            <wp:docPr id="53" name="Object 1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8"/>
                    <pic:cNvPicPr>
                      <a:picLocks noGrp="1" noRot="1" noChangeAspect="1" noEditPoints="1" noAdjustHandles="1" noChangeArrowheads="1" noChangeShapeType="1" noCrop="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p>
    <w:p w14:paraId="30F53D92" w14:textId="77777777" w:rsidR="005C62A1" w:rsidRPr="00EC77AD" w:rsidRDefault="005C62A1" w:rsidP="00912C70">
      <w:pPr>
        <w:pStyle w:val="VCSchemeTitle"/>
      </w:pPr>
      <w:r w:rsidRPr="00912C70">
        <w:rPr>
          <w:b/>
          <w:bCs w:val="0"/>
        </w:rPr>
        <w:t>Scheme 2.</w:t>
      </w:r>
      <w:r>
        <w:t xml:space="preserve"> </w:t>
      </w:r>
      <w:r w:rsidRPr="00D84547">
        <w:t xml:space="preserve">Synthesis of representative encoded compound. Conditions: (i) </w:t>
      </w:r>
      <w:r>
        <w:t>L</w:t>
      </w:r>
      <w:r w:rsidRPr="00D84547">
        <w:t>igation (primer and BB1 codon); (ii)</w:t>
      </w:r>
      <w:r>
        <w:t xml:space="preserve"> a. </w:t>
      </w:r>
      <w:r w:rsidRPr="00066A13">
        <w:t>L</w:t>
      </w:r>
      <w:r>
        <w:t>igation (BB2 codon), b.</w:t>
      </w:r>
      <w:r w:rsidRPr="00D84547">
        <w:t xml:space="preserve"> </w:t>
      </w:r>
      <w:r w:rsidRPr="008E5B2A">
        <w:rPr>
          <w:i/>
        </w:rPr>
        <w:t>p</w:t>
      </w:r>
      <w:r>
        <w:t>-</w:t>
      </w:r>
      <w:r w:rsidRPr="00066A13">
        <w:t>I</w:t>
      </w:r>
      <w:r>
        <w:t>odobenzoic acid</w:t>
      </w:r>
      <w:r w:rsidRPr="00D84547">
        <w:t xml:space="preserve"> (</w:t>
      </w:r>
      <w:r>
        <w:t>0.027</w:t>
      </w:r>
      <w:r w:rsidRPr="00D84547">
        <w:t xml:space="preserve"> M),</w:t>
      </w:r>
      <w:r>
        <w:t xml:space="preserve"> DMT-MM (0.027 M), 70 µL total volume,</w:t>
      </w:r>
      <w:r w:rsidRPr="00D84547">
        <w:t xml:space="preserve"> </w:t>
      </w:r>
      <w:r>
        <w:t xml:space="preserve">rt, </w:t>
      </w:r>
      <w:r w:rsidRPr="00D84547">
        <w:t>1</w:t>
      </w:r>
      <w:r>
        <w:t>6</w:t>
      </w:r>
      <w:r w:rsidRPr="00D84547">
        <w:t xml:space="preserve"> h; (iii) </w:t>
      </w:r>
      <w:r>
        <w:t xml:space="preserve">a. </w:t>
      </w:r>
      <w:r w:rsidRPr="00066A13">
        <w:t>L</w:t>
      </w:r>
      <w:r w:rsidRPr="00D84547">
        <w:t>igation (BB</w:t>
      </w:r>
      <w:r>
        <w:t>3</w:t>
      </w:r>
      <w:r w:rsidRPr="00D84547">
        <w:t xml:space="preserve"> codon</w:t>
      </w:r>
      <w:r>
        <w:t xml:space="preserve"> and closing primer sequence</w:t>
      </w:r>
      <w:r w:rsidRPr="00D84547">
        <w:t xml:space="preserve">), then </w:t>
      </w:r>
      <w:r>
        <w:t>2-aminopyridine</w:t>
      </w:r>
      <w:r w:rsidRPr="00D84547">
        <w:t xml:space="preserve"> (</w:t>
      </w:r>
      <w:r>
        <w:t>1</w:t>
      </w:r>
      <w:r w:rsidRPr="00D84547">
        <w:t xml:space="preserve"> M), </w:t>
      </w:r>
      <w:r>
        <w:t>tBuOK</w:t>
      </w:r>
      <w:r w:rsidRPr="00D84547">
        <w:t xml:space="preserve"> (</w:t>
      </w:r>
      <w:r>
        <w:t>0.2</w:t>
      </w:r>
      <w:r w:rsidRPr="00D84547">
        <w:t xml:space="preserve"> M), </w:t>
      </w:r>
      <w:r w:rsidRPr="00551C6A">
        <w:t>[(Cinnamyl)PdCl]</w:t>
      </w:r>
      <w:r>
        <w:rPr>
          <w:vertAlign w:val="subscript"/>
        </w:rPr>
        <w:t>2</w:t>
      </w:r>
      <w:r>
        <w:t xml:space="preserve"> (3.45 mM), cBRIDP (6.9 mM),</w:t>
      </w:r>
      <w:r w:rsidRPr="00D84547">
        <w:t xml:space="preserve"> </w:t>
      </w:r>
      <w:r>
        <w:t>3</w:t>
      </w:r>
      <w:r w:rsidRPr="00D84547">
        <w:t>.5%</w:t>
      </w:r>
      <w:r>
        <w:t xml:space="preserve"> aq.</w:t>
      </w:r>
      <w:r w:rsidRPr="00D84547">
        <w:t xml:space="preserve"> TPGS</w:t>
      </w:r>
      <w:r>
        <w:t>-750-M</w:t>
      </w:r>
      <w:r w:rsidRPr="00D84547">
        <w:t xml:space="preserve">, </w:t>
      </w:r>
      <w:r>
        <w:t xml:space="preserve">5% DMPU, </w:t>
      </w:r>
      <w:r w:rsidRPr="00D84547">
        <w:t xml:space="preserve">30 </w:t>
      </w:r>
      <w:r>
        <w:t>µ</w:t>
      </w:r>
      <w:r w:rsidRPr="00D84547">
        <w:t>l</w:t>
      </w:r>
      <w:r>
        <w:t xml:space="preserve"> total volume</w:t>
      </w:r>
      <w:r w:rsidRPr="00D84547">
        <w:t xml:space="preserve">, </w:t>
      </w:r>
      <w:r>
        <w:t>80 ˚C</w:t>
      </w:r>
      <w:r w:rsidRPr="00D84547">
        <w:t>, 3</w:t>
      </w:r>
      <w:r>
        <w:t>0</w:t>
      </w:r>
      <w:r w:rsidRPr="00D84547">
        <w:t xml:space="preserve"> </w:t>
      </w:r>
      <w:r>
        <w:t xml:space="preserve">mins. Overall yield 11%. </w:t>
      </w:r>
      <w:r w:rsidRPr="00D84547">
        <w:t>Yields determined by Nanodrop</w:t>
      </w:r>
      <w:r>
        <w:t>™</w:t>
      </w:r>
      <w:r w:rsidRPr="00D84547">
        <w:t xml:space="preserve"> spectrophotometry.</w:t>
      </w:r>
    </w:p>
    <w:p w14:paraId="4B47D245" w14:textId="77777777" w:rsidR="005C62A1" w:rsidRPr="00912C70" w:rsidRDefault="005C62A1" w:rsidP="00912C70">
      <w:pPr>
        <w:pStyle w:val="TESupportingInfoTitle"/>
        <w:rPr>
          <w:b w:val="0"/>
          <w:smallCaps/>
        </w:rPr>
      </w:pPr>
      <w:r w:rsidRPr="00912C70">
        <w:t>Conclusions</w:t>
      </w:r>
    </w:p>
    <w:p w14:paraId="1D5A7ECE" w14:textId="77777777" w:rsidR="005C62A1" w:rsidRDefault="005C62A1" w:rsidP="00D13841">
      <w:pPr>
        <w:pStyle w:val="TAMainText"/>
      </w:pPr>
      <w:r>
        <w:t>The optimised micelle mediated conditions provide a highly efficient method for carrying out Buchwald-Hartwig coupling of DNA-conjugated aryl halides with a range of aromatic amines. The method shows broad functional compatibility and substrate scope for both reaction components, particularly for the</w:t>
      </w:r>
      <w:r>
        <w:rPr>
          <w:rStyle w:val="CommentReference"/>
          <w:rFonts w:cstheme="minorBidi"/>
        </w:rPr>
        <w:t xml:space="preserve"> </w:t>
      </w:r>
      <w:r w:rsidRPr="00F56D9B">
        <w:rPr>
          <w:rStyle w:val="CommentReference"/>
          <w:rFonts w:cstheme="minorBidi"/>
        </w:rPr>
        <w:t>c</w:t>
      </w:r>
      <w:r>
        <w:t>oupling of medicinally relevant monomers, such as heterocyclic systems. Direct comparison with literature substrates demonstrates that this method is superior to previously disclosed approaches to this coupling, which has been historically problematic with regard to broad applicability. The addition of the coordinating solvent DMPU, in combination with the micelle-forming surfactant is shown by leave out experiments to be critical to the reaction efficiency. The broad substrate scope, coupled with the synthesis of a multicycle fully DNA encoded compound establishes that this method is of great utility in the synthesis of DELs.</w:t>
      </w:r>
    </w:p>
    <w:p w14:paraId="2984780D" w14:textId="77777777" w:rsidR="005C62A1" w:rsidRPr="00387697" w:rsidRDefault="005C62A1" w:rsidP="00912C70">
      <w:pPr>
        <w:pStyle w:val="TESupportingInfoTitle"/>
      </w:pPr>
      <w:r w:rsidRPr="00387697">
        <w:t>Experimental</w:t>
      </w:r>
    </w:p>
    <w:p w14:paraId="59FE4338" w14:textId="77777777" w:rsidR="005C62A1" w:rsidRPr="002240A2" w:rsidRDefault="005C62A1" w:rsidP="00D13841">
      <w:pPr>
        <w:pStyle w:val="TAMainText"/>
      </w:pPr>
      <w:r w:rsidRPr="002240A2">
        <w:t>Coupling of on DNA aryl halides to amines</w:t>
      </w:r>
    </w:p>
    <w:p w14:paraId="0A65938A" w14:textId="0BF44231" w:rsidR="005C62A1" w:rsidRPr="002240A2" w:rsidRDefault="005C62A1" w:rsidP="0091687E">
      <w:pPr>
        <w:pStyle w:val="TAMainText"/>
      </w:pPr>
      <w:r w:rsidRPr="002240A2">
        <w:t>To a 50 μL flat bottom glass insert was added amine (20 μL, 1.</w:t>
      </w:r>
      <w:r>
        <w:t>6 </w:t>
      </w:r>
      <w:r w:rsidRPr="002240A2">
        <w:t xml:space="preserve">M in MeOH) and the MeOH was removed at 60 ˚C using a Genevac. To this was added </w:t>
      </w:r>
      <w:r>
        <w:t>water</w:t>
      </w:r>
      <w:r w:rsidRPr="002240A2">
        <w:t xml:space="preserve"> (2.0 μL), 5% TPGS-750-M (21 μL), DNA (5.0 μL, 1.0 mM</w:t>
      </w:r>
      <w:r>
        <w:t>, aq.</w:t>
      </w:r>
      <w:r w:rsidRPr="002240A2">
        <w:t>), and tBuOK (2.0 μL, 3.0 M</w:t>
      </w:r>
      <w:r>
        <w:t>, aq.</w:t>
      </w:r>
      <w:r w:rsidRPr="002240A2">
        <w:t>), followed by [(cinnamyl)PdCl]</w:t>
      </w:r>
      <w:r w:rsidRPr="003160C8">
        <w:rPr>
          <w:vertAlign w:val="subscript"/>
        </w:rPr>
        <w:t>2</w:t>
      </w:r>
      <w:r w:rsidRPr="002240A2">
        <w:t xml:space="preserve"> (0.75 μL, 145 mM in DMPU)</w:t>
      </w:r>
      <w:r w:rsidRPr="00AC3946">
        <w:rPr>
          <w:vertAlign w:val="superscript"/>
        </w:rPr>
        <w:t>§</w:t>
      </w:r>
      <w:r w:rsidRPr="002240A2">
        <w:t xml:space="preserve"> and cBRIDP (0.75 μL, 290 mM in DMPU). The reaction vial was vortexed for 30 seconds to enhance mixing, then the sample was heated in a pre-heated Para-dox® micro 24-position photoredox plate at 80  ̊C for 30 mins. </w:t>
      </w:r>
      <w:r>
        <w:t>T</w:t>
      </w:r>
      <w:r w:rsidRPr="002240A2">
        <w:t>he reaction was allowed to cool, sodium diethyldithiocarbamic acid (6.0 μL, 1.0 M</w:t>
      </w:r>
      <w:r>
        <w:t>, aq.</w:t>
      </w:r>
      <w:r w:rsidRPr="002240A2">
        <w:t xml:space="preserve">) was added </w:t>
      </w:r>
      <w:r w:rsidR="00F3106B">
        <w:t xml:space="preserve">as a palladium scavenger </w:t>
      </w:r>
      <w:r w:rsidRPr="002240A2">
        <w:t>and the reaction was heat</w:t>
      </w:r>
      <w:r>
        <w:t>ed</w:t>
      </w:r>
      <w:r w:rsidRPr="002240A2">
        <w:t xml:space="preserve"> at 60 ˚C for a further 30 mins. </w:t>
      </w:r>
      <w:r>
        <w:t>T</w:t>
      </w:r>
      <w:r w:rsidRPr="002240A2">
        <w:t xml:space="preserve">he reaction was allowed to cool, </w:t>
      </w:r>
      <w:r>
        <w:t xml:space="preserve">water </w:t>
      </w:r>
      <w:r w:rsidRPr="002240A2">
        <w:t xml:space="preserve">(100 μL) was added and was washed with EtOAc (200 μL). The aqueous layer was removed and filtered with a hydrophilic PTFE syringe filter, then the reaction </w:t>
      </w:r>
      <w:r>
        <w:t>product was characterised</w:t>
      </w:r>
      <w:r w:rsidRPr="002240A2">
        <w:t xml:space="preserve"> by mass spectrometry.</w:t>
      </w:r>
    </w:p>
    <w:p w14:paraId="654AFADD" w14:textId="77777777" w:rsidR="0004450A" w:rsidRDefault="0004450A" w:rsidP="0004450A">
      <w:pPr>
        <w:pStyle w:val="TESupportingInfoTitle"/>
      </w:pPr>
      <w:r>
        <w:t>ASSOCIATED CONTENT</w:t>
      </w:r>
      <w:r w:rsidRPr="00BE533F">
        <w:t xml:space="preserve"> </w:t>
      </w:r>
    </w:p>
    <w:p w14:paraId="0886E840" w14:textId="2DBA255B" w:rsidR="0004450A" w:rsidRDefault="0004450A" w:rsidP="0004450A">
      <w:pPr>
        <w:pStyle w:val="TESupportingInformation"/>
      </w:pPr>
      <w:r w:rsidRPr="00157E12">
        <w:rPr>
          <w:b/>
        </w:rPr>
        <w:lastRenderedPageBreak/>
        <w:t>Supporting Information</w:t>
      </w:r>
      <w:r>
        <w:t xml:space="preserve">. </w:t>
      </w:r>
      <w:r w:rsidR="00891688">
        <w:t xml:space="preserve">Detailed experimental procedures, additional results from </w:t>
      </w:r>
      <w:r w:rsidR="00256C9C">
        <w:t>optimisation and comparative reactions, full analytical characteri</w:t>
      </w:r>
      <w:r w:rsidR="00320595">
        <w:t>s</w:t>
      </w:r>
      <w:r w:rsidR="00256C9C">
        <w:t xml:space="preserve">ation and </w:t>
      </w:r>
      <w:r w:rsidR="00320595">
        <w:t>PCR and sequencing data.</w:t>
      </w:r>
      <w:r>
        <w:t xml:space="preserve"> This material is available free of charge via the Internet at </w:t>
      </w:r>
      <w:r w:rsidRPr="003E5207">
        <w:t>http://pubs.acs.org</w:t>
      </w:r>
      <w:r>
        <w:t xml:space="preserve">. </w:t>
      </w:r>
    </w:p>
    <w:p w14:paraId="3A888B4F" w14:textId="77777777" w:rsidR="0004450A" w:rsidRDefault="0004450A" w:rsidP="0004450A">
      <w:pPr>
        <w:pStyle w:val="AuthorInformationTitle"/>
      </w:pPr>
      <w:r>
        <w:t>AUTHOR INFORMATION</w:t>
      </w:r>
    </w:p>
    <w:p w14:paraId="2355280C" w14:textId="77777777" w:rsidR="0004450A" w:rsidRDefault="0004450A" w:rsidP="0004450A">
      <w:pPr>
        <w:pStyle w:val="FAAuthorInfoSubtitle"/>
      </w:pPr>
      <w:r>
        <w:t>Corresponding Author</w:t>
      </w:r>
    </w:p>
    <w:p w14:paraId="14EE1FBD" w14:textId="77777777" w:rsidR="0004450A" w:rsidRPr="005D2065" w:rsidRDefault="0004450A" w:rsidP="0004450A">
      <w:pPr>
        <w:pStyle w:val="StyleFACorrespondingAuthorFootnote7pt"/>
      </w:pPr>
      <w:r w:rsidRPr="003E5207">
        <w:t>*</w:t>
      </w:r>
      <w:r w:rsidRPr="005D0A6F">
        <w:t>Cancer Research UK Newcastle Drug Discovery Unit, Chemistry, School of Natural and Environmental Sciences, Bedson Building, Newcastle University, Newcastle upon Tyne, NE1 7RU, UK. E-mail: mike.waring@ncl.ac.uk</w:t>
      </w:r>
    </w:p>
    <w:p w14:paraId="0E44652A" w14:textId="77777777" w:rsidR="0004450A" w:rsidRDefault="0004450A" w:rsidP="0004450A">
      <w:pPr>
        <w:pStyle w:val="FAAuthorInfoSubtitle"/>
      </w:pPr>
      <w:r>
        <w:t>Author Contributions</w:t>
      </w:r>
    </w:p>
    <w:p w14:paraId="70E9A504" w14:textId="77777777" w:rsidR="0004450A" w:rsidRDefault="0004450A" w:rsidP="00D13841">
      <w:pPr>
        <w:pStyle w:val="TAMainText"/>
      </w:pPr>
      <w:r>
        <w:t>JSG designed and carried out the reaction screening, optimisation, substrate exemplification reactions and carried out the encoded compound synthesis. JHH developed the micellar Suzuki coupling, which led to this work. MJW conceived of the project and supervised JSG. JSG and MJW wrote the manuscript.</w:t>
      </w:r>
    </w:p>
    <w:p w14:paraId="33FC2D32" w14:textId="318F25B9" w:rsidR="0004450A" w:rsidRPr="003A5AAA" w:rsidRDefault="0004450A" w:rsidP="0004450A">
      <w:pPr>
        <w:pStyle w:val="TFReferencesSection"/>
        <w:rPr>
          <w:rFonts w:asciiTheme="minorHAnsi" w:eastAsiaTheme="minorHAnsi" w:hAnsiTheme="minorHAnsi" w:cstheme="minorBidi"/>
          <w:bCs/>
          <w:sz w:val="18"/>
          <w:szCs w:val="18"/>
          <w:lang w:val="en-GB"/>
        </w:rPr>
      </w:pPr>
      <w:r>
        <w:br/>
      </w:r>
      <w:r w:rsidRPr="000D2D84">
        <w:rPr>
          <w:rStyle w:val="FAAuthorInfoSubtitleChar"/>
        </w:rPr>
        <w:t>Notes</w:t>
      </w:r>
      <w:r w:rsidRPr="000D2D84">
        <w:rPr>
          <w:rStyle w:val="FAAuthorInfoSubtitleChar"/>
        </w:rPr>
        <w:br/>
      </w:r>
      <w:r w:rsidRPr="00AC3946">
        <w:rPr>
          <w:vertAlign w:val="superscript"/>
        </w:rPr>
        <w:t>§</w:t>
      </w:r>
      <w:r w:rsidRPr="00EA25DD">
        <w:rPr>
          <w:rStyle w:val="RSCR01FootnotestomaintextChar"/>
        </w:rPr>
        <w:t xml:space="preserve">Dissolution of the palladium precatalyst required heating. It was important to ensure that it </w:t>
      </w:r>
      <w:r>
        <w:rPr>
          <w:rStyle w:val="RSCR01FootnotestomaintextChar"/>
        </w:rPr>
        <w:t>was</w:t>
      </w:r>
      <w:r w:rsidRPr="00EA25DD">
        <w:rPr>
          <w:rStyle w:val="RSCR01FootnotestomaintextChar"/>
        </w:rPr>
        <w:t xml:space="preserve"> fully dissolved.</w:t>
      </w:r>
    </w:p>
    <w:p w14:paraId="6C5E9D25" w14:textId="0A61D45A" w:rsidR="0004450A" w:rsidRDefault="0004450A" w:rsidP="0004450A">
      <w:pPr>
        <w:pStyle w:val="TDAckTitle"/>
      </w:pPr>
      <w:r w:rsidRPr="00A71C00">
        <w:t>ACKNOWLEDGMENT</w:t>
      </w:r>
      <w:r w:rsidR="00212036">
        <w:t>S</w:t>
      </w:r>
      <w:r w:rsidRPr="00BE533F">
        <w:t xml:space="preserve"> </w:t>
      </w:r>
    </w:p>
    <w:p w14:paraId="04BF874F" w14:textId="46D9073A" w:rsidR="0004450A" w:rsidRDefault="0004450A" w:rsidP="00D13841">
      <w:pPr>
        <w:pStyle w:val="TAMainText"/>
      </w:pPr>
      <w:r w:rsidRPr="00387697">
        <w:t>We thank Louis F. Valente for advice on factorial experimental design.</w:t>
      </w:r>
    </w:p>
    <w:p w14:paraId="0EF70547" w14:textId="307F43C6" w:rsidR="00212036" w:rsidRDefault="00212036" w:rsidP="00D13841">
      <w:pPr>
        <w:pStyle w:val="TAMainText"/>
      </w:pPr>
      <w:r>
        <w:t>We thank EPSRC MoSMed CDT (</w:t>
      </w:r>
      <w:r w:rsidRPr="00AD51E3">
        <w:t>EP/S022791/1</w:t>
      </w:r>
      <w:r>
        <w:t>, studentship award to JSG), AstraZeneca (studentship award to JHH), Cancer Research UK (C2115/A21421, Newcastle Drug Discovery Unit Programme Grant) for funding.</w:t>
      </w:r>
    </w:p>
    <w:p w14:paraId="7D41B09E" w14:textId="5B26CBFB" w:rsidR="0004450A" w:rsidRDefault="0004450A" w:rsidP="0004450A">
      <w:pPr>
        <w:pStyle w:val="TDAckTitle"/>
      </w:pPr>
      <w:r>
        <w:t>REFERENCES</w:t>
      </w:r>
    </w:p>
    <w:p w14:paraId="0C9A9C62" w14:textId="5E85E851" w:rsidR="008D2C4C" w:rsidRPr="008D2C4C" w:rsidRDefault="008D2C4C" w:rsidP="00EF2E21">
      <w:pPr>
        <w:pStyle w:val="TFReferencesSection"/>
        <w:ind w:firstLine="0"/>
        <w:rPr>
          <w:noProof/>
        </w:rPr>
      </w:pPr>
      <w:r>
        <w:fldChar w:fldCharType="begin" w:fldLock="1"/>
      </w:r>
      <w:r>
        <w:instrText xml:space="preserve">ADDIN Mendeley Bibliography CSL_BIBLIOGRAPHY </w:instrText>
      </w:r>
      <w:r>
        <w:fldChar w:fldCharType="separate"/>
      </w:r>
      <w:r w:rsidRPr="008D2C4C">
        <w:rPr>
          <w:noProof/>
        </w:rPr>
        <w:t xml:space="preserve">(1) Dorel, R.; Grugel, C. P.; Haydl, A. M. The Buchwald–Hartwig Amination After 25 Years. </w:t>
      </w:r>
      <w:r w:rsidRPr="008D2C4C">
        <w:rPr>
          <w:i/>
          <w:iCs/>
          <w:noProof/>
        </w:rPr>
        <w:t>Angew. Chemie Int. Ed.</w:t>
      </w:r>
      <w:r w:rsidRPr="008D2C4C">
        <w:rPr>
          <w:noProof/>
        </w:rPr>
        <w:t xml:space="preserve"> </w:t>
      </w:r>
      <w:r w:rsidRPr="008D2C4C">
        <w:rPr>
          <w:b/>
          <w:bCs/>
          <w:noProof/>
        </w:rPr>
        <w:t>2019</w:t>
      </w:r>
      <w:r w:rsidRPr="008D2C4C">
        <w:rPr>
          <w:noProof/>
        </w:rPr>
        <w:t xml:space="preserve">, </w:t>
      </w:r>
      <w:r w:rsidRPr="008D2C4C">
        <w:rPr>
          <w:i/>
          <w:iCs/>
          <w:noProof/>
        </w:rPr>
        <w:t>58</w:t>
      </w:r>
      <w:r w:rsidRPr="008D2C4C">
        <w:rPr>
          <w:noProof/>
        </w:rPr>
        <w:t xml:space="preserve"> (48), 17118–17129.</w:t>
      </w:r>
    </w:p>
    <w:p w14:paraId="226E1599" w14:textId="5EAC6108" w:rsidR="008D2C4C" w:rsidRPr="008D2C4C" w:rsidRDefault="008D2C4C" w:rsidP="00EF2E21">
      <w:pPr>
        <w:pStyle w:val="TFReferencesSection"/>
        <w:ind w:firstLine="0"/>
        <w:rPr>
          <w:noProof/>
        </w:rPr>
      </w:pPr>
      <w:r w:rsidRPr="008D2C4C">
        <w:rPr>
          <w:noProof/>
        </w:rPr>
        <w:t xml:space="preserve">(2) Ruiz-Castillo, P.; Buchwald, S. L. Applications of Palladium-Catalyzed C–N Cross-Coupling Reactions. </w:t>
      </w:r>
      <w:r w:rsidRPr="008D2C4C">
        <w:rPr>
          <w:i/>
          <w:iCs/>
          <w:noProof/>
        </w:rPr>
        <w:t>Chem. Rev.</w:t>
      </w:r>
      <w:r w:rsidRPr="008D2C4C">
        <w:rPr>
          <w:noProof/>
        </w:rPr>
        <w:t xml:space="preserve"> </w:t>
      </w:r>
      <w:r w:rsidRPr="008D2C4C">
        <w:rPr>
          <w:b/>
          <w:bCs/>
          <w:noProof/>
        </w:rPr>
        <w:t>2016</w:t>
      </w:r>
      <w:r w:rsidRPr="008D2C4C">
        <w:rPr>
          <w:noProof/>
        </w:rPr>
        <w:t xml:space="preserve">, </w:t>
      </w:r>
      <w:r w:rsidRPr="008D2C4C">
        <w:rPr>
          <w:i/>
          <w:iCs/>
          <w:noProof/>
        </w:rPr>
        <w:t>116</w:t>
      </w:r>
      <w:r w:rsidRPr="008D2C4C">
        <w:rPr>
          <w:noProof/>
        </w:rPr>
        <w:t xml:space="preserve"> (19), 12564–12649.</w:t>
      </w:r>
    </w:p>
    <w:p w14:paraId="743F58AF" w14:textId="7CA4FA32" w:rsidR="008D2C4C" w:rsidRPr="008D2C4C" w:rsidRDefault="008D2C4C" w:rsidP="00EF2E21">
      <w:pPr>
        <w:pStyle w:val="TFReferencesSection"/>
        <w:ind w:firstLine="0"/>
        <w:rPr>
          <w:noProof/>
        </w:rPr>
      </w:pPr>
      <w:r w:rsidRPr="008D2C4C">
        <w:rPr>
          <w:noProof/>
        </w:rPr>
        <w:t xml:space="preserve">(3) Louie, J.; Hartwig, J. F. Palladium-Catalyzed Synthesis of Arylamines from Aryl Halides. Mechanistic Studies Lead to Coupling in the Absence of Tin Reagents. </w:t>
      </w:r>
      <w:r w:rsidRPr="008D2C4C">
        <w:rPr>
          <w:i/>
          <w:iCs/>
          <w:noProof/>
        </w:rPr>
        <w:t>Tetrahedron Lett.</w:t>
      </w:r>
      <w:r w:rsidRPr="008D2C4C">
        <w:rPr>
          <w:noProof/>
        </w:rPr>
        <w:t xml:space="preserve"> </w:t>
      </w:r>
      <w:r w:rsidRPr="008D2C4C">
        <w:rPr>
          <w:b/>
          <w:bCs/>
          <w:noProof/>
        </w:rPr>
        <w:t>1995</w:t>
      </w:r>
      <w:r w:rsidRPr="008D2C4C">
        <w:rPr>
          <w:noProof/>
        </w:rPr>
        <w:t xml:space="preserve">, </w:t>
      </w:r>
      <w:r w:rsidRPr="008D2C4C">
        <w:rPr>
          <w:i/>
          <w:iCs/>
          <w:noProof/>
        </w:rPr>
        <w:t>36</w:t>
      </w:r>
      <w:r w:rsidRPr="008D2C4C">
        <w:rPr>
          <w:noProof/>
        </w:rPr>
        <w:t xml:space="preserve"> (21), 3609–3612.</w:t>
      </w:r>
    </w:p>
    <w:p w14:paraId="3D3A2411" w14:textId="290DDDEB" w:rsidR="008D2C4C" w:rsidRPr="008D2C4C" w:rsidRDefault="008D2C4C" w:rsidP="00EF2E21">
      <w:pPr>
        <w:pStyle w:val="TFReferencesSection"/>
        <w:ind w:firstLine="0"/>
        <w:rPr>
          <w:noProof/>
        </w:rPr>
      </w:pPr>
      <w:r w:rsidRPr="008D2C4C">
        <w:rPr>
          <w:noProof/>
        </w:rPr>
        <w:t xml:space="preserve">(4) Guram, A. S.; Rennels, R. A.; Buchwald, S. L. A Simple Catalytic Method for the Conversion of Aryl Bromides to Arylamines. </w:t>
      </w:r>
      <w:r w:rsidRPr="008D2C4C">
        <w:rPr>
          <w:i/>
          <w:iCs/>
          <w:noProof/>
        </w:rPr>
        <w:t>Angew. Chemie Int. Ed. English</w:t>
      </w:r>
      <w:r w:rsidRPr="008D2C4C">
        <w:rPr>
          <w:noProof/>
        </w:rPr>
        <w:t xml:space="preserve"> </w:t>
      </w:r>
      <w:r w:rsidRPr="008D2C4C">
        <w:rPr>
          <w:b/>
          <w:bCs/>
          <w:noProof/>
        </w:rPr>
        <w:t>1995</w:t>
      </w:r>
      <w:r w:rsidRPr="008D2C4C">
        <w:rPr>
          <w:noProof/>
        </w:rPr>
        <w:t xml:space="preserve">, </w:t>
      </w:r>
      <w:r w:rsidRPr="008D2C4C">
        <w:rPr>
          <w:i/>
          <w:iCs/>
          <w:noProof/>
        </w:rPr>
        <w:t>34</w:t>
      </w:r>
      <w:r w:rsidRPr="008D2C4C">
        <w:rPr>
          <w:noProof/>
        </w:rPr>
        <w:t xml:space="preserve"> (12), 1348–1350.</w:t>
      </w:r>
    </w:p>
    <w:p w14:paraId="7A8668A1" w14:textId="77AF8BB6" w:rsidR="008D2C4C" w:rsidRPr="008D2C4C" w:rsidRDefault="008D2C4C" w:rsidP="00EF2E21">
      <w:pPr>
        <w:pStyle w:val="TFReferencesSection"/>
        <w:ind w:firstLine="0"/>
        <w:rPr>
          <w:noProof/>
        </w:rPr>
      </w:pPr>
      <w:r w:rsidRPr="008D2C4C">
        <w:rPr>
          <w:noProof/>
        </w:rPr>
        <w:t xml:space="preserve">(5) Finlay, M. R. V.; Anderton, M.; Ashton, S.; Ballard, P.; Bethel, P. A.; Box, M. R.; Bradbury, R. H.; Brown, S. J.; Butterworth, S.; Campbell, A.; Chorley, C.; Colclough, N.; Cross, D. A. E.; Currie, G. S.; Grist, M.; Hassall, L.; Hill, G. B.; James, D.; James, M.; Kemmitt, P.; Klinowska, T.; Lamont, G.; Lamont, S. G.; Martin, N.; McFarland, H. L.; Mellor, M. J.; Orme, J. P.; Perkins, D.; Perkins, P.; Richmond, G.; Smith, P.; Ward, R. A.; Waring, M. J.; Whittaker, D.; Wells, S.; Wrigley, G. L. Discovery of a Potent and Selective EGFR Inhibitor (AZD9291) of Both Sensitizing and T790M Resistance Mutations That Spares the Wild Type Form of the Receptor. </w:t>
      </w:r>
      <w:r w:rsidRPr="008D2C4C">
        <w:rPr>
          <w:i/>
          <w:iCs/>
          <w:noProof/>
        </w:rPr>
        <w:t>J. Med. Chem.</w:t>
      </w:r>
      <w:r w:rsidRPr="008D2C4C">
        <w:rPr>
          <w:noProof/>
        </w:rPr>
        <w:t xml:space="preserve"> </w:t>
      </w:r>
      <w:r w:rsidRPr="008D2C4C">
        <w:rPr>
          <w:b/>
          <w:bCs/>
          <w:noProof/>
        </w:rPr>
        <w:t>2014</w:t>
      </w:r>
      <w:r w:rsidRPr="008D2C4C">
        <w:rPr>
          <w:noProof/>
        </w:rPr>
        <w:t xml:space="preserve">, </w:t>
      </w:r>
      <w:r w:rsidRPr="008D2C4C">
        <w:rPr>
          <w:i/>
          <w:iCs/>
          <w:noProof/>
        </w:rPr>
        <w:t>57</w:t>
      </w:r>
      <w:r w:rsidRPr="008D2C4C">
        <w:rPr>
          <w:noProof/>
        </w:rPr>
        <w:t xml:space="preserve"> (20), 8249–8267.</w:t>
      </w:r>
    </w:p>
    <w:p w14:paraId="1168DB22" w14:textId="3872650E" w:rsidR="008D2C4C" w:rsidRPr="008D2C4C" w:rsidRDefault="008D2C4C" w:rsidP="00EF2E21">
      <w:pPr>
        <w:pStyle w:val="TFReferencesSection"/>
        <w:ind w:firstLine="0"/>
        <w:rPr>
          <w:noProof/>
        </w:rPr>
      </w:pPr>
      <w:r w:rsidRPr="008D2C4C">
        <w:rPr>
          <w:noProof/>
        </w:rPr>
        <w:t xml:space="preserve">(6) Toogood, P. L.; Harvey, P. J.; Repine, J. T.; Sheehan, D. J.; VanderWel, S. N.; Zhou, H.; Keller, P. R.; McNamara, D. J.; </w:t>
      </w:r>
      <w:r w:rsidRPr="008D2C4C">
        <w:rPr>
          <w:noProof/>
        </w:rPr>
        <w:t xml:space="preserve">Sherry, D.; Zhu, T.; Brodfuehrer, J.; Choi, C.; Barvian, M. R.; Fry, D. W. Discovery of a Potent and Selective Inhibitor of Cyclin-Dependent Kinase 4/6. </w:t>
      </w:r>
      <w:r w:rsidRPr="008D2C4C">
        <w:rPr>
          <w:i/>
          <w:iCs/>
          <w:noProof/>
        </w:rPr>
        <w:t>J. Med. Chem.</w:t>
      </w:r>
      <w:r w:rsidRPr="008D2C4C">
        <w:rPr>
          <w:noProof/>
        </w:rPr>
        <w:t xml:space="preserve"> </w:t>
      </w:r>
      <w:r w:rsidRPr="008D2C4C">
        <w:rPr>
          <w:b/>
          <w:bCs/>
          <w:noProof/>
        </w:rPr>
        <w:t>2005</w:t>
      </w:r>
      <w:r w:rsidRPr="008D2C4C">
        <w:rPr>
          <w:noProof/>
        </w:rPr>
        <w:t xml:space="preserve">, </w:t>
      </w:r>
      <w:r w:rsidRPr="008D2C4C">
        <w:rPr>
          <w:i/>
          <w:iCs/>
          <w:noProof/>
        </w:rPr>
        <w:t>48</w:t>
      </w:r>
      <w:r w:rsidRPr="008D2C4C">
        <w:rPr>
          <w:noProof/>
        </w:rPr>
        <w:t xml:space="preserve"> (7), 2388–2406.</w:t>
      </w:r>
    </w:p>
    <w:p w14:paraId="7EAB5787" w14:textId="5DCEFA28" w:rsidR="008D2C4C" w:rsidRPr="008D2C4C" w:rsidRDefault="008D2C4C" w:rsidP="00EF2E21">
      <w:pPr>
        <w:pStyle w:val="TFReferencesSection"/>
        <w:ind w:firstLine="0"/>
        <w:rPr>
          <w:noProof/>
        </w:rPr>
      </w:pPr>
      <w:r w:rsidRPr="008D2C4C">
        <w:rPr>
          <w:noProof/>
        </w:rPr>
        <w:t xml:space="preserve">(7) Janssen, P. A. J.; Lewi, P. J.; Arnold, E.; Daeyaert, F.; de Jonge, M.; Heeres, J.; Koymans, L.; Vinkers, M.; Guillemont, J.; Pasquier, E.; Kukla, M.; Ludovici, D.; Andries, K.; de Béthune, M.-P.; Pauwels, R.; Das, K.; Clark, A. D.; Frenkel, Y. V.; Hughes, S. H.; Medaer, B.; De Knaep, F.; Bohets, H.; De Clerck, F.; Lampo, A.; Williams, P.; Stoffels, P. In Search of a Novel Anti-HIV Drug: Multidisciplinary Coordination in the Discovery of 4-[[4-[[4-[(1 E )-2-Cyanoethenyl]-2,6-Dimethylphenyl]Amino]-2- Pyrimidinyl]Amino]Benzonitrile (R278474, Rilpivirine). </w:t>
      </w:r>
      <w:r w:rsidRPr="008D2C4C">
        <w:rPr>
          <w:i/>
          <w:iCs/>
          <w:noProof/>
        </w:rPr>
        <w:t>J. Med. Chem.</w:t>
      </w:r>
      <w:r w:rsidRPr="008D2C4C">
        <w:rPr>
          <w:noProof/>
        </w:rPr>
        <w:t xml:space="preserve"> </w:t>
      </w:r>
      <w:r w:rsidRPr="008D2C4C">
        <w:rPr>
          <w:b/>
          <w:bCs/>
          <w:noProof/>
        </w:rPr>
        <w:t>2005</w:t>
      </w:r>
      <w:r w:rsidRPr="008D2C4C">
        <w:rPr>
          <w:noProof/>
        </w:rPr>
        <w:t xml:space="preserve">, </w:t>
      </w:r>
      <w:r w:rsidRPr="008D2C4C">
        <w:rPr>
          <w:i/>
          <w:iCs/>
          <w:noProof/>
        </w:rPr>
        <w:t>48</w:t>
      </w:r>
      <w:r w:rsidRPr="008D2C4C">
        <w:rPr>
          <w:noProof/>
        </w:rPr>
        <w:t xml:space="preserve"> (6), 1901–1909.</w:t>
      </w:r>
    </w:p>
    <w:p w14:paraId="0E49CE62" w14:textId="258A3F83" w:rsidR="008D2C4C" w:rsidRPr="008D2C4C" w:rsidRDefault="008D2C4C" w:rsidP="00EF2E21">
      <w:pPr>
        <w:pStyle w:val="TFReferencesSection"/>
        <w:ind w:firstLine="0"/>
        <w:rPr>
          <w:noProof/>
        </w:rPr>
      </w:pPr>
      <w:r w:rsidRPr="008D2C4C">
        <w:rPr>
          <w:noProof/>
        </w:rPr>
        <w:t xml:space="preserve">(8) </w:t>
      </w:r>
      <w:r w:rsidR="001D7562" w:rsidRPr="008D2C4C">
        <w:rPr>
          <w:noProof/>
        </w:rPr>
        <w:t xml:space="preserve">Ward, R. A., Goldberg, F. W., Eds. </w:t>
      </w:r>
      <w:r w:rsidRPr="008D2C4C">
        <w:rPr>
          <w:i/>
          <w:iCs/>
          <w:noProof/>
        </w:rPr>
        <w:t>Kinase Drug Discovery</w:t>
      </w:r>
      <w:r w:rsidRPr="008D2C4C">
        <w:rPr>
          <w:noProof/>
        </w:rPr>
        <w:t>; Drug Discovery; Royal Society of Chemistry: Cambridge,</w:t>
      </w:r>
      <w:r w:rsidR="001D7562">
        <w:rPr>
          <w:noProof/>
        </w:rPr>
        <w:t xml:space="preserve"> UK, </w:t>
      </w:r>
      <w:r w:rsidRPr="008D2C4C">
        <w:rPr>
          <w:noProof/>
        </w:rPr>
        <w:t xml:space="preserve"> 2018.</w:t>
      </w:r>
    </w:p>
    <w:p w14:paraId="407F2E4A" w14:textId="45A5EFE9" w:rsidR="008D2C4C" w:rsidRPr="008D2C4C" w:rsidRDefault="008D2C4C" w:rsidP="00EF2E21">
      <w:pPr>
        <w:pStyle w:val="TFReferencesSection"/>
        <w:ind w:firstLine="0"/>
        <w:rPr>
          <w:noProof/>
        </w:rPr>
      </w:pPr>
      <w:r w:rsidRPr="008D2C4C">
        <w:rPr>
          <w:noProof/>
        </w:rPr>
        <w:t xml:space="preserve">(9) Roskoski, R. Properties of FDA-Approved Small Molecule Protein Kinase Inhibitors. </w:t>
      </w:r>
      <w:r w:rsidRPr="008D2C4C">
        <w:rPr>
          <w:i/>
          <w:iCs/>
          <w:noProof/>
        </w:rPr>
        <w:t>Pharmacol. Res.</w:t>
      </w:r>
      <w:r w:rsidRPr="008D2C4C">
        <w:rPr>
          <w:noProof/>
        </w:rPr>
        <w:t xml:space="preserve"> </w:t>
      </w:r>
      <w:r w:rsidRPr="008D2C4C">
        <w:rPr>
          <w:b/>
          <w:bCs/>
          <w:noProof/>
        </w:rPr>
        <w:t>2019</w:t>
      </w:r>
      <w:r w:rsidRPr="008D2C4C">
        <w:rPr>
          <w:noProof/>
        </w:rPr>
        <w:t xml:space="preserve">, </w:t>
      </w:r>
      <w:r w:rsidRPr="008D2C4C">
        <w:rPr>
          <w:i/>
          <w:iCs/>
          <w:noProof/>
        </w:rPr>
        <w:t>144</w:t>
      </w:r>
      <w:r w:rsidRPr="008D2C4C">
        <w:rPr>
          <w:noProof/>
        </w:rPr>
        <w:t>, 19–50.</w:t>
      </w:r>
    </w:p>
    <w:p w14:paraId="6A1F988F" w14:textId="45C68DD1" w:rsidR="008D2C4C" w:rsidRPr="008D2C4C" w:rsidRDefault="008D2C4C" w:rsidP="00EF2E21">
      <w:pPr>
        <w:pStyle w:val="TFReferencesSection"/>
        <w:ind w:firstLine="0"/>
        <w:rPr>
          <w:noProof/>
        </w:rPr>
      </w:pPr>
      <w:r w:rsidRPr="008D2C4C">
        <w:rPr>
          <w:noProof/>
        </w:rPr>
        <w:t xml:space="preserve">(10) Terrier, F. </w:t>
      </w:r>
      <w:r w:rsidRPr="008D2C4C">
        <w:rPr>
          <w:i/>
          <w:iCs/>
          <w:noProof/>
        </w:rPr>
        <w:t>Modern Nucleophilic Aromatic Substitution</w:t>
      </w:r>
      <w:r w:rsidRPr="008D2C4C">
        <w:rPr>
          <w:noProof/>
        </w:rPr>
        <w:t>; Wiley-VCH Verlag GmbH &amp; Co. KGaA: Weinheim, Germany, 2013.</w:t>
      </w:r>
    </w:p>
    <w:p w14:paraId="592C9152" w14:textId="18455F85" w:rsidR="008D2C4C" w:rsidRPr="008D2C4C" w:rsidRDefault="008D2C4C" w:rsidP="00EF2E21">
      <w:pPr>
        <w:pStyle w:val="TFReferencesSection"/>
        <w:ind w:firstLine="0"/>
        <w:rPr>
          <w:noProof/>
        </w:rPr>
      </w:pPr>
      <w:r w:rsidRPr="008D2C4C">
        <w:rPr>
          <w:noProof/>
        </w:rPr>
        <w:t xml:space="preserve">(11) Sambiagio, C.; Marsden, S. P.; Blacker, A. J.; McGowan, P. C. Copper Catalysed Ullmann Type Chemistry: From Mechanistic Aspects to Modern Development. </w:t>
      </w:r>
      <w:r w:rsidRPr="008D2C4C">
        <w:rPr>
          <w:i/>
          <w:iCs/>
          <w:noProof/>
        </w:rPr>
        <w:t>Chem. Soc. Rev.</w:t>
      </w:r>
      <w:r w:rsidRPr="008D2C4C">
        <w:rPr>
          <w:noProof/>
        </w:rPr>
        <w:t xml:space="preserve"> </w:t>
      </w:r>
      <w:r w:rsidRPr="008D2C4C">
        <w:rPr>
          <w:b/>
          <w:bCs/>
          <w:noProof/>
        </w:rPr>
        <w:t>2014</w:t>
      </w:r>
      <w:r w:rsidRPr="008D2C4C">
        <w:rPr>
          <w:noProof/>
        </w:rPr>
        <w:t xml:space="preserve">, </w:t>
      </w:r>
      <w:r w:rsidRPr="008D2C4C">
        <w:rPr>
          <w:i/>
          <w:iCs/>
          <w:noProof/>
        </w:rPr>
        <w:t>43</w:t>
      </w:r>
      <w:r w:rsidRPr="008D2C4C">
        <w:rPr>
          <w:noProof/>
        </w:rPr>
        <w:t xml:space="preserve"> (10), 3525–3550.</w:t>
      </w:r>
    </w:p>
    <w:p w14:paraId="1DCFDBCB" w14:textId="7532C9A8" w:rsidR="008D2C4C" w:rsidRPr="008D2C4C" w:rsidRDefault="008D2C4C" w:rsidP="00EF2E21">
      <w:pPr>
        <w:pStyle w:val="TFReferencesSection"/>
        <w:ind w:firstLine="0"/>
        <w:rPr>
          <w:noProof/>
        </w:rPr>
      </w:pPr>
      <w:r w:rsidRPr="008D2C4C">
        <w:rPr>
          <w:noProof/>
        </w:rPr>
        <w:t xml:space="preserve">(12) Roughley, S. D.; Jordan, A. M. The Medicinal Chemist’s Toolbox: An Analysis of Reactions Used in the Pursuit of Drug Candidates. </w:t>
      </w:r>
      <w:r w:rsidRPr="008D2C4C">
        <w:rPr>
          <w:i/>
          <w:iCs/>
          <w:noProof/>
        </w:rPr>
        <w:t>J. Med. Chem.</w:t>
      </w:r>
      <w:r w:rsidRPr="008D2C4C">
        <w:rPr>
          <w:noProof/>
        </w:rPr>
        <w:t xml:space="preserve"> </w:t>
      </w:r>
      <w:r w:rsidRPr="008D2C4C">
        <w:rPr>
          <w:b/>
          <w:bCs/>
          <w:noProof/>
        </w:rPr>
        <w:t>2011</w:t>
      </w:r>
      <w:r w:rsidRPr="008D2C4C">
        <w:rPr>
          <w:noProof/>
        </w:rPr>
        <w:t xml:space="preserve">, </w:t>
      </w:r>
      <w:r w:rsidRPr="008D2C4C">
        <w:rPr>
          <w:i/>
          <w:iCs/>
          <w:noProof/>
        </w:rPr>
        <w:t>54</w:t>
      </w:r>
      <w:r w:rsidRPr="008D2C4C">
        <w:rPr>
          <w:noProof/>
        </w:rPr>
        <w:t xml:space="preserve"> (10), 3451–3479.</w:t>
      </w:r>
    </w:p>
    <w:p w14:paraId="4A2FCEE4" w14:textId="1A4657CF" w:rsidR="008D2C4C" w:rsidRPr="008D2C4C" w:rsidRDefault="008D2C4C" w:rsidP="00EF2E21">
      <w:pPr>
        <w:pStyle w:val="TFReferencesSection"/>
        <w:ind w:firstLine="0"/>
        <w:rPr>
          <w:noProof/>
        </w:rPr>
      </w:pPr>
      <w:r w:rsidRPr="008D2C4C">
        <w:rPr>
          <w:noProof/>
        </w:rPr>
        <w:t xml:space="preserve">(13) Brown, D. G.; Boström, J. Analysis of Past and Present Synthetic Methodologies on Medicinal Chemistry: Where Have All the New Reactions Gone? </w:t>
      </w:r>
      <w:r w:rsidRPr="008D2C4C">
        <w:rPr>
          <w:i/>
          <w:iCs/>
          <w:noProof/>
        </w:rPr>
        <w:t>J. Med. Chem.</w:t>
      </w:r>
      <w:r w:rsidRPr="008D2C4C">
        <w:rPr>
          <w:noProof/>
        </w:rPr>
        <w:t xml:space="preserve"> </w:t>
      </w:r>
      <w:r w:rsidRPr="008D2C4C">
        <w:rPr>
          <w:b/>
          <w:bCs/>
          <w:noProof/>
        </w:rPr>
        <w:t>2016</w:t>
      </w:r>
      <w:r w:rsidRPr="008D2C4C">
        <w:rPr>
          <w:noProof/>
        </w:rPr>
        <w:t xml:space="preserve">, </w:t>
      </w:r>
      <w:r w:rsidRPr="008D2C4C">
        <w:rPr>
          <w:i/>
          <w:iCs/>
          <w:noProof/>
        </w:rPr>
        <w:t>59</w:t>
      </w:r>
      <w:r w:rsidRPr="008D2C4C">
        <w:rPr>
          <w:noProof/>
        </w:rPr>
        <w:t xml:space="preserve"> (10), 4443–4458.</w:t>
      </w:r>
    </w:p>
    <w:p w14:paraId="2720D9FF" w14:textId="51E742E4" w:rsidR="008D2C4C" w:rsidRPr="008D2C4C" w:rsidRDefault="008D2C4C" w:rsidP="00EF2E21">
      <w:pPr>
        <w:pStyle w:val="TFReferencesSection"/>
        <w:ind w:firstLine="0"/>
        <w:rPr>
          <w:noProof/>
        </w:rPr>
      </w:pPr>
      <w:r w:rsidRPr="008D2C4C">
        <w:rPr>
          <w:noProof/>
        </w:rPr>
        <w:t xml:space="preserve">(14) Goodnow, R. A.; Dumelin, C. E.; Keefe, A. D. DNA-Encoded Chemistry: Enabling the Deeper Sampling of Chemical Space. </w:t>
      </w:r>
      <w:r w:rsidRPr="008D2C4C">
        <w:rPr>
          <w:i/>
          <w:iCs/>
          <w:noProof/>
        </w:rPr>
        <w:t>Nat. Rev. Drug Discov.</w:t>
      </w:r>
      <w:r w:rsidRPr="008D2C4C">
        <w:rPr>
          <w:noProof/>
        </w:rPr>
        <w:t xml:space="preserve"> </w:t>
      </w:r>
      <w:r w:rsidRPr="008D2C4C">
        <w:rPr>
          <w:b/>
          <w:bCs/>
          <w:noProof/>
        </w:rPr>
        <w:t>2016</w:t>
      </w:r>
      <w:r w:rsidRPr="008D2C4C">
        <w:rPr>
          <w:noProof/>
        </w:rPr>
        <w:t xml:space="preserve">, </w:t>
      </w:r>
      <w:r w:rsidRPr="008D2C4C">
        <w:rPr>
          <w:i/>
          <w:iCs/>
          <w:noProof/>
        </w:rPr>
        <w:t>16</w:t>
      </w:r>
      <w:r w:rsidRPr="008D2C4C">
        <w:rPr>
          <w:noProof/>
        </w:rPr>
        <w:t xml:space="preserve"> (2), 131–147.</w:t>
      </w:r>
    </w:p>
    <w:p w14:paraId="3257C4F5" w14:textId="016451E2" w:rsidR="008D2C4C" w:rsidRPr="008D2C4C" w:rsidRDefault="008D2C4C" w:rsidP="00EF2E21">
      <w:pPr>
        <w:pStyle w:val="TFReferencesSection"/>
        <w:ind w:firstLine="0"/>
        <w:rPr>
          <w:noProof/>
        </w:rPr>
      </w:pPr>
      <w:r w:rsidRPr="008D2C4C">
        <w:rPr>
          <w:noProof/>
        </w:rPr>
        <w:t xml:space="preserve">(15) Clark, M. A.; Acharya, R. A.; Arico-Muendel, C. C.; Belyanskaya, S. L.; Benjamin, D. R.; Carlson, N. R.; Centrella, P. A.; Chiu, C. H.; Creaser, S. P.; Cuozzo, J. W.; Davie, C. P.; Ding, Y.; Franklin, G. J.; Franzen, K. D.; Gefter, M. L.; Hale, S. P.; Hansen, N. J. V; Israel, D. I.; Jiang, J.; Kavarana, M. J.; Kelley, M. S.; Kollmann, C. S.; Li, F.; Lind, K.; Mataruse, S.; Medeiros, P. F.; Messer, J. A.; Myers, P.; O’Keefe, H.; Oliff, M. C.; Rise, C. E.; Satz, A. L.; Skinner, S. R.; Svendsen, J. L.; Tang, L.; van Vloten, K.; Wagner, R. W.; Yao, G.; Zhao, B.; Morgan, B. A. Design, Synthesis and Selection of DNA-Encoded Small-Molecule Libraries. </w:t>
      </w:r>
      <w:r w:rsidRPr="008D2C4C">
        <w:rPr>
          <w:i/>
          <w:iCs/>
          <w:noProof/>
        </w:rPr>
        <w:t>Nat. Chem. Biol.</w:t>
      </w:r>
      <w:r w:rsidRPr="008D2C4C">
        <w:rPr>
          <w:noProof/>
        </w:rPr>
        <w:t xml:space="preserve"> </w:t>
      </w:r>
      <w:r w:rsidRPr="008D2C4C">
        <w:rPr>
          <w:b/>
          <w:bCs/>
          <w:noProof/>
        </w:rPr>
        <w:t>2009</w:t>
      </w:r>
      <w:r w:rsidRPr="008D2C4C">
        <w:rPr>
          <w:noProof/>
        </w:rPr>
        <w:t xml:space="preserve">, </w:t>
      </w:r>
      <w:r w:rsidRPr="008D2C4C">
        <w:rPr>
          <w:i/>
          <w:iCs/>
          <w:noProof/>
        </w:rPr>
        <w:t>5</w:t>
      </w:r>
      <w:r w:rsidRPr="008D2C4C">
        <w:rPr>
          <w:noProof/>
        </w:rPr>
        <w:t xml:space="preserve"> (9), 647–654.</w:t>
      </w:r>
    </w:p>
    <w:p w14:paraId="6C2BC31E" w14:textId="7D912980" w:rsidR="008D2C4C" w:rsidRPr="008D2C4C" w:rsidRDefault="008D2C4C" w:rsidP="00EF2E21">
      <w:pPr>
        <w:pStyle w:val="TFReferencesSection"/>
        <w:ind w:firstLine="0"/>
        <w:rPr>
          <w:noProof/>
        </w:rPr>
      </w:pPr>
      <w:r w:rsidRPr="008D2C4C">
        <w:rPr>
          <w:noProof/>
        </w:rPr>
        <w:t xml:space="preserve">(16) Goodnow, R. A.; Dumelin, C. E.; Keefe, A. D. DNA-Encoded Chemistry: Enabling the Deeper Sampling of Chemical Space. </w:t>
      </w:r>
      <w:r w:rsidRPr="008D2C4C">
        <w:rPr>
          <w:i/>
          <w:iCs/>
          <w:noProof/>
        </w:rPr>
        <w:t>Nat. Rev. Drug Discov.</w:t>
      </w:r>
      <w:r w:rsidRPr="008D2C4C">
        <w:rPr>
          <w:noProof/>
        </w:rPr>
        <w:t xml:space="preserve"> </w:t>
      </w:r>
      <w:r w:rsidRPr="008D2C4C">
        <w:rPr>
          <w:b/>
          <w:bCs/>
          <w:noProof/>
        </w:rPr>
        <w:t>2017</w:t>
      </w:r>
      <w:r w:rsidRPr="008D2C4C">
        <w:rPr>
          <w:noProof/>
        </w:rPr>
        <w:t xml:space="preserve">, </w:t>
      </w:r>
      <w:r w:rsidRPr="008D2C4C">
        <w:rPr>
          <w:i/>
          <w:iCs/>
          <w:noProof/>
        </w:rPr>
        <w:t>16</w:t>
      </w:r>
      <w:r w:rsidRPr="008D2C4C">
        <w:rPr>
          <w:noProof/>
        </w:rPr>
        <w:t xml:space="preserve"> (2), 131–147.</w:t>
      </w:r>
    </w:p>
    <w:p w14:paraId="65E9471D" w14:textId="1667A579" w:rsidR="008D2C4C" w:rsidRPr="008D2C4C" w:rsidRDefault="008D2C4C" w:rsidP="00EF2E21">
      <w:pPr>
        <w:pStyle w:val="TFReferencesSection"/>
        <w:ind w:firstLine="0"/>
        <w:rPr>
          <w:noProof/>
        </w:rPr>
      </w:pPr>
      <w:r w:rsidRPr="008D2C4C">
        <w:rPr>
          <w:noProof/>
        </w:rPr>
        <w:t xml:space="preserve">(17) Castan, I. F. S. F.; Graham, J. S.; Salvini, C. L. A.; Stanway-Gordon, H. A.; Waring, M. J. On the Design of Lead-like DNA-Encoded Chemical Libraries. </w:t>
      </w:r>
      <w:r w:rsidRPr="008D2C4C">
        <w:rPr>
          <w:i/>
          <w:iCs/>
          <w:noProof/>
        </w:rPr>
        <w:t>Bioorg. Med. Chem.</w:t>
      </w:r>
      <w:r w:rsidRPr="008D2C4C">
        <w:rPr>
          <w:noProof/>
        </w:rPr>
        <w:t xml:space="preserve"> </w:t>
      </w:r>
      <w:r w:rsidRPr="008D2C4C">
        <w:rPr>
          <w:b/>
          <w:bCs/>
          <w:noProof/>
        </w:rPr>
        <w:t>2021</w:t>
      </w:r>
      <w:r w:rsidRPr="008D2C4C">
        <w:rPr>
          <w:noProof/>
        </w:rPr>
        <w:t xml:space="preserve">, </w:t>
      </w:r>
      <w:r w:rsidRPr="008D2C4C">
        <w:rPr>
          <w:i/>
          <w:iCs/>
          <w:noProof/>
        </w:rPr>
        <w:t>43</w:t>
      </w:r>
      <w:r w:rsidRPr="008D2C4C">
        <w:rPr>
          <w:noProof/>
        </w:rPr>
        <w:t>, 116273.</w:t>
      </w:r>
    </w:p>
    <w:p w14:paraId="415A0F0F" w14:textId="43D21773" w:rsidR="008D2C4C" w:rsidRPr="008D2C4C" w:rsidRDefault="008D2C4C" w:rsidP="00EF2E21">
      <w:pPr>
        <w:pStyle w:val="TFReferencesSection"/>
        <w:ind w:firstLine="0"/>
        <w:rPr>
          <w:noProof/>
        </w:rPr>
      </w:pPr>
      <w:r w:rsidRPr="008D2C4C">
        <w:rPr>
          <w:noProof/>
        </w:rPr>
        <w:t xml:space="preserve">(18) Malone, M. L.; Paegel, B. M. What Is a “DNA-Compatible” Reaction? </w:t>
      </w:r>
      <w:r w:rsidRPr="008D2C4C">
        <w:rPr>
          <w:i/>
          <w:iCs/>
          <w:noProof/>
        </w:rPr>
        <w:t>ACS Comb. Sci.</w:t>
      </w:r>
      <w:r w:rsidRPr="008D2C4C">
        <w:rPr>
          <w:noProof/>
        </w:rPr>
        <w:t xml:space="preserve"> </w:t>
      </w:r>
      <w:r w:rsidRPr="008D2C4C">
        <w:rPr>
          <w:b/>
          <w:bCs/>
          <w:noProof/>
        </w:rPr>
        <w:t>2016</w:t>
      </w:r>
      <w:r w:rsidRPr="008D2C4C">
        <w:rPr>
          <w:noProof/>
        </w:rPr>
        <w:t xml:space="preserve">, </w:t>
      </w:r>
      <w:r w:rsidRPr="008D2C4C">
        <w:rPr>
          <w:i/>
          <w:iCs/>
          <w:noProof/>
        </w:rPr>
        <w:t>18</w:t>
      </w:r>
      <w:r w:rsidRPr="008D2C4C">
        <w:rPr>
          <w:noProof/>
        </w:rPr>
        <w:t xml:space="preserve"> (4), 182–187.</w:t>
      </w:r>
    </w:p>
    <w:p w14:paraId="37007F07" w14:textId="46DAAD4A" w:rsidR="008D2C4C" w:rsidRPr="008D2C4C" w:rsidRDefault="008D2C4C" w:rsidP="00EF2E21">
      <w:pPr>
        <w:pStyle w:val="TFReferencesSection"/>
        <w:ind w:firstLine="0"/>
        <w:rPr>
          <w:noProof/>
        </w:rPr>
      </w:pPr>
      <w:r w:rsidRPr="008D2C4C">
        <w:rPr>
          <w:noProof/>
        </w:rPr>
        <w:t xml:space="preserve">(19) Škopić, M. K.; Salamon, H.; Bugain, O.; Jung, K.; Gohla, A.; Doetsch, L. J.; Santos, D. dos; Bhat, A.; Wagner, B.; </w:t>
      </w:r>
      <w:r w:rsidRPr="008D2C4C">
        <w:rPr>
          <w:noProof/>
        </w:rPr>
        <w:lastRenderedPageBreak/>
        <w:t>Brunschweiger, A. Acid- and Au(</w:t>
      </w:r>
      <w:r w:rsidR="007E26FD">
        <w:rPr>
          <w:noProof/>
        </w:rPr>
        <w:t>I</w:t>
      </w:r>
      <w:r w:rsidRPr="008D2C4C">
        <w:rPr>
          <w:noProof/>
        </w:rPr>
        <w:t xml:space="preserve">)-Mediated Synthesis of Hexathymidine-DNA-Heterocycle Chimeras, an Efficient Entry to DNA-Encoded Libraries Inspired by Drug Structures. </w:t>
      </w:r>
      <w:r w:rsidRPr="008D2C4C">
        <w:rPr>
          <w:i/>
          <w:iCs/>
          <w:noProof/>
        </w:rPr>
        <w:t>Chem. Sci.</w:t>
      </w:r>
      <w:r w:rsidRPr="008D2C4C">
        <w:rPr>
          <w:noProof/>
        </w:rPr>
        <w:t xml:space="preserve"> </w:t>
      </w:r>
      <w:r w:rsidRPr="008D2C4C">
        <w:rPr>
          <w:b/>
          <w:bCs/>
          <w:noProof/>
        </w:rPr>
        <w:t>2017</w:t>
      </w:r>
      <w:r w:rsidR="00E91018">
        <w:rPr>
          <w:noProof/>
        </w:rPr>
        <w:t>, 8</w:t>
      </w:r>
      <w:r w:rsidR="008C6005">
        <w:rPr>
          <w:noProof/>
        </w:rPr>
        <w:t xml:space="preserve"> (5)</w:t>
      </w:r>
      <w:r w:rsidR="00E91018">
        <w:rPr>
          <w:noProof/>
        </w:rPr>
        <w:t>, 3356-3361</w:t>
      </w:r>
      <w:r w:rsidRPr="008D2C4C">
        <w:rPr>
          <w:noProof/>
        </w:rPr>
        <w:t>.</w:t>
      </w:r>
    </w:p>
    <w:p w14:paraId="2915FB72" w14:textId="27A34758" w:rsidR="008D2C4C" w:rsidRPr="008D2C4C" w:rsidRDefault="008D2C4C" w:rsidP="00EF2E21">
      <w:pPr>
        <w:pStyle w:val="TFReferencesSection"/>
        <w:ind w:firstLine="0"/>
        <w:rPr>
          <w:noProof/>
        </w:rPr>
      </w:pPr>
      <w:r w:rsidRPr="008D2C4C">
        <w:rPr>
          <w:noProof/>
        </w:rPr>
        <w:t xml:space="preserve">(20) Škopić, M. K.; Götte, K.; Gramse, C.; Dieter, M.; Pospich, S.; Raunser, S.; Weberskirch, R.; Brunschweiger, A. Micellar Brønsted Acid Mediated Synthesis of DNA-Tagged Heterocycles. </w:t>
      </w:r>
      <w:r w:rsidRPr="008D2C4C">
        <w:rPr>
          <w:i/>
          <w:iCs/>
          <w:noProof/>
        </w:rPr>
        <w:t>J. Am. Chem. Soc.</w:t>
      </w:r>
      <w:r w:rsidRPr="008D2C4C">
        <w:rPr>
          <w:noProof/>
        </w:rPr>
        <w:t xml:space="preserve"> </w:t>
      </w:r>
      <w:r w:rsidRPr="008D2C4C">
        <w:rPr>
          <w:b/>
          <w:bCs/>
          <w:noProof/>
        </w:rPr>
        <w:t>2019</w:t>
      </w:r>
      <w:r w:rsidRPr="008D2C4C">
        <w:rPr>
          <w:noProof/>
        </w:rPr>
        <w:t xml:space="preserve">, </w:t>
      </w:r>
      <w:r w:rsidRPr="008D2C4C">
        <w:rPr>
          <w:i/>
          <w:iCs/>
          <w:noProof/>
        </w:rPr>
        <w:t>141</w:t>
      </w:r>
      <w:r w:rsidRPr="008D2C4C">
        <w:rPr>
          <w:noProof/>
        </w:rPr>
        <w:t xml:space="preserve"> (26), 10546–10555.</w:t>
      </w:r>
    </w:p>
    <w:p w14:paraId="4B5C1E54" w14:textId="73FF6198" w:rsidR="008D2C4C" w:rsidRPr="008D2C4C" w:rsidRDefault="008D2C4C" w:rsidP="00EF2E21">
      <w:pPr>
        <w:pStyle w:val="TFReferencesSection"/>
        <w:ind w:firstLine="0"/>
        <w:rPr>
          <w:noProof/>
        </w:rPr>
      </w:pPr>
      <w:r w:rsidRPr="008D2C4C">
        <w:rPr>
          <w:noProof/>
        </w:rPr>
        <w:t xml:space="preserve">(21) Götte, K.; Chines, S.; Brunschweiger, A. Reaction Development for DNA-Encoded Library Technology: From Evolution to Revolution? </w:t>
      </w:r>
      <w:r w:rsidRPr="008D2C4C">
        <w:rPr>
          <w:i/>
          <w:iCs/>
          <w:noProof/>
        </w:rPr>
        <w:t>Tetrahedron Lett.</w:t>
      </w:r>
      <w:r w:rsidRPr="008D2C4C">
        <w:rPr>
          <w:noProof/>
        </w:rPr>
        <w:t xml:space="preserve"> </w:t>
      </w:r>
      <w:r w:rsidRPr="008D2C4C">
        <w:rPr>
          <w:b/>
          <w:bCs/>
          <w:noProof/>
        </w:rPr>
        <w:t>2020</w:t>
      </w:r>
      <w:r w:rsidRPr="008D2C4C">
        <w:rPr>
          <w:noProof/>
        </w:rPr>
        <w:t xml:space="preserve">, </w:t>
      </w:r>
      <w:r w:rsidRPr="008D2C4C">
        <w:rPr>
          <w:i/>
          <w:iCs/>
          <w:noProof/>
        </w:rPr>
        <w:t>61</w:t>
      </w:r>
      <w:r w:rsidRPr="008D2C4C">
        <w:rPr>
          <w:noProof/>
        </w:rPr>
        <w:t xml:space="preserve"> (22), 151889.</w:t>
      </w:r>
    </w:p>
    <w:p w14:paraId="28045528" w14:textId="4153D12D" w:rsidR="008D2C4C" w:rsidRPr="008D2C4C" w:rsidRDefault="008D2C4C" w:rsidP="00EF2E21">
      <w:pPr>
        <w:pStyle w:val="TFReferencesSection"/>
        <w:ind w:firstLine="0"/>
        <w:rPr>
          <w:noProof/>
        </w:rPr>
      </w:pPr>
      <w:r w:rsidRPr="008D2C4C">
        <w:rPr>
          <w:noProof/>
        </w:rPr>
        <w:t xml:space="preserve">(22) La Sorella, G.; Strukul, G.; Scarso, A. Recent Advances in Catalysis in Micellar Media. </w:t>
      </w:r>
      <w:r w:rsidRPr="008D2C4C">
        <w:rPr>
          <w:i/>
          <w:iCs/>
          <w:noProof/>
        </w:rPr>
        <w:t>Green Chem.</w:t>
      </w:r>
      <w:r w:rsidRPr="008D2C4C">
        <w:rPr>
          <w:noProof/>
        </w:rPr>
        <w:t xml:space="preserve"> </w:t>
      </w:r>
      <w:r w:rsidRPr="008D2C4C">
        <w:rPr>
          <w:b/>
          <w:bCs/>
          <w:noProof/>
        </w:rPr>
        <w:t>2015</w:t>
      </w:r>
      <w:r w:rsidRPr="008D2C4C">
        <w:rPr>
          <w:noProof/>
        </w:rPr>
        <w:t xml:space="preserve">, </w:t>
      </w:r>
      <w:r w:rsidRPr="008D2C4C">
        <w:rPr>
          <w:i/>
          <w:iCs/>
          <w:noProof/>
        </w:rPr>
        <w:t>17</w:t>
      </w:r>
      <w:r w:rsidRPr="008D2C4C">
        <w:rPr>
          <w:noProof/>
        </w:rPr>
        <w:t xml:space="preserve"> (2), 644–683.</w:t>
      </w:r>
    </w:p>
    <w:p w14:paraId="4943B4CD" w14:textId="727FCF65" w:rsidR="008D2C4C" w:rsidRPr="008D2C4C" w:rsidRDefault="008D2C4C" w:rsidP="00EF2E21">
      <w:pPr>
        <w:pStyle w:val="TFReferencesSection"/>
        <w:ind w:firstLine="0"/>
        <w:rPr>
          <w:noProof/>
        </w:rPr>
      </w:pPr>
      <w:r w:rsidRPr="008D2C4C">
        <w:rPr>
          <w:noProof/>
        </w:rPr>
        <w:t xml:space="preserve">(23) Lipshutz, B. H.; Ghorai, S.; Abela, A. R.; Moser, R.; Nishikata, T.; Duplais, C.; Krasovskiy, A.; Gaston, R. D.; Gadwood, R. C. TPGS-750-M: A Second-Generation Amphiphile for Metal-Catalyzed Cross-Couplings in Water at Room Temperature. </w:t>
      </w:r>
      <w:r w:rsidRPr="008D2C4C">
        <w:rPr>
          <w:i/>
          <w:iCs/>
          <w:noProof/>
        </w:rPr>
        <w:t>J. Org. Chem.</w:t>
      </w:r>
      <w:r w:rsidRPr="008D2C4C">
        <w:rPr>
          <w:noProof/>
        </w:rPr>
        <w:t xml:space="preserve"> </w:t>
      </w:r>
      <w:r w:rsidRPr="008D2C4C">
        <w:rPr>
          <w:b/>
          <w:bCs/>
          <w:noProof/>
        </w:rPr>
        <w:t>2011</w:t>
      </w:r>
      <w:r w:rsidRPr="008D2C4C">
        <w:rPr>
          <w:noProof/>
        </w:rPr>
        <w:t xml:space="preserve">, </w:t>
      </w:r>
      <w:r w:rsidRPr="008D2C4C">
        <w:rPr>
          <w:i/>
          <w:iCs/>
          <w:noProof/>
        </w:rPr>
        <w:t>76</w:t>
      </w:r>
      <w:r w:rsidRPr="008D2C4C">
        <w:rPr>
          <w:noProof/>
        </w:rPr>
        <w:t xml:space="preserve"> (11), 4379–4391.</w:t>
      </w:r>
    </w:p>
    <w:p w14:paraId="457BEB13" w14:textId="332630F7" w:rsidR="008D2C4C" w:rsidRPr="008D2C4C" w:rsidRDefault="008D2C4C" w:rsidP="00EF2E21">
      <w:pPr>
        <w:pStyle w:val="TFReferencesSection"/>
        <w:ind w:firstLine="0"/>
        <w:rPr>
          <w:noProof/>
        </w:rPr>
      </w:pPr>
      <w:r w:rsidRPr="008D2C4C">
        <w:rPr>
          <w:noProof/>
        </w:rPr>
        <w:t xml:space="preserve">(24) Hunter, J. H.; Prendergast, L.; Valente, L. F.; Madin, A.; Pairaudeau, G.; Waring, M. J. High Fidelity Suzuki–Miyaura Coupling for the Synthesis of DNA Encoded Libraries Enabled by Micelle Forming Surfactants. </w:t>
      </w:r>
      <w:r w:rsidRPr="008D2C4C">
        <w:rPr>
          <w:i/>
          <w:iCs/>
          <w:noProof/>
        </w:rPr>
        <w:t>Bioconjug. Chem.</w:t>
      </w:r>
      <w:r w:rsidRPr="008D2C4C">
        <w:rPr>
          <w:noProof/>
        </w:rPr>
        <w:t xml:space="preserve"> </w:t>
      </w:r>
      <w:r w:rsidRPr="008D2C4C">
        <w:rPr>
          <w:b/>
          <w:bCs/>
          <w:noProof/>
        </w:rPr>
        <w:t>2020</w:t>
      </w:r>
      <w:r w:rsidRPr="008D2C4C">
        <w:rPr>
          <w:noProof/>
        </w:rPr>
        <w:t xml:space="preserve">, </w:t>
      </w:r>
      <w:r w:rsidRPr="008D2C4C">
        <w:rPr>
          <w:i/>
          <w:iCs/>
          <w:noProof/>
        </w:rPr>
        <w:t>31</w:t>
      </w:r>
      <w:r w:rsidRPr="008D2C4C">
        <w:rPr>
          <w:noProof/>
        </w:rPr>
        <w:t xml:space="preserve"> (1), 149–155.</w:t>
      </w:r>
    </w:p>
    <w:p w14:paraId="3DF60022" w14:textId="0CE7124F" w:rsidR="008D2C4C" w:rsidRPr="008D2C4C" w:rsidRDefault="008D2C4C" w:rsidP="00EF2E21">
      <w:pPr>
        <w:pStyle w:val="TFReferencesSection"/>
        <w:ind w:firstLine="0"/>
        <w:rPr>
          <w:noProof/>
        </w:rPr>
      </w:pPr>
      <w:r w:rsidRPr="008D2C4C">
        <w:rPr>
          <w:noProof/>
        </w:rPr>
        <w:t xml:space="preserve">(25) Hunter, J. H.; Anderson, M. J.; Castan, I. F. S. F.; Graham, J. S.; Salvini, C. L. A.; Stanway-Gordon, H. A.; Crawford, J. J.; Madin, A.; Pairaudeau, G.; Waring, M. J. Highly Efficient On-DNA Amide Couplings Promoted by Micelle Forming Surfactants for the Synthesis of DNA Encoded Libraries. </w:t>
      </w:r>
      <w:r w:rsidRPr="008D2C4C">
        <w:rPr>
          <w:i/>
          <w:iCs/>
          <w:noProof/>
        </w:rPr>
        <w:t>Chem. Sci.</w:t>
      </w:r>
      <w:r w:rsidRPr="008D2C4C">
        <w:rPr>
          <w:noProof/>
        </w:rPr>
        <w:t xml:space="preserve"> </w:t>
      </w:r>
      <w:r w:rsidRPr="008D2C4C">
        <w:rPr>
          <w:b/>
          <w:bCs/>
          <w:noProof/>
        </w:rPr>
        <w:t>2021</w:t>
      </w:r>
      <w:r w:rsidRPr="008D2C4C">
        <w:rPr>
          <w:noProof/>
        </w:rPr>
        <w:t xml:space="preserve">, </w:t>
      </w:r>
      <w:r w:rsidRPr="008D2C4C">
        <w:rPr>
          <w:i/>
          <w:iCs/>
          <w:noProof/>
        </w:rPr>
        <w:t>12</w:t>
      </w:r>
      <w:r w:rsidRPr="008D2C4C">
        <w:rPr>
          <w:noProof/>
        </w:rPr>
        <w:t xml:space="preserve"> (27), 9475–9484.</w:t>
      </w:r>
    </w:p>
    <w:p w14:paraId="216FF617" w14:textId="2DF2F668" w:rsidR="008D2C4C" w:rsidRPr="008D2C4C" w:rsidRDefault="008D2C4C" w:rsidP="00EF2E21">
      <w:pPr>
        <w:pStyle w:val="TFReferencesSection"/>
        <w:ind w:firstLine="0"/>
        <w:rPr>
          <w:noProof/>
        </w:rPr>
      </w:pPr>
      <w:r w:rsidRPr="008D2C4C">
        <w:rPr>
          <w:noProof/>
        </w:rPr>
        <w:t xml:space="preserve">(26) Lu, X.; Roberts, S. E.; Franklin, G. J.; Davie, C. P. On-DNA Pd and Cu Promoted C–N Cross-Coupling Reactions. </w:t>
      </w:r>
      <w:r w:rsidRPr="008D2C4C">
        <w:rPr>
          <w:i/>
          <w:iCs/>
          <w:noProof/>
        </w:rPr>
        <w:t>Medchem</w:t>
      </w:r>
      <w:r w:rsidR="008C6005">
        <w:rPr>
          <w:i/>
          <w:iCs/>
          <w:noProof/>
        </w:rPr>
        <w:t>. C</w:t>
      </w:r>
      <w:r w:rsidRPr="008D2C4C">
        <w:rPr>
          <w:i/>
          <w:iCs/>
          <w:noProof/>
        </w:rPr>
        <w:t>omm</w:t>
      </w:r>
      <w:r w:rsidR="008C6005">
        <w:rPr>
          <w:i/>
          <w:iCs/>
          <w:noProof/>
        </w:rPr>
        <w:t>un.</w:t>
      </w:r>
      <w:r w:rsidRPr="008D2C4C">
        <w:rPr>
          <w:noProof/>
        </w:rPr>
        <w:t xml:space="preserve"> </w:t>
      </w:r>
      <w:r w:rsidRPr="008D2C4C">
        <w:rPr>
          <w:b/>
          <w:bCs/>
          <w:noProof/>
        </w:rPr>
        <w:t>2017</w:t>
      </w:r>
      <w:r w:rsidRPr="008D2C4C">
        <w:rPr>
          <w:noProof/>
        </w:rPr>
        <w:t xml:space="preserve">, </w:t>
      </w:r>
      <w:r w:rsidRPr="008D2C4C">
        <w:rPr>
          <w:i/>
          <w:iCs/>
          <w:noProof/>
        </w:rPr>
        <w:t>8</w:t>
      </w:r>
      <w:r w:rsidRPr="008D2C4C">
        <w:rPr>
          <w:noProof/>
        </w:rPr>
        <w:t xml:space="preserve"> (8), 1614–1617.</w:t>
      </w:r>
    </w:p>
    <w:p w14:paraId="5F408CBF" w14:textId="2A2060C3" w:rsidR="008D2C4C" w:rsidRPr="008D2C4C" w:rsidRDefault="008D2C4C" w:rsidP="00EF2E21">
      <w:pPr>
        <w:pStyle w:val="TFReferencesSection"/>
        <w:ind w:firstLine="0"/>
        <w:rPr>
          <w:noProof/>
        </w:rPr>
      </w:pPr>
      <w:r w:rsidRPr="008D2C4C">
        <w:rPr>
          <w:noProof/>
        </w:rPr>
        <w:t xml:space="preserve">(27) de Pedro Beato, E.; Priego, J.; Gironda-Martínez, A.; González, F.; Benavides, J.; Blas, J.; Martín-Ortega, M. D.; Toledo, M. Á.; Ezquerra, J.; Torrado, A. Mild and Efficient Palladium-Mediated C–N Cross-Coupling Reaction between DNA-Conjugated Aryl Bromides and Aromatic Amines. </w:t>
      </w:r>
      <w:r w:rsidRPr="008D2C4C">
        <w:rPr>
          <w:i/>
          <w:iCs/>
          <w:noProof/>
        </w:rPr>
        <w:t>ACS Comb. Sci.</w:t>
      </w:r>
      <w:r w:rsidRPr="008D2C4C">
        <w:rPr>
          <w:noProof/>
        </w:rPr>
        <w:t xml:space="preserve"> </w:t>
      </w:r>
      <w:r w:rsidRPr="008D2C4C">
        <w:rPr>
          <w:b/>
          <w:bCs/>
          <w:noProof/>
        </w:rPr>
        <w:t>2019</w:t>
      </w:r>
      <w:r w:rsidRPr="008D2C4C">
        <w:rPr>
          <w:noProof/>
        </w:rPr>
        <w:t xml:space="preserve">, </w:t>
      </w:r>
      <w:r w:rsidRPr="008D2C4C">
        <w:rPr>
          <w:i/>
          <w:iCs/>
          <w:noProof/>
        </w:rPr>
        <w:t>21</w:t>
      </w:r>
      <w:r w:rsidRPr="008D2C4C">
        <w:rPr>
          <w:noProof/>
        </w:rPr>
        <w:t xml:space="preserve"> (2), 69–74.</w:t>
      </w:r>
    </w:p>
    <w:p w14:paraId="4A6464A9" w14:textId="51F3D40E" w:rsidR="008D2C4C" w:rsidRPr="008D2C4C" w:rsidRDefault="008D2C4C" w:rsidP="00EF2E21">
      <w:pPr>
        <w:pStyle w:val="TFReferencesSection"/>
        <w:ind w:firstLine="0"/>
        <w:rPr>
          <w:noProof/>
        </w:rPr>
      </w:pPr>
      <w:r w:rsidRPr="008D2C4C">
        <w:rPr>
          <w:noProof/>
        </w:rPr>
        <w:t xml:space="preserve">(28) Chen, Y.-C.; Faver, J. C.; Ku, A. F.; Miklossy, G.; Riehle, K.; Bohren, K. M.; Ucisik, M. N.; Matzuk, M. M.; Yu, Z.; Simmons, N. C–N Coupling of DNA-Conjugated (Hetero)Aryl Bromides and Chlorides for DNA-Encoded Chemical Library Synthesis. </w:t>
      </w:r>
      <w:r w:rsidRPr="008D2C4C">
        <w:rPr>
          <w:i/>
          <w:iCs/>
          <w:noProof/>
        </w:rPr>
        <w:t>Bioconjug. Chem.</w:t>
      </w:r>
      <w:r w:rsidRPr="008D2C4C">
        <w:rPr>
          <w:noProof/>
        </w:rPr>
        <w:t xml:space="preserve"> </w:t>
      </w:r>
      <w:r w:rsidRPr="008D2C4C">
        <w:rPr>
          <w:b/>
          <w:bCs/>
          <w:noProof/>
        </w:rPr>
        <w:t>2020</w:t>
      </w:r>
      <w:r w:rsidRPr="008D2C4C">
        <w:rPr>
          <w:noProof/>
        </w:rPr>
        <w:t xml:space="preserve">, </w:t>
      </w:r>
      <w:r w:rsidRPr="008D2C4C">
        <w:rPr>
          <w:i/>
          <w:iCs/>
          <w:noProof/>
        </w:rPr>
        <w:t>31</w:t>
      </w:r>
      <w:r w:rsidRPr="008D2C4C">
        <w:rPr>
          <w:noProof/>
        </w:rPr>
        <w:t xml:space="preserve"> (3), 770–780.</w:t>
      </w:r>
    </w:p>
    <w:p w14:paraId="0876891B" w14:textId="4479F3D5" w:rsidR="008D2C4C" w:rsidRPr="008D2C4C" w:rsidRDefault="008D2C4C" w:rsidP="00EF2E21">
      <w:pPr>
        <w:pStyle w:val="TFReferencesSection"/>
        <w:ind w:firstLine="0"/>
        <w:rPr>
          <w:noProof/>
        </w:rPr>
      </w:pPr>
      <w:r w:rsidRPr="008D2C4C">
        <w:rPr>
          <w:noProof/>
        </w:rPr>
        <w:t xml:space="preserve">(29) Zhang, Y.; Takale, B. S.; Gallou, F.; Reilly, J.; Lipshutz, B. H. Sustainable Ppm Level Palladium-Catalyzed Aminations in Nanoreactors under Mild, Aqueous Conditions. </w:t>
      </w:r>
      <w:r w:rsidRPr="008D2C4C">
        <w:rPr>
          <w:i/>
          <w:iCs/>
          <w:noProof/>
        </w:rPr>
        <w:t>Chem. Sci.</w:t>
      </w:r>
      <w:r w:rsidRPr="008D2C4C">
        <w:rPr>
          <w:noProof/>
        </w:rPr>
        <w:t xml:space="preserve"> </w:t>
      </w:r>
      <w:r w:rsidRPr="008D2C4C">
        <w:rPr>
          <w:b/>
          <w:bCs/>
          <w:noProof/>
        </w:rPr>
        <w:t>2019</w:t>
      </w:r>
      <w:r w:rsidRPr="008D2C4C">
        <w:rPr>
          <w:noProof/>
        </w:rPr>
        <w:t xml:space="preserve">, </w:t>
      </w:r>
      <w:r w:rsidRPr="008D2C4C">
        <w:rPr>
          <w:i/>
          <w:iCs/>
          <w:noProof/>
        </w:rPr>
        <w:t>10</w:t>
      </w:r>
      <w:r w:rsidRPr="008D2C4C">
        <w:rPr>
          <w:noProof/>
        </w:rPr>
        <w:t xml:space="preserve"> (45), 10556–10561.</w:t>
      </w:r>
    </w:p>
    <w:p w14:paraId="46767EE4" w14:textId="3A10C2C1" w:rsidR="008D2C4C" w:rsidRPr="008D2C4C" w:rsidRDefault="008D2C4C" w:rsidP="00EF2E21">
      <w:pPr>
        <w:pStyle w:val="TFReferencesSection"/>
        <w:ind w:firstLine="0"/>
        <w:rPr>
          <w:noProof/>
        </w:rPr>
      </w:pPr>
      <w:r w:rsidRPr="008D2C4C">
        <w:rPr>
          <w:noProof/>
        </w:rPr>
        <w:t xml:space="preserve">(30) Lipshutz, B. H.; Chung, D. W.; Rich, B. Aminations of Aryl Bromides in Water at Room Temperature. </w:t>
      </w:r>
      <w:r w:rsidRPr="008D2C4C">
        <w:rPr>
          <w:i/>
          <w:iCs/>
          <w:noProof/>
        </w:rPr>
        <w:t>Adv. Synth. Catal.</w:t>
      </w:r>
      <w:r w:rsidRPr="008D2C4C">
        <w:rPr>
          <w:noProof/>
        </w:rPr>
        <w:t xml:space="preserve"> </w:t>
      </w:r>
      <w:r w:rsidRPr="008D2C4C">
        <w:rPr>
          <w:b/>
          <w:bCs/>
          <w:noProof/>
        </w:rPr>
        <w:t>2009</w:t>
      </w:r>
      <w:r w:rsidRPr="008D2C4C">
        <w:rPr>
          <w:noProof/>
        </w:rPr>
        <w:t xml:space="preserve">, </w:t>
      </w:r>
      <w:r w:rsidRPr="008D2C4C">
        <w:rPr>
          <w:i/>
          <w:iCs/>
          <w:noProof/>
        </w:rPr>
        <w:t>351</w:t>
      </w:r>
      <w:r w:rsidRPr="008D2C4C">
        <w:rPr>
          <w:noProof/>
        </w:rPr>
        <w:t xml:space="preserve"> (11–12), 1717–1721.</w:t>
      </w:r>
    </w:p>
    <w:p w14:paraId="4AEEBF81" w14:textId="62CA309E" w:rsidR="008D2C4C" w:rsidRPr="008D2C4C" w:rsidRDefault="008D2C4C" w:rsidP="00EF2E21">
      <w:pPr>
        <w:pStyle w:val="TFReferencesSection"/>
        <w:ind w:firstLine="0"/>
        <w:rPr>
          <w:noProof/>
        </w:rPr>
      </w:pPr>
      <w:r w:rsidRPr="008D2C4C">
        <w:rPr>
          <w:noProof/>
        </w:rPr>
        <w:t xml:space="preserve">(31) Salomé, C.; Wagner, P.; Bollenbach, M.; Bihel, F.; Bourguignon, J.-J.; Schmitt, M. Buchwald–Hartwig Reactions in Water Using Surfactants. </w:t>
      </w:r>
      <w:r w:rsidRPr="008D2C4C">
        <w:rPr>
          <w:i/>
          <w:iCs/>
          <w:noProof/>
        </w:rPr>
        <w:t>Tetrahedron</w:t>
      </w:r>
      <w:r w:rsidRPr="008D2C4C">
        <w:rPr>
          <w:noProof/>
        </w:rPr>
        <w:t xml:space="preserve"> </w:t>
      </w:r>
      <w:r w:rsidRPr="008D2C4C">
        <w:rPr>
          <w:b/>
          <w:bCs/>
          <w:noProof/>
        </w:rPr>
        <w:t>2014</w:t>
      </w:r>
      <w:r w:rsidRPr="008D2C4C">
        <w:rPr>
          <w:noProof/>
        </w:rPr>
        <w:t xml:space="preserve">, </w:t>
      </w:r>
      <w:r w:rsidRPr="008D2C4C">
        <w:rPr>
          <w:i/>
          <w:iCs/>
          <w:noProof/>
        </w:rPr>
        <w:t>70</w:t>
      </w:r>
      <w:r w:rsidRPr="008D2C4C">
        <w:rPr>
          <w:noProof/>
        </w:rPr>
        <w:t xml:space="preserve"> (21), 3413–3421.</w:t>
      </w:r>
    </w:p>
    <w:p w14:paraId="44358710" w14:textId="29FFE2FC" w:rsidR="008D2C4C" w:rsidRPr="008D2C4C" w:rsidRDefault="008D2C4C" w:rsidP="00EF2E21">
      <w:pPr>
        <w:pStyle w:val="TFReferencesSection"/>
        <w:ind w:firstLine="0"/>
        <w:rPr>
          <w:noProof/>
        </w:rPr>
      </w:pPr>
      <w:r w:rsidRPr="008D2C4C">
        <w:rPr>
          <w:noProof/>
        </w:rPr>
        <w:t xml:space="preserve">(32) Gabriel, C. M.; Lee, N. R.; Bigorne, F.; Klumphu, P.; Parmentier, M.; Gallou, F.; Lipshutz, B. H. Effects of Co-Solvents on Reactions Run under Micellar Catalysis Conditions. </w:t>
      </w:r>
      <w:r w:rsidRPr="008D2C4C">
        <w:rPr>
          <w:i/>
          <w:iCs/>
          <w:noProof/>
        </w:rPr>
        <w:t>Org. Lett.</w:t>
      </w:r>
      <w:r w:rsidRPr="008D2C4C">
        <w:rPr>
          <w:noProof/>
        </w:rPr>
        <w:t xml:space="preserve"> </w:t>
      </w:r>
      <w:r w:rsidRPr="008D2C4C">
        <w:rPr>
          <w:b/>
          <w:bCs/>
          <w:noProof/>
        </w:rPr>
        <w:t>2017</w:t>
      </w:r>
      <w:r w:rsidRPr="008D2C4C">
        <w:rPr>
          <w:noProof/>
        </w:rPr>
        <w:t xml:space="preserve">, </w:t>
      </w:r>
      <w:r w:rsidRPr="008D2C4C">
        <w:rPr>
          <w:i/>
          <w:iCs/>
          <w:noProof/>
        </w:rPr>
        <w:t>19</w:t>
      </w:r>
      <w:r w:rsidRPr="008D2C4C">
        <w:rPr>
          <w:noProof/>
        </w:rPr>
        <w:t xml:space="preserve"> (1), 194–197.</w:t>
      </w:r>
    </w:p>
    <w:p w14:paraId="548B4A6D" w14:textId="7E7C25A5" w:rsidR="008D2C4C" w:rsidRPr="008D2C4C" w:rsidRDefault="008D2C4C" w:rsidP="00EF2E21">
      <w:pPr>
        <w:pStyle w:val="TFReferencesSection"/>
        <w:ind w:firstLine="0"/>
        <w:rPr>
          <w:noProof/>
        </w:rPr>
      </w:pPr>
      <w:r w:rsidRPr="008D2C4C">
        <w:rPr>
          <w:noProof/>
        </w:rPr>
        <w:t xml:space="preserve">(33) Christensen, H.; Kiil, S.; Dam-Johansen, K.; Nielsen, O.; Sommer, M. B. Effect of Solvents on the Product Distribution and Reaction Rate of a Buchwald−Hartwig Amination Reaction. </w:t>
      </w:r>
      <w:r w:rsidRPr="008D2C4C">
        <w:rPr>
          <w:i/>
          <w:iCs/>
          <w:noProof/>
        </w:rPr>
        <w:t>Org. Process Res. Dev.</w:t>
      </w:r>
      <w:r w:rsidRPr="008D2C4C">
        <w:rPr>
          <w:noProof/>
        </w:rPr>
        <w:t xml:space="preserve"> </w:t>
      </w:r>
      <w:r w:rsidRPr="008D2C4C">
        <w:rPr>
          <w:b/>
          <w:bCs/>
          <w:noProof/>
        </w:rPr>
        <w:t>2006</w:t>
      </w:r>
      <w:r w:rsidRPr="008D2C4C">
        <w:rPr>
          <w:noProof/>
        </w:rPr>
        <w:t xml:space="preserve">, </w:t>
      </w:r>
      <w:r w:rsidRPr="008D2C4C">
        <w:rPr>
          <w:i/>
          <w:iCs/>
          <w:noProof/>
        </w:rPr>
        <w:t>10</w:t>
      </w:r>
      <w:r w:rsidRPr="008D2C4C">
        <w:rPr>
          <w:noProof/>
        </w:rPr>
        <w:t xml:space="preserve"> (4), 762–769.</w:t>
      </w:r>
    </w:p>
    <w:p w14:paraId="7EB31AB9" w14:textId="6CC2E025" w:rsidR="008D2C4C" w:rsidRPr="008D2C4C" w:rsidRDefault="008D2C4C" w:rsidP="00EF2E21">
      <w:pPr>
        <w:pStyle w:val="TFReferencesSection"/>
        <w:ind w:firstLine="0"/>
        <w:rPr>
          <w:noProof/>
        </w:rPr>
      </w:pPr>
      <w:r w:rsidRPr="008D2C4C">
        <w:rPr>
          <w:noProof/>
        </w:rPr>
        <w:t xml:space="preserve">(34) McGowan, M. A.; Henderson, J. L.; Buchwald, S. L. Palladium-Catalyzed N-Arylation of 2-Aminothiazoles. </w:t>
      </w:r>
      <w:r w:rsidRPr="008D2C4C">
        <w:rPr>
          <w:i/>
          <w:iCs/>
          <w:noProof/>
        </w:rPr>
        <w:t>Org. Lett.</w:t>
      </w:r>
      <w:r w:rsidRPr="008D2C4C">
        <w:rPr>
          <w:noProof/>
        </w:rPr>
        <w:t xml:space="preserve"> </w:t>
      </w:r>
      <w:r w:rsidRPr="008D2C4C">
        <w:rPr>
          <w:b/>
          <w:bCs/>
          <w:noProof/>
        </w:rPr>
        <w:t>2012</w:t>
      </w:r>
      <w:r w:rsidRPr="008D2C4C">
        <w:rPr>
          <w:noProof/>
        </w:rPr>
        <w:t xml:space="preserve">, </w:t>
      </w:r>
      <w:r w:rsidRPr="008D2C4C">
        <w:rPr>
          <w:i/>
          <w:iCs/>
          <w:noProof/>
        </w:rPr>
        <w:t>14</w:t>
      </w:r>
      <w:r w:rsidRPr="008D2C4C">
        <w:rPr>
          <w:noProof/>
        </w:rPr>
        <w:t xml:space="preserve"> (6), 1432–1435.</w:t>
      </w:r>
    </w:p>
    <w:p w14:paraId="1B6785D0" w14:textId="622C438B" w:rsidR="00DD29EF" w:rsidRDefault="008D2C4C" w:rsidP="00B0431F">
      <w:pPr>
        <w:pStyle w:val="TFReferencesSection"/>
        <w:ind w:firstLine="0"/>
        <w:sectPr w:rsidR="00DD29EF" w:rsidSect="00984F9E">
          <w:type w:val="continuous"/>
          <w:pgSz w:w="12240" w:h="15840"/>
          <w:pgMar w:top="720" w:right="1094" w:bottom="720" w:left="1094" w:header="720" w:footer="720" w:gutter="0"/>
          <w:cols w:num="2" w:space="461"/>
        </w:sectPr>
      </w:pPr>
      <w:r>
        <w:fldChar w:fldCharType="end"/>
      </w:r>
    </w:p>
    <w:p w14:paraId="1B6785F1" w14:textId="5D76B1BF" w:rsidR="00A66EDD" w:rsidRPr="00C45E7B" w:rsidRDefault="00A66EDD" w:rsidP="00B0431F">
      <w:pPr>
        <w:pBdr>
          <w:bottom w:val="single" w:sz="4" w:space="1" w:color="auto"/>
        </w:pBdr>
        <w:spacing w:after="240"/>
        <w:jc w:val="center"/>
        <w:rPr>
          <w:rFonts w:ascii="Arno Pro" w:hAnsi="Arno Pro"/>
        </w:rPr>
      </w:pPr>
    </w:p>
    <w:sectPr w:rsidR="00A66EDD" w:rsidRPr="00C45E7B" w:rsidSect="00984F9E">
      <w:headerReference w:type="even" r:id="rId60"/>
      <w:footerReference w:type="even" r:id="rId61"/>
      <w:footerReference w:type="default" r:id="rId62"/>
      <w:type w:val="continuous"/>
      <w:pgSz w:w="12240" w:h="15840"/>
      <w:pgMar w:top="720" w:right="1094" w:bottom="720" w:left="1094" w:header="0" w:footer="0" w:gutter="0"/>
      <w:cols w:space="475"/>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6785F6" w14:textId="77777777" w:rsidR="00AF1765" w:rsidRDefault="00AF1765">
      <w:r>
        <w:separator/>
      </w:r>
    </w:p>
    <w:p w14:paraId="1B6785F7" w14:textId="77777777" w:rsidR="00AF1765" w:rsidRDefault="00AF1765"/>
  </w:endnote>
  <w:endnote w:type="continuationSeparator" w:id="0">
    <w:p w14:paraId="1B6785F8" w14:textId="77777777" w:rsidR="00AF1765" w:rsidRDefault="00AF1765">
      <w:r>
        <w:continuationSeparator/>
      </w:r>
    </w:p>
    <w:p w14:paraId="1B6785F9" w14:textId="77777777" w:rsidR="00AF1765" w:rsidRDefault="00AF17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72CC8B2B-AE34-4189-B9E5-088195A94144}"/>
    <w:embedBold r:id="rId2" w:subsetted="1" w:fontKey="{6A146689-0419-410A-9949-183E4C2D7D1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3" w:subsetted="1" w:fontKey="{4C5BD964-EC63-4477-BBDD-BD69E932048C}"/>
  </w:font>
  <w:font w:name="Myriad Pro Light">
    <w:altName w:val="Segoe UI Light"/>
    <w:panose1 w:val="00000000000000000000"/>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Arno Pro">
    <w:altName w:val="Cambria"/>
    <w:charset w:val="00"/>
    <w:family w:val="decorative"/>
    <w:pitch w:val="default"/>
    <w:sig w:usb0="00000000"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785FA" w14:textId="77777777" w:rsidR="004E35E0" w:rsidRDefault="004E35E0">
    <w:pPr>
      <w:framePr w:wrap="around" w:vAnchor="text" w:hAnchor="margin" w:xAlign="right" w:y="1"/>
      <w:rPr>
        <w:rStyle w:val="PageNumber"/>
      </w:rPr>
    </w:pPr>
    <w:r>
      <w:rPr>
        <w:rStyle w:val="PageNumber"/>
      </w:rPr>
      <w:t xml:space="preserve">PAGE  </w:t>
    </w:r>
    <w:r>
      <w:rPr>
        <w:rStyle w:val="PageNumber"/>
        <w:noProof/>
      </w:rPr>
      <w:t>2</w:t>
    </w:r>
  </w:p>
  <w:p w14:paraId="1B6785FB" w14:textId="77777777" w:rsidR="004E35E0" w:rsidRDefault="004E35E0">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785FC" w14:textId="77777777" w:rsidR="004E35E0" w:rsidRDefault="004E35E0">
    <w:pP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785FE" w14:textId="77777777" w:rsidR="004E35E0" w:rsidRDefault="004E35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B6785FF" w14:textId="77777777" w:rsidR="004E35E0" w:rsidRDefault="004E35E0">
    <w:pPr>
      <w:pStyle w:val="Footer"/>
      <w:ind w:right="360"/>
    </w:pPr>
  </w:p>
  <w:p w14:paraId="1B678600" w14:textId="77777777" w:rsidR="004E35E0" w:rsidRDefault="004E35E0"/>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78601" w14:textId="77777777" w:rsidR="004E35E0" w:rsidRDefault="004E35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B678602" w14:textId="77777777" w:rsidR="004E35E0" w:rsidRDefault="004E35E0">
    <w:pPr>
      <w:pStyle w:val="Footer"/>
      <w:ind w:right="360"/>
    </w:pPr>
  </w:p>
  <w:p w14:paraId="1B678603" w14:textId="77777777" w:rsidR="004E35E0" w:rsidRDefault="004E35E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6785F2" w14:textId="77777777" w:rsidR="00AF1765" w:rsidRDefault="00AF1765">
      <w:r>
        <w:separator/>
      </w:r>
    </w:p>
    <w:p w14:paraId="1B6785F3" w14:textId="77777777" w:rsidR="00AF1765" w:rsidRDefault="00AF1765"/>
  </w:footnote>
  <w:footnote w:type="continuationSeparator" w:id="0">
    <w:p w14:paraId="1B6785F4" w14:textId="77777777" w:rsidR="00AF1765" w:rsidRDefault="00AF1765">
      <w:r>
        <w:continuationSeparator/>
      </w:r>
    </w:p>
    <w:p w14:paraId="1B6785F5" w14:textId="77777777" w:rsidR="00AF1765" w:rsidRDefault="00AF176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785FD" w14:textId="77777777" w:rsidR="004E35E0" w:rsidRDefault="004E35E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C4793E"/>
    <w:multiLevelType w:val="hybridMultilevel"/>
    <w:tmpl w:val="1E5E52AA"/>
    <w:lvl w:ilvl="0" w:tplc="A2DA1DF6">
      <w:start w:val="1"/>
      <w:numFmt w:val="decimal"/>
      <w:pStyle w:val="RSCR02References"/>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2"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3"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2"/>
  </w:num>
  <w:num w:numId="4">
    <w:abstractNumId w:val="7"/>
  </w:num>
  <w:num w:numId="5">
    <w:abstractNumId w:val="5"/>
  </w:num>
  <w:num w:numId="6">
    <w:abstractNumId w:val="4"/>
  </w:num>
  <w:num w:numId="7">
    <w:abstractNumId w:val="0"/>
  </w:num>
  <w:num w:numId="8">
    <w:abstractNumId w:val="9"/>
  </w:num>
  <w:num w:numId="9">
    <w:abstractNumId w:val="8"/>
  </w:num>
  <w:num w:numId="10">
    <w:abstractNumId w:val="14"/>
  </w:num>
  <w:num w:numId="11">
    <w:abstractNumId w:val="13"/>
  </w:num>
  <w:num w:numId="12">
    <w:abstractNumId w:val="2"/>
  </w:num>
  <w:num w:numId="13">
    <w:abstractNumId w:val="10"/>
  </w:num>
  <w:num w:numId="14">
    <w:abstractNumId w:val="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8A2"/>
    <w:rsid w:val="000201D0"/>
    <w:rsid w:val="0002798D"/>
    <w:rsid w:val="0003046A"/>
    <w:rsid w:val="0004450A"/>
    <w:rsid w:val="00051C5D"/>
    <w:rsid w:val="000A65BB"/>
    <w:rsid w:val="000B2C61"/>
    <w:rsid w:val="000D2D84"/>
    <w:rsid w:val="000E54C7"/>
    <w:rsid w:val="000E75E3"/>
    <w:rsid w:val="000F61EE"/>
    <w:rsid w:val="00101D1F"/>
    <w:rsid w:val="001379DD"/>
    <w:rsid w:val="00141659"/>
    <w:rsid w:val="0015109A"/>
    <w:rsid w:val="00157E12"/>
    <w:rsid w:val="001B34BB"/>
    <w:rsid w:val="001D7562"/>
    <w:rsid w:val="001E451C"/>
    <w:rsid w:val="002031A2"/>
    <w:rsid w:val="00212036"/>
    <w:rsid w:val="00233055"/>
    <w:rsid w:val="0024409A"/>
    <w:rsid w:val="002458E4"/>
    <w:rsid w:val="00256C9C"/>
    <w:rsid w:val="002729FB"/>
    <w:rsid w:val="00281D85"/>
    <w:rsid w:val="00290495"/>
    <w:rsid w:val="002A7098"/>
    <w:rsid w:val="002A7D96"/>
    <w:rsid w:val="002C3431"/>
    <w:rsid w:val="002D0B8E"/>
    <w:rsid w:val="002E0551"/>
    <w:rsid w:val="00310911"/>
    <w:rsid w:val="003166B7"/>
    <w:rsid w:val="00320595"/>
    <w:rsid w:val="0035002E"/>
    <w:rsid w:val="003547B0"/>
    <w:rsid w:val="00357396"/>
    <w:rsid w:val="0036177B"/>
    <w:rsid w:val="003679A1"/>
    <w:rsid w:val="00387697"/>
    <w:rsid w:val="003A0F5F"/>
    <w:rsid w:val="003A5AAA"/>
    <w:rsid w:val="003B0737"/>
    <w:rsid w:val="003B4AF3"/>
    <w:rsid w:val="003B6D18"/>
    <w:rsid w:val="003C2BE3"/>
    <w:rsid w:val="003C72B8"/>
    <w:rsid w:val="003E5207"/>
    <w:rsid w:val="003F1D9D"/>
    <w:rsid w:val="0041079D"/>
    <w:rsid w:val="0041699C"/>
    <w:rsid w:val="00422950"/>
    <w:rsid w:val="00427112"/>
    <w:rsid w:val="004564CF"/>
    <w:rsid w:val="0049449E"/>
    <w:rsid w:val="004948DD"/>
    <w:rsid w:val="00496B72"/>
    <w:rsid w:val="004A742B"/>
    <w:rsid w:val="004B20E6"/>
    <w:rsid w:val="004C1F7A"/>
    <w:rsid w:val="004E35E0"/>
    <w:rsid w:val="005327A4"/>
    <w:rsid w:val="005329C7"/>
    <w:rsid w:val="00543E07"/>
    <w:rsid w:val="00551789"/>
    <w:rsid w:val="00552A07"/>
    <w:rsid w:val="005754B8"/>
    <w:rsid w:val="00575965"/>
    <w:rsid w:val="00591A57"/>
    <w:rsid w:val="0059535F"/>
    <w:rsid w:val="005B57D6"/>
    <w:rsid w:val="005C62A1"/>
    <w:rsid w:val="005D0A6F"/>
    <w:rsid w:val="005D0C10"/>
    <w:rsid w:val="005D2065"/>
    <w:rsid w:val="005D3B0D"/>
    <w:rsid w:val="005D707E"/>
    <w:rsid w:val="005F5C5C"/>
    <w:rsid w:val="00604E00"/>
    <w:rsid w:val="00604F23"/>
    <w:rsid w:val="00614F2E"/>
    <w:rsid w:val="00616D68"/>
    <w:rsid w:val="00631B3F"/>
    <w:rsid w:val="00631E32"/>
    <w:rsid w:val="0064353C"/>
    <w:rsid w:val="006532A9"/>
    <w:rsid w:val="006B2581"/>
    <w:rsid w:val="006C2B54"/>
    <w:rsid w:val="006C5E19"/>
    <w:rsid w:val="006E6BC5"/>
    <w:rsid w:val="006F268D"/>
    <w:rsid w:val="006F3E34"/>
    <w:rsid w:val="007009DA"/>
    <w:rsid w:val="0071182A"/>
    <w:rsid w:val="007130C0"/>
    <w:rsid w:val="007179F0"/>
    <w:rsid w:val="00725E67"/>
    <w:rsid w:val="007331FF"/>
    <w:rsid w:val="00745F27"/>
    <w:rsid w:val="00761BD1"/>
    <w:rsid w:val="00761BE5"/>
    <w:rsid w:val="007629D3"/>
    <w:rsid w:val="007926E6"/>
    <w:rsid w:val="007B6C03"/>
    <w:rsid w:val="007C1383"/>
    <w:rsid w:val="007D33E2"/>
    <w:rsid w:val="007E19EA"/>
    <w:rsid w:val="007E26FD"/>
    <w:rsid w:val="007E4ABF"/>
    <w:rsid w:val="007F3FDD"/>
    <w:rsid w:val="007F6792"/>
    <w:rsid w:val="00803489"/>
    <w:rsid w:val="008348A2"/>
    <w:rsid w:val="00835CBD"/>
    <w:rsid w:val="008360B6"/>
    <w:rsid w:val="008449C7"/>
    <w:rsid w:val="00865479"/>
    <w:rsid w:val="008655C0"/>
    <w:rsid w:val="00891688"/>
    <w:rsid w:val="008B3498"/>
    <w:rsid w:val="008C6005"/>
    <w:rsid w:val="008C7DD0"/>
    <w:rsid w:val="008D2C4C"/>
    <w:rsid w:val="008D2DFE"/>
    <w:rsid w:val="008D3D15"/>
    <w:rsid w:val="008D567C"/>
    <w:rsid w:val="00912C70"/>
    <w:rsid w:val="0091687E"/>
    <w:rsid w:val="0092037A"/>
    <w:rsid w:val="009246AD"/>
    <w:rsid w:val="00927CDC"/>
    <w:rsid w:val="00957C0B"/>
    <w:rsid w:val="00967927"/>
    <w:rsid w:val="00984F9E"/>
    <w:rsid w:val="009A7E6D"/>
    <w:rsid w:val="009B069F"/>
    <w:rsid w:val="009B6A8D"/>
    <w:rsid w:val="009C0F77"/>
    <w:rsid w:val="009F7157"/>
    <w:rsid w:val="00A02D62"/>
    <w:rsid w:val="00A269C9"/>
    <w:rsid w:val="00A41A0E"/>
    <w:rsid w:val="00A444E1"/>
    <w:rsid w:val="00A460B5"/>
    <w:rsid w:val="00A46C91"/>
    <w:rsid w:val="00A621C5"/>
    <w:rsid w:val="00A66999"/>
    <w:rsid w:val="00A66EDD"/>
    <w:rsid w:val="00A71C00"/>
    <w:rsid w:val="00AB22B9"/>
    <w:rsid w:val="00AC1839"/>
    <w:rsid w:val="00AC5F97"/>
    <w:rsid w:val="00AC6438"/>
    <w:rsid w:val="00AE4B97"/>
    <w:rsid w:val="00AF1765"/>
    <w:rsid w:val="00AF2AD1"/>
    <w:rsid w:val="00B0431F"/>
    <w:rsid w:val="00B2746B"/>
    <w:rsid w:val="00B42C29"/>
    <w:rsid w:val="00B563D9"/>
    <w:rsid w:val="00B71491"/>
    <w:rsid w:val="00B7618D"/>
    <w:rsid w:val="00B875D7"/>
    <w:rsid w:val="00B91399"/>
    <w:rsid w:val="00B97259"/>
    <w:rsid w:val="00BA2656"/>
    <w:rsid w:val="00BB1134"/>
    <w:rsid w:val="00BC3E2A"/>
    <w:rsid w:val="00BD0668"/>
    <w:rsid w:val="00BD5122"/>
    <w:rsid w:val="00BE533F"/>
    <w:rsid w:val="00C02810"/>
    <w:rsid w:val="00C0507A"/>
    <w:rsid w:val="00C06CFC"/>
    <w:rsid w:val="00C12CD4"/>
    <w:rsid w:val="00C168F2"/>
    <w:rsid w:val="00C30403"/>
    <w:rsid w:val="00C45E7B"/>
    <w:rsid w:val="00C72D78"/>
    <w:rsid w:val="00C77856"/>
    <w:rsid w:val="00C9140C"/>
    <w:rsid w:val="00CA15CA"/>
    <w:rsid w:val="00CC3955"/>
    <w:rsid w:val="00CE1C3F"/>
    <w:rsid w:val="00D0596F"/>
    <w:rsid w:val="00D13841"/>
    <w:rsid w:val="00D13B1B"/>
    <w:rsid w:val="00D30D45"/>
    <w:rsid w:val="00D372CA"/>
    <w:rsid w:val="00D607E0"/>
    <w:rsid w:val="00D60CFC"/>
    <w:rsid w:val="00D61DBF"/>
    <w:rsid w:val="00D66756"/>
    <w:rsid w:val="00D7793E"/>
    <w:rsid w:val="00D83EC6"/>
    <w:rsid w:val="00D86677"/>
    <w:rsid w:val="00D928D2"/>
    <w:rsid w:val="00D94E13"/>
    <w:rsid w:val="00DD1EEC"/>
    <w:rsid w:val="00DD29EF"/>
    <w:rsid w:val="00DE78D2"/>
    <w:rsid w:val="00DF59F4"/>
    <w:rsid w:val="00DF683D"/>
    <w:rsid w:val="00E074F2"/>
    <w:rsid w:val="00E2340D"/>
    <w:rsid w:val="00E32A18"/>
    <w:rsid w:val="00E41E50"/>
    <w:rsid w:val="00E44832"/>
    <w:rsid w:val="00E46BD3"/>
    <w:rsid w:val="00E529B2"/>
    <w:rsid w:val="00E65825"/>
    <w:rsid w:val="00E75388"/>
    <w:rsid w:val="00E84CB9"/>
    <w:rsid w:val="00E91018"/>
    <w:rsid w:val="00E96302"/>
    <w:rsid w:val="00EA282F"/>
    <w:rsid w:val="00EB08A9"/>
    <w:rsid w:val="00EF2E21"/>
    <w:rsid w:val="00EF7A54"/>
    <w:rsid w:val="00F07351"/>
    <w:rsid w:val="00F103D7"/>
    <w:rsid w:val="00F10E56"/>
    <w:rsid w:val="00F21D92"/>
    <w:rsid w:val="00F3106B"/>
    <w:rsid w:val="00F5421E"/>
    <w:rsid w:val="00F561BB"/>
    <w:rsid w:val="00F65AB6"/>
    <w:rsid w:val="00F8537A"/>
    <w:rsid w:val="00F906A3"/>
    <w:rsid w:val="00F97782"/>
    <w:rsid w:val="00FB5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B6785A2"/>
  <w15:docId w15:val="{D5D9CE40-BA21-4EE6-BFEB-7DA403BF6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uiPriority w:val="99"/>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link w:val="FootnoteTextChar"/>
    <w:uiPriority w:val="99"/>
    <w:semiHidden/>
  </w:style>
  <w:style w:type="paragraph" w:customStyle="1" w:styleId="TFReferencesSection">
    <w:name w:val="TF_References_Section"/>
    <w:basedOn w:val="Normal"/>
    <w:next w:val="Normal"/>
    <w:autoRedefine/>
    <w:rsid w:val="00912C70"/>
    <w:pPr>
      <w:spacing w:after="0"/>
      <w:ind w:firstLine="187"/>
    </w:pPr>
    <w:rPr>
      <w:rFonts w:ascii="Arno Pro" w:hAnsi="Arno Pro"/>
      <w:kern w:val="19"/>
      <w:sz w:val="19"/>
      <w:szCs w:val="16"/>
    </w:rPr>
  </w:style>
  <w:style w:type="paragraph" w:customStyle="1" w:styleId="TAMainText">
    <w:name w:val="TA_Main_Text"/>
    <w:basedOn w:val="Normal"/>
    <w:autoRedefine/>
    <w:rsid w:val="00D13841"/>
    <w:pPr>
      <w:tabs>
        <w:tab w:val="left" w:pos="4678"/>
      </w:tabs>
      <w:spacing w:after="60"/>
      <w:ind w:firstLine="29"/>
    </w:pPr>
    <w:rPr>
      <w:rFonts w:ascii="Arno Pro" w:hAnsi="Arno Pro"/>
      <w:kern w:val="20"/>
      <w:sz w:val="18"/>
      <w:szCs w:val="18"/>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2458E4"/>
    <w:pPr>
      <w:spacing w:after="180"/>
    </w:pPr>
    <w:rPr>
      <w:rFonts w:ascii="Arno Pro" w:hAnsi="Arno Pro"/>
      <w:bCs/>
      <w:kern w:val="21"/>
      <w:sz w:val="19"/>
    </w:rPr>
  </w:style>
  <w:style w:type="paragraph" w:customStyle="1" w:styleId="VDTableTitle">
    <w:name w:val="VD_Table_Title"/>
    <w:basedOn w:val="Normal"/>
    <w:next w:val="Normal"/>
    <w:autoRedefine/>
    <w:rsid w:val="002458E4"/>
    <w:pPr>
      <w:spacing w:after="180"/>
    </w:pPr>
    <w:rPr>
      <w:rFonts w:ascii="Arno Pro" w:hAnsi="Arno Pro"/>
      <w:bCs/>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B2746B"/>
    <w:pPr>
      <w:spacing w:before="20" w:after="60"/>
    </w:pPr>
    <w:rPr>
      <w:rFonts w:ascii="Arno Pro" w:eastAsiaTheme="minorHAnsi" w:hAnsi="Arno Pro" w:cstheme="minorBidi"/>
      <w:kern w:val="20"/>
      <w:sz w:val="18"/>
      <w:szCs w:val="18"/>
      <w:lang w:val="en-GB"/>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B2746B"/>
    <w:rPr>
      <w:rFonts w:ascii="Arno Pro" w:eastAsiaTheme="minorHAnsi" w:hAnsi="Arno Pro" w:cstheme="minorBidi"/>
      <w:kern w:val="20"/>
      <w:sz w:val="18"/>
      <w:szCs w:val="18"/>
      <w:lang w:val="en-GB"/>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styleId="Header">
    <w:name w:val="header"/>
    <w:basedOn w:val="Normal"/>
    <w:link w:val="HeaderChar"/>
    <w:uiPriority w:val="99"/>
    <w:unhideWhenUsed/>
    <w:rsid w:val="005C62A1"/>
    <w:pPr>
      <w:tabs>
        <w:tab w:val="center" w:pos="4513"/>
        <w:tab w:val="right" w:pos="9026"/>
      </w:tabs>
      <w:spacing w:after="0"/>
      <w:jc w:val="left"/>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5C62A1"/>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5C62A1"/>
    <w:rPr>
      <w:rFonts w:ascii="Times" w:hAnsi="Times"/>
      <w:sz w:val="24"/>
    </w:rPr>
  </w:style>
  <w:style w:type="character" w:customStyle="1" w:styleId="BalloonTextChar">
    <w:name w:val="Balloon Text Char"/>
    <w:basedOn w:val="DefaultParagraphFont"/>
    <w:link w:val="BalloonText"/>
    <w:uiPriority w:val="99"/>
    <w:semiHidden/>
    <w:rsid w:val="005C62A1"/>
    <w:rPr>
      <w:rFonts w:ascii="Tahoma" w:hAnsi="Tahoma" w:cs="Tahoma"/>
      <w:sz w:val="16"/>
      <w:szCs w:val="16"/>
    </w:rPr>
  </w:style>
  <w:style w:type="paragraph" w:customStyle="1" w:styleId="RSCH01PaperTitle">
    <w:name w:val="RSC H01 Paper Title"/>
    <w:basedOn w:val="Normal"/>
    <w:next w:val="Normal"/>
    <w:link w:val="RSCH01PaperTitleChar"/>
    <w:qFormat/>
    <w:rsid w:val="005C62A1"/>
    <w:pPr>
      <w:tabs>
        <w:tab w:val="left" w:pos="284"/>
      </w:tabs>
      <w:spacing w:before="400" w:after="160"/>
      <w:jc w:val="left"/>
    </w:pPr>
    <w:rPr>
      <w:rFonts w:asciiTheme="minorHAnsi" w:eastAsiaTheme="minorHAnsi" w:hAnsiTheme="minorHAnsi"/>
      <w:b/>
      <w:sz w:val="29"/>
      <w:szCs w:val="32"/>
      <w:lang w:val="en-GB"/>
    </w:rPr>
  </w:style>
  <w:style w:type="paragraph" w:customStyle="1" w:styleId="RSCH02PaperAuthorsandByline">
    <w:name w:val="RSC H02 Paper Authors and Byline"/>
    <w:basedOn w:val="Normal"/>
    <w:link w:val="RSCH02PaperAuthorsandBylineChar"/>
    <w:qFormat/>
    <w:rsid w:val="005C62A1"/>
    <w:pPr>
      <w:spacing w:after="120" w:line="240" w:lineRule="exact"/>
      <w:jc w:val="left"/>
    </w:pPr>
    <w:rPr>
      <w:rFonts w:asciiTheme="minorHAnsi" w:eastAsiaTheme="minorHAnsi" w:hAnsiTheme="minorHAnsi"/>
      <w:sz w:val="20"/>
      <w:szCs w:val="22"/>
      <w:lang w:val="en-GB"/>
    </w:rPr>
  </w:style>
  <w:style w:type="paragraph" w:customStyle="1" w:styleId="RSCB01ARTAbstract">
    <w:name w:val="RSC B01 ART Abstract"/>
    <w:basedOn w:val="Normal"/>
    <w:link w:val="RSCB01ARTAbstractChar"/>
    <w:qFormat/>
    <w:rsid w:val="005C62A1"/>
    <w:pPr>
      <w:spacing w:line="240" w:lineRule="exact"/>
    </w:pPr>
    <w:rPr>
      <w:rFonts w:asciiTheme="minorHAnsi" w:eastAsiaTheme="minorHAnsi" w:hAnsiTheme="minorHAnsi" w:cstheme="minorBidi"/>
      <w:noProof/>
      <w:sz w:val="16"/>
      <w:szCs w:val="22"/>
      <w:lang w:val="en-GB" w:eastAsia="en-GB"/>
    </w:rPr>
  </w:style>
  <w:style w:type="table" w:styleId="TableGrid">
    <w:name w:val="Table Grid"/>
    <w:basedOn w:val="TableNormal"/>
    <w:uiPriority w:val="39"/>
    <w:rsid w:val="005C62A1"/>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5C62A1"/>
    <w:pPr>
      <w:spacing w:before="160" w:line="240" w:lineRule="exact"/>
    </w:pPr>
    <w:rPr>
      <w:rFonts w:ascii="Times New Roman" w:hAnsi="Times New Roman"/>
      <w:sz w:val="18"/>
      <w:szCs w:val="18"/>
    </w:rPr>
  </w:style>
  <w:style w:type="paragraph" w:customStyle="1" w:styleId="RSCB02ArticleText">
    <w:name w:val="RSC B02 Article Text"/>
    <w:basedOn w:val="Normal"/>
    <w:link w:val="RSCB02ArticleTextChar"/>
    <w:qFormat/>
    <w:rsid w:val="005C62A1"/>
    <w:pPr>
      <w:spacing w:after="0" w:line="240" w:lineRule="exact"/>
    </w:pPr>
    <w:rPr>
      <w:rFonts w:asciiTheme="minorHAnsi" w:eastAsiaTheme="minorHAnsi" w:hAnsiTheme="minorHAnsi"/>
      <w:w w:val="108"/>
      <w:sz w:val="18"/>
      <w:szCs w:val="18"/>
      <w:lang w:val="en-GB"/>
    </w:rPr>
  </w:style>
  <w:style w:type="character" w:customStyle="1" w:styleId="06CHeading">
    <w:name w:val="06 C Heading"/>
    <w:basedOn w:val="RSCB02ArticleTextChar"/>
    <w:uiPriority w:val="1"/>
    <w:rsid w:val="005C62A1"/>
    <w:rPr>
      <w:rFonts w:ascii="Times New Roman" w:eastAsiaTheme="minorHAnsi" w:hAnsi="Times New Roman"/>
      <w:b/>
      <w:smallCaps/>
      <w:w w:val="108"/>
      <w:sz w:val="18"/>
      <w:szCs w:val="18"/>
      <w:lang w:val="en-GB"/>
    </w:rPr>
  </w:style>
  <w:style w:type="character" w:customStyle="1" w:styleId="RSCB02ArticleTextChar">
    <w:name w:val="RSC B02 Article Text Char"/>
    <w:basedOn w:val="DefaultParagraphFont"/>
    <w:link w:val="RSCB02ArticleText"/>
    <w:rsid w:val="005C62A1"/>
    <w:rPr>
      <w:rFonts w:asciiTheme="minorHAnsi" w:eastAsiaTheme="minorHAnsi" w:hAnsiTheme="minorHAnsi"/>
      <w:w w:val="108"/>
      <w:sz w:val="18"/>
      <w:szCs w:val="18"/>
      <w:lang w:val="en-GB"/>
    </w:rPr>
  </w:style>
  <w:style w:type="paragraph" w:customStyle="1" w:styleId="09ListText">
    <w:name w:val="09 List Text"/>
    <w:basedOn w:val="RSCB02ArticleText"/>
    <w:link w:val="09ListTextChar"/>
    <w:rsid w:val="005C62A1"/>
    <w:pPr>
      <w:widowControl w:val="0"/>
      <w:spacing w:line="230" w:lineRule="exact"/>
      <w:ind w:left="284" w:hanging="284"/>
    </w:pPr>
    <w:rPr>
      <w:lang w:eastAsia="en-GB"/>
    </w:rPr>
  </w:style>
  <w:style w:type="paragraph" w:customStyle="1" w:styleId="RSCF01FootnoteAuthorAddress">
    <w:name w:val="RSC F01 Footnote Author Address"/>
    <w:link w:val="RSCF01FootnoteAuthorAddressChar"/>
    <w:qFormat/>
    <w:rsid w:val="005C62A1"/>
    <w:pPr>
      <w:numPr>
        <w:numId w:val="9"/>
      </w:numPr>
      <w:pBdr>
        <w:top w:val="single" w:sz="12" w:space="1" w:color="A6A6A6" w:themeColor="background1" w:themeShade="A6"/>
      </w:pBdr>
      <w:ind w:left="85" w:hanging="85"/>
      <w:suppressOverlap/>
    </w:pPr>
    <w:rPr>
      <w:rFonts w:asciiTheme="minorHAnsi" w:eastAsiaTheme="minorHAnsi" w:hAnsiTheme="minorHAnsi"/>
      <w:i/>
      <w:w w:val="105"/>
      <w:sz w:val="14"/>
      <w:szCs w:val="14"/>
      <w:lang w:val="en-GB"/>
    </w:rPr>
  </w:style>
  <w:style w:type="paragraph" w:customStyle="1" w:styleId="RSCI02FigureSchemeChartwithtopbar">
    <w:name w:val="RSC I02 Figure/Scheme/Chart with top bar"/>
    <w:basedOn w:val="Normal"/>
    <w:link w:val="RSCI02FigureSchemeChartwithtopbarChar"/>
    <w:qFormat/>
    <w:rsid w:val="005C62A1"/>
    <w:pPr>
      <w:pBdr>
        <w:top w:val="single" w:sz="12" w:space="5" w:color="999999"/>
      </w:pBdr>
      <w:spacing w:before="120" w:after="40"/>
    </w:pPr>
    <w:rPr>
      <w:rFonts w:asciiTheme="minorHAnsi" w:eastAsiaTheme="minorHAnsi" w:hAnsiTheme="minorHAnsi"/>
      <w:w w:val="108"/>
      <w:sz w:val="14"/>
      <w:szCs w:val="18"/>
      <w:lang w:val="en-GB"/>
    </w:rPr>
  </w:style>
  <w:style w:type="paragraph" w:customStyle="1" w:styleId="RSCI01FigureSchemeChartwithbottombar">
    <w:name w:val="RSC I01 Figure/Scheme/Chart with bottom bar"/>
    <w:basedOn w:val="Normal"/>
    <w:link w:val="RSCI01FigureSchemeChartwithbottombarChar"/>
    <w:qFormat/>
    <w:rsid w:val="005C62A1"/>
    <w:pPr>
      <w:pBdr>
        <w:bottom w:val="single" w:sz="12" w:space="5" w:color="999999"/>
      </w:pBdr>
      <w:spacing w:before="40" w:after="120" w:line="120" w:lineRule="exact"/>
    </w:pPr>
    <w:rPr>
      <w:rFonts w:asciiTheme="minorHAnsi" w:eastAsiaTheme="minorHAnsi" w:hAnsiTheme="minorHAnsi" w:cstheme="minorHAnsi"/>
      <w:w w:val="108"/>
      <w:sz w:val="14"/>
      <w:szCs w:val="14"/>
      <w:lang w:val="en-GB"/>
    </w:rPr>
  </w:style>
  <w:style w:type="paragraph" w:customStyle="1" w:styleId="RSCI03FigureSchemeChartUncaptioned">
    <w:name w:val="RSC I03 Figure/Scheme/Chart Uncaptioned"/>
    <w:basedOn w:val="Normal"/>
    <w:link w:val="RSCI03FigureSchemeChartUncaptionedChar"/>
    <w:qFormat/>
    <w:rsid w:val="005C62A1"/>
    <w:pPr>
      <w:spacing w:before="160" w:after="160"/>
      <w:jc w:val="center"/>
    </w:pPr>
    <w:rPr>
      <w:rFonts w:asciiTheme="minorHAnsi" w:eastAsiaTheme="minorHAnsi" w:hAnsiTheme="minorHAnsi"/>
      <w:sz w:val="16"/>
      <w:szCs w:val="16"/>
      <w:lang w:val="en-GB"/>
    </w:rPr>
  </w:style>
  <w:style w:type="paragraph" w:customStyle="1" w:styleId="RSCB03MathematicsGreeketc">
    <w:name w:val="RSC B03 Mathematics/Greek etc"/>
    <w:basedOn w:val="Normal"/>
    <w:link w:val="RSCB03MathematicsGreeketcChar"/>
    <w:qFormat/>
    <w:rsid w:val="005C62A1"/>
    <w:pPr>
      <w:tabs>
        <w:tab w:val="center" w:pos="2268"/>
        <w:tab w:val="right" w:pos="4536"/>
      </w:tabs>
      <w:spacing w:before="160" w:after="160"/>
      <w:jc w:val="left"/>
    </w:pPr>
    <w:rPr>
      <w:rFonts w:ascii="Times New Roman" w:eastAsiaTheme="minorHAnsi" w:hAnsi="Times New Roman" w:cstheme="minorBidi"/>
      <w:sz w:val="18"/>
      <w:szCs w:val="22"/>
      <w:lang w:val="en-GB"/>
    </w:rPr>
  </w:style>
  <w:style w:type="paragraph" w:customStyle="1" w:styleId="RSCB09Biography">
    <w:name w:val="RSC B09 Biography"/>
    <w:basedOn w:val="RSCB02ArticleText"/>
    <w:link w:val="RSCB09BiographyChar"/>
    <w:qFormat/>
    <w:rsid w:val="005C62A1"/>
    <w:pPr>
      <w:pBdr>
        <w:top w:val="single" w:sz="6" w:space="1" w:color="auto"/>
      </w:pBdr>
    </w:pPr>
    <w:rPr>
      <w:i/>
    </w:rPr>
  </w:style>
  <w:style w:type="character" w:customStyle="1" w:styleId="RSCB09BiographyChar">
    <w:name w:val="RSC B09 Biography Char"/>
    <w:basedOn w:val="RSCB02ArticleTextChar"/>
    <w:link w:val="RSCB09Biography"/>
    <w:rsid w:val="005C62A1"/>
    <w:rPr>
      <w:rFonts w:asciiTheme="minorHAnsi" w:eastAsiaTheme="minorHAnsi" w:hAnsiTheme="minorHAnsi"/>
      <w:i/>
      <w:w w:val="108"/>
      <w:sz w:val="18"/>
      <w:szCs w:val="18"/>
      <w:lang w:val="en-GB"/>
    </w:rPr>
  </w:style>
  <w:style w:type="paragraph" w:customStyle="1" w:styleId="RSCF02FootnotestoTitleAuthors">
    <w:name w:val="RSC F02 Footnotes to Title/Authors"/>
    <w:basedOn w:val="Normal"/>
    <w:link w:val="RSCF02FootnotestoTitleAuthorsChar"/>
    <w:qFormat/>
    <w:rsid w:val="005C62A1"/>
    <w:pPr>
      <w:tabs>
        <w:tab w:val="left" w:pos="284"/>
      </w:tabs>
      <w:spacing w:after="0"/>
      <w:suppressOverlap/>
    </w:pPr>
    <w:rPr>
      <w:rFonts w:asciiTheme="minorHAnsi" w:eastAsiaTheme="minorHAnsi" w:hAnsiTheme="minorHAnsi"/>
      <w:w w:val="105"/>
      <w:sz w:val="14"/>
      <w:szCs w:val="14"/>
      <w:lang w:val="en-GB"/>
    </w:rPr>
  </w:style>
  <w:style w:type="character" w:customStyle="1" w:styleId="RSCF01FootnoteAuthorAddressChar">
    <w:name w:val="RSC F01 Footnote Author Address Char"/>
    <w:basedOn w:val="DefaultParagraphFont"/>
    <w:link w:val="RSCF01FootnoteAuthorAddress"/>
    <w:rsid w:val="005C62A1"/>
    <w:rPr>
      <w:rFonts w:asciiTheme="minorHAnsi" w:eastAsiaTheme="minorHAnsi" w:hAnsiTheme="minorHAnsi"/>
      <w:i/>
      <w:w w:val="105"/>
      <w:sz w:val="14"/>
      <w:szCs w:val="14"/>
      <w:lang w:val="en-GB"/>
    </w:rPr>
  </w:style>
  <w:style w:type="paragraph" w:customStyle="1" w:styleId="RSCR02References">
    <w:name w:val="RSC R02 References"/>
    <w:basedOn w:val="RSCB02ArticleText"/>
    <w:link w:val="RSCR02ReferencesChar"/>
    <w:qFormat/>
    <w:rsid w:val="005C62A1"/>
    <w:pPr>
      <w:numPr>
        <w:numId w:val="8"/>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5C62A1"/>
    <w:rPr>
      <w:rFonts w:asciiTheme="minorHAnsi" w:eastAsiaTheme="minorHAnsi" w:hAnsiTheme="minorHAnsi"/>
      <w:w w:val="105"/>
      <w:sz w:val="14"/>
      <w:szCs w:val="14"/>
      <w:lang w:val="en-GB"/>
    </w:rPr>
  </w:style>
  <w:style w:type="paragraph" w:styleId="NoSpacing">
    <w:name w:val="No Spacing"/>
    <w:link w:val="NoSpacingChar"/>
    <w:uiPriority w:val="1"/>
    <w:qFormat/>
    <w:rsid w:val="005C62A1"/>
    <w:rPr>
      <w:rFonts w:asciiTheme="minorHAnsi" w:eastAsiaTheme="minorHAnsi" w:hAnsiTheme="minorHAnsi" w:cstheme="minorBidi"/>
      <w:sz w:val="22"/>
      <w:szCs w:val="22"/>
      <w:lang w:val="en-GB"/>
    </w:rPr>
  </w:style>
  <w:style w:type="character" w:customStyle="1" w:styleId="RSCR02ReferencesChar">
    <w:name w:val="RSC R02 References Char"/>
    <w:basedOn w:val="DefaultParagraphFont"/>
    <w:link w:val="RSCR02References"/>
    <w:rsid w:val="005C62A1"/>
    <w:rPr>
      <w:rFonts w:asciiTheme="minorHAnsi" w:eastAsiaTheme="minorHAnsi" w:hAnsiTheme="minorHAnsi"/>
      <w:w w:val="105"/>
      <w:sz w:val="18"/>
      <w:szCs w:val="18"/>
      <w:lang w:val="en-GB"/>
    </w:rPr>
  </w:style>
  <w:style w:type="paragraph" w:customStyle="1" w:styleId="RSCB04AHeadingSection">
    <w:name w:val="RSC B04 A Heading (Section)"/>
    <w:basedOn w:val="Normal"/>
    <w:link w:val="RSCB04AHeadingSectionChar"/>
    <w:qFormat/>
    <w:rsid w:val="005C62A1"/>
    <w:pPr>
      <w:spacing w:before="400" w:after="80"/>
      <w:jc w:val="left"/>
    </w:pPr>
    <w:rPr>
      <w:rFonts w:asciiTheme="minorHAnsi" w:eastAsiaTheme="minorHAnsi" w:hAnsiTheme="minorHAnsi" w:cstheme="minorBidi"/>
      <w:b/>
      <w:szCs w:val="22"/>
      <w:lang w:val="en-GB"/>
    </w:rPr>
  </w:style>
  <w:style w:type="character" w:customStyle="1" w:styleId="RSCH01PaperTitleChar">
    <w:name w:val="RSC H01 Paper Title Char"/>
    <w:basedOn w:val="DefaultParagraphFont"/>
    <w:link w:val="RSCH01PaperTitle"/>
    <w:rsid w:val="005C62A1"/>
    <w:rPr>
      <w:rFonts w:asciiTheme="minorHAnsi" w:eastAsiaTheme="minorHAnsi" w:hAnsiTheme="minorHAnsi"/>
      <w:b/>
      <w:sz w:val="29"/>
      <w:szCs w:val="32"/>
      <w:lang w:val="en-GB"/>
    </w:rPr>
  </w:style>
  <w:style w:type="character" w:customStyle="1" w:styleId="RSCH02PaperAuthorsandBylineChar">
    <w:name w:val="RSC H02 Paper Authors and Byline Char"/>
    <w:basedOn w:val="DefaultParagraphFont"/>
    <w:link w:val="RSCH02PaperAuthorsandByline"/>
    <w:rsid w:val="005C62A1"/>
    <w:rPr>
      <w:rFonts w:asciiTheme="minorHAnsi" w:eastAsiaTheme="minorHAnsi" w:hAnsiTheme="minorHAnsi"/>
      <w:szCs w:val="22"/>
      <w:lang w:val="en-GB"/>
    </w:rPr>
  </w:style>
  <w:style w:type="character" w:customStyle="1" w:styleId="RSCB01ARTAbstractChar">
    <w:name w:val="RSC B01 ART Abstract Char"/>
    <w:basedOn w:val="DefaultParagraphFont"/>
    <w:link w:val="RSCB01ARTAbstract"/>
    <w:rsid w:val="005C62A1"/>
    <w:rPr>
      <w:rFonts w:asciiTheme="minorHAnsi" w:eastAsiaTheme="minorHAnsi" w:hAnsiTheme="minorHAnsi" w:cstheme="minorBidi"/>
      <w:noProof/>
      <w:sz w:val="16"/>
      <w:szCs w:val="22"/>
      <w:lang w:val="en-GB" w:eastAsia="en-GB"/>
    </w:rPr>
  </w:style>
  <w:style w:type="character" w:customStyle="1" w:styleId="09ListTextChar">
    <w:name w:val="09 List Text Char"/>
    <w:basedOn w:val="RSCB02ArticleTextChar"/>
    <w:link w:val="09ListText"/>
    <w:rsid w:val="005C62A1"/>
    <w:rPr>
      <w:rFonts w:asciiTheme="minorHAnsi" w:eastAsiaTheme="minorHAnsi" w:hAnsiTheme="minorHAnsi"/>
      <w:w w:val="108"/>
      <w:sz w:val="18"/>
      <w:szCs w:val="18"/>
      <w:lang w:val="en-GB" w:eastAsia="en-GB"/>
    </w:rPr>
  </w:style>
  <w:style w:type="character" w:customStyle="1" w:styleId="RSCB04AHeadingSectionChar">
    <w:name w:val="RSC B04 A Heading (Section) Char"/>
    <w:basedOn w:val="DefaultParagraphFont"/>
    <w:link w:val="RSCB04AHeadingSection"/>
    <w:rsid w:val="005C62A1"/>
    <w:rPr>
      <w:rFonts w:asciiTheme="minorHAnsi" w:eastAsiaTheme="minorHAnsi" w:hAnsiTheme="minorHAnsi" w:cstheme="minorBidi"/>
      <w:b/>
      <w:sz w:val="24"/>
      <w:szCs w:val="22"/>
      <w:lang w:val="en-GB"/>
    </w:rPr>
  </w:style>
  <w:style w:type="character" w:customStyle="1" w:styleId="05BHeadingChar">
    <w:name w:val="05 B Heading Char"/>
    <w:basedOn w:val="RSCB04AHeadingSectionChar"/>
    <w:link w:val="05BHeading"/>
    <w:rsid w:val="005C62A1"/>
    <w:rPr>
      <w:rFonts w:ascii="Times New Roman" w:eastAsiaTheme="minorHAnsi" w:hAnsi="Times New Roman" w:cstheme="minorBidi"/>
      <w:b/>
      <w:sz w:val="18"/>
      <w:szCs w:val="18"/>
      <w:lang w:val="en-GB"/>
    </w:rPr>
  </w:style>
  <w:style w:type="paragraph" w:customStyle="1" w:styleId="RSCT01TableTitlewithtopbar">
    <w:name w:val="RSC T01 Table Title with top bar"/>
    <w:basedOn w:val="Normal"/>
    <w:link w:val="RSCT01TableTitlewithtopbarChar"/>
    <w:qFormat/>
    <w:rsid w:val="005C62A1"/>
    <w:pPr>
      <w:keepNext/>
      <w:keepLines/>
      <w:pBdr>
        <w:top w:val="single" w:sz="12" w:space="1" w:color="999999"/>
        <w:bottom w:val="single" w:sz="6" w:space="1" w:color="auto"/>
      </w:pBdr>
      <w:spacing w:before="120" w:after="120" w:line="200" w:lineRule="exact"/>
    </w:pPr>
    <w:rPr>
      <w:rFonts w:asciiTheme="minorHAnsi" w:hAnsiTheme="minorHAnsi"/>
      <w:sz w:val="14"/>
      <w:lang w:val="en-GB" w:eastAsia="en-GB"/>
    </w:rPr>
  </w:style>
  <w:style w:type="character" w:customStyle="1" w:styleId="RSCI02FigureSchemeChartwithtopbarChar">
    <w:name w:val="RSC I02 Figure/Scheme/Chart with top bar Char"/>
    <w:basedOn w:val="DefaultParagraphFont"/>
    <w:link w:val="RSCI02FigureSchemeChartwithtopbar"/>
    <w:rsid w:val="005C62A1"/>
    <w:rPr>
      <w:rFonts w:asciiTheme="minorHAnsi" w:eastAsiaTheme="minorHAnsi" w:hAnsiTheme="minorHAnsi"/>
      <w:w w:val="108"/>
      <w:sz w:val="14"/>
      <w:szCs w:val="18"/>
      <w:lang w:val="en-GB"/>
    </w:rPr>
  </w:style>
  <w:style w:type="character" w:customStyle="1" w:styleId="RSCI01FigureSchemeChartwithbottombarChar">
    <w:name w:val="RSC I01 Figure/Scheme/Chart with bottom bar Char"/>
    <w:basedOn w:val="DefaultParagraphFont"/>
    <w:link w:val="RSCI01FigureSchemeChartwithbottombar"/>
    <w:rsid w:val="005C62A1"/>
    <w:rPr>
      <w:rFonts w:asciiTheme="minorHAnsi" w:eastAsiaTheme="minorHAnsi" w:hAnsiTheme="minorHAnsi" w:cstheme="minorHAnsi"/>
      <w:w w:val="108"/>
      <w:sz w:val="14"/>
      <w:szCs w:val="14"/>
      <w:lang w:val="en-GB"/>
    </w:rPr>
  </w:style>
  <w:style w:type="character" w:customStyle="1" w:styleId="RSCI03FigureSchemeChartUncaptionedChar">
    <w:name w:val="RSC I03 Figure/Scheme/Chart Uncaptioned Char"/>
    <w:basedOn w:val="DefaultParagraphFont"/>
    <w:link w:val="RSCI03FigureSchemeChartUncaptioned"/>
    <w:rsid w:val="005C62A1"/>
    <w:rPr>
      <w:rFonts w:asciiTheme="minorHAnsi" w:eastAsiaTheme="minorHAnsi" w:hAnsiTheme="minorHAnsi"/>
      <w:sz w:val="16"/>
      <w:szCs w:val="16"/>
      <w:lang w:val="en-GB"/>
    </w:rPr>
  </w:style>
  <w:style w:type="character" w:customStyle="1" w:styleId="RSCB03MathematicsGreeketcChar">
    <w:name w:val="RSC B03 Mathematics/Greek etc Char"/>
    <w:basedOn w:val="DefaultParagraphFont"/>
    <w:link w:val="RSCB03MathematicsGreeketc"/>
    <w:rsid w:val="005C62A1"/>
    <w:rPr>
      <w:rFonts w:ascii="Times New Roman" w:eastAsiaTheme="minorHAnsi" w:hAnsi="Times New Roman" w:cstheme="minorBidi"/>
      <w:sz w:val="18"/>
      <w:szCs w:val="22"/>
      <w:lang w:val="en-GB"/>
    </w:rPr>
  </w:style>
  <w:style w:type="paragraph" w:customStyle="1" w:styleId="RSCT03TableBody">
    <w:name w:val="RSC T03 Table Body"/>
    <w:basedOn w:val="Normal"/>
    <w:link w:val="RSCT03TableBodyChar"/>
    <w:qFormat/>
    <w:rsid w:val="005C62A1"/>
    <w:pPr>
      <w:keepNext/>
      <w:keepLines/>
      <w:spacing w:after="0" w:line="220" w:lineRule="exact"/>
      <w:jc w:val="center"/>
    </w:pPr>
    <w:rPr>
      <w:rFonts w:asciiTheme="minorHAnsi" w:hAnsiTheme="minorHAnsi"/>
      <w:sz w:val="16"/>
      <w:szCs w:val="16"/>
      <w:lang w:val="en-GB" w:eastAsia="en-GB"/>
    </w:rPr>
  </w:style>
  <w:style w:type="character" w:customStyle="1" w:styleId="RSCT01TableTitlewithtopbarChar">
    <w:name w:val="RSC T01 Table Title with top bar Char"/>
    <w:basedOn w:val="DefaultParagraphFont"/>
    <w:link w:val="RSCT01TableTitlewithtopbar"/>
    <w:rsid w:val="005C62A1"/>
    <w:rPr>
      <w:rFonts w:asciiTheme="minorHAnsi" w:hAnsiTheme="minorHAnsi"/>
      <w:sz w:val="14"/>
      <w:lang w:val="en-GB" w:eastAsia="en-GB"/>
    </w:rPr>
  </w:style>
  <w:style w:type="paragraph" w:customStyle="1" w:styleId="RSCT04TableFootnotewithbottombar">
    <w:name w:val="RSC T04 Table Footnote with bottom bar"/>
    <w:basedOn w:val="Normal"/>
    <w:link w:val="RSCT04TableFootnotewithbottombarChar"/>
    <w:qFormat/>
    <w:rsid w:val="005C62A1"/>
    <w:pPr>
      <w:keepLines/>
      <w:pBdr>
        <w:bottom w:val="single" w:sz="12" w:space="1" w:color="999999"/>
      </w:pBdr>
      <w:spacing w:before="120" w:after="160" w:line="200" w:lineRule="exact"/>
    </w:pPr>
    <w:rPr>
      <w:rFonts w:asciiTheme="minorHAnsi" w:hAnsiTheme="minorHAnsi"/>
      <w:sz w:val="15"/>
      <w:lang w:val="en-GB" w:eastAsia="en-GB"/>
    </w:rPr>
  </w:style>
  <w:style w:type="character" w:customStyle="1" w:styleId="RSCT03TableBodyChar">
    <w:name w:val="RSC T03 Table Body Char"/>
    <w:basedOn w:val="DefaultParagraphFont"/>
    <w:link w:val="RSCT03TableBody"/>
    <w:rsid w:val="005C62A1"/>
    <w:rPr>
      <w:rFonts w:asciiTheme="minorHAnsi" w:hAnsiTheme="minorHAnsi"/>
      <w:sz w:val="16"/>
      <w:szCs w:val="16"/>
      <w:lang w:val="en-GB" w:eastAsia="en-GB"/>
    </w:rPr>
  </w:style>
  <w:style w:type="character" w:customStyle="1" w:styleId="RSCT04TableFootnotewithbottombarChar">
    <w:name w:val="RSC T04 Table Footnote with bottom bar Char"/>
    <w:basedOn w:val="DefaultParagraphFont"/>
    <w:link w:val="RSCT04TableFootnotewithbottombar"/>
    <w:rsid w:val="005C62A1"/>
    <w:rPr>
      <w:rFonts w:asciiTheme="minorHAnsi" w:hAnsiTheme="minorHAnsi"/>
      <w:sz w:val="15"/>
      <w:lang w:val="en-GB" w:eastAsia="en-GB"/>
    </w:rPr>
  </w:style>
  <w:style w:type="paragraph" w:styleId="ListParagraph">
    <w:name w:val="List Paragraph"/>
    <w:basedOn w:val="Normal"/>
    <w:uiPriority w:val="34"/>
    <w:qFormat/>
    <w:rsid w:val="005C62A1"/>
    <w:pPr>
      <w:spacing w:line="276" w:lineRule="auto"/>
      <w:ind w:left="720"/>
      <w:contextualSpacing/>
      <w:jc w:val="left"/>
    </w:pPr>
    <w:rPr>
      <w:rFonts w:asciiTheme="minorHAnsi" w:eastAsiaTheme="minorHAnsi" w:hAnsiTheme="minorHAnsi" w:cstheme="minorBidi"/>
      <w:sz w:val="22"/>
      <w:szCs w:val="22"/>
      <w:lang w:val="en-GB"/>
    </w:rPr>
  </w:style>
  <w:style w:type="paragraph" w:styleId="Revision">
    <w:name w:val="Revision"/>
    <w:hidden/>
    <w:uiPriority w:val="99"/>
    <w:semiHidden/>
    <w:rsid w:val="005C62A1"/>
    <w:rPr>
      <w:rFonts w:asciiTheme="minorHAnsi" w:eastAsiaTheme="minorHAnsi" w:hAnsiTheme="minorHAnsi" w:cstheme="minorBidi"/>
      <w:sz w:val="22"/>
      <w:szCs w:val="22"/>
      <w:lang w:val="en-GB"/>
    </w:rPr>
  </w:style>
  <w:style w:type="character" w:customStyle="1" w:styleId="FootnoteTextChar">
    <w:name w:val="Footnote Text Char"/>
    <w:basedOn w:val="DefaultParagraphFont"/>
    <w:link w:val="FootnoteText"/>
    <w:uiPriority w:val="99"/>
    <w:semiHidden/>
    <w:rsid w:val="005C62A1"/>
    <w:rPr>
      <w:rFonts w:ascii="Times" w:hAnsi="Times"/>
      <w:sz w:val="24"/>
    </w:rPr>
  </w:style>
  <w:style w:type="character" w:styleId="FootnoteReference">
    <w:name w:val="footnote reference"/>
    <w:basedOn w:val="DefaultParagraphFont"/>
    <w:uiPriority w:val="99"/>
    <w:semiHidden/>
    <w:unhideWhenUsed/>
    <w:rsid w:val="005C62A1"/>
    <w:rPr>
      <w:vertAlign w:val="superscript"/>
    </w:rPr>
  </w:style>
  <w:style w:type="paragraph" w:styleId="NormalWeb">
    <w:name w:val="Normal (Web)"/>
    <w:basedOn w:val="Normal"/>
    <w:uiPriority w:val="99"/>
    <w:semiHidden/>
    <w:unhideWhenUsed/>
    <w:rsid w:val="005C62A1"/>
    <w:pPr>
      <w:spacing w:before="100" w:beforeAutospacing="1" w:after="100" w:afterAutospacing="1"/>
      <w:jc w:val="left"/>
    </w:pPr>
    <w:rPr>
      <w:rFonts w:ascii="Times New Roman" w:hAnsi="Times New Roman"/>
      <w:szCs w:val="24"/>
      <w:lang w:val="en-GB" w:eastAsia="en-GB"/>
    </w:rPr>
  </w:style>
  <w:style w:type="paragraph" w:styleId="Caption">
    <w:name w:val="caption"/>
    <w:basedOn w:val="Normal"/>
    <w:next w:val="Normal"/>
    <w:uiPriority w:val="35"/>
    <w:unhideWhenUsed/>
    <w:rsid w:val="005C62A1"/>
    <w:pPr>
      <w:spacing w:line="200" w:lineRule="exact"/>
      <w:jc w:val="left"/>
    </w:pPr>
    <w:rPr>
      <w:rFonts w:asciiTheme="minorHAnsi" w:eastAsiaTheme="minorHAnsi" w:hAnsiTheme="minorHAnsi" w:cstheme="minorBidi"/>
      <w:bCs/>
      <w:sz w:val="14"/>
      <w:szCs w:val="18"/>
      <w:lang w:val="en-GB"/>
    </w:rPr>
  </w:style>
  <w:style w:type="paragraph" w:customStyle="1" w:styleId="Style1">
    <w:name w:val="Style1"/>
    <w:basedOn w:val="RSCB02ArticleText"/>
    <w:link w:val="Style1Char"/>
    <w:rsid w:val="005C62A1"/>
  </w:style>
  <w:style w:type="paragraph" w:customStyle="1" w:styleId="RSCT05TableFootnotewithoutbottombar">
    <w:name w:val="RSC T05 Table Footnote without bottom bar"/>
    <w:basedOn w:val="RSCT04TableFootnotewithbottombar"/>
    <w:link w:val="RSCT05TableFootnotewithoutbottombarChar"/>
    <w:qFormat/>
    <w:rsid w:val="005C62A1"/>
    <w:pPr>
      <w:pBdr>
        <w:bottom w:val="none" w:sz="0" w:space="0" w:color="auto"/>
      </w:pBdr>
    </w:pPr>
  </w:style>
  <w:style w:type="character" w:customStyle="1" w:styleId="Style1Char">
    <w:name w:val="Style1 Char"/>
    <w:basedOn w:val="RSCB02ArticleTextChar"/>
    <w:link w:val="Style1"/>
    <w:rsid w:val="005C62A1"/>
    <w:rPr>
      <w:rFonts w:asciiTheme="minorHAnsi" w:eastAsiaTheme="minorHAnsi" w:hAnsiTheme="minorHAnsi"/>
      <w:w w:val="108"/>
      <w:sz w:val="18"/>
      <w:szCs w:val="18"/>
      <w:lang w:val="en-GB"/>
    </w:rPr>
  </w:style>
  <w:style w:type="paragraph" w:customStyle="1" w:styleId="RSCT02Tabletitlewithouttopbar">
    <w:name w:val="RSC T02 Table title without top bar"/>
    <w:basedOn w:val="RSCT01TableTitlewithtopbar"/>
    <w:link w:val="RSCT02TabletitlewithouttopbarChar"/>
    <w:qFormat/>
    <w:rsid w:val="005C62A1"/>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5C62A1"/>
    <w:rPr>
      <w:rFonts w:asciiTheme="minorHAnsi" w:hAnsiTheme="minorHAnsi"/>
      <w:sz w:val="15"/>
      <w:lang w:val="en-GB" w:eastAsia="en-GB"/>
    </w:rPr>
  </w:style>
  <w:style w:type="paragraph" w:customStyle="1" w:styleId="RSCI04CaptiontoFigureSchemeChart">
    <w:name w:val="RSC I04 Caption to Figure/Scheme/Chart"/>
    <w:link w:val="RSCI04CaptiontoFigureSchemeChartChar"/>
    <w:qFormat/>
    <w:rsid w:val="005C62A1"/>
    <w:pPr>
      <w:spacing w:after="200" w:line="200" w:lineRule="exact"/>
      <w:jc w:val="both"/>
    </w:pPr>
    <w:rPr>
      <w:rFonts w:asciiTheme="minorHAnsi" w:eastAsiaTheme="minorHAnsi" w:hAnsiTheme="minorHAnsi" w:cstheme="minorBidi"/>
      <w:bCs/>
      <w:sz w:val="14"/>
      <w:szCs w:val="18"/>
      <w:lang w:val="en-GB"/>
    </w:rPr>
  </w:style>
  <w:style w:type="character" w:customStyle="1" w:styleId="RSCT02TabletitlewithouttopbarChar">
    <w:name w:val="RSC T02 Table title without top bar Char"/>
    <w:basedOn w:val="RSCT01TableTitlewithtopbarChar"/>
    <w:link w:val="RSCT02Tabletitlewithouttopbar"/>
    <w:rsid w:val="005C62A1"/>
    <w:rPr>
      <w:rFonts w:asciiTheme="minorHAnsi" w:hAnsiTheme="minorHAnsi"/>
      <w:sz w:val="14"/>
      <w:lang w:val="en-GB" w:eastAsia="en-GB"/>
    </w:rPr>
  </w:style>
  <w:style w:type="paragraph" w:customStyle="1" w:styleId="RSCR01Footnotestomaintext">
    <w:name w:val="RSC R01 Footnotes to main text"/>
    <w:link w:val="RSCR01FootnotestomaintextChar"/>
    <w:qFormat/>
    <w:rsid w:val="005C62A1"/>
    <w:pPr>
      <w:spacing w:after="200" w:line="200" w:lineRule="exact"/>
      <w:jc w:val="both"/>
    </w:pPr>
    <w:rPr>
      <w:rFonts w:asciiTheme="minorHAnsi" w:eastAsiaTheme="minorHAnsi" w:hAnsiTheme="minorHAnsi" w:cstheme="minorBidi"/>
      <w:bCs/>
      <w:sz w:val="18"/>
      <w:szCs w:val="18"/>
      <w:lang w:val="en-GB"/>
    </w:rPr>
  </w:style>
  <w:style w:type="character" w:customStyle="1" w:styleId="RSCI04CaptiontoFigureSchemeChartChar">
    <w:name w:val="RSC I04 Caption to Figure/Scheme/Chart Char"/>
    <w:basedOn w:val="DefaultParagraphFont"/>
    <w:link w:val="RSCI04CaptiontoFigureSchemeChart"/>
    <w:rsid w:val="005C62A1"/>
    <w:rPr>
      <w:rFonts w:asciiTheme="minorHAnsi" w:eastAsiaTheme="minorHAnsi" w:hAnsiTheme="minorHAnsi" w:cstheme="minorBidi"/>
      <w:bCs/>
      <w:sz w:val="14"/>
      <w:szCs w:val="18"/>
      <w:lang w:val="en-GB"/>
    </w:rPr>
  </w:style>
  <w:style w:type="paragraph" w:customStyle="1" w:styleId="RSCM01ReceivedAccepted">
    <w:name w:val="RSC M01 Received/Accepted"/>
    <w:basedOn w:val="Normal"/>
    <w:link w:val="RSCM01ReceivedAcceptedChar"/>
    <w:qFormat/>
    <w:rsid w:val="005C62A1"/>
    <w:pPr>
      <w:spacing w:before="960" w:after="0" w:line="180" w:lineRule="exact"/>
      <w:contextualSpacing/>
      <w:jc w:val="left"/>
    </w:pPr>
    <w:rPr>
      <w:rFonts w:asciiTheme="minorHAnsi" w:eastAsiaTheme="minorEastAsia" w:hAnsiTheme="minorHAnsi" w:cstheme="minorBidi"/>
      <w:noProof/>
      <w:sz w:val="14"/>
      <w:szCs w:val="14"/>
      <w:lang w:val="en-GB" w:eastAsia="en-GB"/>
    </w:rPr>
  </w:style>
  <w:style w:type="character" w:customStyle="1" w:styleId="RSCR01FootnotestomaintextChar">
    <w:name w:val="RSC R01 Footnotes to main text Char"/>
    <w:basedOn w:val="RSCI04CaptiontoFigureSchemeChartChar"/>
    <w:link w:val="RSCR01Footnotestomaintext"/>
    <w:rsid w:val="005C62A1"/>
    <w:rPr>
      <w:rFonts w:asciiTheme="minorHAnsi" w:eastAsiaTheme="minorHAnsi" w:hAnsiTheme="minorHAnsi" w:cstheme="minorBidi"/>
      <w:bCs/>
      <w:sz w:val="18"/>
      <w:szCs w:val="18"/>
      <w:lang w:val="en-GB"/>
    </w:rPr>
  </w:style>
  <w:style w:type="paragraph" w:customStyle="1" w:styleId="RSCM02DOI">
    <w:name w:val="RSC M02 DOI"/>
    <w:basedOn w:val="Normal"/>
    <w:link w:val="RSCM02DOIChar"/>
    <w:qFormat/>
    <w:rsid w:val="005C62A1"/>
    <w:pPr>
      <w:spacing w:before="180" w:after="0" w:line="180" w:lineRule="exact"/>
      <w:jc w:val="left"/>
    </w:pPr>
    <w:rPr>
      <w:rFonts w:asciiTheme="minorHAnsi" w:eastAsiaTheme="minorHAnsi" w:hAnsiTheme="minorHAnsi" w:cstheme="minorBidi"/>
      <w:sz w:val="14"/>
      <w:szCs w:val="14"/>
      <w:lang w:val="en-GB"/>
    </w:rPr>
  </w:style>
  <w:style w:type="character" w:customStyle="1" w:styleId="RSCM01ReceivedAcceptedChar">
    <w:name w:val="RSC M01 Received/Accepted Char"/>
    <w:basedOn w:val="DefaultParagraphFont"/>
    <w:link w:val="RSCM01ReceivedAccepted"/>
    <w:rsid w:val="005C62A1"/>
    <w:rPr>
      <w:rFonts w:asciiTheme="minorHAnsi" w:eastAsiaTheme="minorEastAsia" w:hAnsiTheme="minorHAnsi" w:cstheme="minorBidi"/>
      <w:noProof/>
      <w:sz w:val="14"/>
      <w:szCs w:val="14"/>
      <w:lang w:val="en-GB" w:eastAsia="en-GB"/>
    </w:rPr>
  </w:style>
  <w:style w:type="paragraph" w:customStyle="1" w:styleId="RSCM03Website">
    <w:name w:val="RSC M03 Website"/>
    <w:basedOn w:val="Normal"/>
    <w:link w:val="RSCM03WebsiteChar"/>
    <w:qFormat/>
    <w:rsid w:val="005C62A1"/>
    <w:pPr>
      <w:spacing w:line="400" w:lineRule="exact"/>
      <w:jc w:val="left"/>
    </w:pPr>
    <w:rPr>
      <w:rFonts w:asciiTheme="minorHAnsi" w:eastAsiaTheme="minorHAnsi" w:hAnsiTheme="minorHAnsi" w:cstheme="minorBidi"/>
      <w:b/>
      <w:sz w:val="14"/>
      <w:szCs w:val="14"/>
      <w:lang w:val="en-GB"/>
    </w:rPr>
  </w:style>
  <w:style w:type="character" w:customStyle="1" w:styleId="RSCM02DOIChar">
    <w:name w:val="RSC M02 DOI Char"/>
    <w:basedOn w:val="DefaultParagraphFont"/>
    <w:link w:val="RSCM02DOI"/>
    <w:rsid w:val="005C62A1"/>
    <w:rPr>
      <w:rFonts w:asciiTheme="minorHAnsi" w:eastAsiaTheme="minorHAnsi" w:hAnsiTheme="minorHAnsi" w:cstheme="minorBidi"/>
      <w:sz w:val="14"/>
      <w:szCs w:val="14"/>
      <w:lang w:val="en-GB"/>
    </w:rPr>
  </w:style>
  <w:style w:type="paragraph" w:customStyle="1" w:styleId="RSCB05AHeadingSection-standalone">
    <w:name w:val="RSC B05 A Heading (Section - stand alone)"/>
    <w:link w:val="RSCB05AHeadingSection-standaloneChar"/>
    <w:qFormat/>
    <w:rsid w:val="005C62A1"/>
    <w:pPr>
      <w:spacing w:before="400" w:after="160"/>
    </w:pPr>
    <w:rPr>
      <w:rFonts w:asciiTheme="minorHAnsi" w:eastAsiaTheme="minorHAnsi" w:hAnsiTheme="minorHAnsi"/>
      <w:sz w:val="24"/>
      <w:szCs w:val="22"/>
      <w:lang w:val="en-GB"/>
    </w:rPr>
  </w:style>
  <w:style w:type="character" w:customStyle="1" w:styleId="RSCM03WebsiteChar">
    <w:name w:val="RSC M03 Website Char"/>
    <w:basedOn w:val="DefaultParagraphFont"/>
    <w:link w:val="RSCM03Website"/>
    <w:rsid w:val="005C62A1"/>
    <w:rPr>
      <w:rFonts w:asciiTheme="minorHAnsi" w:eastAsiaTheme="minorHAnsi" w:hAnsiTheme="minorHAnsi" w:cstheme="minorBidi"/>
      <w:b/>
      <w:sz w:val="14"/>
      <w:szCs w:val="14"/>
      <w:lang w:val="en-GB"/>
    </w:rPr>
  </w:style>
  <w:style w:type="paragraph" w:customStyle="1" w:styleId="RSCB06BHeadingSub-Section">
    <w:name w:val="RSC B06 B Heading (Sub-Section)"/>
    <w:link w:val="RSCB06BHeadingSub-SectionChar"/>
    <w:qFormat/>
    <w:rsid w:val="005C62A1"/>
    <w:pPr>
      <w:spacing w:after="80" w:line="240" w:lineRule="exact"/>
    </w:pPr>
    <w:rPr>
      <w:rFonts w:asciiTheme="minorHAnsi" w:eastAsiaTheme="minorHAnsi" w:hAnsiTheme="minorHAnsi" w:cstheme="minorBidi"/>
      <w:b/>
      <w:sz w:val="18"/>
      <w:szCs w:val="22"/>
      <w:lang w:val="en-GB"/>
    </w:rPr>
  </w:style>
  <w:style w:type="character" w:customStyle="1" w:styleId="RSCB05AHeadingSection-standaloneChar">
    <w:name w:val="RSC B05 A Heading (Section - stand alone) Char"/>
    <w:basedOn w:val="RSCH02PaperAuthorsandBylineChar"/>
    <w:link w:val="RSCB05AHeadingSection-standalone"/>
    <w:rsid w:val="005C62A1"/>
    <w:rPr>
      <w:rFonts w:asciiTheme="minorHAnsi" w:eastAsiaTheme="minorHAnsi" w:hAnsiTheme="minorHAnsi"/>
      <w:sz w:val="24"/>
      <w:szCs w:val="22"/>
      <w:lang w:val="en-GB"/>
    </w:rPr>
  </w:style>
  <w:style w:type="paragraph" w:customStyle="1" w:styleId="RSCB07BHeadingSub-Section-standalone">
    <w:name w:val="RSC B07 B Heading (Sub-Section - stand alone)"/>
    <w:link w:val="RSCB07BHeadingSub-Section-standaloneChar"/>
    <w:qFormat/>
    <w:rsid w:val="005C62A1"/>
    <w:pPr>
      <w:spacing w:before="160" w:after="80" w:line="240" w:lineRule="exact"/>
    </w:pPr>
    <w:rPr>
      <w:rFonts w:asciiTheme="minorHAnsi" w:eastAsiaTheme="minorHAnsi" w:hAnsiTheme="minorHAnsi" w:cstheme="minorBidi"/>
      <w:b/>
      <w:sz w:val="18"/>
      <w:szCs w:val="22"/>
      <w:lang w:val="en-GB"/>
    </w:rPr>
  </w:style>
  <w:style w:type="character" w:customStyle="1" w:styleId="RSCB06BHeadingSub-SectionChar">
    <w:name w:val="RSC B06 B Heading (Sub-Section) Char"/>
    <w:basedOn w:val="DefaultParagraphFont"/>
    <w:link w:val="RSCB06BHeadingSub-Section"/>
    <w:rsid w:val="005C62A1"/>
    <w:rPr>
      <w:rFonts w:asciiTheme="minorHAnsi" w:eastAsiaTheme="minorHAnsi" w:hAnsiTheme="minorHAnsi" w:cstheme="minorBidi"/>
      <w:b/>
      <w:sz w:val="18"/>
      <w:szCs w:val="22"/>
      <w:lang w:val="en-GB"/>
    </w:rPr>
  </w:style>
  <w:style w:type="paragraph" w:customStyle="1" w:styleId="RSCB08CHeadingIn-line">
    <w:name w:val="RSC B08 C Heading (In-line)"/>
    <w:link w:val="RSCB08CHeadingIn-lineChar"/>
    <w:qFormat/>
    <w:rsid w:val="005C62A1"/>
    <w:pPr>
      <w:spacing w:line="276" w:lineRule="auto"/>
    </w:pPr>
    <w:rPr>
      <w:rFonts w:asciiTheme="minorHAnsi" w:eastAsiaTheme="minorHAnsi" w:hAnsiTheme="minorHAnsi" w:cstheme="minorBidi"/>
      <w:b/>
      <w:sz w:val="18"/>
      <w:szCs w:val="22"/>
      <w:lang w:val="en-GB"/>
    </w:rPr>
  </w:style>
  <w:style w:type="character" w:customStyle="1" w:styleId="RSCB07BHeadingSub-Section-standaloneChar">
    <w:name w:val="RSC B07 B Heading (Sub-Section - stand alone) Char"/>
    <w:basedOn w:val="DefaultParagraphFont"/>
    <w:link w:val="RSCB07BHeadingSub-Section-standalone"/>
    <w:rsid w:val="005C62A1"/>
    <w:rPr>
      <w:rFonts w:asciiTheme="minorHAnsi" w:eastAsiaTheme="minorHAnsi" w:hAnsiTheme="minorHAnsi" w:cstheme="minorBidi"/>
      <w:b/>
      <w:sz w:val="18"/>
      <w:szCs w:val="22"/>
      <w:lang w:val="en-GB"/>
    </w:rPr>
  </w:style>
  <w:style w:type="character" w:customStyle="1" w:styleId="RSCB08CHeadingIn-lineChar">
    <w:name w:val="RSC B08 C Heading (In-line) Char"/>
    <w:basedOn w:val="DefaultParagraphFont"/>
    <w:link w:val="RSCB08CHeadingIn-line"/>
    <w:rsid w:val="005C62A1"/>
    <w:rPr>
      <w:rFonts w:asciiTheme="minorHAnsi" w:eastAsiaTheme="minorHAnsi" w:hAnsiTheme="minorHAnsi" w:cstheme="minorBidi"/>
      <w:b/>
      <w:sz w:val="18"/>
      <w:szCs w:val="22"/>
      <w:lang w:val="en-GB"/>
    </w:rPr>
  </w:style>
  <w:style w:type="paragraph" w:customStyle="1" w:styleId="RSCI05CaptiontoFigureSchemeChartwithbottombar">
    <w:name w:val="RSC I05 Caption to Figure/Scheme/Chart with bottom bar"/>
    <w:link w:val="RSCI05CaptiontoFigureSchemeChartwithbottombarChar"/>
    <w:qFormat/>
    <w:rsid w:val="005C62A1"/>
    <w:pPr>
      <w:pBdr>
        <w:bottom w:val="single" w:sz="12" w:space="1" w:color="A6A6A6" w:themeColor="background1" w:themeShade="A6"/>
      </w:pBdr>
      <w:spacing w:after="200" w:line="276" w:lineRule="auto"/>
      <w:jc w:val="both"/>
    </w:pPr>
    <w:rPr>
      <w:rFonts w:asciiTheme="minorHAnsi" w:eastAsiaTheme="minorHAnsi" w:hAnsiTheme="minorHAnsi" w:cstheme="minorBidi"/>
      <w:bCs/>
      <w:sz w:val="14"/>
      <w:szCs w:val="18"/>
      <w:lang w:val="en-GB"/>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5C62A1"/>
    <w:rPr>
      <w:rFonts w:asciiTheme="minorHAnsi" w:eastAsiaTheme="minorHAnsi" w:hAnsiTheme="minorHAnsi" w:cstheme="minorBidi"/>
      <w:bCs/>
      <w:sz w:val="14"/>
      <w:szCs w:val="18"/>
      <w:lang w:val="en-GB"/>
    </w:rPr>
  </w:style>
  <w:style w:type="paragraph" w:customStyle="1" w:styleId="04AHeading">
    <w:name w:val="04 A Heading"/>
    <w:basedOn w:val="Normal"/>
    <w:next w:val="Normal"/>
    <w:link w:val="04AHeadingChar"/>
    <w:rsid w:val="005C62A1"/>
    <w:pPr>
      <w:spacing w:before="240" w:after="120"/>
      <w:jc w:val="left"/>
    </w:pPr>
    <w:rPr>
      <w:rFonts w:ascii="Calibri" w:eastAsia="Calibri" w:hAnsi="Calibri"/>
      <w:b/>
      <w:sz w:val="22"/>
      <w:szCs w:val="22"/>
      <w:lang w:val="en-GB"/>
    </w:rPr>
  </w:style>
  <w:style w:type="character" w:customStyle="1" w:styleId="04AHeadingChar">
    <w:name w:val="04 A Heading Char"/>
    <w:link w:val="04AHeading"/>
    <w:rsid w:val="005C62A1"/>
    <w:rPr>
      <w:rFonts w:ascii="Calibri" w:eastAsia="Calibri" w:hAnsi="Calibri"/>
      <w:b/>
      <w:sz w:val="22"/>
      <w:szCs w:val="22"/>
      <w:lang w:val="en-GB"/>
    </w:rPr>
  </w:style>
  <w:style w:type="paragraph" w:customStyle="1" w:styleId="08ArticleText">
    <w:name w:val="08 Article Text"/>
    <w:basedOn w:val="Normal"/>
    <w:link w:val="08ArticleTextChar"/>
    <w:rsid w:val="005C62A1"/>
    <w:pPr>
      <w:tabs>
        <w:tab w:val="left" w:pos="284"/>
      </w:tabs>
      <w:spacing w:after="0" w:line="240" w:lineRule="exact"/>
    </w:pPr>
    <w:rPr>
      <w:rFonts w:ascii="Times New Roman" w:eastAsia="Calibri" w:hAnsi="Times New Roman"/>
      <w:w w:val="108"/>
      <w:sz w:val="18"/>
      <w:szCs w:val="18"/>
      <w:lang w:val="en-GB"/>
    </w:rPr>
  </w:style>
  <w:style w:type="character" w:customStyle="1" w:styleId="08ArticleTextChar">
    <w:name w:val="08 Article Text Char"/>
    <w:link w:val="08ArticleText"/>
    <w:rsid w:val="005C62A1"/>
    <w:rPr>
      <w:rFonts w:ascii="Times New Roman" w:eastAsia="Calibri" w:hAnsi="Times New Roman"/>
      <w:w w:val="108"/>
      <w:sz w:val="18"/>
      <w:szCs w:val="18"/>
      <w:lang w:val="en-GB"/>
    </w:rPr>
  </w:style>
  <w:style w:type="character" w:styleId="CommentReference">
    <w:name w:val="annotation reference"/>
    <w:basedOn w:val="DefaultParagraphFont"/>
    <w:uiPriority w:val="99"/>
    <w:semiHidden/>
    <w:unhideWhenUsed/>
    <w:rsid w:val="005C62A1"/>
    <w:rPr>
      <w:sz w:val="16"/>
      <w:szCs w:val="16"/>
    </w:rPr>
  </w:style>
  <w:style w:type="paragraph" w:styleId="CommentText">
    <w:name w:val="annotation text"/>
    <w:basedOn w:val="Normal"/>
    <w:link w:val="CommentTextChar"/>
    <w:uiPriority w:val="99"/>
    <w:semiHidden/>
    <w:unhideWhenUsed/>
    <w:rsid w:val="005C62A1"/>
    <w:pPr>
      <w:jc w:val="left"/>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semiHidden/>
    <w:rsid w:val="005C62A1"/>
    <w:rPr>
      <w:rFonts w:asciiTheme="minorHAnsi" w:eastAsiaTheme="minorHAnsi" w:hAnsiTheme="minorHAnsi" w:cstheme="minorBidi"/>
      <w:lang w:val="en-GB"/>
    </w:rPr>
  </w:style>
  <w:style w:type="paragraph" w:styleId="CommentSubject">
    <w:name w:val="annotation subject"/>
    <w:basedOn w:val="CommentText"/>
    <w:next w:val="CommentText"/>
    <w:link w:val="CommentSubjectChar"/>
    <w:uiPriority w:val="99"/>
    <w:semiHidden/>
    <w:unhideWhenUsed/>
    <w:rsid w:val="005C62A1"/>
    <w:rPr>
      <w:b/>
      <w:bCs/>
    </w:rPr>
  </w:style>
  <w:style w:type="character" w:customStyle="1" w:styleId="CommentSubjectChar">
    <w:name w:val="Comment Subject Char"/>
    <w:basedOn w:val="CommentTextChar"/>
    <w:link w:val="CommentSubject"/>
    <w:uiPriority w:val="99"/>
    <w:semiHidden/>
    <w:rsid w:val="005C62A1"/>
    <w:rPr>
      <w:rFonts w:asciiTheme="minorHAnsi" w:eastAsiaTheme="minorHAnsi" w:hAnsiTheme="minorHAnsi" w:cstheme="minorBidi"/>
      <w:b/>
      <w:bCs/>
      <w:lang w:val="en-GB"/>
    </w:rPr>
  </w:style>
  <w:style w:type="character" w:customStyle="1" w:styleId="NoSpacingChar">
    <w:name w:val="No Spacing Char"/>
    <w:basedOn w:val="DefaultParagraphFont"/>
    <w:link w:val="NoSpacing"/>
    <w:uiPriority w:val="1"/>
    <w:locked/>
    <w:rsid w:val="005C62A1"/>
    <w:rPr>
      <w:rFonts w:asciiTheme="minorHAnsi" w:eastAsiaTheme="minorHAnsi" w:hAnsiTheme="minorHAnsi" w:cstheme="minorBidi"/>
      <w:sz w:val="22"/>
      <w:szCs w:val="22"/>
      <w:lang w:val="en-GB"/>
    </w:rPr>
  </w:style>
  <w:style w:type="table" w:styleId="GridTable1Light">
    <w:name w:val="Grid Table 1 Light"/>
    <w:basedOn w:val="TableNormal"/>
    <w:uiPriority w:val="46"/>
    <w:rsid w:val="005C62A1"/>
    <w:rPr>
      <w:rFonts w:asciiTheme="minorHAnsi" w:eastAsiaTheme="minorHAnsi" w:hAnsiTheme="minorHAnsi" w:cstheme="minorBidi"/>
      <w:sz w:val="22"/>
      <w:szCs w:val="22"/>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5C62A1"/>
    <w:rPr>
      <w:color w:val="605E5C"/>
      <w:shd w:val="clear" w:color="auto" w:fill="E1DFDD"/>
    </w:rPr>
  </w:style>
  <w:style w:type="character" w:customStyle="1" w:styleId="Mention1">
    <w:name w:val="Mention1"/>
    <w:basedOn w:val="DefaultParagraphFont"/>
    <w:uiPriority w:val="99"/>
    <w:unhideWhenUsed/>
    <w:rsid w:val="005C62A1"/>
    <w:rPr>
      <w:color w:val="2B579A"/>
      <w:shd w:val="clear" w:color="auto" w:fill="E1DFDD"/>
    </w:rPr>
  </w:style>
  <w:style w:type="character" w:customStyle="1" w:styleId="a">
    <w:name w:val="_"/>
    <w:basedOn w:val="DefaultParagraphFont"/>
    <w:rsid w:val="005C62A1"/>
  </w:style>
  <w:style w:type="character" w:customStyle="1" w:styleId="lseb">
    <w:name w:val="lseb"/>
    <w:basedOn w:val="DefaultParagraphFont"/>
    <w:rsid w:val="005C62A1"/>
  </w:style>
  <w:style w:type="character" w:customStyle="1" w:styleId="ls116">
    <w:name w:val="ls116"/>
    <w:basedOn w:val="DefaultParagraphFont"/>
    <w:rsid w:val="005C62A1"/>
  </w:style>
  <w:style w:type="character" w:customStyle="1" w:styleId="lsf6">
    <w:name w:val="lsf6"/>
    <w:basedOn w:val="DefaultParagraphFont"/>
    <w:rsid w:val="005C62A1"/>
  </w:style>
  <w:style w:type="character" w:customStyle="1" w:styleId="ls0">
    <w:name w:val="ls0"/>
    <w:basedOn w:val="DefaultParagraphFont"/>
    <w:rsid w:val="005C62A1"/>
  </w:style>
  <w:style w:type="character" w:customStyle="1" w:styleId="ff4">
    <w:name w:val="ff4"/>
    <w:basedOn w:val="DefaultParagraphFont"/>
    <w:rsid w:val="005C62A1"/>
  </w:style>
  <w:style w:type="character" w:customStyle="1" w:styleId="ff3">
    <w:name w:val="ff3"/>
    <w:basedOn w:val="DefaultParagraphFont"/>
    <w:rsid w:val="005C62A1"/>
  </w:style>
  <w:style w:type="character" w:customStyle="1" w:styleId="ls73">
    <w:name w:val="ls73"/>
    <w:basedOn w:val="DefaultParagraphFont"/>
    <w:rsid w:val="005C62A1"/>
  </w:style>
  <w:style w:type="character" w:customStyle="1" w:styleId="ls43">
    <w:name w:val="ls43"/>
    <w:basedOn w:val="DefaultParagraphFont"/>
    <w:rsid w:val="005C62A1"/>
  </w:style>
  <w:style w:type="character" w:customStyle="1" w:styleId="ls48">
    <w:name w:val="ls48"/>
    <w:basedOn w:val="DefaultParagraphFont"/>
    <w:rsid w:val="005C62A1"/>
  </w:style>
  <w:style w:type="character" w:customStyle="1" w:styleId="ffc">
    <w:name w:val="ffc"/>
    <w:basedOn w:val="DefaultParagraphFont"/>
    <w:rsid w:val="005C62A1"/>
  </w:style>
  <w:style w:type="character" w:customStyle="1" w:styleId="lsf2">
    <w:name w:val="lsf2"/>
    <w:basedOn w:val="DefaultParagraphFont"/>
    <w:rsid w:val="005C62A1"/>
  </w:style>
  <w:style w:type="character" w:customStyle="1" w:styleId="ls3a">
    <w:name w:val="ls3a"/>
    <w:basedOn w:val="DefaultParagraphFont"/>
    <w:rsid w:val="005C62A1"/>
  </w:style>
  <w:style w:type="character" w:customStyle="1" w:styleId="UnresolvedMention2">
    <w:name w:val="Unresolved Mention2"/>
    <w:basedOn w:val="DefaultParagraphFont"/>
    <w:uiPriority w:val="99"/>
    <w:unhideWhenUsed/>
    <w:rsid w:val="005C62A1"/>
    <w:rPr>
      <w:color w:val="605E5C"/>
      <w:shd w:val="clear" w:color="auto" w:fill="E1DFDD"/>
    </w:rPr>
  </w:style>
  <w:style w:type="character" w:customStyle="1" w:styleId="Mention2">
    <w:name w:val="Mention2"/>
    <w:basedOn w:val="DefaultParagraphFont"/>
    <w:uiPriority w:val="99"/>
    <w:unhideWhenUsed/>
    <w:rsid w:val="005C62A1"/>
    <w:rPr>
      <w:color w:val="2B579A"/>
      <w:shd w:val="clear" w:color="auto" w:fill="E1DFDD"/>
    </w:rPr>
  </w:style>
  <w:style w:type="character" w:styleId="Strong">
    <w:name w:val="Strong"/>
    <w:basedOn w:val="DefaultParagraphFont"/>
    <w:uiPriority w:val="22"/>
    <w:qFormat/>
    <w:rsid w:val="005C62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png"/><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5" Type="http://schemas.openxmlformats.org/officeDocument/2006/relationships/customXml" Target="../customXml/item4.xml"/><Relationship Id="rId15" Type="http://schemas.openxmlformats.org/officeDocument/2006/relationships/oleObject" Target="embeddings/oleObject1.bin"/><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61"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7.emf"/><Relationship Id="rId3" Type="http://schemas.openxmlformats.org/officeDocument/2006/relationships/customXml" Target="../customXml/item2.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7952333CFC7343901977BB5BF9E28F" ma:contentTypeVersion="13" ma:contentTypeDescription="Create a new document." ma:contentTypeScope="" ma:versionID="a90804218d23877b2c64139226a9737d">
  <xsd:schema xmlns:xsd="http://www.w3.org/2001/XMLSchema" xmlns:xs="http://www.w3.org/2001/XMLSchema" xmlns:p="http://schemas.microsoft.com/office/2006/metadata/properties" xmlns:ns2="1206db10-59e3-4bab-851f-ec5a57cf195f" xmlns:ns3="ccc339f2-9a0f-4b4f-aa95-e029c2b35593" targetNamespace="http://schemas.microsoft.com/office/2006/metadata/properties" ma:root="true" ma:fieldsID="6cbfe2c367471238c6f82457d490b7c4" ns2:_="" ns3:_="">
    <xsd:import namespace="1206db10-59e3-4bab-851f-ec5a57cf195f"/>
    <xsd:import namespace="ccc339f2-9a0f-4b4f-aa95-e029c2b355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6db10-59e3-4bab-851f-ec5a57cf19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c339f2-9a0f-4b4f-aa95-e029c2b3559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4472D-BF2E-482F-B1F8-B26CF9392BE7}">
  <ds:schemaRefs>
    <ds:schemaRef ds:uri="ccc339f2-9a0f-4b4f-aa95-e029c2b35593"/>
    <ds:schemaRef ds:uri="http://purl.org/dc/terms/"/>
    <ds:schemaRef ds:uri="http://schemas.openxmlformats.org/package/2006/metadata/core-properties"/>
    <ds:schemaRef ds:uri="http://schemas.microsoft.com/office/2006/documentManagement/types"/>
    <ds:schemaRef ds:uri="1206db10-59e3-4bab-851f-ec5a57cf195f"/>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633C5580-D44F-472D-93D6-A292A1166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6db10-59e3-4bab-851f-ec5a57cf195f"/>
    <ds:schemaRef ds:uri="ccc339f2-9a0f-4b4f-aa95-e029c2b355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A78694-A545-4EFA-8775-BE5E3392C803}">
  <ds:schemaRefs>
    <ds:schemaRef ds:uri="http://schemas.microsoft.com/sharepoint/v3/contenttype/forms"/>
  </ds:schemaRefs>
</ds:datastoreItem>
</file>

<file path=customXml/itemProps4.xml><?xml version="1.0" encoding="utf-8"?>
<ds:datastoreItem xmlns:ds="http://schemas.openxmlformats.org/officeDocument/2006/customXml" ds:itemID="{614951EF-FB5C-41EA-8DC2-C0FEDD406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14583</Words>
  <Characters>83124</Characters>
  <Application>Microsoft Office Word</Application>
  <DocSecurity>0</DocSecurity>
  <Lines>692</Lines>
  <Paragraphs>195</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97512</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mpd33</dc:creator>
  <cp:keywords/>
  <cp:lastModifiedBy>Mike Waring</cp:lastModifiedBy>
  <cp:revision>3</cp:revision>
  <cp:lastPrinted>2011-04-15T21:20:00Z</cp:lastPrinted>
  <dcterms:created xsi:type="dcterms:W3CDTF">2021-10-28T16:12:00Z</dcterms:created>
  <dcterms:modified xsi:type="dcterms:W3CDTF">2021-10-28T16:14:00Z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0x010100867952333CFC7343901977BB5BF9E28F</vt:lpwstr>
  </property>
  <property fmtid="{D5CDD505-2E9C-101B-9397-08002B2CF9AE}" pid="3" name="Mendeley Document_1">
    <vt:lpwstr>True</vt:lpwstr>
  </property>
  <property fmtid="{D5CDD505-2E9C-101B-9397-08002B2CF9AE}" pid="4" name="Mendeley Citation Style_1">
    <vt:lpwstr>http://www.zotero.org/styles/the-journal-of-organic-chemistry</vt:lpwstr>
  </property>
  <property fmtid="{D5CDD505-2E9C-101B-9397-08002B2CF9AE}" pid="5" name="Mendeley Unique User Id_1">
    <vt:lpwstr>fe7783a5-c858-3e2c-8a93-883efab27498</vt:lpwstr>
  </property>
  <property fmtid="{D5CDD505-2E9C-101B-9397-08002B2CF9AE}" pid="6" name="Mendeley Recent Style Id 0_1">
    <vt:lpwstr>http://www.zotero.org/styles/apa</vt:lpwstr>
  </property>
  <property fmtid="{D5CDD505-2E9C-101B-9397-08002B2CF9AE}" pid="7" name="Mendeley Recent Style Name 0_1">
    <vt:lpwstr>American Psychological Association 7th edition</vt:lpwstr>
  </property>
  <property fmtid="{D5CDD505-2E9C-101B-9397-08002B2CF9AE}" pid="8" name="Mendeley Recent Style Id 1_1">
    <vt:lpwstr>http://www.zotero.org/styles/angewandte-chemie</vt:lpwstr>
  </property>
  <property fmtid="{D5CDD505-2E9C-101B-9397-08002B2CF9AE}" pid="9" name="Mendeley Recent Style Name 1_1">
    <vt:lpwstr>Angewandte Chemie International Edition</vt:lpwstr>
  </property>
  <property fmtid="{D5CDD505-2E9C-101B-9397-08002B2CF9AE}" pid="10" name="Mendeley Recent Style Id 2_1">
    <vt:lpwstr>http://csl.mendeley.com/styles/627219201/Bioorganicandmedicinalchemistry</vt:lpwstr>
  </property>
  <property fmtid="{D5CDD505-2E9C-101B-9397-08002B2CF9AE}" pid="11" name="Mendeley Recent Style Name 2_1">
    <vt:lpwstr>Bioorg med chem - Michael Waring</vt:lpwstr>
  </property>
  <property fmtid="{D5CDD505-2E9C-101B-9397-08002B2CF9AE}" pid="12" name="Mendeley Recent Style Id 3_1">
    <vt:lpwstr>http://www.zotero.org/styles/bioorganic-and-medicinal-chemistry</vt:lpwstr>
  </property>
  <property fmtid="{D5CDD505-2E9C-101B-9397-08002B2CF9AE}" pid="13" name="Mendeley Recent Style Name 3_1">
    <vt:lpwstr>Bioorganic &amp; Medicinal Chemistry</vt:lpwstr>
  </property>
  <property fmtid="{D5CDD505-2E9C-101B-9397-08002B2CF9AE}" pid="14" name="Mendeley Recent Style Id 4_1">
    <vt:lpwstr>http://www.zotero.org/styles/bioorganic-and-medicinal-chemistry-letters</vt:lpwstr>
  </property>
  <property fmtid="{D5CDD505-2E9C-101B-9397-08002B2CF9AE}" pid="15" name="Mendeley Recent Style Name 4_1">
    <vt:lpwstr>Bioorganic &amp; Medicinal Chemistry Letters</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 8th edition</vt:lpwstr>
  </property>
  <property fmtid="{D5CDD505-2E9C-101B-9397-08002B2CF9AE}" pid="22" name="Mendeley Recent Style Id 8_1">
    <vt:lpwstr>http://www.zotero.org/styles/nature</vt:lpwstr>
  </property>
  <property fmtid="{D5CDD505-2E9C-101B-9397-08002B2CF9AE}" pid="23" name="Mendeley Recent Style Name 8_1">
    <vt:lpwstr>Nature</vt:lpwstr>
  </property>
  <property fmtid="{D5CDD505-2E9C-101B-9397-08002B2CF9AE}" pid="24" name="Mendeley Recent Style Id 9_1">
    <vt:lpwstr>http://www.zotero.org/styles/the-journal-of-organic-chemistry</vt:lpwstr>
  </property>
  <property fmtid="{D5CDD505-2E9C-101B-9397-08002B2CF9AE}" pid="25" name="Mendeley Recent Style Name 9_1">
    <vt:lpwstr>The Journal of Organic Chemistry</vt:lpwstr>
  </property>
</Properties>
</file>