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393C" w14:textId="77777777" w:rsidR="00434AA0" w:rsidRPr="00B051E5" w:rsidRDefault="00434AA0" w:rsidP="00494842">
      <w:pPr>
        <w:rPr>
          <w:rFonts w:ascii="Garamond" w:eastAsia="Calibri" w:hAnsi="Garamond"/>
          <w:b/>
          <w:color w:val="000000" w:themeColor="text1"/>
        </w:rPr>
      </w:pPr>
    </w:p>
    <w:p w14:paraId="384E6940" w14:textId="6D351365" w:rsidR="0071392E" w:rsidRPr="00B051E5" w:rsidRDefault="00820639" w:rsidP="00106D91">
      <w:pPr>
        <w:jc w:val="center"/>
        <w:rPr>
          <w:rFonts w:ascii="Garamond" w:eastAsia="Calibri" w:hAnsi="Garamond"/>
          <w:b/>
          <w:color w:val="000000" w:themeColor="text1"/>
        </w:rPr>
      </w:pPr>
      <w:r w:rsidRPr="00B051E5">
        <w:rPr>
          <w:rFonts w:ascii="Garamond" w:eastAsia="Calibri" w:hAnsi="Garamond"/>
          <w:b/>
          <w:color w:val="000000" w:themeColor="text1"/>
        </w:rPr>
        <w:t>Stock price informativeness of risk</w:t>
      </w:r>
      <w:r w:rsidR="00E50979" w:rsidRPr="00B051E5">
        <w:rPr>
          <w:rFonts w:ascii="Garamond" w:eastAsia="Calibri" w:hAnsi="Garamond"/>
          <w:b/>
          <w:color w:val="000000" w:themeColor="text1"/>
        </w:rPr>
        <w:t xml:space="preserve"> </w:t>
      </w:r>
      <w:r w:rsidRPr="00B051E5">
        <w:rPr>
          <w:rFonts w:ascii="Garamond" w:eastAsia="Calibri" w:hAnsi="Garamond"/>
          <w:b/>
          <w:color w:val="000000" w:themeColor="text1"/>
        </w:rPr>
        <w:t>disclosure: Does time orientation matter?</w:t>
      </w:r>
    </w:p>
    <w:p w14:paraId="2CADE3C8" w14:textId="0A1E194C" w:rsidR="00D02017" w:rsidRPr="00B051E5" w:rsidRDefault="00D02017" w:rsidP="00252986">
      <w:pPr>
        <w:spacing w:before="100" w:beforeAutospacing="1" w:after="100" w:afterAutospacing="1"/>
        <w:jc w:val="both"/>
        <w:rPr>
          <w:rFonts w:ascii="Garamond" w:hAnsi="Garamond"/>
          <w:b/>
          <w:bCs/>
          <w:color w:val="000000" w:themeColor="text1"/>
        </w:rPr>
      </w:pPr>
      <w:r w:rsidRPr="00B051E5">
        <w:rPr>
          <w:rFonts w:ascii="Garamond" w:hAnsi="Garamond"/>
          <w:b/>
          <w:bCs/>
          <w:color w:val="000000" w:themeColor="text1"/>
        </w:rPr>
        <w:t>Abstract</w:t>
      </w:r>
      <w:r w:rsidRPr="00B051E5">
        <w:rPr>
          <w:rFonts w:ascii="Garamond" w:hAnsi="Garamond"/>
          <w:color w:val="000000" w:themeColor="text1"/>
        </w:rPr>
        <w:br/>
      </w:r>
      <w:r w:rsidRPr="00B051E5">
        <w:rPr>
          <w:rFonts w:ascii="Garamond" w:eastAsia="Calibri" w:hAnsi="Garamond"/>
          <w:bCs/>
          <w:color w:val="000000" w:themeColor="text1"/>
        </w:rPr>
        <w:t xml:space="preserve">This paper investigates the extent to which firms’ stock prices may incorporate aggregate risk disclosure levels differently depending on its time orientation, whether forward-looking or non-forward-looking. </w:t>
      </w:r>
      <w:r w:rsidR="005870A1" w:rsidRPr="00B051E5">
        <w:rPr>
          <w:rFonts w:ascii="Garamond" w:hAnsi="Garamond"/>
          <w:color w:val="000000" w:themeColor="text1"/>
        </w:rPr>
        <w:t xml:space="preserve">Using a sample period of ten years for the UK FTSE all-share non-financial firms, this paper </w:t>
      </w:r>
      <w:r w:rsidR="00FD075B" w:rsidRPr="00B051E5">
        <w:rPr>
          <w:rFonts w:ascii="Garamond" w:hAnsi="Garamond"/>
          <w:color w:val="000000" w:themeColor="text1"/>
        </w:rPr>
        <w:t xml:space="preserve">used </w:t>
      </w:r>
      <w:r w:rsidR="00395B8F" w:rsidRPr="00B051E5">
        <w:rPr>
          <w:rFonts w:ascii="Garamond" w:hAnsi="Garamond"/>
          <w:bCs/>
          <w:color w:val="000000" w:themeColor="text1"/>
        </w:rPr>
        <w:t>price synchronicity</w:t>
      </w:r>
      <w:r w:rsidR="00395B8F" w:rsidRPr="00B051E5">
        <w:rPr>
          <w:rFonts w:ascii="Garamond" w:hAnsi="Garamond"/>
          <w:color w:val="000000" w:themeColor="text1"/>
        </w:rPr>
        <w:t xml:space="preserve"> to capture </w:t>
      </w:r>
      <w:r w:rsidR="00395B8F" w:rsidRPr="00B051E5">
        <w:rPr>
          <w:rFonts w:ascii="Garamond" w:eastAsia="Calibri" w:hAnsi="Garamond"/>
          <w:bCs/>
          <w:color w:val="000000" w:themeColor="text1"/>
        </w:rPr>
        <w:t>stock informativeness</w:t>
      </w:r>
      <w:r w:rsidR="00395B8F" w:rsidRPr="00B051E5">
        <w:rPr>
          <w:rFonts w:ascii="Garamond" w:eastAsia="Calibri" w:hAnsi="Garamond"/>
          <w:b/>
          <w:color w:val="000000" w:themeColor="text1"/>
        </w:rPr>
        <w:t xml:space="preserve"> </w:t>
      </w:r>
      <w:r w:rsidR="00395B8F" w:rsidRPr="00B051E5">
        <w:rPr>
          <w:rFonts w:ascii="Garamond" w:hAnsi="Garamond"/>
          <w:color w:val="000000" w:themeColor="text1"/>
        </w:rPr>
        <w:t xml:space="preserve">and </w:t>
      </w:r>
      <w:r w:rsidR="005870A1" w:rsidRPr="00B051E5">
        <w:rPr>
          <w:rFonts w:ascii="Garamond" w:hAnsi="Garamond"/>
          <w:color w:val="000000" w:themeColor="text1"/>
        </w:rPr>
        <w:t>utilized textual analysis of the narrative sections of annual reports to capture aggregate risk disclosure levels and time orientation</w:t>
      </w:r>
      <w:r w:rsidRPr="00B051E5">
        <w:rPr>
          <w:rFonts w:ascii="Garamond" w:hAnsi="Garamond"/>
          <w:color w:val="000000" w:themeColor="text1"/>
        </w:rPr>
        <w:t xml:space="preserve">. </w:t>
      </w:r>
      <w:r w:rsidR="000421FB" w:rsidRPr="00B051E5">
        <w:rPr>
          <w:rFonts w:ascii="Garamond" w:hAnsi="Garamond"/>
          <w:bCs/>
          <w:color w:val="000000" w:themeColor="text1"/>
        </w:rPr>
        <w:t>O</w:t>
      </w:r>
      <w:r w:rsidR="00106D91" w:rsidRPr="00B051E5">
        <w:rPr>
          <w:rFonts w:ascii="Garamond" w:hAnsi="Garamond"/>
          <w:bCs/>
          <w:color w:val="000000" w:themeColor="text1"/>
        </w:rPr>
        <w:t xml:space="preserve">ur empirical results suggest that, whereas the UK market does not incorporate aggregate risk disclosure, it does react significantly to the time orientation of the content of risk disclosure. Specifically, we find that non-forward-looking risk disclosure is significantly and negatively associated with stock price synchronicity, suggesting that this disclosure is firm-specific and it is difficult to replace with market-wide factors. However, we also find that forward-looking risk disclosure, is significantly and positively associated with stock price synchronicity, indicating that such disclosure is generic, and it can be replaced by market-wide factors. </w:t>
      </w:r>
      <w:r w:rsidR="008223C1" w:rsidRPr="00B051E5">
        <w:rPr>
          <w:rFonts w:ascii="Garamond" w:eastAsia="Calibri" w:hAnsi="Garamond"/>
          <w:bCs/>
          <w:color w:val="000000" w:themeColor="text1"/>
        </w:rPr>
        <w:t>These</w:t>
      </w:r>
      <w:r w:rsidR="00106D91" w:rsidRPr="00B051E5">
        <w:rPr>
          <w:rFonts w:ascii="Garamond" w:eastAsia="Calibri" w:hAnsi="Garamond"/>
          <w:bCs/>
          <w:color w:val="000000" w:themeColor="text1"/>
        </w:rPr>
        <w:t xml:space="preserve"> results are likely to have theoretical and practical implications because they testify to the importance of considering the content (time orientation) rather than the level of aggregate risk information when observing the informativeness of the narrative sections of annual reports.     </w:t>
      </w:r>
    </w:p>
    <w:p w14:paraId="049EE213" w14:textId="77777777" w:rsidR="00106D91" w:rsidRPr="00B051E5" w:rsidRDefault="00106D91" w:rsidP="00106D91">
      <w:pPr>
        <w:jc w:val="both"/>
        <w:rPr>
          <w:rFonts w:ascii="Garamond" w:eastAsia="Calibri" w:hAnsi="Garamond"/>
          <w:bCs/>
          <w:color w:val="000000" w:themeColor="text1"/>
        </w:rPr>
      </w:pPr>
    </w:p>
    <w:p w14:paraId="13DDDC16" w14:textId="77777777" w:rsidR="000B57EF" w:rsidRPr="00B051E5" w:rsidRDefault="000B57EF" w:rsidP="000B57EF">
      <w:pPr>
        <w:jc w:val="both"/>
        <w:rPr>
          <w:rFonts w:ascii="Garamond" w:eastAsia="Calibri" w:hAnsi="Garamond"/>
          <w:bCs/>
          <w:color w:val="000000" w:themeColor="text1"/>
        </w:rPr>
      </w:pPr>
    </w:p>
    <w:p w14:paraId="44588B1E" w14:textId="18DE7157" w:rsidR="000B57EF" w:rsidRPr="00B051E5" w:rsidRDefault="000B57EF" w:rsidP="00106D91">
      <w:pPr>
        <w:rPr>
          <w:rFonts w:ascii="Garamond" w:eastAsia="Calibri" w:hAnsi="Garamond"/>
          <w:color w:val="000000" w:themeColor="text1"/>
        </w:rPr>
      </w:pPr>
      <w:r w:rsidRPr="00B051E5">
        <w:rPr>
          <w:rFonts w:ascii="Garamond" w:eastAsia="Calibri" w:hAnsi="Garamond"/>
          <w:b/>
          <w:i/>
          <w:color w:val="000000" w:themeColor="text1"/>
        </w:rPr>
        <w:t>JEL classifications</w:t>
      </w:r>
      <w:r w:rsidRPr="00B051E5">
        <w:rPr>
          <w:rFonts w:ascii="Garamond" w:eastAsia="Calibri" w:hAnsi="Garamond"/>
          <w:b/>
          <w:color w:val="000000" w:themeColor="text1"/>
        </w:rPr>
        <w:t xml:space="preserve"> </w:t>
      </w:r>
      <w:r w:rsidRPr="00B051E5">
        <w:rPr>
          <w:rFonts w:ascii="Garamond" w:eastAsia="Calibri" w:hAnsi="Garamond"/>
          <w:color w:val="000000" w:themeColor="text1"/>
        </w:rPr>
        <w:t>G14, G15, G39</w:t>
      </w:r>
    </w:p>
    <w:p w14:paraId="4D1B6018" w14:textId="7F142EE9" w:rsidR="00106D91" w:rsidRPr="00B051E5" w:rsidRDefault="00D02017" w:rsidP="00106D91">
      <w:pPr>
        <w:rPr>
          <w:rFonts w:ascii="Garamond" w:eastAsia="Calibri" w:hAnsi="Garamond"/>
          <w:bCs/>
          <w:color w:val="000000" w:themeColor="text1"/>
        </w:rPr>
      </w:pPr>
      <w:r w:rsidRPr="00B051E5">
        <w:rPr>
          <w:rFonts w:ascii="Garamond" w:hAnsi="Garamond"/>
          <w:b/>
          <w:bCs/>
          <w:color w:val="000000" w:themeColor="text1"/>
        </w:rPr>
        <w:t>Keywords</w:t>
      </w:r>
      <w:r w:rsidRPr="00B051E5">
        <w:rPr>
          <w:rFonts w:ascii="Garamond" w:hAnsi="Garamond"/>
          <w:color w:val="000000" w:themeColor="text1"/>
        </w:rPr>
        <w:t xml:space="preserve"> </w:t>
      </w:r>
      <w:r w:rsidR="00106D91" w:rsidRPr="00B051E5">
        <w:rPr>
          <w:rFonts w:ascii="Garamond" w:eastAsia="Calibri" w:hAnsi="Garamond"/>
          <w:bCs/>
          <w:color w:val="000000" w:themeColor="text1"/>
        </w:rPr>
        <w:t xml:space="preserve">Textual analysis, risk disclosure, (non-) forward-looking risk disclosure, stock price informativeness. </w:t>
      </w:r>
    </w:p>
    <w:p w14:paraId="453BDE2D" w14:textId="6CB44F31" w:rsidR="0079339D" w:rsidRPr="00B051E5" w:rsidRDefault="0079339D" w:rsidP="00820639">
      <w:pPr>
        <w:rPr>
          <w:rFonts w:ascii="Garamond" w:hAnsi="Garamond"/>
          <w:color w:val="000000" w:themeColor="text1"/>
        </w:rPr>
      </w:pPr>
    </w:p>
    <w:p w14:paraId="5C4EF679" w14:textId="5C525A8B" w:rsidR="00F33185" w:rsidRPr="00B051E5" w:rsidRDefault="00F33185" w:rsidP="00820639">
      <w:pPr>
        <w:rPr>
          <w:rFonts w:ascii="Garamond" w:hAnsi="Garamond"/>
          <w:color w:val="000000" w:themeColor="text1"/>
        </w:rPr>
      </w:pPr>
    </w:p>
    <w:p w14:paraId="5E68777D" w14:textId="68BCCCF3" w:rsidR="00F33185" w:rsidRPr="00B051E5" w:rsidRDefault="00F33185" w:rsidP="00820639">
      <w:pPr>
        <w:rPr>
          <w:rFonts w:ascii="Garamond" w:hAnsi="Garamond"/>
          <w:color w:val="000000" w:themeColor="text1"/>
        </w:rPr>
      </w:pPr>
    </w:p>
    <w:p w14:paraId="2E0F7E9D" w14:textId="23791BF0" w:rsidR="00F33185" w:rsidRPr="00B051E5" w:rsidRDefault="00F33185" w:rsidP="00820639">
      <w:pPr>
        <w:rPr>
          <w:rFonts w:ascii="Garamond" w:hAnsi="Garamond"/>
          <w:color w:val="000000" w:themeColor="text1"/>
        </w:rPr>
      </w:pPr>
    </w:p>
    <w:p w14:paraId="783183ED" w14:textId="1E9F0EB7" w:rsidR="00F33185" w:rsidRPr="00B051E5" w:rsidRDefault="00F33185" w:rsidP="00820639">
      <w:pPr>
        <w:rPr>
          <w:rFonts w:ascii="Garamond" w:hAnsi="Garamond"/>
          <w:color w:val="000000" w:themeColor="text1"/>
        </w:rPr>
      </w:pPr>
    </w:p>
    <w:p w14:paraId="57044072" w14:textId="77777777" w:rsidR="00F33185" w:rsidRPr="00B051E5" w:rsidRDefault="00F33185" w:rsidP="00820639">
      <w:pPr>
        <w:rPr>
          <w:rFonts w:ascii="Garamond" w:eastAsia="Calibri" w:hAnsi="Garamond"/>
          <w:b/>
          <w:color w:val="000000" w:themeColor="text1"/>
        </w:rPr>
      </w:pPr>
    </w:p>
    <w:p w14:paraId="0A2B0ECE" w14:textId="30E39D60" w:rsidR="0079339D" w:rsidRPr="00B051E5" w:rsidRDefault="0079339D" w:rsidP="00820639">
      <w:pPr>
        <w:rPr>
          <w:rFonts w:ascii="Garamond" w:eastAsia="Calibri" w:hAnsi="Garamond"/>
          <w:b/>
          <w:color w:val="000000" w:themeColor="text1"/>
        </w:rPr>
      </w:pPr>
    </w:p>
    <w:p w14:paraId="2719299E" w14:textId="0B5E5FA7" w:rsidR="0079339D" w:rsidRPr="00B051E5" w:rsidRDefault="0079339D" w:rsidP="00820639">
      <w:pPr>
        <w:rPr>
          <w:rFonts w:ascii="Garamond" w:eastAsia="Calibri" w:hAnsi="Garamond"/>
          <w:b/>
          <w:color w:val="000000" w:themeColor="text1"/>
        </w:rPr>
      </w:pPr>
    </w:p>
    <w:p w14:paraId="2F922BB3" w14:textId="4BFFD371" w:rsidR="0079339D" w:rsidRPr="00B051E5" w:rsidRDefault="0079339D" w:rsidP="00820639">
      <w:pPr>
        <w:rPr>
          <w:rFonts w:ascii="Garamond" w:eastAsia="Calibri" w:hAnsi="Garamond"/>
          <w:b/>
          <w:color w:val="000000" w:themeColor="text1"/>
        </w:rPr>
      </w:pPr>
    </w:p>
    <w:p w14:paraId="305F75E3" w14:textId="593A4527" w:rsidR="00106D91" w:rsidRPr="00B051E5" w:rsidRDefault="00106D91" w:rsidP="00820639">
      <w:pPr>
        <w:rPr>
          <w:rFonts w:ascii="Garamond" w:eastAsia="Calibri" w:hAnsi="Garamond"/>
          <w:b/>
          <w:color w:val="000000" w:themeColor="text1"/>
        </w:rPr>
      </w:pPr>
    </w:p>
    <w:p w14:paraId="47F88841" w14:textId="7758D973" w:rsidR="00F262FF" w:rsidRPr="00B051E5" w:rsidRDefault="00F262FF" w:rsidP="00820639">
      <w:pPr>
        <w:rPr>
          <w:rFonts w:ascii="Garamond" w:eastAsia="Calibri" w:hAnsi="Garamond"/>
          <w:b/>
          <w:color w:val="000000" w:themeColor="text1"/>
        </w:rPr>
      </w:pPr>
    </w:p>
    <w:p w14:paraId="269B0106" w14:textId="2382FA8E" w:rsidR="00252986" w:rsidRPr="00B051E5" w:rsidRDefault="00252986" w:rsidP="00820639">
      <w:pPr>
        <w:rPr>
          <w:rFonts w:ascii="Garamond" w:eastAsia="Calibri" w:hAnsi="Garamond"/>
          <w:b/>
          <w:color w:val="000000" w:themeColor="text1"/>
        </w:rPr>
      </w:pPr>
    </w:p>
    <w:p w14:paraId="72D2D5FA" w14:textId="1D67C119" w:rsidR="00252986" w:rsidRPr="00B051E5" w:rsidRDefault="00252986" w:rsidP="00820639">
      <w:pPr>
        <w:rPr>
          <w:rFonts w:ascii="Garamond" w:eastAsia="Calibri" w:hAnsi="Garamond"/>
          <w:b/>
          <w:color w:val="000000" w:themeColor="text1"/>
        </w:rPr>
      </w:pPr>
    </w:p>
    <w:p w14:paraId="30679780" w14:textId="112BE4EA" w:rsidR="00252986" w:rsidRPr="00B051E5" w:rsidRDefault="00252986" w:rsidP="00820639">
      <w:pPr>
        <w:rPr>
          <w:rFonts w:ascii="Garamond" w:eastAsia="Calibri" w:hAnsi="Garamond"/>
          <w:b/>
          <w:color w:val="000000" w:themeColor="text1"/>
        </w:rPr>
      </w:pPr>
    </w:p>
    <w:p w14:paraId="5BF9AF8F" w14:textId="14D0F6E4" w:rsidR="00252986" w:rsidRPr="00B051E5" w:rsidRDefault="00252986" w:rsidP="00820639">
      <w:pPr>
        <w:rPr>
          <w:rFonts w:ascii="Garamond" w:eastAsia="Calibri" w:hAnsi="Garamond"/>
          <w:b/>
          <w:color w:val="000000" w:themeColor="text1"/>
        </w:rPr>
      </w:pPr>
    </w:p>
    <w:p w14:paraId="2F9C388F" w14:textId="1732947A" w:rsidR="00252986" w:rsidRPr="00B051E5" w:rsidRDefault="00252986" w:rsidP="00820639">
      <w:pPr>
        <w:rPr>
          <w:rFonts w:ascii="Garamond" w:eastAsia="Calibri" w:hAnsi="Garamond"/>
          <w:b/>
          <w:color w:val="000000" w:themeColor="text1"/>
        </w:rPr>
      </w:pPr>
    </w:p>
    <w:p w14:paraId="0A76CD96" w14:textId="0AB9AEFD" w:rsidR="00252986" w:rsidRPr="00B051E5" w:rsidRDefault="00252986" w:rsidP="00820639">
      <w:pPr>
        <w:rPr>
          <w:rFonts w:ascii="Garamond" w:eastAsia="Calibri" w:hAnsi="Garamond"/>
          <w:b/>
          <w:color w:val="000000" w:themeColor="text1"/>
        </w:rPr>
      </w:pPr>
    </w:p>
    <w:p w14:paraId="107ADBEE" w14:textId="5453FFE5" w:rsidR="00252986" w:rsidRPr="00B051E5" w:rsidRDefault="00252986" w:rsidP="00820639">
      <w:pPr>
        <w:rPr>
          <w:rFonts w:ascii="Garamond" w:eastAsia="Calibri" w:hAnsi="Garamond"/>
          <w:b/>
          <w:color w:val="000000" w:themeColor="text1"/>
        </w:rPr>
      </w:pPr>
    </w:p>
    <w:p w14:paraId="358CC424" w14:textId="744D6BA5" w:rsidR="00252986" w:rsidRPr="00B051E5" w:rsidRDefault="00252986" w:rsidP="00820639">
      <w:pPr>
        <w:rPr>
          <w:rFonts w:ascii="Garamond" w:eastAsia="Calibri" w:hAnsi="Garamond"/>
          <w:b/>
          <w:color w:val="000000" w:themeColor="text1"/>
        </w:rPr>
      </w:pPr>
    </w:p>
    <w:p w14:paraId="59279F96" w14:textId="60222711" w:rsidR="00252986" w:rsidRPr="00B051E5" w:rsidRDefault="00252986" w:rsidP="00820639">
      <w:pPr>
        <w:rPr>
          <w:rFonts w:ascii="Garamond" w:eastAsia="Calibri" w:hAnsi="Garamond"/>
          <w:b/>
          <w:color w:val="000000" w:themeColor="text1"/>
        </w:rPr>
      </w:pPr>
    </w:p>
    <w:p w14:paraId="19418E65" w14:textId="03007CA8" w:rsidR="00252986" w:rsidRPr="00B051E5" w:rsidRDefault="00252986" w:rsidP="00820639">
      <w:pPr>
        <w:rPr>
          <w:rFonts w:ascii="Garamond" w:eastAsia="Calibri" w:hAnsi="Garamond"/>
          <w:b/>
          <w:color w:val="000000" w:themeColor="text1"/>
        </w:rPr>
      </w:pPr>
    </w:p>
    <w:p w14:paraId="44BAE2D7" w14:textId="4818E605" w:rsidR="00252986" w:rsidRPr="00B051E5" w:rsidRDefault="00252986" w:rsidP="00820639">
      <w:pPr>
        <w:rPr>
          <w:rFonts w:ascii="Garamond" w:eastAsia="Calibri" w:hAnsi="Garamond"/>
          <w:b/>
          <w:color w:val="000000" w:themeColor="text1"/>
        </w:rPr>
      </w:pPr>
    </w:p>
    <w:p w14:paraId="7E3D3630" w14:textId="7006059D" w:rsidR="00D811D4" w:rsidRPr="00B051E5" w:rsidRDefault="00D811D4" w:rsidP="00820639">
      <w:pPr>
        <w:rPr>
          <w:rFonts w:ascii="Garamond" w:eastAsia="Calibri" w:hAnsi="Garamond"/>
          <w:b/>
          <w:color w:val="000000" w:themeColor="text1"/>
        </w:rPr>
      </w:pPr>
    </w:p>
    <w:p w14:paraId="33289963" w14:textId="3F54CF46" w:rsidR="00820639" w:rsidRPr="00B051E5" w:rsidRDefault="00820639"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lastRenderedPageBreak/>
        <w:t xml:space="preserve"> </w:t>
      </w:r>
      <w:r w:rsidR="00615576" w:rsidRPr="00B051E5">
        <w:rPr>
          <w:rFonts w:ascii="Garamond" w:eastAsia="Calibri" w:hAnsi="Garamond"/>
          <w:b/>
          <w:bCs/>
          <w:color w:val="000000" w:themeColor="text1"/>
          <w:sz w:val="24"/>
          <w:szCs w:val="24"/>
        </w:rPr>
        <w:t xml:space="preserve">1. </w:t>
      </w:r>
      <w:r w:rsidRPr="00B051E5">
        <w:rPr>
          <w:rFonts w:ascii="Garamond" w:eastAsia="Calibri" w:hAnsi="Garamond"/>
          <w:b/>
          <w:bCs/>
          <w:color w:val="000000" w:themeColor="text1"/>
          <w:sz w:val="24"/>
          <w:szCs w:val="24"/>
        </w:rPr>
        <w:t>Introduction</w:t>
      </w:r>
    </w:p>
    <w:p w14:paraId="395328E7" w14:textId="77777777" w:rsidR="00EF4CE0" w:rsidRPr="00B051E5" w:rsidRDefault="008F75B4" w:rsidP="005C0CAC">
      <w:pPr>
        <w:spacing w:line="480" w:lineRule="auto"/>
        <w:jc w:val="both"/>
        <w:rPr>
          <w:rFonts w:ascii="Garamond" w:eastAsia="Calibri" w:hAnsi="Garamond"/>
          <w:color w:val="000000" w:themeColor="text1"/>
        </w:rPr>
      </w:pPr>
      <w:commentRangeStart w:id="0"/>
      <w:r w:rsidRPr="00B051E5">
        <w:rPr>
          <w:rFonts w:ascii="Garamond" w:eastAsia="Calibri" w:hAnsi="Garamond"/>
          <w:color w:val="000000" w:themeColor="text1"/>
        </w:rPr>
        <w:t xml:space="preserve">By observing the impact of levels of risk disclosure on stock price informativeness, this paper investigates how far their informativeness may differ from their time orientation, </w:t>
      </w:r>
      <w:r w:rsidRPr="00B051E5">
        <w:rPr>
          <w:rFonts w:ascii="Garamond" w:eastAsia="Calibri" w:hAnsi="Garamond"/>
          <w:bCs/>
          <w:color w:val="000000" w:themeColor="text1"/>
        </w:rPr>
        <w:t>whether forward-looking or non-forward-looking in their risk disclosure.</w:t>
      </w:r>
      <w:r w:rsidRPr="00B051E5">
        <w:rPr>
          <w:rFonts w:ascii="Garamond" w:eastAsia="Calibri" w:hAnsi="Garamond"/>
          <w:color w:val="000000" w:themeColor="text1"/>
        </w:rPr>
        <w:t xml:space="preserve"> </w:t>
      </w:r>
      <w:commentRangeEnd w:id="0"/>
      <w:r w:rsidR="002218D1" w:rsidRPr="00B051E5">
        <w:rPr>
          <w:rStyle w:val="CommentReference"/>
          <w:color w:val="000000" w:themeColor="text1"/>
        </w:rPr>
        <w:commentReference w:id="0"/>
      </w:r>
      <w:r w:rsidR="00820639" w:rsidRPr="00B051E5">
        <w:rPr>
          <w:rFonts w:ascii="Garamond" w:eastAsia="Calibri" w:hAnsi="Garamond"/>
          <w:color w:val="000000" w:themeColor="text1"/>
        </w:rPr>
        <w:t xml:space="preserve">Our motive for studying the informativeness of future-oriented risk disclosure, as opposed to aggregate levels of risk information, </w:t>
      </w:r>
      <w:r w:rsidR="008F444B" w:rsidRPr="00B051E5">
        <w:rPr>
          <w:rFonts w:ascii="Garamond" w:eastAsia="Calibri" w:hAnsi="Garamond"/>
          <w:color w:val="000000" w:themeColor="text1"/>
        </w:rPr>
        <w:t>has two main sources</w:t>
      </w:r>
      <w:r w:rsidR="00820639" w:rsidRPr="00B051E5">
        <w:rPr>
          <w:rFonts w:ascii="Garamond" w:eastAsia="Calibri" w:hAnsi="Garamond"/>
          <w:color w:val="000000" w:themeColor="text1"/>
        </w:rPr>
        <w:t xml:space="preserve">. </w:t>
      </w:r>
    </w:p>
    <w:p w14:paraId="59C4931F" w14:textId="55DB6A7A" w:rsidR="00820639" w:rsidRPr="00B051E5" w:rsidRDefault="00680A24" w:rsidP="00EF4CE0">
      <w:pPr>
        <w:spacing w:line="480" w:lineRule="auto"/>
        <w:ind w:firstLine="720"/>
        <w:jc w:val="both"/>
        <w:rPr>
          <w:rFonts w:ascii="Garamond" w:eastAsia="Calibri" w:hAnsi="Garamond"/>
          <w:color w:val="000000" w:themeColor="text1"/>
        </w:rPr>
      </w:pPr>
      <w:r w:rsidRPr="00B051E5">
        <w:rPr>
          <w:rFonts w:ascii="Garamond" w:eastAsia="Calibri" w:hAnsi="Garamond"/>
          <w:color w:val="000000" w:themeColor="text1"/>
        </w:rPr>
        <w:t>First</w:t>
      </w:r>
      <w:r w:rsidR="00820639" w:rsidRPr="00B051E5">
        <w:rPr>
          <w:rFonts w:ascii="Garamond" w:eastAsia="Calibri" w:hAnsi="Garamond"/>
          <w:color w:val="000000" w:themeColor="text1"/>
        </w:rPr>
        <w:t>, recent evidence by Bonsall</w:t>
      </w:r>
      <w:r w:rsidR="007C28CC" w:rsidRPr="00B051E5">
        <w:rPr>
          <w:rFonts w:ascii="Garamond" w:eastAsia="Calibri" w:hAnsi="Garamond"/>
          <w:color w:val="000000" w:themeColor="text1"/>
        </w:rPr>
        <w:t xml:space="preserve"> et al.</w:t>
      </w:r>
      <w:r w:rsidR="00820639" w:rsidRPr="00B051E5">
        <w:rPr>
          <w:rFonts w:ascii="Garamond" w:eastAsia="Calibri" w:hAnsi="Garamond"/>
          <w:color w:val="000000" w:themeColor="text1"/>
        </w:rPr>
        <w:t xml:space="preserve"> (201</w:t>
      </w:r>
      <w:r w:rsidR="0052102A" w:rsidRPr="00B051E5">
        <w:rPr>
          <w:rFonts w:ascii="Garamond" w:eastAsia="Calibri" w:hAnsi="Garamond"/>
          <w:color w:val="000000" w:themeColor="text1"/>
        </w:rPr>
        <w:t>6</w:t>
      </w:r>
      <w:r w:rsidR="00820639" w:rsidRPr="00B051E5">
        <w:rPr>
          <w:rFonts w:ascii="Garamond" w:eastAsia="Calibri" w:hAnsi="Garamond"/>
          <w:color w:val="000000" w:themeColor="text1"/>
        </w:rPr>
        <w:t>) shows that forward</w:t>
      </w:r>
      <w:r w:rsidR="001071CE"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and non-forward-looking information m</w:t>
      </w:r>
      <w:r w:rsidR="009D1E1F" w:rsidRPr="00B051E5">
        <w:rPr>
          <w:rFonts w:ascii="Garamond" w:eastAsia="Calibri" w:hAnsi="Garamond"/>
          <w:color w:val="000000" w:themeColor="text1"/>
        </w:rPr>
        <w:t>ay</w:t>
      </w:r>
      <w:r w:rsidR="00820639" w:rsidRPr="00B051E5">
        <w:rPr>
          <w:rFonts w:ascii="Garamond" w:eastAsia="Calibri" w:hAnsi="Garamond"/>
          <w:color w:val="000000" w:themeColor="text1"/>
        </w:rPr>
        <w:t xml:space="preserve"> be conceptually different</w:t>
      </w:r>
      <w:r w:rsidR="009D1E1F" w:rsidRPr="00B051E5">
        <w:rPr>
          <w:rFonts w:ascii="Garamond" w:eastAsia="Calibri" w:hAnsi="Garamond"/>
          <w:color w:val="000000" w:themeColor="text1"/>
        </w:rPr>
        <w:t xml:space="preserve">; </w:t>
      </w:r>
      <w:r w:rsidR="00820639" w:rsidRPr="00B051E5">
        <w:rPr>
          <w:rFonts w:ascii="Garamond" w:eastAsia="Calibri" w:hAnsi="Garamond"/>
          <w:color w:val="000000" w:themeColor="text1"/>
        </w:rPr>
        <w:t xml:space="preserve">each type has </w:t>
      </w:r>
      <w:r w:rsidR="009D1E1F" w:rsidRPr="00B051E5">
        <w:rPr>
          <w:rFonts w:ascii="Garamond" w:eastAsia="Calibri" w:hAnsi="Garamond"/>
          <w:color w:val="000000" w:themeColor="text1"/>
        </w:rPr>
        <w:t xml:space="preserve">its own </w:t>
      </w:r>
      <w:r w:rsidR="00820639" w:rsidRPr="00B051E5">
        <w:rPr>
          <w:rFonts w:ascii="Garamond" w:eastAsia="Calibri" w:hAnsi="Garamond"/>
          <w:color w:val="000000" w:themeColor="text1"/>
        </w:rPr>
        <w:t>strengths and weaknesses. In principle, investors m</w:t>
      </w:r>
      <w:r w:rsidR="009D1E1F" w:rsidRPr="00B051E5">
        <w:rPr>
          <w:rFonts w:ascii="Garamond" w:eastAsia="Calibri" w:hAnsi="Garamond"/>
          <w:color w:val="000000" w:themeColor="text1"/>
        </w:rPr>
        <w:t>ay</w:t>
      </w:r>
      <w:r w:rsidR="00820639" w:rsidRPr="00B051E5">
        <w:rPr>
          <w:rFonts w:ascii="Garamond" w:eastAsia="Calibri" w:hAnsi="Garamond"/>
          <w:color w:val="000000" w:themeColor="text1"/>
        </w:rPr>
        <w:t xml:space="preserve"> value forward-looking information </w:t>
      </w:r>
      <w:r w:rsidR="009D1E1F" w:rsidRPr="00B051E5">
        <w:rPr>
          <w:rFonts w:ascii="Garamond" w:eastAsia="Calibri" w:hAnsi="Garamond"/>
          <w:color w:val="000000" w:themeColor="text1"/>
        </w:rPr>
        <w:t>since i</w:t>
      </w:r>
      <w:r w:rsidR="00820639" w:rsidRPr="00B051E5">
        <w:rPr>
          <w:rFonts w:ascii="Garamond" w:eastAsia="Calibri" w:hAnsi="Garamond"/>
          <w:color w:val="000000" w:themeColor="text1"/>
        </w:rPr>
        <w:t xml:space="preserve">t is likely to be directly related to their decisions and can easily be included in their valuation models. Regulators, as a result, value the provision of future-oriented information. This kind of disclosure, however, has some limitations </w:t>
      </w:r>
      <w:r w:rsidR="009D1E1F" w:rsidRPr="00B051E5">
        <w:rPr>
          <w:rFonts w:ascii="Garamond" w:eastAsia="Calibri" w:hAnsi="Garamond"/>
          <w:color w:val="000000" w:themeColor="text1"/>
        </w:rPr>
        <w:t xml:space="preserve">inherent in </w:t>
      </w:r>
      <w:r w:rsidR="00820639" w:rsidRPr="00B051E5">
        <w:rPr>
          <w:rFonts w:ascii="Garamond" w:eastAsia="Calibri" w:hAnsi="Garamond"/>
          <w:color w:val="000000" w:themeColor="text1"/>
        </w:rPr>
        <w:t>its nature, being based on the judgments of managers who have to deal with uncertainty</w:t>
      </w:r>
      <w:r w:rsidR="009D1E1F" w:rsidRPr="00B051E5">
        <w:rPr>
          <w:rFonts w:ascii="Garamond" w:eastAsia="Calibri" w:hAnsi="Garamond"/>
          <w:color w:val="000000" w:themeColor="text1"/>
        </w:rPr>
        <w:t xml:space="preserve">. This makes </w:t>
      </w:r>
      <w:r w:rsidR="00820639" w:rsidRPr="00B051E5">
        <w:rPr>
          <w:rFonts w:ascii="Garamond" w:eastAsia="Calibri" w:hAnsi="Garamond"/>
          <w:color w:val="000000" w:themeColor="text1"/>
        </w:rPr>
        <w:t>the information less verifiable at the time of disclosure.</w:t>
      </w:r>
      <w:r w:rsidR="00464EFB" w:rsidRPr="00B051E5">
        <w:rPr>
          <w:rFonts w:ascii="Garamond" w:eastAsia="Calibri" w:hAnsi="Garamond"/>
          <w:color w:val="000000" w:themeColor="text1"/>
        </w:rPr>
        <w:t xml:space="preserve"> </w:t>
      </w:r>
      <w:r w:rsidR="00820639" w:rsidRPr="00B051E5">
        <w:rPr>
          <w:rFonts w:ascii="Garamond" w:eastAsia="Calibri" w:hAnsi="Garamond"/>
          <w:color w:val="000000" w:themeColor="text1"/>
        </w:rPr>
        <w:t xml:space="preserve">With regard to non-forward-looking information, managers are likely to be able to </w:t>
      </w:r>
      <w:r w:rsidR="00B23D1A" w:rsidRPr="00B051E5">
        <w:rPr>
          <w:rFonts w:ascii="Garamond" w:eastAsia="Calibri" w:hAnsi="Garamond"/>
          <w:color w:val="000000" w:themeColor="text1"/>
        </w:rPr>
        <w:t xml:space="preserve">complement important fundamentals with </w:t>
      </w:r>
      <w:r w:rsidR="00820639" w:rsidRPr="00B051E5">
        <w:rPr>
          <w:rFonts w:ascii="Garamond" w:eastAsia="Calibri" w:hAnsi="Garamond"/>
          <w:color w:val="000000" w:themeColor="text1"/>
        </w:rPr>
        <w:t>t</w:t>
      </w:r>
      <w:r w:rsidR="00B23D1A" w:rsidRPr="00B051E5">
        <w:rPr>
          <w:rFonts w:ascii="Garamond" w:eastAsia="Calibri" w:hAnsi="Garamond"/>
          <w:color w:val="000000" w:themeColor="text1"/>
        </w:rPr>
        <w:t>he</w:t>
      </w:r>
      <w:r w:rsidR="00820639" w:rsidRPr="00B051E5">
        <w:rPr>
          <w:rFonts w:ascii="Garamond" w:eastAsia="Calibri" w:hAnsi="Garamond"/>
          <w:color w:val="000000" w:themeColor="text1"/>
        </w:rPr>
        <w:t xml:space="preserve"> kind of information provided </w:t>
      </w:r>
      <w:r w:rsidR="005A48F7" w:rsidRPr="00B051E5">
        <w:rPr>
          <w:rFonts w:ascii="Garamond" w:eastAsia="Calibri" w:hAnsi="Garamond"/>
          <w:color w:val="000000" w:themeColor="text1"/>
        </w:rPr>
        <w:t>in financial statements.</w:t>
      </w:r>
      <w:r w:rsidR="008B5075" w:rsidRPr="00B051E5">
        <w:rPr>
          <w:rFonts w:ascii="Garamond" w:eastAsia="Calibri" w:hAnsi="Garamond"/>
          <w:color w:val="000000" w:themeColor="text1"/>
        </w:rPr>
        <w:t xml:space="preserve"> </w:t>
      </w:r>
      <w:r w:rsidR="00B23D1A" w:rsidRPr="00B051E5">
        <w:rPr>
          <w:rFonts w:ascii="Garamond" w:eastAsia="Calibri" w:hAnsi="Garamond"/>
          <w:color w:val="000000" w:themeColor="text1"/>
        </w:rPr>
        <w:t xml:space="preserve">If </w:t>
      </w:r>
      <w:r w:rsidR="00820639" w:rsidRPr="00B051E5">
        <w:rPr>
          <w:rFonts w:ascii="Garamond" w:eastAsia="Calibri" w:hAnsi="Garamond"/>
          <w:color w:val="000000" w:themeColor="text1"/>
        </w:rPr>
        <w:t xml:space="preserve">managers communicate this information with a high degree of confidence, it </w:t>
      </w:r>
      <w:r w:rsidR="00F26B79" w:rsidRPr="00B051E5">
        <w:rPr>
          <w:rFonts w:ascii="Garamond" w:eastAsia="Calibri" w:hAnsi="Garamond"/>
          <w:color w:val="000000" w:themeColor="text1"/>
        </w:rPr>
        <w:t xml:space="preserve">may </w:t>
      </w:r>
      <w:r w:rsidR="00820639" w:rsidRPr="00B051E5">
        <w:rPr>
          <w:rFonts w:ascii="Garamond" w:eastAsia="Calibri" w:hAnsi="Garamond"/>
          <w:color w:val="000000" w:themeColor="text1"/>
        </w:rPr>
        <w:t>have less</w:t>
      </w:r>
      <w:r w:rsidR="00F26B79" w:rsidRPr="00B051E5">
        <w:rPr>
          <w:rFonts w:ascii="Garamond" w:eastAsia="Calibri" w:hAnsi="Garamond"/>
          <w:color w:val="000000" w:themeColor="text1"/>
        </w:rPr>
        <w:t xml:space="preserve"> of </w:t>
      </w:r>
      <w:r w:rsidR="00010E88" w:rsidRPr="00B051E5">
        <w:rPr>
          <w:rFonts w:ascii="Garamond" w:eastAsia="Calibri" w:hAnsi="Garamond"/>
          <w:color w:val="000000" w:themeColor="text1"/>
        </w:rPr>
        <w:t>an</w:t>
      </w:r>
      <w:r w:rsidR="00820639" w:rsidRPr="00B051E5">
        <w:rPr>
          <w:rFonts w:ascii="Garamond" w:eastAsia="Calibri" w:hAnsi="Garamond"/>
          <w:color w:val="000000" w:themeColor="text1"/>
        </w:rPr>
        <w:t xml:space="preserve"> impact on decisions </w:t>
      </w:r>
      <w:r w:rsidR="00F26B79" w:rsidRPr="00B051E5">
        <w:rPr>
          <w:rFonts w:ascii="Garamond" w:eastAsia="Calibri" w:hAnsi="Garamond"/>
          <w:color w:val="000000" w:themeColor="text1"/>
        </w:rPr>
        <w:t>because</w:t>
      </w:r>
      <w:r w:rsidR="00820639" w:rsidRPr="00B051E5">
        <w:rPr>
          <w:rFonts w:ascii="Garamond" w:eastAsia="Calibri" w:hAnsi="Garamond"/>
          <w:color w:val="000000" w:themeColor="text1"/>
        </w:rPr>
        <w:t xml:space="preserve"> it lacks future orientation. Bonsall et al. (201</w:t>
      </w:r>
      <w:r w:rsidR="0052102A" w:rsidRPr="00B051E5">
        <w:rPr>
          <w:rFonts w:ascii="Garamond" w:eastAsia="Calibri" w:hAnsi="Garamond"/>
          <w:color w:val="000000" w:themeColor="text1"/>
        </w:rPr>
        <w:t>6</w:t>
      </w:r>
      <w:r w:rsidR="00820639" w:rsidRPr="00B051E5">
        <w:rPr>
          <w:rFonts w:ascii="Garamond" w:eastAsia="Calibri" w:hAnsi="Garamond"/>
          <w:color w:val="000000" w:themeColor="text1"/>
        </w:rPr>
        <w:t>) find that news in non-forward-looking disclosure</w:t>
      </w:r>
      <w:r w:rsidR="00F26B79" w:rsidRPr="00B051E5">
        <w:rPr>
          <w:rFonts w:ascii="Garamond" w:eastAsia="Calibri" w:hAnsi="Garamond"/>
          <w:color w:val="000000" w:themeColor="text1"/>
        </w:rPr>
        <w:t>s</w:t>
      </w:r>
      <w:r w:rsidR="00820639" w:rsidRPr="00B051E5">
        <w:rPr>
          <w:rFonts w:ascii="Garamond" w:eastAsia="Calibri" w:hAnsi="Garamond"/>
          <w:color w:val="000000" w:themeColor="text1"/>
        </w:rPr>
        <w:t xml:space="preserve"> is more responsive than that in forward-looking disclosure</w:t>
      </w:r>
      <w:r w:rsidR="00F26B79" w:rsidRPr="00B051E5">
        <w:rPr>
          <w:rFonts w:ascii="Garamond" w:eastAsia="Calibri" w:hAnsi="Garamond"/>
          <w:color w:val="000000" w:themeColor="text1"/>
        </w:rPr>
        <w:t>s</w:t>
      </w:r>
      <w:r w:rsidR="00820639" w:rsidRPr="00B051E5">
        <w:rPr>
          <w:rFonts w:ascii="Garamond" w:eastAsia="Calibri" w:hAnsi="Garamond"/>
          <w:color w:val="000000" w:themeColor="text1"/>
        </w:rPr>
        <w:t xml:space="preserve"> to variations in current and future earnings</w:t>
      </w:r>
      <w:r w:rsidR="00F3146A" w:rsidRPr="00B051E5">
        <w:rPr>
          <w:rFonts w:ascii="Garamond" w:eastAsia="Calibri" w:hAnsi="Garamond"/>
          <w:color w:val="000000" w:themeColor="text1"/>
        </w:rPr>
        <w:t xml:space="preserve"> and</w:t>
      </w:r>
      <w:r w:rsidR="00820639" w:rsidRPr="00B051E5">
        <w:rPr>
          <w:rFonts w:ascii="Garamond" w:eastAsia="Calibri" w:hAnsi="Garamond"/>
          <w:color w:val="000000" w:themeColor="text1"/>
        </w:rPr>
        <w:t xml:space="preserve"> return volatilit</w:t>
      </w:r>
      <w:r w:rsidR="00F3146A" w:rsidRPr="00B051E5">
        <w:rPr>
          <w:rFonts w:ascii="Garamond" w:eastAsia="Calibri" w:hAnsi="Garamond"/>
          <w:color w:val="000000" w:themeColor="text1"/>
        </w:rPr>
        <w:t>y</w:t>
      </w:r>
      <w:r w:rsidR="008F75B4" w:rsidRPr="00B051E5">
        <w:rPr>
          <w:rFonts w:ascii="Garamond" w:eastAsia="Calibri" w:hAnsi="Garamond"/>
          <w:color w:val="000000" w:themeColor="text1"/>
        </w:rPr>
        <w:t xml:space="preserve">. In the UK context, Hassanein and Hussainey (2015) conclude that forward-looking disclosure is less relevant since it has a negative effect on firm value and this effect is conditional on earnings performance (the direction, whether negative or positive, of earnings change). Particularly, they find that the negative effect on firm value is more pronounced for poorly performing than for well-performing firms. </w:t>
      </w:r>
    </w:p>
    <w:p w14:paraId="654CEAF8" w14:textId="65FA0E92" w:rsidR="001146E2" w:rsidRPr="00B051E5" w:rsidRDefault="00680A24">
      <w:pPr>
        <w:spacing w:line="480" w:lineRule="auto"/>
        <w:ind w:firstLine="720"/>
        <w:jc w:val="both"/>
        <w:rPr>
          <w:rFonts w:ascii="Garamond" w:eastAsia="Calibri" w:hAnsi="Garamond"/>
          <w:bCs/>
          <w:color w:val="000000" w:themeColor="text1"/>
        </w:rPr>
      </w:pPr>
      <w:r w:rsidRPr="00B051E5">
        <w:rPr>
          <w:rFonts w:ascii="Garamond" w:eastAsia="Calibri" w:hAnsi="Garamond"/>
          <w:color w:val="000000" w:themeColor="text1"/>
        </w:rPr>
        <w:t>Second</w:t>
      </w:r>
      <w:r w:rsidR="00820639" w:rsidRPr="00B051E5">
        <w:rPr>
          <w:rFonts w:ascii="Garamond" w:eastAsia="Calibri" w:hAnsi="Garamond"/>
          <w:color w:val="000000" w:themeColor="text1"/>
        </w:rPr>
        <w:t>,</w:t>
      </w:r>
      <w:r w:rsidR="001146E2" w:rsidRPr="00B051E5">
        <w:rPr>
          <w:rFonts w:ascii="Garamond" w:eastAsia="Calibri" w:hAnsi="Garamond"/>
          <w:bCs/>
          <w:color w:val="000000" w:themeColor="text1"/>
        </w:rPr>
        <w:t xml:space="preserve"> in a recent review </w:t>
      </w:r>
      <w:r w:rsidR="00B71B1B" w:rsidRPr="00B051E5">
        <w:rPr>
          <w:rFonts w:ascii="Garamond" w:eastAsia="Calibri" w:hAnsi="Garamond"/>
          <w:bCs/>
          <w:color w:val="000000" w:themeColor="text1"/>
        </w:rPr>
        <w:t xml:space="preserve">of the </w:t>
      </w:r>
      <w:r w:rsidR="001146E2" w:rsidRPr="00B051E5">
        <w:rPr>
          <w:rFonts w:ascii="Garamond" w:eastAsia="Calibri" w:hAnsi="Garamond"/>
          <w:bCs/>
          <w:color w:val="000000" w:themeColor="text1"/>
        </w:rPr>
        <w:t>empirical literature on risk disclosure, Elshandidy</w:t>
      </w:r>
      <w:r w:rsidR="00E05955" w:rsidRPr="00B051E5">
        <w:rPr>
          <w:rFonts w:ascii="Garamond" w:eastAsia="Calibri" w:hAnsi="Garamond"/>
          <w:bCs/>
          <w:color w:val="000000" w:themeColor="text1"/>
        </w:rPr>
        <w:t xml:space="preserve"> et al. </w:t>
      </w:r>
      <w:r w:rsidR="001146E2" w:rsidRPr="00B051E5">
        <w:rPr>
          <w:rFonts w:ascii="Garamond" w:eastAsia="Calibri" w:hAnsi="Garamond"/>
          <w:color w:val="000000" w:themeColor="text1"/>
        </w:rPr>
        <w:t>(2018) conclude that</w:t>
      </w:r>
      <w:r w:rsidR="00820639" w:rsidRPr="00B051E5">
        <w:rPr>
          <w:rFonts w:ascii="Garamond" w:eastAsia="Calibri" w:hAnsi="Garamond"/>
          <w:color w:val="000000" w:themeColor="text1"/>
        </w:rPr>
        <w:t xml:space="preserve"> most of the current</w:t>
      </w:r>
      <w:r w:rsidR="001071CE" w:rsidRPr="00B051E5">
        <w:rPr>
          <w:rFonts w:ascii="Garamond" w:eastAsia="Calibri" w:hAnsi="Garamond"/>
          <w:color w:val="000000" w:themeColor="text1"/>
        </w:rPr>
        <w:t xml:space="preserve"> risk disclosure</w:t>
      </w:r>
      <w:r w:rsidR="00820639" w:rsidRPr="00B051E5">
        <w:rPr>
          <w:rFonts w:ascii="Garamond" w:eastAsia="Calibri" w:hAnsi="Garamond"/>
          <w:color w:val="000000" w:themeColor="text1"/>
        </w:rPr>
        <w:t xml:space="preserve"> research, especially in the UK, concerns the underlying incentives, rather than the informativeness, of either </w:t>
      </w:r>
      <w:r w:rsidR="00C22954" w:rsidRPr="00B051E5">
        <w:rPr>
          <w:rFonts w:ascii="Garamond" w:eastAsia="Calibri" w:hAnsi="Garamond"/>
          <w:color w:val="000000" w:themeColor="text1"/>
        </w:rPr>
        <w:t xml:space="preserve">mandatory or and voluntary </w:t>
      </w:r>
      <w:r w:rsidR="00C22954" w:rsidRPr="00B051E5">
        <w:rPr>
          <w:rFonts w:ascii="Garamond" w:eastAsia="Calibri" w:hAnsi="Garamond"/>
          <w:color w:val="000000" w:themeColor="text1"/>
        </w:rPr>
        <w:lastRenderedPageBreak/>
        <w:t>risk disclosure levels</w:t>
      </w:r>
      <w:r w:rsidR="00621B25" w:rsidRPr="00B051E5">
        <w:rPr>
          <w:rFonts w:ascii="Garamond" w:eastAsia="Calibri" w:hAnsi="Garamond"/>
          <w:color w:val="000000" w:themeColor="text1"/>
        </w:rPr>
        <w:t xml:space="preserve"> </w:t>
      </w:r>
      <w:r w:rsidR="00BF4207" w:rsidRPr="00B051E5">
        <w:rPr>
          <w:rFonts w:ascii="Garamond" w:eastAsia="Calibri" w:hAnsi="Garamond"/>
          <w:color w:val="000000" w:themeColor="text1"/>
        </w:rPr>
        <w:t>(</w:t>
      </w:r>
      <w:r w:rsidR="00621B25" w:rsidRPr="00B051E5">
        <w:rPr>
          <w:rFonts w:ascii="Garamond" w:eastAsia="Calibri" w:hAnsi="Garamond"/>
          <w:color w:val="000000" w:themeColor="text1"/>
        </w:rPr>
        <w:t>e.g.</w:t>
      </w:r>
      <w:r w:rsidR="00411B8D" w:rsidRPr="00B051E5">
        <w:rPr>
          <w:rFonts w:ascii="Garamond" w:eastAsia="Calibri" w:hAnsi="Garamond"/>
          <w:color w:val="000000" w:themeColor="text1"/>
        </w:rPr>
        <w:t>,</w:t>
      </w:r>
      <w:r w:rsidR="00621B25" w:rsidRPr="00B051E5">
        <w:rPr>
          <w:rFonts w:ascii="Garamond" w:eastAsia="Calibri" w:hAnsi="Garamond"/>
          <w:color w:val="000000" w:themeColor="text1"/>
        </w:rPr>
        <w:t xml:space="preserve"> Elshandidy</w:t>
      </w:r>
      <w:r w:rsidR="00675C62" w:rsidRPr="00B051E5">
        <w:rPr>
          <w:rFonts w:ascii="Garamond" w:eastAsia="Calibri" w:hAnsi="Garamond"/>
          <w:color w:val="000000" w:themeColor="text1"/>
        </w:rPr>
        <w:t xml:space="preserve"> et al.</w:t>
      </w:r>
      <w:r w:rsidR="00411B8D" w:rsidRPr="00B051E5">
        <w:rPr>
          <w:rFonts w:ascii="Garamond" w:eastAsia="Calibri" w:hAnsi="Garamond"/>
          <w:color w:val="000000" w:themeColor="text1"/>
        </w:rPr>
        <w:t>,</w:t>
      </w:r>
      <w:r w:rsidR="00675C62" w:rsidRPr="00B051E5">
        <w:rPr>
          <w:rFonts w:ascii="Garamond" w:eastAsia="Calibri" w:hAnsi="Garamond"/>
          <w:color w:val="000000" w:themeColor="text1"/>
        </w:rPr>
        <w:t xml:space="preserve"> </w:t>
      </w:r>
      <w:r w:rsidR="00621B25" w:rsidRPr="00B051E5">
        <w:rPr>
          <w:rFonts w:ascii="Garamond" w:eastAsia="Calibri" w:hAnsi="Garamond"/>
          <w:color w:val="000000" w:themeColor="text1"/>
        </w:rPr>
        <w:t>2013 and 2015</w:t>
      </w:r>
      <w:r w:rsidR="00AC4239" w:rsidRPr="00B051E5">
        <w:rPr>
          <w:rFonts w:ascii="Garamond" w:eastAsia="Calibri" w:hAnsi="Garamond"/>
          <w:color w:val="000000" w:themeColor="text1"/>
        </w:rPr>
        <w:t>) or</w:t>
      </w:r>
      <w:r w:rsidR="00820639" w:rsidRPr="00B051E5">
        <w:rPr>
          <w:rFonts w:ascii="Garamond" w:eastAsia="Calibri" w:hAnsi="Garamond"/>
          <w:color w:val="000000" w:themeColor="text1"/>
        </w:rPr>
        <w:t xml:space="preserve"> </w:t>
      </w:r>
      <w:r w:rsidR="00C22954" w:rsidRPr="00B051E5">
        <w:rPr>
          <w:rFonts w:ascii="Garamond" w:eastAsia="Calibri" w:hAnsi="Garamond"/>
          <w:color w:val="000000" w:themeColor="text1"/>
        </w:rPr>
        <w:t xml:space="preserve">aggregates of </w:t>
      </w:r>
      <w:r w:rsidR="00AC4239" w:rsidRPr="00B051E5">
        <w:rPr>
          <w:rFonts w:ascii="Garamond" w:eastAsia="Calibri" w:hAnsi="Garamond"/>
          <w:color w:val="000000" w:themeColor="text1"/>
        </w:rPr>
        <w:t>these</w:t>
      </w:r>
      <w:r w:rsidR="00C22954" w:rsidRPr="00B051E5">
        <w:rPr>
          <w:rFonts w:ascii="Garamond" w:eastAsia="Calibri" w:hAnsi="Garamond"/>
          <w:color w:val="000000" w:themeColor="text1"/>
        </w:rPr>
        <w:t xml:space="preserve"> two</w:t>
      </w:r>
      <w:r w:rsidR="00C22954" w:rsidRPr="00B051E5" w:rsidDel="00C22954">
        <w:rPr>
          <w:rFonts w:ascii="Garamond" w:eastAsia="Calibri" w:hAnsi="Garamond"/>
          <w:color w:val="000000" w:themeColor="text1"/>
        </w:rPr>
        <w:t xml:space="preserve"> </w:t>
      </w:r>
      <w:r w:rsidR="00621B25" w:rsidRPr="00B051E5">
        <w:rPr>
          <w:rFonts w:ascii="Garamond" w:eastAsia="Calibri" w:hAnsi="Garamond"/>
          <w:color w:val="000000" w:themeColor="text1"/>
        </w:rPr>
        <w:t>(e.g.</w:t>
      </w:r>
      <w:r w:rsidR="00411B8D" w:rsidRPr="00B051E5">
        <w:rPr>
          <w:rFonts w:ascii="Garamond" w:eastAsia="Calibri" w:hAnsi="Garamond"/>
          <w:color w:val="000000" w:themeColor="text1"/>
        </w:rPr>
        <w:t>,</w:t>
      </w:r>
      <w:r w:rsidR="00621B25" w:rsidRPr="00B051E5">
        <w:rPr>
          <w:rFonts w:ascii="Garamond" w:eastAsia="Calibri" w:hAnsi="Garamond"/>
          <w:color w:val="000000" w:themeColor="text1"/>
        </w:rPr>
        <w:t xml:space="preserve"> Abraham </w:t>
      </w:r>
      <w:r w:rsidR="0067565F" w:rsidRPr="00B051E5">
        <w:rPr>
          <w:rFonts w:ascii="Garamond" w:eastAsia="Calibri" w:hAnsi="Garamond"/>
          <w:color w:val="000000" w:themeColor="text1"/>
        </w:rPr>
        <w:t>and</w:t>
      </w:r>
      <w:r w:rsidR="00621B25" w:rsidRPr="00B051E5">
        <w:rPr>
          <w:rFonts w:ascii="Garamond" w:eastAsia="Calibri" w:hAnsi="Garamond"/>
          <w:color w:val="000000" w:themeColor="text1"/>
        </w:rPr>
        <w:t xml:space="preserve"> Cox</w:t>
      </w:r>
      <w:r w:rsidR="00E05955" w:rsidRPr="00B051E5">
        <w:rPr>
          <w:rFonts w:ascii="Garamond" w:eastAsia="Calibri" w:hAnsi="Garamond"/>
          <w:color w:val="000000" w:themeColor="text1"/>
        </w:rPr>
        <w:t>,</w:t>
      </w:r>
      <w:r w:rsidR="00621B25" w:rsidRPr="00B051E5">
        <w:rPr>
          <w:rFonts w:ascii="Garamond" w:eastAsia="Calibri" w:hAnsi="Garamond"/>
          <w:color w:val="000000" w:themeColor="text1"/>
        </w:rPr>
        <w:t xml:space="preserve"> 200</w:t>
      </w:r>
      <w:r w:rsidR="00AC4239" w:rsidRPr="00B051E5">
        <w:rPr>
          <w:rFonts w:ascii="Garamond" w:eastAsia="Calibri" w:hAnsi="Garamond"/>
          <w:color w:val="000000" w:themeColor="text1"/>
        </w:rPr>
        <w:t>7</w:t>
      </w:r>
      <w:r w:rsidR="00621B25"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w:t>
      </w:r>
      <w:r w:rsidR="001146E2" w:rsidRPr="00B051E5">
        <w:rPr>
          <w:rFonts w:ascii="Garamond" w:eastAsia="Calibri" w:hAnsi="Garamond"/>
          <w:color w:val="000000" w:themeColor="text1"/>
        </w:rPr>
        <w:t xml:space="preserve">Furthermore, </w:t>
      </w:r>
      <w:r w:rsidR="00F26B79" w:rsidRPr="00B051E5">
        <w:rPr>
          <w:rFonts w:ascii="Garamond" w:eastAsia="Calibri" w:hAnsi="Garamond"/>
          <w:color w:val="000000" w:themeColor="text1"/>
        </w:rPr>
        <w:t>in</w:t>
      </w:r>
      <w:r w:rsidR="00820639" w:rsidRPr="00B051E5">
        <w:rPr>
          <w:rFonts w:ascii="Garamond" w:eastAsia="Calibri" w:hAnsi="Garamond"/>
          <w:color w:val="000000" w:themeColor="text1"/>
        </w:rPr>
        <w:t xml:space="preserve"> the UK,</w:t>
      </w:r>
      <w:r w:rsidR="00672B1B" w:rsidRPr="00B051E5">
        <w:rPr>
          <w:rFonts w:ascii="Garamond" w:eastAsia="Calibri" w:hAnsi="Garamond"/>
          <w:color w:val="000000" w:themeColor="text1"/>
        </w:rPr>
        <w:t xml:space="preserve"> </w:t>
      </w:r>
      <w:r w:rsidR="00820639" w:rsidRPr="00B051E5">
        <w:rPr>
          <w:rFonts w:ascii="Garamond" w:eastAsia="Calibri" w:hAnsi="Garamond"/>
          <w:color w:val="000000" w:themeColor="text1"/>
        </w:rPr>
        <w:t>some studies (e.g.</w:t>
      </w:r>
      <w:r w:rsidR="00411B8D"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Linsley </w:t>
      </w:r>
      <w:r w:rsidR="0067565F" w:rsidRPr="00B051E5">
        <w:rPr>
          <w:rFonts w:ascii="Garamond" w:eastAsia="Calibri" w:hAnsi="Garamond"/>
          <w:color w:val="000000" w:themeColor="text1"/>
        </w:rPr>
        <w:t>and</w:t>
      </w:r>
      <w:r w:rsidR="00820639" w:rsidRPr="00B051E5">
        <w:rPr>
          <w:rFonts w:ascii="Garamond" w:eastAsia="Calibri" w:hAnsi="Garamond"/>
          <w:color w:val="000000" w:themeColor="text1"/>
        </w:rPr>
        <w:t xml:space="preserve"> Shrives</w:t>
      </w:r>
      <w:r w:rsidR="00E05955"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2006) </w:t>
      </w:r>
      <w:r w:rsidR="00945EE7" w:rsidRPr="00B051E5">
        <w:rPr>
          <w:rFonts w:ascii="Garamond" w:eastAsia="Calibri" w:hAnsi="Garamond"/>
          <w:color w:val="000000" w:themeColor="text1"/>
        </w:rPr>
        <w:t>largely concerned with reviewing</w:t>
      </w:r>
      <w:r w:rsidR="00820639" w:rsidRPr="00B051E5">
        <w:rPr>
          <w:rFonts w:ascii="Garamond" w:eastAsia="Calibri" w:hAnsi="Garamond"/>
          <w:color w:val="000000" w:themeColor="text1"/>
        </w:rPr>
        <w:t xml:space="preserve"> analytically the characteristics of risk information conclude that</w:t>
      </w:r>
      <w:r w:rsidR="00820639" w:rsidRPr="00B051E5">
        <w:rPr>
          <w:rFonts w:eastAsia="Calibri"/>
          <w:color w:val="000000" w:themeColor="text1"/>
          <w:sz w:val="16"/>
          <w:szCs w:val="16"/>
        </w:rPr>
        <w:t xml:space="preserve"> </w:t>
      </w:r>
      <w:r w:rsidR="00820639" w:rsidRPr="00B051E5">
        <w:rPr>
          <w:rFonts w:ascii="Garamond" w:eastAsia="Calibri" w:hAnsi="Garamond"/>
          <w:color w:val="000000" w:themeColor="text1"/>
        </w:rPr>
        <w:t xml:space="preserve">the dominance of backward-looking statements of general risk management policy and a lack of coherence in the risk narratives imply that </w:t>
      </w:r>
      <w:r w:rsidR="009F2CAB" w:rsidRPr="00B051E5">
        <w:rPr>
          <w:rFonts w:ascii="Garamond" w:eastAsia="Calibri" w:hAnsi="Garamond"/>
          <w:color w:val="000000" w:themeColor="text1"/>
        </w:rPr>
        <w:t xml:space="preserve">information about risks is scanty </w:t>
      </w:r>
      <w:r w:rsidR="00820639" w:rsidRPr="00B051E5">
        <w:rPr>
          <w:rFonts w:ascii="Garamond" w:eastAsia="Calibri" w:hAnsi="Garamond"/>
          <w:color w:val="000000" w:themeColor="text1"/>
        </w:rPr>
        <w:t xml:space="preserve">and consequently stakeholders </w:t>
      </w:r>
      <w:r w:rsidR="009F2CAB" w:rsidRPr="00B051E5">
        <w:rPr>
          <w:rFonts w:ascii="Garamond" w:eastAsia="Calibri" w:hAnsi="Garamond"/>
          <w:color w:val="000000" w:themeColor="text1"/>
        </w:rPr>
        <w:t xml:space="preserve">cannot </w:t>
      </w:r>
      <w:r w:rsidR="00820639" w:rsidRPr="00B051E5">
        <w:rPr>
          <w:rFonts w:ascii="Garamond" w:eastAsia="Calibri" w:hAnsi="Garamond"/>
          <w:color w:val="000000" w:themeColor="text1"/>
        </w:rPr>
        <w:t xml:space="preserve">adequately assess </w:t>
      </w:r>
      <w:r w:rsidR="009F2CAB" w:rsidRPr="00B051E5">
        <w:rPr>
          <w:rFonts w:ascii="Garamond" w:eastAsia="Calibri" w:hAnsi="Garamond"/>
          <w:color w:val="000000" w:themeColor="text1"/>
        </w:rPr>
        <w:t xml:space="preserve">a company’s </w:t>
      </w:r>
      <w:r w:rsidR="00820639" w:rsidRPr="00B051E5">
        <w:rPr>
          <w:rFonts w:ascii="Garamond" w:eastAsia="Calibri" w:hAnsi="Garamond"/>
          <w:color w:val="000000" w:themeColor="text1"/>
        </w:rPr>
        <w:t xml:space="preserve">risk profile. </w:t>
      </w:r>
      <w:r w:rsidR="00F53071" w:rsidRPr="00B051E5">
        <w:rPr>
          <w:rFonts w:ascii="Garamond" w:eastAsia="Calibri" w:hAnsi="Garamond"/>
          <w:color w:val="000000" w:themeColor="text1"/>
        </w:rPr>
        <w:t>In a recent study Elshandidy and Zeng (2022) find that the value relevance of risk information is conditional to its tone content (positive and negative tone of risk information), supporting some of previous research that highlights the importance of highlighting the content of disclosure rather than examining its level (Kothari et al., 2009, Elshandidy and Shrives, 2016</w:t>
      </w:r>
      <w:r w:rsidR="00FD0597" w:rsidRPr="00B051E5">
        <w:rPr>
          <w:rFonts w:ascii="Garamond" w:eastAsia="Calibri" w:hAnsi="Garamond"/>
          <w:color w:val="000000" w:themeColor="text1"/>
        </w:rPr>
        <w:t xml:space="preserve">, </w:t>
      </w:r>
      <w:r w:rsidR="00FD0597" w:rsidRPr="00B051E5">
        <w:rPr>
          <w:rFonts w:ascii="Garamond" w:hAnsi="Garamond" w:cs="Arial"/>
          <w:color w:val="000000" w:themeColor="text1"/>
          <w:shd w:val="clear" w:color="auto" w:fill="FFFFFF"/>
        </w:rPr>
        <w:t>Berns et al., 2022)</w:t>
      </w:r>
      <w:r w:rsidR="00F53071" w:rsidRPr="00B051E5">
        <w:rPr>
          <w:rFonts w:ascii="Garamond" w:eastAsia="Calibri" w:hAnsi="Garamond"/>
          <w:color w:val="000000" w:themeColor="text1"/>
        </w:rPr>
        <w:t xml:space="preserve">). </w:t>
      </w:r>
      <w:r w:rsidR="008F75B4" w:rsidRPr="00B051E5">
        <w:rPr>
          <w:rFonts w:ascii="Garamond" w:eastAsia="Calibri" w:hAnsi="Garamond"/>
          <w:color w:val="000000" w:themeColor="text1"/>
        </w:rPr>
        <w:t xml:space="preserve">Similarly, US research, as in Campbell et al. (2014), questions how aggregated risk disclosure, either in 10-K filings’ item 1.A, Risk Factor, or 10-K fillings’ item 7.A, Quantitative and Qualitative Disclosure about Market Risk, affects firms’ ex ante riskiness and cumulative abnormal returns, or how that in the Management Discussion and Analysis (MD&amp;A) of 10-K fillings affects investors’ perceived risk, as in Kravet and Msulu (2013). </w:t>
      </w:r>
      <w:r w:rsidR="008F75B4" w:rsidRPr="00B051E5">
        <w:rPr>
          <w:rFonts w:ascii="Garamond" w:eastAsia="Calibri" w:hAnsi="Garamond"/>
          <w:bCs/>
          <w:color w:val="000000" w:themeColor="text1"/>
        </w:rPr>
        <w:t xml:space="preserve">Previous research in the UK, however, neither investigates stock price informativeness empirically for aggregate risk disclosure, nor distinguishes the content of such aggregate disclosure, asking whether the market will incorporate revealed information based on its time orientation differently from its way of incorporating aggregate risk information. </w:t>
      </w:r>
      <w:r w:rsidR="00820639" w:rsidRPr="00B051E5">
        <w:rPr>
          <w:rFonts w:ascii="Garamond" w:eastAsia="Calibri" w:hAnsi="Garamond"/>
          <w:color w:val="000000" w:themeColor="text1"/>
        </w:rPr>
        <w:t>This is still broadly an empirical, unanswered, question.</w:t>
      </w:r>
      <w:r w:rsidR="00F53071" w:rsidRPr="00B051E5">
        <w:rPr>
          <w:rStyle w:val="FootnoteReference"/>
          <w:rFonts w:ascii="Garamond" w:eastAsia="Calibri" w:hAnsi="Garamond"/>
          <w:color w:val="000000" w:themeColor="text1"/>
        </w:rPr>
        <w:footnoteReference w:id="1"/>
      </w:r>
      <w:r w:rsidR="00820639" w:rsidRPr="00B051E5">
        <w:rPr>
          <w:rFonts w:ascii="Garamond" w:eastAsia="Calibri" w:hAnsi="Garamond"/>
          <w:color w:val="000000" w:themeColor="text1"/>
        </w:rPr>
        <w:t xml:space="preserve"> </w:t>
      </w:r>
    </w:p>
    <w:p w14:paraId="52DF1CB6" w14:textId="57E8BF99" w:rsidR="00255566" w:rsidRPr="00B051E5" w:rsidRDefault="00A024C1" w:rsidP="00693F5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lastRenderedPageBreak/>
        <w:t xml:space="preserve">Our paper </w:t>
      </w:r>
      <w:r w:rsidR="003E48D3" w:rsidRPr="00B051E5">
        <w:rPr>
          <w:rFonts w:ascii="Garamond" w:eastAsia="Calibri" w:hAnsi="Garamond"/>
          <w:bCs/>
          <w:color w:val="000000" w:themeColor="text1"/>
        </w:rPr>
        <w:t>fills this</w:t>
      </w:r>
      <w:r w:rsidRPr="00B051E5">
        <w:rPr>
          <w:rFonts w:ascii="Garamond" w:eastAsia="Calibri" w:hAnsi="Garamond"/>
          <w:bCs/>
          <w:color w:val="000000" w:themeColor="text1"/>
        </w:rPr>
        <w:t xml:space="preserve"> gap by examining</w:t>
      </w:r>
      <w:r w:rsidR="00B365CF" w:rsidRPr="00B051E5">
        <w:rPr>
          <w:rFonts w:ascii="Garamond" w:eastAsia="Calibri" w:hAnsi="Garamond"/>
          <w:bCs/>
          <w:color w:val="000000" w:themeColor="text1"/>
        </w:rPr>
        <w:t xml:space="preserve"> </w:t>
      </w:r>
      <w:r w:rsidR="003E48D3" w:rsidRPr="00B051E5">
        <w:rPr>
          <w:rFonts w:ascii="Garamond" w:eastAsia="Calibri" w:hAnsi="Garamond"/>
          <w:bCs/>
          <w:color w:val="000000" w:themeColor="text1"/>
        </w:rPr>
        <w:t xml:space="preserve">the </w:t>
      </w:r>
      <w:r w:rsidR="00B365CF" w:rsidRPr="00B051E5">
        <w:rPr>
          <w:rFonts w:ascii="Garamond" w:eastAsia="Calibri" w:hAnsi="Garamond"/>
          <w:bCs/>
          <w:color w:val="000000" w:themeColor="text1"/>
        </w:rPr>
        <w:t>informativeness</w:t>
      </w:r>
      <w:r w:rsidRPr="00B051E5">
        <w:rPr>
          <w:rFonts w:ascii="Garamond" w:eastAsia="Calibri" w:hAnsi="Garamond"/>
          <w:bCs/>
          <w:color w:val="000000" w:themeColor="text1"/>
        </w:rPr>
        <w:t xml:space="preserve"> of risk disclosure</w:t>
      </w:r>
      <w:r w:rsidR="00B365CF" w:rsidRPr="00B051E5">
        <w:rPr>
          <w:rFonts w:ascii="Garamond" w:eastAsia="Calibri" w:hAnsi="Garamond"/>
          <w:bCs/>
          <w:color w:val="000000" w:themeColor="text1"/>
        </w:rPr>
        <w:t xml:space="preserve">. </w:t>
      </w:r>
      <w:r w:rsidRPr="00B051E5">
        <w:rPr>
          <w:rFonts w:ascii="Garamond" w:eastAsia="Calibri" w:hAnsi="Garamond"/>
          <w:bCs/>
          <w:color w:val="000000" w:themeColor="text1"/>
        </w:rPr>
        <w:t>Arguably,</w:t>
      </w:r>
      <w:r w:rsidR="00B365CF" w:rsidRPr="00B051E5">
        <w:rPr>
          <w:rFonts w:ascii="Garamond" w:eastAsia="Calibri" w:hAnsi="Garamond"/>
          <w:bCs/>
          <w:color w:val="000000" w:themeColor="text1"/>
        </w:rPr>
        <w:t xml:space="preserve"> stock price informativeness </w:t>
      </w:r>
      <w:r w:rsidR="00B365CF" w:rsidRPr="00B051E5">
        <w:rPr>
          <w:rFonts w:ascii="Garamond" w:eastAsia="Calibri" w:hAnsi="Garamond"/>
          <w:color w:val="000000" w:themeColor="text1"/>
        </w:rPr>
        <w:t xml:space="preserve">is an intuitive measure </w:t>
      </w:r>
      <w:r w:rsidR="003E48D3" w:rsidRPr="00B051E5">
        <w:rPr>
          <w:rFonts w:ascii="Garamond" w:eastAsia="Calibri" w:hAnsi="Garamond"/>
          <w:color w:val="000000" w:themeColor="text1"/>
        </w:rPr>
        <w:t>for</w:t>
      </w:r>
      <w:r w:rsidR="00B365CF" w:rsidRPr="00B051E5">
        <w:rPr>
          <w:rFonts w:ascii="Garamond" w:eastAsia="Calibri" w:hAnsi="Garamond"/>
          <w:color w:val="000000" w:themeColor="text1"/>
        </w:rPr>
        <w:t xml:space="preserve"> captu</w:t>
      </w:r>
      <w:r w:rsidR="00350451" w:rsidRPr="00B051E5">
        <w:rPr>
          <w:rFonts w:ascii="Garamond" w:eastAsia="Calibri" w:hAnsi="Garamond"/>
          <w:color w:val="000000" w:themeColor="text1"/>
        </w:rPr>
        <w:t>r</w:t>
      </w:r>
      <w:r w:rsidR="003E48D3" w:rsidRPr="00B051E5">
        <w:rPr>
          <w:rFonts w:ascii="Garamond" w:eastAsia="Calibri" w:hAnsi="Garamond"/>
          <w:color w:val="000000" w:themeColor="text1"/>
        </w:rPr>
        <w:t>ing</w:t>
      </w:r>
      <w:r w:rsidR="00B365CF" w:rsidRPr="00B051E5">
        <w:rPr>
          <w:rFonts w:ascii="Garamond" w:eastAsia="Calibri" w:hAnsi="Garamond"/>
          <w:color w:val="000000" w:themeColor="text1"/>
        </w:rPr>
        <w:t xml:space="preserve"> the economic consequences of disclosure</w:t>
      </w:r>
      <w:r w:rsidR="003E48D3" w:rsidRPr="00B051E5">
        <w:rPr>
          <w:rFonts w:ascii="Garamond" w:eastAsia="Calibri" w:hAnsi="Garamond"/>
          <w:color w:val="000000" w:themeColor="text1"/>
        </w:rPr>
        <w:t xml:space="preserve">; </w:t>
      </w:r>
      <w:r w:rsidR="00B365CF" w:rsidRPr="00B051E5">
        <w:rPr>
          <w:rFonts w:ascii="Garamond" w:eastAsia="Calibri" w:hAnsi="Garamond"/>
          <w:bCs/>
          <w:color w:val="000000" w:themeColor="text1"/>
        </w:rPr>
        <w:t xml:space="preserve">it measures </w:t>
      </w:r>
      <w:r w:rsidR="00882345" w:rsidRPr="00B051E5">
        <w:rPr>
          <w:rFonts w:ascii="Garamond" w:eastAsia="Calibri" w:hAnsi="Garamond"/>
          <w:bCs/>
          <w:color w:val="000000" w:themeColor="text1"/>
        </w:rPr>
        <w:t xml:space="preserve">how far a </w:t>
      </w:r>
      <w:r w:rsidR="00255566" w:rsidRPr="00B051E5">
        <w:rPr>
          <w:rFonts w:ascii="Garamond" w:eastAsia="Calibri" w:hAnsi="Garamond"/>
          <w:bCs/>
          <w:color w:val="000000" w:themeColor="text1"/>
        </w:rPr>
        <w:t xml:space="preserve">stock price successfully incorporates firm-specific information (Russell, 2015). This comes from the notion of Morck </w:t>
      </w:r>
      <w:r w:rsidR="0067565F" w:rsidRPr="00B051E5">
        <w:rPr>
          <w:rFonts w:ascii="Garamond" w:eastAsia="Calibri" w:hAnsi="Garamond"/>
          <w:bCs/>
          <w:color w:val="000000" w:themeColor="text1"/>
        </w:rPr>
        <w:t xml:space="preserve">et al. </w:t>
      </w:r>
      <w:r w:rsidR="00255566" w:rsidRPr="00B051E5">
        <w:rPr>
          <w:rFonts w:ascii="Garamond" w:eastAsia="Calibri" w:hAnsi="Garamond"/>
          <w:bCs/>
          <w:color w:val="000000" w:themeColor="text1"/>
        </w:rPr>
        <w:t xml:space="preserve">(2000) that stock prices </w:t>
      </w:r>
      <w:r w:rsidR="00882345" w:rsidRPr="00B051E5">
        <w:rPr>
          <w:rFonts w:ascii="Garamond" w:eastAsia="Calibri" w:hAnsi="Garamond"/>
          <w:bCs/>
          <w:color w:val="000000" w:themeColor="text1"/>
        </w:rPr>
        <w:t xml:space="preserve">exhibit synchronicity: they </w:t>
      </w:r>
      <w:r w:rsidR="00255566" w:rsidRPr="00B051E5">
        <w:rPr>
          <w:rFonts w:ascii="Garamond" w:eastAsia="Calibri" w:hAnsi="Garamond"/>
          <w:bCs/>
          <w:color w:val="000000" w:themeColor="text1"/>
        </w:rPr>
        <w:t xml:space="preserve">move up and down in alignment with market and industry information. Thus, stock price synchronicity is a measure of the extent to which variations on firm stock returns can be explained by the variations </w:t>
      </w:r>
      <w:r w:rsidR="00F7482C" w:rsidRPr="00B051E5">
        <w:rPr>
          <w:rFonts w:ascii="Garamond" w:eastAsia="Calibri" w:hAnsi="Garamond"/>
          <w:bCs/>
          <w:color w:val="000000" w:themeColor="text1"/>
        </w:rPr>
        <w:t>i</w:t>
      </w:r>
      <w:r w:rsidR="00255566" w:rsidRPr="00B051E5">
        <w:rPr>
          <w:rFonts w:ascii="Garamond" w:eastAsia="Calibri" w:hAnsi="Garamond"/>
          <w:bCs/>
          <w:color w:val="000000" w:themeColor="text1"/>
        </w:rPr>
        <w:t xml:space="preserve">n market and industry returns. This suggests that synchronicity is the inverse of informativeness, or, </w:t>
      </w:r>
      <w:r w:rsidR="00F7482C" w:rsidRPr="00B051E5">
        <w:rPr>
          <w:rFonts w:ascii="Garamond" w:eastAsia="Calibri" w:hAnsi="Garamond"/>
          <w:bCs/>
          <w:color w:val="000000" w:themeColor="text1"/>
        </w:rPr>
        <w:t>i</w:t>
      </w:r>
      <w:r w:rsidR="00255566" w:rsidRPr="00B051E5">
        <w:rPr>
          <w:rFonts w:ascii="Garamond" w:eastAsia="Calibri" w:hAnsi="Garamond"/>
          <w:bCs/>
          <w:color w:val="000000" w:themeColor="text1"/>
        </w:rPr>
        <w:t xml:space="preserve">n other words, </w:t>
      </w:r>
      <w:r w:rsidR="00F7482C" w:rsidRPr="00B051E5">
        <w:rPr>
          <w:rFonts w:ascii="Garamond" w:eastAsia="Calibri" w:hAnsi="Garamond"/>
          <w:bCs/>
          <w:color w:val="000000" w:themeColor="text1"/>
        </w:rPr>
        <w:t>less s</w:t>
      </w:r>
      <w:r w:rsidR="00255566" w:rsidRPr="00B051E5">
        <w:rPr>
          <w:rFonts w:ascii="Garamond" w:eastAsia="Calibri" w:hAnsi="Garamond"/>
          <w:bCs/>
          <w:color w:val="000000" w:themeColor="text1"/>
        </w:rPr>
        <w:t>tock price synchronicity suggests that stock price</w:t>
      </w:r>
      <w:r w:rsidR="00F7482C" w:rsidRPr="00B051E5">
        <w:rPr>
          <w:rFonts w:ascii="Garamond" w:eastAsia="Calibri" w:hAnsi="Garamond"/>
          <w:bCs/>
          <w:color w:val="000000" w:themeColor="text1"/>
        </w:rPr>
        <w:t>s</w:t>
      </w:r>
      <w:r w:rsidR="00255566" w:rsidRPr="00B051E5">
        <w:rPr>
          <w:rFonts w:ascii="Garamond" w:eastAsia="Calibri" w:hAnsi="Garamond"/>
          <w:bCs/>
          <w:color w:val="000000" w:themeColor="text1"/>
        </w:rPr>
        <w:t xml:space="preserve"> incorporate (capitalize) more firm-specific information, and </w:t>
      </w:r>
      <w:r w:rsidR="00F7482C" w:rsidRPr="00B051E5">
        <w:rPr>
          <w:rFonts w:ascii="Garamond" w:eastAsia="Calibri" w:hAnsi="Garamond"/>
          <w:bCs/>
          <w:color w:val="000000" w:themeColor="text1"/>
        </w:rPr>
        <w:t>that the converse is also true</w:t>
      </w:r>
      <w:r w:rsidR="00255566" w:rsidRPr="00B051E5">
        <w:rPr>
          <w:rFonts w:ascii="Garamond" w:eastAsia="Calibri" w:hAnsi="Garamond"/>
          <w:bCs/>
          <w:color w:val="000000" w:themeColor="text1"/>
        </w:rPr>
        <w:t xml:space="preserve">. </w:t>
      </w:r>
    </w:p>
    <w:p w14:paraId="170B276D" w14:textId="5D3FE69D" w:rsidR="00A104D1" w:rsidRPr="00B051E5" w:rsidRDefault="00A104D1" w:rsidP="005C0CAC">
      <w:pPr>
        <w:spacing w:line="480" w:lineRule="auto"/>
        <w:ind w:firstLine="720"/>
        <w:jc w:val="both"/>
        <w:rPr>
          <w:rFonts w:ascii="Garamond" w:eastAsia="Calibri" w:hAnsi="Garamond"/>
          <w:color w:val="000000" w:themeColor="text1"/>
        </w:rPr>
      </w:pPr>
      <w:bookmarkStart w:id="1" w:name="_Hlk42809516"/>
      <w:r w:rsidRPr="00B051E5">
        <w:rPr>
          <w:rFonts w:ascii="Garamond" w:eastAsia="Calibri" w:hAnsi="Garamond"/>
          <w:color w:val="000000" w:themeColor="text1"/>
        </w:rPr>
        <w:t xml:space="preserve">We measure the levels of aggregate risk disclosure as the number of sentences that reflect risk in relation to all the sentences coded across all the narrative sections of firms’ annual reports. In order to do so, we developed a risk word list that is generally consistent with prior literature (e.g., Kravet &amp; Muslu, 2013; Elshandidy et al., 2015). We then further investigated the content of risk information based on its time orientation, reclassifying each risk sentence by checking whether it reflected the future or not, which led us to generate two other distinct scores. The first indicates the future (taken as forward-looking risk disclosure) if a risk sentence contains one or more words indicative of the future based on a forward-looking word list that is consistent with earlier literature (e.g., </w:t>
      </w:r>
      <w:r w:rsidRPr="00B051E5">
        <w:rPr>
          <w:rFonts w:ascii="Garamond" w:eastAsia="Calibri" w:hAnsi="Garamond"/>
          <w:iCs/>
          <w:color w:val="000000" w:themeColor="text1"/>
        </w:rPr>
        <w:t>Muslu, Radhakrishnan, Subramanyam, &amp; Lim</w:t>
      </w:r>
      <w:r w:rsidRPr="00B051E5">
        <w:rPr>
          <w:rFonts w:ascii="Garamond" w:eastAsia="Calibri" w:hAnsi="Garamond"/>
          <w:color w:val="000000" w:themeColor="text1"/>
        </w:rPr>
        <w:t xml:space="preserve">, 2014). The second reflects backward-information (taken as non-forward-looking risk disclosure), comprising risk sentences that are not future-oriented or have not been classified as part of the score for future risk (the residual from the aggregate risk disclosure after excluding the forward-looking risk disclosure). We scaled each score either by the aggregate of risk sentences or the all the sentences coded in the narrative sections of firms’ annual reports. </w:t>
      </w:r>
      <w:bookmarkEnd w:id="1"/>
    </w:p>
    <w:p w14:paraId="5E1B8A7A" w14:textId="4D6778CB" w:rsidR="008F75B4" w:rsidRPr="00B051E5" w:rsidRDefault="008F75B4">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To investigate the informativeness of aggregate risk disclosure as distinctively from its time orientation (forward- or non-forward), we build, consistent with Kravet and Muslu (2013), three competing arguments. The first, known as </w:t>
      </w:r>
      <w:r w:rsidRPr="00B051E5">
        <w:rPr>
          <w:rFonts w:ascii="Garamond" w:eastAsia="Calibri" w:hAnsi="Garamond"/>
          <w:bCs/>
          <w:i/>
          <w:color w:val="000000" w:themeColor="text1"/>
        </w:rPr>
        <w:t>the null argument</w:t>
      </w:r>
      <w:r w:rsidRPr="00B051E5">
        <w:rPr>
          <w:rFonts w:ascii="Garamond" w:eastAsia="Calibri" w:hAnsi="Garamond"/>
          <w:bCs/>
          <w:color w:val="000000" w:themeColor="text1"/>
        </w:rPr>
        <w:t xml:space="preserve">, is that risk disclosure will not have an </w:t>
      </w:r>
      <w:r w:rsidRPr="00B051E5">
        <w:rPr>
          <w:rFonts w:ascii="Garamond" w:eastAsia="Calibri" w:hAnsi="Garamond"/>
          <w:bCs/>
          <w:color w:val="000000" w:themeColor="text1"/>
        </w:rPr>
        <w:lastRenderedPageBreak/>
        <w:t xml:space="preserve">observable economic effect on stock price informativeness because such disclosure is boilerplate. The second argument, known as </w:t>
      </w:r>
      <w:r w:rsidRPr="00B051E5">
        <w:rPr>
          <w:rFonts w:ascii="Garamond" w:eastAsia="Calibri" w:hAnsi="Garamond"/>
          <w:bCs/>
          <w:i/>
          <w:color w:val="000000" w:themeColor="text1"/>
        </w:rPr>
        <w:t>the divergence argument</w:t>
      </w:r>
      <w:r w:rsidRPr="00B051E5">
        <w:rPr>
          <w:rFonts w:ascii="Garamond" w:eastAsia="Calibri" w:hAnsi="Garamond"/>
          <w:bCs/>
          <w:color w:val="000000" w:themeColor="text1"/>
        </w:rPr>
        <w:t xml:space="preserve">, is that risk disclosure will be negatively associated with stock price informativeness since such revealed risk information is likely to be firm-specific and because investors are likely to incorporate it into their decisions on prices the market is likely to economically react to it. The third argument, known as </w:t>
      </w:r>
      <w:r w:rsidRPr="00B051E5">
        <w:rPr>
          <w:rFonts w:ascii="Garamond" w:eastAsia="Calibri" w:hAnsi="Garamond"/>
          <w:bCs/>
          <w:i/>
          <w:color w:val="000000" w:themeColor="text1"/>
        </w:rPr>
        <w:t>the convergence argument</w:t>
      </w:r>
      <w:r w:rsidRPr="00B051E5">
        <w:rPr>
          <w:rFonts w:ascii="Garamond" w:eastAsia="Calibri" w:hAnsi="Garamond"/>
          <w:bCs/>
          <w:color w:val="000000" w:themeColor="text1"/>
        </w:rPr>
        <w:t>, holds that risk disclosure will be positively related to stock price informativeness since such information resolves a company’s known risk factors.</w:t>
      </w:r>
    </w:p>
    <w:p w14:paraId="3104B4D4" w14:textId="77777777" w:rsidR="004E015C" w:rsidRPr="00B051E5" w:rsidRDefault="00820639" w:rsidP="00693F5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Over a period of </w:t>
      </w:r>
      <w:r w:rsidR="00702669" w:rsidRPr="00B051E5">
        <w:rPr>
          <w:rFonts w:ascii="Garamond" w:eastAsia="Calibri" w:hAnsi="Garamond"/>
          <w:bCs/>
          <w:color w:val="000000" w:themeColor="text1"/>
        </w:rPr>
        <w:t>ten</w:t>
      </w:r>
      <w:r w:rsidR="000169AC"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years, </w:t>
      </w:r>
      <w:r w:rsidR="004E015C" w:rsidRPr="00B051E5">
        <w:rPr>
          <w:rFonts w:ascii="Garamond" w:eastAsia="Calibri" w:hAnsi="Garamond"/>
          <w:bCs/>
          <w:color w:val="000000" w:themeColor="text1"/>
        </w:rPr>
        <w:t>o</w:t>
      </w:r>
      <w:r w:rsidRPr="00B051E5">
        <w:rPr>
          <w:rFonts w:ascii="Garamond" w:eastAsia="Calibri" w:hAnsi="Garamond"/>
          <w:bCs/>
          <w:color w:val="000000" w:themeColor="text1"/>
        </w:rPr>
        <w:t>ur empirical results suggest that, whereas</w:t>
      </w:r>
      <w:r w:rsidR="005B5340"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the market does not incorporate aggregate risk </w:t>
      </w:r>
      <w:r w:rsidR="00182703" w:rsidRPr="00B051E5">
        <w:rPr>
          <w:rFonts w:ascii="Garamond" w:eastAsia="Calibri" w:hAnsi="Garamond"/>
          <w:bCs/>
          <w:color w:val="000000" w:themeColor="text1"/>
        </w:rPr>
        <w:t>disclosure</w:t>
      </w:r>
      <w:r w:rsidRPr="00B051E5">
        <w:rPr>
          <w:rFonts w:ascii="Garamond" w:eastAsia="Calibri" w:hAnsi="Garamond"/>
          <w:bCs/>
          <w:color w:val="000000" w:themeColor="text1"/>
        </w:rPr>
        <w:t xml:space="preserve">, suggesting </w:t>
      </w:r>
      <w:r w:rsidR="005B5340" w:rsidRPr="00B051E5">
        <w:rPr>
          <w:rFonts w:ascii="Garamond" w:eastAsia="Calibri" w:hAnsi="Garamond"/>
          <w:bCs/>
          <w:color w:val="000000" w:themeColor="text1"/>
        </w:rPr>
        <w:t xml:space="preserve">that </w:t>
      </w:r>
      <w:r w:rsidR="00182703" w:rsidRPr="00B051E5">
        <w:rPr>
          <w:rFonts w:ascii="Garamond" w:eastAsia="Calibri" w:hAnsi="Garamond"/>
          <w:bCs/>
          <w:color w:val="000000" w:themeColor="text1"/>
        </w:rPr>
        <w:t>aggregate risk disclosure</w:t>
      </w:r>
      <w:r w:rsidRPr="00B051E5">
        <w:rPr>
          <w:rFonts w:ascii="Garamond" w:eastAsia="Calibri" w:hAnsi="Garamond"/>
          <w:bCs/>
          <w:color w:val="000000" w:themeColor="text1"/>
        </w:rPr>
        <w:t xml:space="preserve"> is likely to be generic,</w:t>
      </w:r>
      <w:r w:rsidRPr="00B051E5">
        <w:rPr>
          <w:rFonts w:ascii="Garamond" w:eastAsia="Calibri" w:hAnsi="Garamond"/>
          <w:bCs/>
          <w:i/>
          <w:color w:val="000000" w:themeColor="text1"/>
        </w:rPr>
        <w:t xml:space="preserve"> </w:t>
      </w:r>
      <w:r w:rsidRPr="00B051E5">
        <w:rPr>
          <w:rFonts w:ascii="Garamond" w:eastAsia="Calibri" w:hAnsi="Garamond"/>
          <w:bCs/>
          <w:color w:val="000000" w:themeColor="text1"/>
        </w:rPr>
        <w:t>the market do</w:t>
      </w:r>
      <w:r w:rsidR="00A90C23" w:rsidRPr="00B051E5">
        <w:rPr>
          <w:rFonts w:ascii="Garamond" w:eastAsia="Calibri" w:hAnsi="Garamond"/>
          <w:bCs/>
          <w:color w:val="000000" w:themeColor="text1"/>
        </w:rPr>
        <w:t>es react significantly to time orientation</w:t>
      </w:r>
      <w:r w:rsidRPr="00B051E5">
        <w:rPr>
          <w:rFonts w:ascii="Garamond" w:eastAsia="Calibri" w:hAnsi="Garamond"/>
          <w:bCs/>
          <w:color w:val="000000" w:themeColor="text1"/>
        </w:rPr>
        <w:t xml:space="preserve"> in the content of </w:t>
      </w:r>
      <w:r w:rsidR="00182703" w:rsidRPr="00B051E5">
        <w:rPr>
          <w:rFonts w:ascii="Garamond" w:eastAsia="Calibri" w:hAnsi="Garamond"/>
          <w:bCs/>
          <w:color w:val="000000" w:themeColor="text1"/>
        </w:rPr>
        <w:t xml:space="preserve">aggregate </w:t>
      </w:r>
      <w:r w:rsidRPr="00B051E5">
        <w:rPr>
          <w:rFonts w:ascii="Garamond" w:eastAsia="Calibri" w:hAnsi="Garamond"/>
          <w:bCs/>
          <w:color w:val="000000" w:themeColor="text1"/>
        </w:rPr>
        <w:t xml:space="preserve">risk </w:t>
      </w:r>
      <w:r w:rsidR="00182703" w:rsidRPr="00B051E5">
        <w:rPr>
          <w:rFonts w:ascii="Garamond" w:eastAsia="Calibri" w:hAnsi="Garamond"/>
          <w:bCs/>
          <w:color w:val="000000" w:themeColor="text1"/>
        </w:rPr>
        <w:t>disclosure</w:t>
      </w:r>
      <w:r w:rsidRPr="00B051E5">
        <w:rPr>
          <w:rFonts w:ascii="Garamond" w:eastAsia="Calibri" w:hAnsi="Garamond"/>
          <w:bCs/>
          <w:color w:val="000000" w:themeColor="text1"/>
        </w:rPr>
        <w:t xml:space="preserve">. Specifically, </w:t>
      </w:r>
      <w:r w:rsidR="00182703" w:rsidRPr="00B051E5">
        <w:rPr>
          <w:rFonts w:ascii="Garamond" w:eastAsia="Calibri" w:hAnsi="Garamond"/>
          <w:bCs/>
          <w:color w:val="000000" w:themeColor="text1"/>
        </w:rPr>
        <w:t xml:space="preserve">while </w:t>
      </w:r>
      <w:r w:rsidRPr="00B051E5">
        <w:rPr>
          <w:rFonts w:ascii="Garamond" w:eastAsia="Calibri" w:hAnsi="Garamond"/>
          <w:bCs/>
          <w:color w:val="000000" w:themeColor="text1"/>
        </w:rPr>
        <w:t xml:space="preserve">we find that non-forward-looking risk </w:t>
      </w:r>
      <w:r w:rsidR="00182703" w:rsidRPr="00B051E5">
        <w:rPr>
          <w:rFonts w:ascii="Garamond" w:eastAsia="Calibri" w:hAnsi="Garamond"/>
          <w:bCs/>
          <w:color w:val="000000" w:themeColor="text1"/>
        </w:rPr>
        <w:t>disclosure</w:t>
      </w:r>
      <w:r w:rsidRPr="00B051E5">
        <w:rPr>
          <w:rFonts w:ascii="Garamond" w:eastAsia="Calibri" w:hAnsi="Garamond"/>
          <w:bCs/>
          <w:color w:val="000000" w:themeColor="text1"/>
        </w:rPr>
        <w:t xml:space="preserve"> significantly and negatively associated with </w:t>
      </w:r>
      <w:r w:rsidR="00875941" w:rsidRPr="00B051E5">
        <w:rPr>
          <w:rFonts w:ascii="Garamond" w:eastAsia="Calibri" w:hAnsi="Garamond"/>
          <w:bCs/>
          <w:color w:val="000000" w:themeColor="text1"/>
        </w:rPr>
        <w:t xml:space="preserve">the co-movements of </w:t>
      </w:r>
      <w:r w:rsidRPr="00B051E5">
        <w:rPr>
          <w:rFonts w:ascii="Garamond" w:eastAsia="Calibri" w:hAnsi="Garamond"/>
          <w:bCs/>
          <w:color w:val="000000" w:themeColor="text1"/>
        </w:rPr>
        <w:t>stock prices,</w:t>
      </w:r>
      <w:r w:rsidR="00875941" w:rsidRPr="00B051E5">
        <w:rPr>
          <w:rFonts w:ascii="Garamond" w:eastAsia="Calibri" w:hAnsi="Garamond"/>
          <w:bCs/>
          <w:color w:val="000000" w:themeColor="text1"/>
        </w:rPr>
        <w:t xml:space="preserve"> f</w:t>
      </w:r>
      <w:r w:rsidR="00182703" w:rsidRPr="00B051E5">
        <w:rPr>
          <w:rFonts w:ascii="Garamond" w:eastAsia="Calibri" w:hAnsi="Garamond"/>
          <w:bCs/>
          <w:color w:val="000000" w:themeColor="text1"/>
        </w:rPr>
        <w:t xml:space="preserve">orward-looking risk disclosure is significantly and positively associated with </w:t>
      </w:r>
      <w:r w:rsidR="00875941" w:rsidRPr="00B051E5">
        <w:rPr>
          <w:rFonts w:ascii="Garamond" w:eastAsia="Calibri" w:hAnsi="Garamond"/>
          <w:bCs/>
          <w:color w:val="000000" w:themeColor="text1"/>
        </w:rPr>
        <w:t>such</w:t>
      </w:r>
      <w:r w:rsidR="00182703" w:rsidRPr="00B051E5">
        <w:rPr>
          <w:rFonts w:ascii="Garamond" w:eastAsia="Calibri" w:hAnsi="Garamond"/>
          <w:bCs/>
          <w:color w:val="000000" w:themeColor="text1"/>
        </w:rPr>
        <w:t xml:space="preserve"> co-movements. These results </w:t>
      </w:r>
      <w:r w:rsidRPr="00B051E5">
        <w:rPr>
          <w:rFonts w:ascii="Garamond" w:eastAsia="Calibri" w:hAnsi="Garamond"/>
          <w:bCs/>
          <w:color w:val="000000" w:themeColor="text1"/>
        </w:rPr>
        <w:t>sugges</w:t>
      </w:r>
      <w:r w:rsidR="00182703" w:rsidRPr="00B051E5">
        <w:rPr>
          <w:rFonts w:ascii="Garamond" w:eastAsia="Calibri" w:hAnsi="Garamond"/>
          <w:bCs/>
          <w:color w:val="000000" w:themeColor="text1"/>
        </w:rPr>
        <w:t>t</w:t>
      </w:r>
      <w:r w:rsidRPr="00B051E5">
        <w:rPr>
          <w:rFonts w:ascii="Garamond" w:eastAsia="Calibri" w:hAnsi="Garamond"/>
          <w:bCs/>
          <w:color w:val="000000" w:themeColor="text1"/>
        </w:rPr>
        <w:t xml:space="preserve"> that </w:t>
      </w:r>
      <w:r w:rsidR="002206FC" w:rsidRPr="00B051E5">
        <w:rPr>
          <w:rFonts w:ascii="Garamond" w:eastAsia="Calibri" w:hAnsi="Garamond"/>
          <w:bCs/>
          <w:color w:val="000000" w:themeColor="text1"/>
        </w:rPr>
        <w:t xml:space="preserve">while </w:t>
      </w:r>
      <w:r w:rsidR="00182703" w:rsidRPr="00B051E5">
        <w:rPr>
          <w:rFonts w:ascii="Garamond" w:eastAsia="Calibri" w:hAnsi="Garamond"/>
          <w:bCs/>
          <w:color w:val="000000" w:themeColor="text1"/>
        </w:rPr>
        <w:t xml:space="preserve">non-forward-looking </w:t>
      </w:r>
      <w:r w:rsidRPr="00B051E5">
        <w:rPr>
          <w:rFonts w:ascii="Garamond" w:eastAsia="Calibri" w:hAnsi="Garamond"/>
          <w:bCs/>
          <w:color w:val="000000" w:themeColor="text1"/>
        </w:rPr>
        <w:t>information is firm-specific and such information is difficult (simple) to anticipate or replace with market-wide factors</w:t>
      </w:r>
      <w:r w:rsidR="002206FC" w:rsidRPr="00B051E5">
        <w:rPr>
          <w:rFonts w:ascii="Garamond" w:eastAsia="Calibri" w:hAnsi="Garamond"/>
          <w:bCs/>
          <w:color w:val="000000" w:themeColor="text1"/>
        </w:rPr>
        <w:t>, forward-looking information is generic and such information can be easily anticipated or replaced by market-wide factors.</w:t>
      </w:r>
      <w:r w:rsidR="00F43774" w:rsidRPr="00B051E5">
        <w:rPr>
          <w:rFonts w:ascii="Garamond" w:eastAsia="Calibri" w:hAnsi="Garamond"/>
          <w:bCs/>
          <w:color w:val="000000" w:themeColor="text1"/>
        </w:rPr>
        <w:t xml:space="preserve"> </w:t>
      </w:r>
      <w:r w:rsidRPr="00B051E5">
        <w:rPr>
          <w:rFonts w:ascii="Garamond" w:eastAsia="Calibri" w:hAnsi="Garamond"/>
          <w:bCs/>
          <w:color w:val="000000" w:themeColor="text1"/>
        </w:rPr>
        <w:t>When we further look at whether th</w:t>
      </w:r>
      <w:r w:rsidR="007274B3" w:rsidRPr="00B051E5">
        <w:rPr>
          <w:rFonts w:ascii="Garamond" w:eastAsia="Calibri" w:hAnsi="Garamond"/>
          <w:bCs/>
          <w:color w:val="000000" w:themeColor="text1"/>
        </w:rPr>
        <w:t>is</w:t>
      </w:r>
      <w:r w:rsidRPr="00B051E5">
        <w:rPr>
          <w:rFonts w:ascii="Garamond" w:eastAsia="Calibri" w:hAnsi="Garamond"/>
          <w:bCs/>
          <w:color w:val="000000" w:themeColor="text1"/>
        </w:rPr>
        <w:t xml:space="preserve"> observed informativeness is conditional on the firms’ strength of governance, our findings continue to support the significant impact of the time orientation of risk information. </w:t>
      </w:r>
    </w:p>
    <w:p w14:paraId="4C49F29E" w14:textId="7677CCC5" w:rsidR="00211561" w:rsidRPr="00B051E5" w:rsidRDefault="00A57677" w:rsidP="00693F5C">
      <w:pPr>
        <w:spacing w:line="480" w:lineRule="auto"/>
        <w:ind w:firstLine="720"/>
        <w:jc w:val="both"/>
        <w:rPr>
          <w:rFonts w:ascii="Garamond" w:eastAsia="Calibri" w:hAnsi="Garamond"/>
          <w:bCs/>
          <w:strike/>
          <w:color w:val="000000" w:themeColor="text1"/>
        </w:rPr>
      </w:pPr>
      <w:r w:rsidRPr="00B051E5">
        <w:rPr>
          <w:rFonts w:ascii="Garamond" w:eastAsia="Calibri" w:hAnsi="Garamond"/>
          <w:color w:val="000000" w:themeColor="text1"/>
        </w:rPr>
        <w:t xml:space="preserve">Consequently, the current paper seeks to make the following contributions to the existing literature. First, it </w:t>
      </w:r>
      <w:r w:rsidR="00820639" w:rsidRPr="00B051E5">
        <w:rPr>
          <w:rFonts w:ascii="Garamond" w:eastAsia="Calibri" w:hAnsi="Garamond"/>
          <w:color w:val="000000" w:themeColor="text1"/>
        </w:rPr>
        <w:t xml:space="preserve">contributes to the extant literature on risk reporting by investigating how </w:t>
      </w:r>
      <w:r w:rsidR="0032744D" w:rsidRPr="00B051E5">
        <w:rPr>
          <w:rFonts w:ascii="Garamond" w:eastAsia="Calibri" w:hAnsi="Garamond"/>
          <w:color w:val="000000" w:themeColor="text1"/>
        </w:rPr>
        <w:t xml:space="preserve">different </w:t>
      </w:r>
      <w:r w:rsidR="00820639" w:rsidRPr="00B051E5">
        <w:rPr>
          <w:rFonts w:ascii="Garamond" w:eastAsia="Calibri" w:hAnsi="Garamond"/>
          <w:color w:val="000000" w:themeColor="text1"/>
        </w:rPr>
        <w:t xml:space="preserve">types of disclosures </w:t>
      </w:r>
      <w:r w:rsidR="00F26B79" w:rsidRPr="00B051E5">
        <w:rPr>
          <w:rFonts w:ascii="Garamond" w:eastAsia="Calibri" w:hAnsi="Garamond"/>
          <w:color w:val="000000" w:themeColor="text1"/>
        </w:rPr>
        <w:t>may</w:t>
      </w:r>
      <w:r w:rsidR="0032744D" w:rsidRPr="00B051E5">
        <w:rPr>
          <w:rFonts w:ascii="Garamond" w:eastAsia="Calibri" w:hAnsi="Garamond"/>
          <w:color w:val="000000" w:themeColor="text1"/>
        </w:rPr>
        <w:t xml:space="preserve"> </w:t>
      </w:r>
      <w:r w:rsidR="00820639" w:rsidRPr="00B051E5">
        <w:rPr>
          <w:rFonts w:ascii="Garamond" w:eastAsia="Calibri" w:hAnsi="Garamond"/>
          <w:color w:val="000000" w:themeColor="text1"/>
        </w:rPr>
        <w:t>have different information</w:t>
      </w:r>
      <w:r w:rsidR="00791F8A" w:rsidRPr="00B051E5">
        <w:rPr>
          <w:rFonts w:ascii="Garamond" w:eastAsia="Calibri" w:hAnsi="Garamond"/>
          <w:color w:val="000000" w:themeColor="text1"/>
        </w:rPr>
        <w:t>al</w:t>
      </w:r>
      <w:r w:rsidR="00820639" w:rsidRPr="00B051E5">
        <w:rPr>
          <w:rFonts w:ascii="Garamond" w:eastAsia="Calibri" w:hAnsi="Garamond"/>
          <w:color w:val="000000" w:themeColor="text1"/>
        </w:rPr>
        <w:t xml:space="preserve"> content. Furthermore, there is a strong </w:t>
      </w:r>
      <w:r w:rsidR="00791F8A" w:rsidRPr="00B051E5">
        <w:rPr>
          <w:rFonts w:ascii="Garamond" w:eastAsia="Calibri" w:hAnsi="Garamond"/>
          <w:color w:val="000000" w:themeColor="text1"/>
        </w:rPr>
        <w:t xml:space="preserve">claim </w:t>
      </w:r>
      <w:r w:rsidR="00820639" w:rsidRPr="00B051E5">
        <w:rPr>
          <w:rFonts w:ascii="Garamond" w:eastAsia="Calibri" w:hAnsi="Garamond"/>
          <w:color w:val="000000" w:themeColor="text1"/>
        </w:rPr>
        <w:t>in the literature (e.g.</w:t>
      </w:r>
      <w:r w:rsidR="00411B8D"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Beretta </w:t>
      </w:r>
      <w:r w:rsidR="0067565F" w:rsidRPr="00B051E5">
        <w:rPr>
          <w:rFonts w:ascii="Garamond" w:eastAsia="Calibri" w:hAnsi="Garamond"/>
          <w:color w:val="000000" w:themeColor="text1"/>
        </w:rPr>
        <w:t>and</w:t>
      </w:r>
      <w:r w:rsidR="00820639" w:rsidRPr="00B051E5">
        <w:rPr>
          <w:rFonts w:ascii="Garamond" w:eastAsia="Calibri" w:hAnsi="Garamond"/>
          <w:color w:val="000000" w:themeColor="text1"/>
        </w:rPr>
        <w:t xml:space="preserve"> Bozzolan</w:t>
      </w:r>
      <w:r w:rsidR="00E05955"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2004</w:t>
      </w:r>
      <w:r w:rsidR="0067565F" w:rsidRPr="00B051E5">
        <w:rPr>
          <w:rFonts w:ascii="Garamond" w:eastAsia="Calibri" w:hAnsi="Garamond"/>
          <w:color w:val="000000" w:themeColor="text1"/>
        </w:rPr>
        <w:t xml:space="preserve"> and</w:t>
      </w:r>
      <w:r w:rsidR="00820639" w:rsidRPr="00B051E5">
        <w:rPr>
          <w:rFonts w:ascii="Garamond" w:eastAsia="Calibri" w:hAnsi="Garamond"/>
          <w:color w:val="000000" w:themeColor="text1"/>
        </w:rPr>
        <w:t xml:space="preserve"> 2008; </w:t>
      </w:r>
      <w:r w:rsidR="00744677" w:rsidRPr="00B051E5">
        <w:rPr>
          <w:rFonts w:ascii="Garamond" w:eastAsia="Calibri" w:hAnsi="Garamond"/>
          <w:bCs/>
          <w:color w:val="000000" w:themeColor="text1"/>
        </w:rPr>
        <w:t>Ntim</w:t>
      </w:r>
      <w:r w:rsidR="0067565F" w:rsidRPr="00B051E5">
        <w:rPr>
          <w:rFonts w:ascii="Garamond" w:eastAsia="Calibri" w:hAnsi="Garamond"/>
          <w:bCs/>
          <w:color w:val="000000" w:themeColor="text1"/>
        </w:rPr>
        <w:t xml:space="preserve"> et al.</w:t>
      </w:r>
      <w:r w:rsidR="00E05955" w:rsidRPr="00B051E5">
        <w:rPr>
          <w:rFonts w:ascii="Garamond" w:eastAsia="Calibri" w:hAnsi="Garamond"/>
          <w:bCs/>
          <w:color w:val="000000" w:themeColor="text1"/>
        </w:rPr>
        <w:t>,</w:t>
      </w:r>
      <w:r w:rsidR="00744677" w:rsidRPr="00B051E5">
        <w:rPr>
          <w:rFonts w:ascii="Garamond" w:eastAsia="Calibri" w:hAnsi="Garamond"/>
          <w:bCs/>
          <w:color w:val="000000" w:themeColor="text1"/>
        </w:rPr>
        <w:t xml:space="preserve"> </w:t>
      </w:r>
      <w:r w:rsidR="00893A78" w:rsidRPr="00B051E5">
        <w:rPr>
          <w:rFonts w:ascii="Garamond" w:eastAsia="Calibri" w:hAnsi="Garamond"/>
          <w:color w:val="000000" w:themeColor="text1"/>
        </w:rPr>
        <w:t>2013</w:t>
      </w:r>
      <w:r w:rsidR="00820639" w:rsidRPr="00B051E5">
        <w:rPr>
          <w:rFonts w:ascii="Garamond" w:eastAsia="Calibri" w:hAnsi="Garamond"/>
          <w:color w:val="000000" w:themeColor="text1"/>
        </w:rPr>
        <w:t xml:space="preserve">) that forward-looking information is informative </w:t>
      </w:r>
      <w:r w:rsidR="00820639" w:rsidRPr="00B051E5">
        <w:rPr>
          <w:rFonts w:ascii="Garamond" w:eastAsia="Calibri" w:hAnsi="Garamond"/>
          <w:i/>
          <w:color w:val="000000" w:themeColor="text1"/>
        </w:rPr>
        <w:t>per se</w:t>
      </w:r>
      <w:r w:rsidR="00820639" w:rsidRPr="00B051E5">
        <w:rPr>
          <w:rFonts w:ascii="Garamond" w:eastAsia="Calibri" w:hAnsi="Garamond"/>
          <w:color w:val="000000" w:themeColor="text1"/>
        </w:rPr>
        <w:t xml:space="preserve">. </w:t>
      </w:r>
      <w:r w:rsidR="00893A78" w:rsidRPr="00B051E5">
        <w:rPr>
          <w:rFonts w:ascii="Garamond" w:eastAsia="Calibri" w:hAnsi="Garamond"/>
          <w:color w:val="000000" w:themeColor="text1"/>
        </w:rPr>
        <w:t xml:space="preserve">This strand of </w:t>
      </w:r>
      <w:r w:rsidR="00791F8A" w:rsidRPr="00B051E5">
        <w:rPr>
          <w:rFonts w:ascii="Garamond" w:eastAsia="Calibri" w:hAnsi="Garamond"/>
          <w:color w:val="000000" w:themeColor="text1"/>
        </w:rPr>
        <w:t xml:space="preserve">the </w:t>
      </w:r>
      <w:r w:rsidR="00893A78" w:rsidRPr="00B051E5">
        <w:rPr>
          <w:rFonts w:ascii="Garamond" w:eastAsia="Calibri" w:hAnsi="Garamond"/>
          <w:color w:val="000000" w:themeColor="text1"/>
        </w:rPr>
        <w:t xml:space="preserve">literature argues that forward-looking information is likely to be reliable and more relevant to investors </w:t>
      </w:r>
      <w:r w:rsidR="00791F8A" w:rsidRPr="00B051E5">
        <w:rPr>
          <w:rFonts w:ascii="Garamond" w:eastAsia="Calibri" w:hAnsi="Garamond"/>
          <w:color w:val="000000" w:themeColor="text1"/>
        </w:rPr>
        <w:t xml:space="preserve">who need </w:t>
      </w:r>
      <w:r w:rsidR="00893A78" w:rsidRPr="00B051E5">
        <w:rPr>
          <w:rFonts w:ascii="Garamond" w:eastAsia="Calibri" w:hAnsi="Garamond"/>
          <w:color w:val="000000" w:themeColor="text1"/>
        </w:rPr>
        <w:t>help in taking investment decisions.</w:t>
      </w:r>
      <w:r w:rsidR="0005516E" w:rsidRPr="00B051E5">
        <w:rPr>
          <w:rFonts w:ascii="Garamond" w:eastAsia="Calibri" w:hAnsi="Garamond"/>
          <w:color w:val="000000" w:themeColor="text1"/>
        </w:rPr>
        <w:t xml:space="preserve"> Therefore, when such research (</w:t>
      </w:r>
      <w:r w:rsidR="0067565F" w:rsidRPr="00B051E5">
        <w:rPr>
          <w:rFonts w:ascii="Garamond" w:eastAsia="Calibri" w:hAnsi="Garamond"/>
          <w:color w:val="000000" w:themeColor="text1"/>
        </w:rPr>
        <w:t>e.g.</w:t>
      </w:r>
      <w:r w:rsidR="00411B8D" w:rsidRPr="00B051E5">
        <w:rPr>
          <w:rFonts w:ascii="Garamond" w:eastAsia="Calibri" w:hAnsi="Garamond"/>
          <w:color w:val="000000" w:themeColor="text1"/>
        </w:rPr>
        <w:t>,</w:t>
      </w:r>
      <w:r w:rsidR="0005516E" w:rsidRPr="00B051E5">
        <w:rPr>
          <w:rFonts w:ascii="Garamond" w:eastAsia="Calibri" w:hAnsi="Garamond"/>
          <w:color w:val="000000" w:themeColor="text1"/>
        </w:rPr>
        <w:t xml:space="preserve"> Beretta </w:t>
      </w:r>
      <w:r w:rsidR="0067565F" w:rsidRPr="00B051E5">
        <w:rPr>
          <w:rFonts w:ascii="Garamond" w:eastAsia="Calibri" w:hAnsi="Garamond"/>
          <w:color w:val="000000" w:themeColor="text1"/>
        </w:rPr>
        <w:t>and</w:t>
      </w:r>
      <w:r w:rsidR="0005516E" w:rsidRPr="00B051E5">
        <w:rPr>
          <w:rFonts w:ascii="Garamond" w:eastAsia="Calibri" w:hAnsi="Garamond"/>
          <w:color w:val="000000" w:themeColor="text1"/>
        </w:rPr>
        <w:t xml:space="preserve"> Bozzolan</w:t>
      </w:r>
      <w:r w:rsidR="00E05955" w:rsidRPr="00B051E5">
        <w:rPr>
          <w:rFonts w:ascii="Garamond" w:eastAsia="Calibri" w:hAnsi="Garamond"/>
          <w:color w:val="000000" w:themeColor="text1"/>
        </w:rPr>
        <w:t>,</w:t>
      </w:r>
      <w:r w:rsidR="002E01C5" w:rsidRPr="00B051E5">
        <w:rPr>
          <w:rFonts w:ascii="Garamond" w:eastAsia="Calibri" w:hAnsi="Garamond"/>
          <w:color w:val="000000" w:themeColor="text1"/>
        </w:rPr>
        <w:t xml:space="preserve"> </w:t>
      </w:r>
      <w:r w:rsidR="0005516E" w:rsidRPr="00B051E5">
        <w:rPr>
          <w:rFonts w:ascii="Garamond" w:eastAsia="Calibri" w:hAnsi="Garamond"/>
          <w:color w:val="000000" w:themeColor="text1"/>
        </w:rPr>
        <w:t xml:space="preserve">2004) constructs a quality index for risk disclosure, it gives forward-looking risk disclosure </w:t>
      </w:r>
      <w:r w:rsidR="00791F8A" w:rsidRPr="00B051E5">
        <w:rPr>
          <w:rFonts w:ascii="Garamond" w:eastAsia="Calibri" w:hAnsi="Garamond"/>
          <w:color w:val="000000" w:themeColor="text1"/>
        </w:rPr>
        <w:t>great</w:t>
      </w:r>
      <w:r w:rsidR="0005516E" w:rsidRPr="00B051E5">
        <w:rPr>
          <w:rFonts w:ascii="Garamond" w:eastAsia="Calibri" w:hAnsi="Garamond"/>
          <w:color w:val="000000" w:themeColor="text1"/>
        </w:rPr>
        <w:t>er weight</w:t>
      </w:r>
      <w:r w:rsidR="00BE0CBB" w:rsidRPr="00B051E5">
        <w:rPr>
          <w:rFonts w:ascii="Garamond" w:eastAsia="Calibri" w:hAnsi="Garamond"/>
          <w:color w:val="000000" w:themeColor="text1"/>
        </w:rPr>
        <w:t xml:space="preserve"> than</w:t>
      </w:r>
      <w:r w:rsidR="0005516E" w:rsidRPr="00B051E5">
        <w:rPr>
          <w:rFonts w:ascii="Garamond" w:eastAsia="Calibri" w:hAnsi="Garamond"/>
          <w:color w:val="000000" w:themeColor="text1"/>
        </w:rPr>
        <w:t xml:space="preserve"> non-</w:t>
      </w:r>
      <w:r w:rsidR="0005516E" w:rsidRPr="00B051E5">
        <w:rPr>
          <w:rFonts w:ascii="Garamond" w:eastAsia="Calibri" w:hAnsi="Garamond"/>
          <w:color w:val="000000" w:themeColor="text1"/>
        </w:rPr>
        <w:lastRenderedPageBreak/>
        <w:t>forward-looking risk disclosure.</w:t>
      </w:r>
      <w:r w:rsidR="00893A78" w:rsidRPr="00B051E5">
        <w:rPr>
          <w:rFonts w:ascii="Garamond" w:eastAsia="Calibri" w:hAnsi="Garamond"/>
          <w:color w:val="000000" w:themeColor="text1"/>
        </w:rPr>
        <w:t xml:space="preserve"> </w:t>
      </w:r>
      <w:r w:rsidR="00820639" w:rsidRPr="00B051E5">
        <w:rPr>
          <w:rFonts w:ascii="Garamond" w:eastAsia="Calibri" w:hAnsi="Garamond"/>
          <w:bCs/>
          <w:color w:val="000000" w:themeColor="text1"/>
        </w:rPr>
        <w:t xml:space="preserve">Most previous studies suggest that firms should provide more forward-looking information as a way to improve and increase the relevance of risk information. </w:t>
      </w:r>
      <w:r w:rsidR="00A94F06" w:rsidRPr="00B051E5">
        <w:rPr>
          <w:rFonts w:ascii="Garamond" w:eastAsia="Calibri" w:hAnsi="Garamond"/>
          <w:bCs/>
          <w:color w:val="000000" w:themeColor="text1"/>
        </w:rPr>
        <w:t>Our paper is</w:t>
      </w:r>
      <w:r w:rsidR="000A63C5" w:rsidRPr="00B051E5">
        <w:rPr>
          <w:rFonts w:ascii="Garamond" w:eastAsia="Calibri" w:hAnsi="Garamond"/>
          <w:bCs/>
          <w:color w:val="000000" w:themeColor="text1"/>
        </w:rPr>
        <w:t xml:space="preserve"> distinctively </w:t>
      </w:r>
      <w:r w:rsidR="00A94F06" w:rsidRPr="00B051E5">
        <w:rPr>
          <w:rFonts w:ascii="Garamond" w:eastAsia="Calibri" w:hAnsi="Garamond"/>
          <w:bCs/>
          <w:color w:val="000000" w:themeColor="text1"/>
        </w:rPr>
        <w:t xml:space="preserve">different from another strand in the literature that looks at the predictive value </w:t>
      </w:r>
      <w:r w:rsidR="000A63C5" w:rsidRPr="00B051E5">
        <w:rPr>
          <w:rFonts w:ascii="Garamond" w:eastAsia="Calibri" w:hAnsi="Garamond"/>
          <w:bCs/>
          <w:color w:val="000000" w:themeColor="text1"/>
        </w:rPr>
        <w:t>of</w:t>
      </w:r>
      <w:r w:rsidR="00A94F06" w:rsidRPr="00B051E5">
        <w:rPr>
          <w:rFonts w:ascii="Garamond" w:eastAsia="Calibri" w:hAnsi="Garamond"/>
          <w:bCs/>
          <w:color w:val="000000" w:themeColor="text1"/>
        </w:rPr>
        <w:t xml:space="preserve"> the content of MD &amp;A</w:t>
      </w:r>
      <w:r w:rsidR="000A63C5" w:rsidRPr="00B051E5">
        <w:rPr>
          <w:rFonts w:ascii="Garamond" w:eastAsia="Calibri" w:hAnsi="Garamond"/>
          <w:bCs/>
          <w:color w:val="000000" w:themeColor="text1"/>
        </w:rPr>
        <w:t xml:space="preserve"> (i.e., forward-looking, SEC ratings of disclosure, tone of disclosure) on predicting earnings (Barron</w:t>
      </w:r>
      <w:r w:rsidR="000A63C5" w:rsidRPr="00B051E5">
        <w:rPr>
          <w:rFonts w:ascii="Garamond" w:hAnsi="Garamond" w:cs="Arial"/>
          <w:color w:val="000000" w:themeColor="text1"/>
          <w:shd w:val="clear" w:color="auto" w:fill="FFFFFF"/>
        </w:rPr>
        <w:t xml:space="preserve"> et al., 1999), bankruptcy (Mayew et al., 2015), and investment activities (Berns et al., 2022). </w:t>
      </w:r>
      <w:r w:rsidR="00820639" w:rsidRPr="00B051E5">
        <w:rPr>
          <w:rFonts w:ascii="Garamond" w:eastAsia="Calibri" w:hAnsi="Garamond"/>
          <w:bCs/>
          <w:color w:val="000000" w:themeColor="text1"/>
        </w:rPr>
        <w:t xml:space="preserve">Yet, no prior research </w:t>
      </w:r>
      <w:r w:rsidR="00856E6A" w:rsidRPr="00B051E5">
        <w:rPr>
          <w:rFonts w:ascii="Garamond" w:eastAsia="Calibri" w:hAnsi="Garamond"/>
          <w:bCs/>
          <w:color w:val="000000" w:themeColor="text1"/>
        </w:rPr>
        <w:t xml:space="preserve">has </w:t>
      </w:r>
      <w:r w:rsidR="00820639" w:rsidRPr="00B051E5">
        <w:rPr>
          <w:rFonts w:ascii="Garamond" w:eastAsia="Calibri" w:hAnsi="Garamond"/>
          <w:bCs/>
          <w:color w:val="000000" w:themeColor="text1"/>
        </w:rPr>
        <w:t>examine</w:t>
      </w:r>
      <w:r w:rsidR="00856E6A" w:rsidRPr="00B051E5">
        <w:rPr>
          <w:rFonts w:ascii="Garamond" w:eastAsia="Calibri" w:hAnsi="Garamond"/>
          <w:bCs/>
          <w:color w:val="000000" w:themeColor="text1"/>
        </w:rPr>
        <w:t>d</w:t>
      </w:r>
      <w:r w:rsidR="00820639" w:rsidRPr="00B051E5">
        <w:rPr>
          <w:rFonts w:ascii="Garamond" w:eastAsia="Calibri" w:hAnsi="Garamond"/>
          <w:bCs/>
          <w:color w:val="000000" w:themeColor="text1"/>
        </w:rPr>
        <w:t xml:space="preserve"> this claim</w:t>
      </w:r>
      <w:r w:rsidR="00AA2238" w:rsidRPr="00B051E5">
        <w:rPr>
          <w:rFonts w:ascii="Garamond" w:eastAsia="Calibri" w:hAnsi="Garamond"/>
          <w:bCs/>
          <w:color w:val="000000" w:themeColor="text1"/>
        </w:rPr>
        <w:t>, which</w:t>
      </w:r>
      <w:r w:rsidR="00820639" w:rsidRPr="00B051E5">
        <w:rPr>
          <w:rFonts w:ascii="Garamond" w:eastAsia="Calibri" w:hAnsi="Garamond"/>
          <w:bCs/>
          <w:color w:val="000000" w:themeColor="text1"/>
        </w:rPr>
        <w:t xml:space="preserve"> </w:t>
      </w:r>
      <w:r w:rsidR="00856E6A" w:rsidRPr="00B051E5">
        <w:rPr>
          <w:rFonts w:ascii="Garamond" w:eastAsia="Calibri" w:hAnsi="Garamond"/>
          <w:bCs/>
          <w:color w:val="000000" w:themeColor="text1"/>
        </w:rPr>
        <w:t xml:space="preserve">moreover </w:t>
      </w:r>
      <w:r w:rsidR="00820639" w:rsidRPr="00B051E5">
        <w:rPr>
          <w:rFonts w:ascii="Garamond" w:eastAsia="Calibri" w:hAnsi="Garamond"/>
          <w:bCs/>
          <w:color w:val="000000" w:themeColor="text1"/>
        </w:rPr>
        <w:t xml:space="preserve">gives deep insight </w:t>
      </w:r>
      <w:r w:rsidR="00856E6A" w:rsidRPr="00B051E5">
        <w:rPr>
          <w:rFonts w:ascii="Garamond" w:eastAsia="Calibri" w:hAnsi="Garamond"/>
          <w:bCs/>
          <w:color w:val="000000" w:themeColor="text1"/>
        </w:rPr>
        <w:t xml:space="preserve">into the </w:t>
      </w:r>
      <w:r w:rsidR="00820639" w:rsidRPr="00B051E5">
        <w:rPr>
          <w:rFonts w:ascii="Garamond" w:eastAsia="Calibri" w:hAnsi="Garamond"/>
          <w:bCs/>
          <w:color w:val="000000" w:themeColor="text1"/>
        </w:rPr>
        <w:t xml:space="preserve">extent to which the level of aggregate risk disclosure </w:t>
      </w:r>
      <w:r w:rsidR="00F26B79" w:rsidRPr="00B051E5">
        <w:rPr>
          <w:rFonts w:ascii="Garamond" w:eastAsia="Calibri" w:hAnsi="Garamond"/>
          <w:bCs/>
          <w:color w:val="000000" w:themeColor="text1"/>
        </w:rPr>
        <w:t>may</w:t>
      </w:r>
      <w:r w:rsidR="00A17510" w:rsidRPr="00B051E5">
        <w:rPr>
          <w:rFonts w:ascii="Garamond" w:eastAsia="Calibri" w:hAnsi="Garamond"/>
          <w:bCs/>
          <w:color w:val="000000" w:themeColor="text1"/>
        </w:rPr>
        <w:t xml:space="preserve"> control its influence </w:t>
      </w:r>
      <w:r w:rsidR="00856E6A" w:rsidRPr="00B051E5">
        <w:rPr>
          <w:rFonts w:ascii="Garamond" w:eastAsia="Calibri" w:hAnsi="Garamond"/>
          <w:bCs/>
          <w:color w:val="000000" w:themeColor="text1"/>
        </w:rPr>
        <w:t xml:space="preserve">over the </w:t>
      </w:r>
      <w:r w:rsidR="00820639" w:rsidRPr="00B051E5">
        <w:rPr>
          <w:rFonts w:ascii="Garamond" w:eastAsia="Calibri" w:hAnsi="Garamond"/>
          <w:bCs/>
          <w:color w:val="000000" w:themeColor="text1"/>
        </w:rPr>
        <w:t xml:space="preserve">market </w:t>
      </w:r>
      <w:r w:rsidR="00A17510" w:rsidRPr="00B051E5">
        <w:rPr>
          <w:rFonts w:ascii="Garamond" w:eastAsia="Calibri" w:hAnsi="Garamond"/>
          <w:bCs/>
          <w:color w:val="000000" w:themeColor="text1"/>
        </w:rPr>
        <w:t xml:space="preserve">by a suitable </w:t>
      </w:r>
      <w:r w:rsidR="00820639" w:rsidRPr="00B051E5">
        <w:rPr>
          <w:rFonts w:ascii="Garamond" w:eastAsia="Calibri" w:hAnsi="Garamond"/>
          <w:bCs/>
          <w:color w:val="000000" w:themeColor="text1"/>
        </w:rPr>
        <w:t xml:space="preserve">time orientation. </w:t>
      </w:r>
    </w:p>
    <w:p w14:paraId="2A3BFB8B" w14:textId="6032EB8C" w:rsidR="00820639" w:rsidRPr="00B051E5" w:rsidRDefault="00270CBC" w:rsidP="00693F5C">
      <w:pPr>
        <w:spacing w:line="480" w:lineRule="auto"/>
        <w:ind w:firstLine="720"/>
        <w:jc w:val="both"/>
        <w:rPr>
          <w:rFonts w:ascii="Garamond" w:eastAsia="Calibri" w:hAnsi="Garamond"/>
          <w:bCs/>
          <w:color w:val="000000" w:themeColor="text1"/>
        </w:rPr>
      </w:pPr>
      <w:r w:rsidRPr="00B051E5">
        <w:rPr>
          <w:rFonts w:ascii="Garamond" w:eastAsia="Calibri" w:hAnsi="Garamond"/>
          <w:color w:val="000000" w:themeColor="text1"/>
        </w:rPr>
        <w:t>Second, w</w:t>
      </w:r>
      <w:r w:rsidR="00820639" w:rsidRPr="00B051E5">
        <w:rPr>
          <w:rFonts w:ascii="Garamond" w:eastAsia="Calibri" w:hAnsi="Garamond"/>
          <w:color w:val="000000" w:themeColor="text1"/>
        </w:rPr>
        <w:t>e provide the first evidence o</w:t>
      </w:r>
      <w:r w:rsidR="00AA2238" w:rsidRPr="00B051E5">
        <w:rPr>
          <w:rFonts w:ascii="Garamond" w:eastAsia="Calibri" w:hAnsi="Garamond"/>
          <w:color w:val="000000" w:themeColor="text1"/>
        </w:rPr>
        <w:t>f the way in which</w:t>
      </w:r>
      <w:r w:rsidR="00820639" w:rsidRPr="00B051E5">
        <w:rPr>
          <w:rFonts w:ascii="Garamond" w:eastAsia="Calibri" w:hAnsi="Garamond"/>
          <w:color w:val="000000" w:themeColor="text1"/>
        </w:rPr>
        <w:t xml:space="preserve"> non-forward-looking and fo</w:t>
      </w:r>
      <w:r w:rsidR="000E26BA" w:rsidRPr="00B051E5">
        <w:rPr>
          <w:rFonts w:ascii="Garamond" w:eastAsia="Calibri" w:hAnsi="Garamond"/>
          <w:color w:val="000000" w:themeColor="text1"/>
        </w:rPr>
        <w:t>rward-looking (time</w:t>
      </w:r>
      <w:r w:rsidR="002218D1" w:rsidRPr="00B051E5">
        <w:rPr>
          <w:rFonts w:ascii="Garamond" w:eastAsia="Calibri" w:hAnsi="Garamond"/>
          <w:color w:val="000000" w:themeColor="text1"/>
        </w:rPr>
        <w:t>-</w:t>
      </w:r>
      <w:r w:rsidR="00820639" w:rsidRPr="00B051E5">
        <w:rPr>
          <w:rFonts w:ascii="Garamond" w:eastAsia="Calibri" w:hAnsi="Garamond"/>
          <w:color w:val="000000" w:themeColor="text1"/>
        </w:rPr>
        <w:t>orient</w:t>
      </w:r>
      <w:r w:rsidR="00AA2238" w:rsidRPr="00B051E5">
        <w:rPr>
          <w:rFonts w:ascii="Garamond" w:eastAsia="Calibri" w:hAnsi="Garamond"/>
          <w:color w:val="000000" w:themeColor="text1"/>
        </w:rPr>
        <w:t>ed</w:t>
      </w:r>
      <w:r w:rsidR="00820639" w:rsidRPr="00B051E5">
        <w:rPr>
          <w:rFonts w:ascii="Garamond" w:eastAsia="Calibri" w:hAnsi="Garamond"/>
          <w:color w:val="000000" w:themeColor="text1"/>
        </w:rPr>
        <w:t xml:space="preserve">) risk disclosure </w:t>
      </w:r>
      <w:r w:rsidR="00F26B79" w:rsidRPr="00B051E5">
        <w:rPr>
          <w:rFonts w:ascii="Garamond" w:eastAsia="Calibri" w:hAnsi="Garamond"/>
          <w:color w:val="000000" w:themeColor="text1"/>
        </w:rPr>
        <w:t>may</w:t>
      </w:r>
      <w:r w:rsidR="00AA2238" w:rsidRPr="00B051E5">
        <w:rPr>
          <w:rFonts w:ascii="Garamond" w:eastAsia="Calibri" w:hAnsi="Garamond"/>
          <w:color w:val="000000" w:themeColor="text1"/>
        </w:rPr>
        <w:t xml:space="preserve"> </w:t>
      </w:r>
      <w:r w:rsidR="00820639" w:rsidRPr="00B051E5">
        <w:rPr>
          <w:rFonts w:ascii="Garamond" w:eastAsia="Calibri" w:hAnsi="Garamond"/>
          <w:color w:val="000000" w:themeColor="text1"/>
        </w:rPr>
        <w:t xml:space="preserve">affect stock price informativeness differently from the way in which aggregate levels of risk information do. </w:t>
      </w:r>
      <w:r w:rsidRPr="00B051E5">
        <w:rPr>
          <w:rFonts w:ascii="Garamond" w:eastAsia="Calibri" w:hAnsi="Garamond"/>
          <w:color w:val="000000" w:themeColor="text1"/>
        </w:rPr>
        <w:t>Third, o</w:t>
      </w:r>
      <w:r w:rsidR="00E663C4" w:rsidRPr="00B051E5">
        <w:rPr>
          <w:rFonts w:ascii="Garamond" w:eastAsia="Calibri" w:hAnsi="Garamond"/>
          <w:color w:val="000000" w:themeColor="text1"/>
        </w:rPr>
        <w:t>ur paper</w:t>
      </w:r>
      <w:r w:rsidR="00820639" w:rsidRPr="00B051E5">
        <w:rPr>
          <w:rFonts w:ascii="Garamond" w:eastAsia="Calibri" w:hAnsi="Garamond"/>
          <w:color w:val="000000" w:themeColor="text1"/>
        </w:rPr>
        <w:t xml:space="preserve"> answers the </w:t>
      </w:r>
      <w:r w:rsidR="00AA2238" w:rsidRPr="00B051E5">
        <w:rPr>
          <w:rFonts w:ascii="Garamond" w:eastAsia="Calibri" w:hAnsi="Garamond"/>
          <w:color w:val="000000" w:themeColor="text1"/>
        </w:rPr>
        <w:t xml:space="preserve">demand from earlier </w:t>
      </w:r>
      <w:r w:rsidR="00820639" w:rsidRPr="00B051E5">
        <w:rPr>
          <w:rFonts w:ascii="Garamond" w:eastAsia="Calibri" w:hAnsi="Garamond"/>
          <w:color w:val="000000" w:themeColor="text1"/>
        </w:rPr>
        <w:t>literature (Kothari</w:t>
      </w:r>
      <w:r w:rsidR="0067565F" w:rsidRPr="00B051E5">
        <w:rPr>
          <w:rFonts w:ascii="Garamond" w:eastAsia="Calibri" w:hAnsi="Garamond"/>
          <w:color w:val="000000" w:themeColor="text1"/>
        </w:rPr>
        <w:t xml:space="preserve"> et al.</w:t>
      </w:r>
      <w:r w:rsidR="00E05955"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2009; Li</w:t>
      </w:r>
      <w:r w:rsidR="00E05955"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2010) to look at the content of disclosure</w:t>
      </w:r>
      <w:r w:rsidR="005166E4" w:rsidRPr="00B051E5">
        <w:rPr>
          <w:rFonts w:ascii="Garamond" w:eastAsia="Calibri" w:hAnsi="Garamond"/>
          <w:color w:val="000000" w:themeColor="text1"/>
        </w:rPr>
        <w:t>s</w:t>
      </w:r>
      <w:r w:rsidR="00820639" w:rsidRPr="00B051E5">
        <w:rPr>
          <w:rFonts w:ascii="Garamond" w:eastAsia="Calibri" w:hAnsi="Garamond"/>
          <w:color w:val="000000" w:themeColor="text1"/>
        </w:rPr>
        <w:t xml:space="preserve"> rather than the level. </w:t>
      </w:r>
      <w:r w:rsidR="005166E4" w:rsidRPr="00B051E5">
        <w:rPr>
          <w:rFonts w:ascii="Garamond" w:eastAsia="Calibri" w:hAnsi="Garamond"/>
          <w:color w:val="000000" w:themeColor="text1"/>
        </w:rPr>
        <w:t xml:space="preserve">If our </w:t>
      </w:r>
      <w:r w:rsidR="00820639" w:rsidRPr="00B051E5">
        <w:rPr>
          <w:rFonts w:ascii="Garamond" w:eastAsia="Calibri" w:hAnsi="Garamond"/>
          <w:color w:val="000000" w:themeColor="text1"/>
        </w:rPr>
        <w:t>results</w:t>
      </w:r>
      <w:r w:rsidR="005166E4" w:rsidRPr="00B051E5">
        <w:rPr>
          <w:rFonts w:ascii="Garamond" w:eastAsia="Calibri" w:hAnsi="Garamond"/>
          <w:color w:val="000000" w:themeColor="text1"/>
        </w:rPr>
        <w:t xml:space="preserve"> are valid</w:t>
      </w:r>
      <w:r w:rsidR="00820639" w:rsidRPr="00B051E5">
        <w:rPr>
          <w:rFonts w:ascii="Garamond" w:eastAsia="Calibri" w:hAnsi="Garamond"/>
          <w:color w:val="000000" w:themeColor="text1"/>
        </w:rPr>
        <w:t xml:space="preserve">, drawing conclusions about the informativeness of risk information without considering the content of such information </w:t>
      </w:r>
      <w:r w:rsidR="00F26B79" w:rsidRPr="00B051E5">
        <w:rPr>
          <w:rFonts w:ascii="Garamond" w:eastAsia="Calibri" w:hAnsi="Garamond"/>
          <w:color w:val="000000" w:themeColor="text1"/>
        </w:rPr>
        <w:t>may</w:t>
      </w:r>
      <w:r w:rsidR="005166E4" w:rsidRPr="00B051E5">
        <w:rPr>
          <w:rFonts w:ascii="Garamond" w:eastAsia="Calibri" w:hAnsi="Garamond"/>
          <w:color w:val="000000" w:themeColor="text1"/>
        </w:rPr>
        <w:t xml:space="preserve"> </w:t>
      </w:r>
      <w:r w:rsidR="00820639" w:rsidRPr="00B051E5">
        <w:rPr>
          <w:rFonts w:ascii="Garamond" w:eastAsia="Calibri" w:hAnsi="Garamond"/>
          <w:color w:val="000000" w:themeColor="text1"/>
        </w:rPr>
        <w:t xml:space="preserve">lead to misleading interpretations. </w:t>
      </w:r>
      <w:r w:rsidRPr="00B051E5">
        <w:rPr>
          <w:rFonts w:ascii="Garamond" w:eastAsia="Calibri" w:hAnsi="Garamond"/>
          <w:color w:val="000000" w:themeColor="text1"/>
        </w:rPr>
        <w:t>Fourth, o</w:t>
      </w:r>
      <w:r w:rsidR="00820639" w:rsidRPr="00B051E5">
        <w:rPr>
          <w:rFonts w:ascii="Garamond" w:eastAsia="Calibri" w:hAnsi="Garamond"/>
          <w:color w:val="000000" w:themeColor="text1"/>
        </w:rPr>
        <w:t>ur results offer some key signals to the accounting literature on financial disclosures, given that we use an advanced method in order to interact the captured risk disclosure with its content regarding the time orientation of such disclosure. By doing so, we overcome the current limitations inherent in using software which relies on built</w:t>
      </w:r>
      <w:r w:rsidR="005166E4" w:rsidRPr="00B051E5">
        <w:rPr>
          <w:rFonts w:ascii="Garamond" w:eastAsia="Calibri" w:hAnsi="Garamond"/>
          <w:color w:val="000000" w:themeColor="text1"/>
        </w:rPr>
        <w:t>-</w:t>
      </w:r>
      <w:r w:rsidR="00820639" w:rsidRPr="00B051E5">
        <w:rPr>
          <w:rFonts w:ascii="Garamond" w:eastAsia="Calibri" w:hAnsi="Garamond"/>
          <w:color w:val="000000" w:themeColor="text1"/>
        </w:rPr>
        <w:t>in dictionaries or importing customised list</w:t>
      </w:r>
      <w:r w:rsidR="005166E4" w:rsidRPr="00B051E5">
        <w:rPr>
          <w:rFonts w:ascii="Garamond" w:eastAsia="Calibri" w:hAnsi="Garamond"/>
          <w:color w:val="000000" w:themeColor="text1"/>
        </w:rPr>
        <w:t>s</w:t>
      </w:r>
      <w:r w:rsidR="00820639" w:rsidRPr="00B051E5">
        <w:rPr>
          <w:rFonts w:ascii="Garamond" w:eastAsia="Calibri" w:hAnsi="Garamond"/>
          <w:color w:val="000000" w:themeColor="text1"/>
        </w:rPr>
        <w:t xml:space="preserve"> of words (bag</w:t>
      </w:r>
      <w:r w:rsidR="005166E4" w:rsidRPr="00B051E5">
        <w:rPr>
          <w:rFonts w:ascii="Garamond" w:eastAsia="Calibri" w:hAnsi="Garamond"/>
          <w:color w:val="000000" w:themeColor="text1"/>
        </w:rPr>
        <w:t>s</w:t>
      </w:r>
      <w:r w:rsidR="00820639" w:rsidRPr="00B051E5">
        <w:rPr>
          <w:rFonts w:ascii="Garamond" w:eastAsia="Calibri" w:hAnsi="Garamond"/>
          <w:color w:val="000000" w:themeColor="text1"/>
        </w:rPr>
        <w:t xml:space="preserve"> of words</w:t>
      </w:r>
      <w:r w:rsidR="005166E4"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for a review, see Loughran </w:t>
      </w:r>
      <w:r w:rsidR="0067565F" w:rsidRPr="00B051E5">
        <w:rPr>
          <w:rFonts w:ascii="Garamond" w:eastAsia="Calibri" w:hAnsi="Garamond"/>
          <w:color w:val="000000" w:themeColor="text1"/>
        </w:rPr>
        <w:t>and</w:t>
      </w:r>
      <w:r w:rsidR="00820639" w:rsidRPr="00B051E5">
        <w:rPr>
          <w:rFonts w:ascii="Garamond" w:eastAsia="Calibri" w:hAnsi="Garamond"/>
          <w:color w:val="000000" w:themeColor="text1"/>
        </w:rPr>
        <w:t xml:space="preserve"> McDonald</w:t>
      </w:r>
      <w:r w:rsidR="00E05955" w:rsidRPr="00B051E5">
        <w:rPr>
          <w:rFonts w:ascii="Garamond" w:eastAsia="Calibri" w:hAnsi="Garamond"/>
          <w:color w:val="000000" w:themeColor="text1"/>
        </w:rPr>
        <w:t>,</w:t>
      </w:r>
      <w:r w:rsidR="0067565F" w:rsidRPr="00B051E5">
        <w:rPr>
          <w:rFonts w:ascii="Garamond" w:eastAsia="Calibri" w:hAnsi="Garamond"/>
          <w:color w:val="000000" w:themeColor="text1"/>
        </w:rPr>
        <w:t xml:space="preserve"> </w:t>
      </w:r>
      <w:r w:rsidR="00820639" w:rsidRPr="00B051E5">
        <w:rPr>
          <w:rFonts w:ascii="Garamond" w:eastAsia="Calibri" w:hAnsi="Garamond"/>
          <w:color w:val="000000" w:themeColor="text1"/>
        </w:rPr>
        <w:t>2015) without the possibility of interacting the context of captured scores. Our method addresses this limitation by interacting the captured risk information with its time orientation context</w:t>
      </w:r>
      <w:r w:rsidR="00AD0B8A"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w:t>
      </w:r>
    </w:p>
    <w:p w14:paraId="4B8AA844" w14:textId="35CF2A72" w:rsidR="00A37A75" w:rsidRPr="00B051E5" w:rsidRDefault="00820639" w:rsidP="00693F5C">
      <w:pPr>
        <w:spacing w:line="480" w:lineRule="auto"/>
        <w:ind w:firstLine="720"/>
        <w:jc w:val="both"/>
        <w:rPr>
          <w:rFonts w:ascii="Garamond" w:eastAsia="Calibri" w:hAnsi="Garamond"/>
          <w:color w:val="000000" w:themeColor="text1"/>
        </w:rPr>
      </w:pPr>
      <w:r w:rsidRPr="00B051E5">
        <w:rPr>
          <w:rFonts w:ascii="Garamond" w:eastAsia="Calibri" w:hAnsi="Garamond"/>
          <w:color w:val="000000" w:themeColor="text1"/>
        </w:rPr>
        <w:t xml:space="preserve">The remainder of this paper is structured as follows. The following section </w:t>
      </w:r>
      <w:r w:rsidR="00D64C29" w:rsidRPr="00B051E5">
        <w:rPr>
          <w:rFonts w:ascii="Garamond" w:eastAsia="Calibri" w:hAnsi="Garamond"/>
          <w:color w:val="000000" w:themeColor="text1"/>
        </w:rPr>
        <w:t xml:space="preserve">discusses </w:t>
      </w:r>
      <w:r w:rsidR="00270CBC" w:rsidRPr="00B051E5">
        <w:rPr>
          <w:rFonts w:ascii="Garamond" w:eastAsia="Calibri" w:hAnsi="Garamond"/>
          <w:color w:val="000000" w:themeColor="text1"/>
        </w:rPr>
        <w:t xml:space="preserve">the background of this paper. Section 3 introduces this paper’s </w:t>
      </w:r>
      <w:r w:rsidRPr="00B051E5">
        <w:rPr>
          <w:rFonts w:ascii="Garamond" w:eastAsia="Calibri" w:hAnsi="Garamond"/>
          <w:color w:val="000000" w:themeColor="text1"/>
        </w:rPr>
        <w:t xml:space="preserve">theoretical </w:t>
      </w:r>
      <w:r w:rsidR="00270CBC" w:rsidRPr="00B051E5">
        <w:rPr>
          <w:rFonts w:ascii="Garamond" w:eastAsia="Calibri" w:hAnsi="Garamond"/>
          <w:color w:val="000000" w:themeColor="text1"/>
        </w:rPr>
        <w:t>framework</w:t>
      </w:r>
      <w:r w:rsidRPr="00B051E5">
        <w:rPr>
          <w:rFonts w:ascii="Garamond" w:eastAsia="Calibri" w:hAnsi="Garamond"/>
          <w:color w:val="000000" w:themeColor="text1"/>
        </w:rPr>
        <w:t xml:space="preserve">, </w:t>
      </w:r>
      <w:r w:rsidR="00270CBC" w:rsidRPr="00B051E5">
        <w:rPr>
          <w:rFonts w:ascii="Garamond" w:eastAsia="Calibri" w:hAnsi="Garamond"/>
          <w:color w:val="000000" w:themeColor="text1"/>
        </w:rPr>
        <w:t xml:space="preserve">Section 4 </w:t>
      </w:r>
      <w:r w:rsidRPr="00B051E5">
        <w:rPr>
          <w:rFonts w:ascii="Garamond" w:eastAsia="Calibri" w:hAnsi="Garamond"/>
          <w:color w:val="000000" w:themeColor="text1"/>
        </w:rPr>
        <w:t>reviews relevant prior literature and develops the research hypothesis. Section</w:t>
      </w:r>
      <w:r w:rsidR="003D294B" w:rsidRPr="00B051E5">
        <w:rPr>
          <w:rFonts w:ascii="Garamond" w:eastAsia="Calibri" w:hAnsi="Garamond"/>
          <w:color w:val="000000" w:themeColor="text1"/>
        </w:rPr>
        <w:t xml:space="preserve"> </w:t>
      </w:r>
      <w:r w:rsidR="00270CBC" w:rsidRPr="00B051E5">
        <w:rPr>
          <w:rFonts w:ascii="Garamond" w:eastAsia="Calibri" w:hAnsi="Garamond"/>
          <w:color w:val="000000" w:themeColor="text1"/>
        </w:rPr>
        <w:t xml:space="preserve">5 </w:t>
      </w:r>
      <w:r w:rsidRPr="00B051E5">
        <w:rPr>
          <w:rFonts w:ascii="Garamond" w:eastAsia="Calibri" w:hAnsi="Garamond"/>
          <w:color w:val="000000" w:themeColor="text1"/>
        </w:rPr>
        <w:t xml:space="preserve">presents the research </w:t>
      </w:r>
      <w:r w:rsidR="00270CBC" w:rsidRPr="00B051E5">
        <w:rPr>
          <w:rFonts w:ascii="Garamond" w:eastAsia="Calibri" w:hAnsi="Garamond"/>
          <w:color w:val="000000" w:themeColor="text1"/>
        </w:rPr>
        <w:t>design</w:t>
      </w:r>
      <w:r w:rsidRPr="00B051E5">
        <w:rPr>
          <w:rFonts w:ascii="Garamond" w:eastAsia="Calibri" w:hAnsi="Garamond"/>
          <w:color w:val="000000" w:themeColor="text1"/>
        </w:rPr>
        <w:t>, which includes the sample selection, the</w:t>
      </w:r>
      <w:r w:rsidR="00B84897" w:rsidRPr="00B051E5">
        <w:rPr>
          <w:rFonts w:ascii="Garamond" w:eastAsia="Calibri" w:hAnsi="Garamond"/>
          <w:color w:val="000000" w:themeColor="text1"/>
        </w:rPr>
        <w:t xml:space="preserve"> variables measurement</w:t>
      </w:r>
      <w:r w:rsidRPr="00B051E5">
        <w:rPr>
          <w:rFonts w:ascii="Garamond" w:eastAsia="Calibri" w:hAnsi="Garamond"/>
          <w:color w:val="000000" w:themeColor="text1"/>
        </w:rPr>
        <w:t xml:space="preserve">, and the empirical </w:t>
      </w:r>
      <w:r w:rsidRPr="00B051E5">
        <w:rPr>
          <w:rFonts w:ascii="Garamond" w:eastAsia="Calibri" w:hAnsi="Garamond"/>
          <w:color w:val="000000" w:themeColor="text1"/>
        </w:rPr>
        <w:lastRenderedPageBreak/>
        <w:t xml:space="preserve">models. Section </w:t>
      </w:r>
      <w:r w:rsidR="00270CBC" w:rsidRPr="00B051E5">
        <w:rPr>
          <w:rFonts w:ascii="Garamond" w:eastAsia="Calibri" w:hAnsi="Garamond"/>
          <w:color w:val="000000" w:themeColor="text1"/>
        </w:rPr>
        <w:t xml:space="preserve">6 </w:t>
      </w:r>
      <w:r w:rsidRPr="00B051E5">
        <w:rPr>
          <w:rFonts w:ascii="Garamond" w:eastAsia="Calibri" w:hAnsi="Garamond"/>
          <w:color w:val="000000" w:themeColor="text1"/>
        </w:rPr>
        <w:t>introduces the empirical findings</w:t>
      </w:r>
      <w:r w:rsidR="00350451" w:rsidRPr="00B051E5">
        <w:rPr>
          <w:rFonts w:ascii="Garamond" w:eastAsia="Calibri" w:hAnsi="Garamond"/>
          <w:color w:val="000000" w:themeColor="text1"/>
        </w:rPr>
        <w:t xml:space="preserve"> </w:t>
      </w:r>
      <w:r w:rsidR="00DE2335" w:rsidRPr="00B051E5">
        <w:rPr>
          <w:rFonts w:ascii="Garamond" w:eastAsia="Calibri" w:hAnsi="Garamond"/>
          <w:color w:val="000000" w:themeColor="text1"/>
        </w:rPr>
        <w:t>and some</w:t>
      </w:r>
      <w:r w:rsidRPr="00B051E5">
        <w:rPr>
          <w:rFonts w:ascii="Garamond" w:eastAsia="Calibri" w:hAnsi="Garamond"/>
          <w:color w:val="000000" w:themeColor="text1"/>
        </w:rPr>
        <w:t xml:space="preserve"> further analyses. Section </w:t>
      </w:r>
      <w:r w:rsidR="00270CBC" w:rsidRPr="00B051E5">
        <w:rPr>
          <w:rFonts w:ascii="Garamond" w:eastAsia="Calibri" w:hAnsi="Garamond"/>
          <w:color w:val="000000" w:themeColor="text1"/>
        </w:rPr>
        <w:t>7</w:t>
      </w:r>
      <w:r w:rsidRPr="00B051E5">
        <w:rPr>
          <w:rFonts w:ascii="Garamond" w:eastAsia="Calibri" w:hAnsi="Garamond"/>
          <w:color w:val="000000" w:themeColor="text1"/>
        </w:rPr>
        <w:t>concludes and suggests so</w:t>
      </w:r>
      <w:r w:rsidR="00262247" w:rsidRPr="00B051E5">
        <w:rPr>
          <w:rFonts w:ascii="Garamond" w:eastAsia="Calibri" w:hAnsi="Garamond"/>
          <w:color w:val="000000" w:themeColor="text1"/>
        </w:rPr>
        <w:t>me avenues for future research</w:t>
      </w:r>
      <w:r w:rsidR="004915A9" w:rsidRPr="00B051E5">
        <w:rPr>
          <w:rFonts w:ascii="Garamond" w:eastAsia="Calibri" w:hAnsi="Garamond"/>
          <w:color w:val="000000" w:themeColor="text1"/>
        </w:rPr>
        <w:t>.</w:t>
      </w:r>
      <w:bookmarkStart w:id="2" w:name="_Hlk42809928"/>
      <w:bookmarkStart w:id="3" w:name="_Hlk42809007"/>
    </w:p>
    <w:bookmarkEnd w:id="2"/>
    <w:bookmarkEnd w:id="3"/>
    <w:p w14:paraId="050F2EC8" w14:textId="393D6963" w:rsidR="00446F2B" w:rsidRPr="00B051E5" w:rsidRDefault="00615576"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t xml:space="preserve">2. </w:t>
      </w:r>
      <w:r w:rsidR="00446F2B" w:rsidRPr="00B051E5">
        <w:rPr>
          <w:rFonts w:ascii="Garamond" w:eastAsia="Calibri" w:hAnsi="Garamond"/>
          <w:b/>
          <w:bCs/>
          <w:color w:val="000000" w:themeColor="text1"/>
          <w:sz w:val="24"/>
          <w:szCs w:val="24"/>
        </w:rPr>
        <w:t>Background</w:t>
      </w:r>
    </w:p>
    <w:p w14:paraId="2A355E67" w14:textId="77777777" w:rsidR="00951F49" w:rsidRPr="00B051E5" w:rsidRDefault="00951F49" w:rsidP="00951F49">
      <w:pPr>
        <w:spacing w:line="480" w:lineRule="auto"/>
        <w:jc w:val="both"/>
        <w:rPr>
          <w:rFonts w:ascii="Garamond" w:hAnsi="Garamond"/>
          <w:color w:val="000000" w:themeColor="text1"/>
        </w:rPr>
      </w:pPr>
      <w:r w:rsidRPr="00B051E5">
        <w:rPr>
          <w:rFonts w:ascii="Garamond" w:hAnsi="Garamond"/>
          <w:color w:val="000000" w:themeColor="text1"/>
        </w:rPr>
        <w:t>This section provides a background, describing the UK institutional context; it includes an overview of the disclosure environment, the regulatory framework for risk disclosure, and major outlets from which managers reveal information to stakeholders.</w:t>
      </w:r>
    </w:p>
    <w:p w14:paraId="5C735C73" w14:textId="02ABC73A" w:rsidR="00951F49" w:rsidRPr="00B051E5" w:rsidRDefault="00951F49" w:rsidP="00951F49">
      <w:pPr>
        <w:spacing w:before="100" w:beforeAutospacing="1" w:after="100" w:afterAutospacing="1" w:line="480" w:lineRule="auto"/>
        <w:ind w:firstLine="720"/>
        <w:jc w:val="both"/>
        <w:rPr>
          <w:rFonts w:ascii="Garamond" w:hAnsi="Garamond"/>
          <w:color w:val="000000" w:themeColor="text1"/>
        </w:rPr>
      </w:pPr>
      <w:r w:rsidRPr="00B051E5">
        <w:rPr>
          <w:rFonts w:ascii="Garamond" w:hAnsi="Garamond"/>
          <w:color w:val="000000" w:themeColor="text1"/>
        </w:rPr>
        <w:t>Disclosure policy in the UK has been shaped over the years by several regulations. The combined Code on Corporate Governance has influenced UK listed firms since 1998. This code, which has been edited several times – in 2003, 2006, 2008, 2012, and 201</w:t>
      </w:r>
      <w:r w:rsidR="008763DC" w:rsidRPr="00B051E5">
        <w:rPr>
          <w:rFonts w:ascii="Garamond" w:hAnsi="Garamond"/>
          <w:color w:val="000000" w:themeColor="text1"/>
        </w:rPr>
        <w:t>6</w:t>
      </w:r>
      <w:r w:rsidRPr="00B051E5">
        <w:rPr>
          <w:rFonts w:ascii="Garamond" w:hAnsi="Garamond"/>
          <w:color w:val="000000" w:themeColor="text1"/>
        </w:rPr>
        <w:t xml:space="preserve"> – requires firms to provide extensive information on whether or not they comply with the corporate governance code under what is called the “Comply” or “Explain” principle. UK firms respond to this by providing a separate section of their annual report in which the describe the state of their corporate governance, known as the “corporate governance report”. Furthermore, UK firms are required to provide a remuneration report as n part of their annual report. In addition to these two key areas, three other areas that have been introduced, namely, a management performance commentary, forward-looking information, and business strategy. Additionally, UK firms are required by Section 417 of the Companies Act 2006 and, as is followed in the Reporting Statement No.1 (RS 1), UK firms are required to introduce an Operating and Financial Review (OFR), which is similar to MD&amp;A in the US, only with the significant difference that the OFR is voluntary rather than mandatory in nature. The commentary report was introduced in 2010 through a revision of Reporting Statement No.1 and requires firms to provide more information on their business models, strategies and objectives (Athanasakou</w:t>
      </w:r>
      <w:r w:rsidR="008F75B4" w:rsidRPr="00B051E5">
        <w:rPr>
          <w:rFonts w:ascii="Garamond" w:hAnsi="Garamond"/>
          <w:color w:val="000000" w:themeColor="text1"/>
        </w:rPr>
        <w:t xml:space="preserve"> et al.</w:t>
      </w:r>
      <w:r w:rsidRPr="00B051E5">
        <w:rPr>
          <w:rFonts w:ascii="Garamond" w:hAnsi="Garamond"/>
          <w:color w:val="000000" w:themeColor="text1"/>
        </w:rPr>
        <w:t>, 2020).</w:t>
      </w:r>
    </w:p>
    <w:p w14:paraId="50AE891C" w14:textId="77777777" w:rsidR="00951F49" w:rsidRPr="00B051E5" w:rsidRDefault="00951F49" w:rsidP="00951F49">
      <w:pPr>
        <w:spacing w:line="480" w:lineRule="auto"/>
        <w:ind w:firstLine="720"/>
        <w:jc w:val="both"/>
        <w:rPr>
          <w:rFonts w:ascii="Garamond" w:eastAsia="Calibri" w:hAnsi="Garamond"/>
          <w:color w:val="000000" w:themeColor="text1"/>
        </w:rPr>
      </w:pPr>
      <w:r w:rsidRPr="00B051E5">
        <w:rPr>
          <w:rFonts w:ascii="Garamond" w:eastAsia="Calibri" w:hAnsi="Garamond"/>
          <w:color w:val="000000" w:themeColor="text1"/>
        </w:rPr>
        <w:t xml:space="preserve">The regulatory framework for risk disclosure in the UK has developed over time through many initiatives, notably the first, in 1997, when the Institute of Chartered Accountants in England and Wales (ICAEW) provided a very detailed study on ways for firms to treat risk in their annual </w:t>
      </w:r>
      <w:r w:rsidRPr="00B051E5">
        <w:rPr>
          <w:rFonts w:ascii="Garamond" w:eastAsia="Calibri" w:hAnsi="Garamond"/>
          <w:color w:val="000000" w:themeColor="text1"/>
        </w:rPr>
        <w:lastRenderedPageBreak/>
        <w:t xml:space="preserve">reports (ICAEW, 1997). This has been followed by two publications (ICAEW, 1999, 2002), each of which emphasizes the essential role of directors in communicating informative risk information in the narrative sections of annual reports. With the relevance of risk information being increasingly questioned, ICAEW (2011) explores such claims and identifies the main challenges of risk disclosure, as follows: (1) </w:t>
      </w:r>
      <w:r w:rsidRPr="00B051E5">
        <w:rPr>
          <w:rFonts w:ascii="Garamond" w:eastAsia="Calibri" w:hAnsi="Garamond"/>
          <w:bCs/>
          <w:color w:val="000000" w:themeColor="text1"/>
        </w:rPr>
        <w:t>risk identification and assessment are inherently subjective; (2) competitive costs incurred in making a full disclosure on a firm’s riskiness may exceed its perceived benefits; (3) firms may choose to reveal more generic information, from which it will be difficult to draw specific conclusions about a certain firm at a certain time, and there may be some risks which firms scarcely ever report (e.g., the risk of poor management)</w:t>
      </w:r>
      <w:r w:rsidRPr="00B051E5">
        <w:rPr>
          <w:rFonts w:ascii="Garamond" w:eastAsia="Calibri" w:hAnsi="Garamond"/>
          <w:color w:val="000000" w:themeColor="text1"/>
        </w:rPr>
        <w:t xml:space="preserve">. </w:t>
      </w:r>
      <w:r w:rsidRPr="00B051E5">
        <w:rPr>
          <w:rFonts w:ascii="Garamond" w:hAnsi="Garamond"/>
          <w:color w:val="000000" w:themeColor="text1"/>
        </w:rPr>
        <w:t xml:space="preserve">Furthermore, the International Accounting Standards Board (IASB) publishes several standards for regulating disclosure. The International Financial Reporting Standards No.7 (IFRS 7) identifies credit, liquidity, and market risks as three of the main types of risk. It highlights the aspects that should be included in the annual reports in relation to these risks. Further, the Financial Reporting Council (FRC) has established a Financial Reporting Lab to enhance the effectiveness of corporate disclosure among UK firms. On the basis of a project entitled </w:t>
      </w:r>
      <w:r w:rsidRPr="00B051E5">
        <w:rPr>
          <w:rFonts w:ascii="Garamond" w:hAnsi="Garamond"/>
          <w:i/>
          <w:color w:val="000000" w:themeColor="text1"/>
        </w:rPr>
        <w:t>Presentation of Market Risk Disclosures</w:t>
      </w:r>
      <w:r w:rsidRPr="00B051E5">
        <w:rPr>
          <w:rFonts w:ascii="Garamond" w:hAnsi="Garamond"/>
          <w:color w:val="000000" w:themeColor="text1"/>
        </w:rPr>
        <w:t>, the FRC (2013) finds that outside investors would like to see more risk disclosure, at a deeper level.</w:t>
      </w:r>
    </w:p>
    <w:p w14:paraId="52CECF23" w14:textId="6F8F089C" w:rsidR="00951F49" w:rsidRPr="00B051E5" w:rsidRDefault="00951F49" w:rsidP="00951F49">
      <w:pPr>
        <w:spacing w:line="480" w:lineRule="auto"/>
        <w:ind w:firstLine="720"/>
        <w:jc w:val="both"/>
        <w:rPr>
          <w:rFonts w:ascii="Garamond" w:eastAsia="Calibri" w:hAnsi="Garamond"/>
          <w:color w:val="000000" w:themeColor="text1"/>
        </w:rPr>
      </w:pPr>
      <w:r w:rsidRPr="00B051E5">
        <w:rPr>
          <w:rFonts w:ascii="Garamond" w:hAnsi="Garamond"/>
          <w:color w:val="000000" w:themeColor="text1"/>
        </w:rPr>
        <w:t xml:space="preserve">UK reporting outlets are distinctively different from those provided in the US. In the US, most of the textual research is based on 10-K fillings which can easily be accessed through the Securities and Exchange Commission's (SEC) EDGAR system (for a review of the research which goes into this system, see </w:t>
      </w:r>
      <w:r w:rsidRPr="00B051E5">
        <w:rPr>
          <w:rFonts w:ascii="Garamond" w:eastAsia="Calibri" w:hAnsi="Garamond"/>
          <w:color w:val="000000" w:themeColor="text1"/>
        </w:rPr>
        <w:t>Loughran &amp; McDonald, 2016</w:t>
      </w:r>
      <w:r w:rsidRPr="00B051E5">
        <w:rPr>
          <w:rFonts w:ascii="Garamond" w:hAnsi="Garamond"/>
          <w:color w:val="000000" w:themeColor="text1"/>
        </w:rPr>
        <w:t xml:space="preserve">). These fillings have a standardized template with several sections (items) where firms provide information on aspects of their business. Furthermore, these sections can easily be extracted and amended on a larger scale by implementing automated textual analysis since the fillings, with their plain text formatting, can be retrieved in bulk downloads. Unlike these features, most textual research in the UK has been conducted on the basis of annual reports that are not standardized. The sections of these annual reports across all firms can be presented in a different sequence under different headings. </w:t>
      </w:r>
      <w:r w:rsidRPr="00B051E5">
        <w:rPr>
          <w:rFonts w:ascii="Garamond" w:hAnsi="Garamond"/>
          <w:color w:val="000000" w:themeColor="text1"/>
        </w:rPr>
        <w:lastRenderedPageBreak/>
        <w:t>Managers, as a result, have flexibility in conveying whatever information they like in the way that they prefer. In the context of risk disclosure in the UK, there is no specific section on presenting risk information in firms’ annual report. These differences between the UK and US explain the relatively large sample sizes in studies done in the US compared with those from the UK. However, the sample sizes in automated textual analyses (as in the present paper) are still larger than those in the manual analyses measuring UK firms’ disclosures. In their recent review, Elshandidy et al (2018) identify the method of measuring risk disclosure (automated versus manual content analysis) as a divergent area in the empirical research on risk reporting. In sum there are no regulations in the UK that stipulate the order of sections where information is provided, or on the formatting of information (tabulated, in the text, or in infographics), or in the mandatory of the voluntary sections of the annual report, and no regulations imposing any upper limit on voluntary information (e.g., El-Ha</w:t>
      </w:r>
      <w:r w:rsidR="008F75B4" w:rsidRPr="00B051E5">
        <w:rPr>
          <w:rFonts w:ascii="Garamond" w:hAnsi="Garamond"/>
          <w:color w:val="000000" w:themeColor="text1"/>
        </w:rPr>
        <w:t xml:space="preserve">j et al., </w:t>
      </w:r>
      <w:r w:rsidRPr="00B051E5">
        <w:rPr>
          <w:rFonts w:ascii="Garamond" w:hAnsi="Garamond"/>
          <w:color w:val="000000" w:themeColor="text1"/>
        </w:rPr>
        <w:t xml:space="preserve">2020). In the 10-K fillings in the US two sections are deemed to reflect the SEC’s mandatory risk requirements: that is, item 1.a for the Risk Factor; 7.a for Quantitative and Qualitative Disclosure about Market Risk. Empirical research on risk disclosure in the US either used only the mandated sections (Campbell et al., 2014) or the entire 10-K fillings (Kravet &amp; Muslu, 2013). In the UK, research uses the entire annual report to capture either the aggregate (Elshandidy et al., 2013) or the mandatory and voluntary risk disclosures (Elshandidy </w:t>
      </w:r>
      <w:r w:rsidR="00B764F0" w:rsidRPr="00B051E5">
        <w:rPr>
          <w:rFonts w:ascii="Garamond" w:eastAsia="Calibri" w:hAnsi="Garamond"/>
          <w:bCs/>
          <w:color w:val="000000" w:themeColor="text1"/>
        </w:rPr>
        <w:t>and</w:t>
      </w:r>
      <w:r w:rsidRPr="00B051E5">
        <w:rPr>
          <w:rFonts w:ascii="Garamond" w:hAnsi="Garamond"/>
          <w:color w:val="000000" w:themeColor="text1"/>
        </w:rPr>
        <w:t xml:space="preserve"> Neri, 2015; Elshandidy et al., 2015). In summary, the</w:t>
      </w:r>
      <w:r w:rsidRPr="00B051E5">
        <w:rPr>
          <w:rFonts w:ascii="Garamond" w:eastAsia="Calibri" w:hAnsi="Garamond"/>
          <w:color w:val="000000" w:themeColor="text1"/>
        </w:rPr>
        <w:t xml:space="preserve"> UK context provides us with a unique setting in which firms are encouraged to provide more meaningful risk information in the narrative sections of their annual report.</w:t>
      </w:r>
    </w:p>
    <w:p w14:paraId="5E39FEE3" w14:textId="77777777" w:rsidR="00951F49" w:rsidRPr="00B051E5" w:rsidRDefault="00951F49" w:rsidP="00D75008">
      <w:pPr>
        <w:spacing w:line="360" w:lineRule="auto"/>
        <w:rPr>
          <w:rFonts w:ascii="Garamond" w:eastAsia="Calibri" w:hAnsi="Garamond"/>
          <w:b/>
          <w:color w:val="000000" w:themeColor="text1"/>
        </w:rPr>
      </w:pPr>
    </w:p>
    <w:p w14:paraId="45714C5F" w14:textId="62AAEDF4" w:rsidR="00446F2B" w:rsidRPr="00B051E5" w:rsidRDefault="00446F2B"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t xml:space="preserve">3. </w:t>
      </w:r>
      <w:r w:rsidR="00820639" w:rsidRPr="00B051E5">
        <w:rPr>
          <w:rFonts w:ascii="Garamond" w:eastAsia="Calibri" w:hAnsi="Garamond"/>
          <w:b/>
          <w:bCs/>
          <w:color w:val="000000" w:themeColor="text1"/>
          <w:sz w:val="24"/>
          <w:szCs w:val="24"/>
        </w:rPr>
        <w:t xml:space="preserve">Theoretical </w:t>
      </w:r>
      <w:r w:rsidRPr="00B051E5">
        <w:rPr>
          <w:rFonts w:ascii="Garamond" w:eastAsia="Calibri" w:hAnsi="Garamond"/>
          <w:b/>
          <w:bCs/>
          <w:color w:val="000000" w:themeColor="text1"/>
          <w:sz w:val="24"/>
          <w:szCs w:val="24"/>
        </w:rPr>
        <w:t>framework</w:t>
      </w:r>
      <w:r w:rsidR="00820639" w:rsidRPr="00B051E5">
        <w:rPr>
          <w:rFonts w:ascii="Garamond" w:eastAsia="Calibri" w:hAnsi="Garamond"/>
          <w:b/>
          <w:bCs/>
          <w:color w:val="000000" w:themeColor="text1"/>
          <w:sz w:val="24"/>
          <w:szCs w:val="24"/>
        </w:rPr>
        <w:t xml:space="preserve"> </w:t>
      </w:r>
    </w:p>
    <w:p w14:paraId="4E6BF250" w14:textId="77777777" w:rsidR="0099310C" w:rsidRPr="00B051E5" w:rsidRDefault="0099310C" w:rsidP="0099310C">
      <w:pPr>
        <w:spacing w:line="480" w:lineRule="auto"/>
        <w:jc w:val="both"/>
        <w:rPr>
          <w:rFonts w:ascii="Garamond" w:eastAsia="Calibri" w:hAnsi="Garamond"/>
          <w:color w:val="000000" w:themeColor="text1"/>
        </w:rPr>
      </w:pPr>
      <w:r w:rsidRPr="00B051E5">
        <w:rPr>
          <w:rFonts w:ascii="Garamond" w:eastAsia="Calibri" w:hAnsi="Garamond"/>
          <w:color w:val="000000" w:themeColor="text1"/>
        </w:rPr>
        <w:t xml:space="preserve">In the disclosure literature, two competing perspectives, opportunism and informativeness, can theoretically explain why firms may provide more or less informative information to investors (Muslu et al., 2014). First, the opportunists predict that managers are likely to influence firms’ disclosure strategies by shaping such strategies according to their desires, such that disclosure </w:t>
      </w:r>
      <w:r w:rsidRPr="00B051E5">
        <w:rPr>
          <w:rFonts w:ascii="Garamond" w:eastAsia="Calibri" w:hAnsi="Garamond"/>
          <w:color w:val="000000" w:themeColor="text1"/>
        </w:rPr>
        <w:lastRenderedPageBreak/>
        <w:t xml:space="preserve">practices do not always fully reflect investors’ needs. For example, managers may choose to release more desirable news (or delay undesirable news) before raising capital (Kothari et al., 2009). Second, the proponents of informativeness predict that managers will reveal value-relevant information to investors. Early models which depended on signalling theory argue that managers are likely to disclose </w:t>
      </w:r>
      <w:r w:rsidRPr="00B051E5">
        <w:rPr>
          <w:rFonts w:ascii="Garamond" w:eastAsia="Calibri" w:hAnsi="Garamond"/>
          <w:iCs/>
          <w:color w:val="000000" w:themeColor="text1"/>
        </w:rPr>
        <w:t>all</w:t>
      </w:r>
      <w:r w:rsidRPr="00B051E5">
        <w:rPr>
          <w:rFonts w:ascii="Garamond" w:eastAsia="Calibri" w:hAnsi="Garamond"/>
          <w:i/>
          <w:iCs/>
          <w:color w:val="000000" w:themeColor="text1"/>
        </w:rPr>
        <w:t xml:space="preserve"> </w:t>
      </w:r>
      <w:r w:rsidRPr="00B051E5">
        <w:rPr>
          <w:rFonts w:ascii="Garamond" w:eastAsia="Calibri" w:hAnsi="Garamond"/>
          <w:color w:val="000000" w:themeColor="text1"/>
        </w:rPr>
        <w:t>relevant information to mitigate selection problems (Verrecchia, 1990). Subsequent models (Skinner, 1994) argue that managers will be selective in disclosing information about their strategies, towards either desirable</w:t>
      </w:r>
      <w:r w:rsidRPr="00B051E5">
        <w:rPr>
          <w:rFonts w:ascii="Garamond" w:eastAsia="Calibri" w:hAnsi="Garamond"/>
          <w:iCs/>
          <w:color w:val="000000" w:themeColor="text1"/>
        </w:rPr>
        <w:t xml:space="preserve"> news</w:t>
      </w:r>
      <w:r w:rsidRPr="00B051E5">
        <w:rPr>
          <w:rFonts w:ascii="Garamond" w:eastAsia="Calibri" w:hAnsi="Garamond"/>
          <w:color w:val="000000" w:themeColor="text1"/>
        </w:rPr>
        <w:t xml:space="preserve"> (to signal their success) or </w:t>
      </w:r>
      <w:r w:rsidRPr="00B051E5">
        <w:rPr>
          <w:rFonts w:ascii="Garamond" w:eastAsia="Calibri" w:hAnsi="Garamond"/>
          <w:iCs/>
          <w:color w:val="000000" w:themeColor="text1"/>
        </w:rPr>
        <w:t>un</w:t>
      </w:r>
      <w:r w:rsidRPr="00B051E5">
        <w:rPr>
          <w:rFonts w:ascii="Garamond" w:eastAsia="Calibri" w:hAnsi="Garamond"/>
          <w:color w:val="000000" w:themeColor="text1"/>
        </w:rPr>
        <w:t>desirable</w:t>
      </w:r>
      <w:r w:rsidRPr="00B051E5">
        <w:rPr>
          <w:rFonts w:ascii="Garamond" w:eastAsia="Calibri" w:hAnsi="Garamond"/>
          <w:iCs/>
          <w:color w:val="000000" w:themeColor="text1"/>
        </w:rPr>
        <w:t xml:space="preserve"> news</w:t>
      </w:r>
      <w:r w:rsidRPr="00B051E5">
        <w:rPr>
          <w:rFonts w:ascii="Garamond" w:eastAsia="Calibri" w:hAnsi="Garamond"/>
          <w:color w:val="000000" w:themeColor="text1"/>
        </w:rPr>
        <w:t xml:space="preserve"> (to reduce litigation risks) or both, so as to meet investors’ demands and align these investors’ expectations with their own.</w:t>
      </w:r>
    </w:p>
    <w:p w14:paraId="4EFE113D" w14:textId="505B21C7" w:rsidR="005C0CAC" w:rsidRPr="00B051E5" w:rsidRDefault="008E3F85" w:rsidP="000C0153">
      <w:pPr>
        <w:spacing w:line="480" w:lineRule="auto"/>
        <w:ind w:firstLine="720"/>
        <w:jc w:val="both"/>
        <w:rPr>
          <w:rFonts w:ascii="Garamond" w:eastAsia="Calibri" w:hAnsi="Garamond"/>
          <w:color w:val="000000" w:themeColor="text1"/>
        </w:rPr>
      </w:pPr>
      <w:r w:rsidRPr="00B051E5">
        <w:rPr>
          <w:rFonts w:ascii="Garamond" w:eastAsia="Calibri" w:hAnsi="Garamond"/>
          <w:bCs/>
          <w:color w:val="000000" w:themeColor="text1"/>
        </w:rPr>
        <w:t xml:space="preserve">On the subject of stock price informativeness, Veldkamp (2006) argues that investors may rely on common (inexpensive) factors driven by market and industry forces to draw expectations as to firms’ cash flows when firm-specific information is unavailable (because this information may be expensive due to acquisition costs). This great reliance on such common factors increases stock price co-movement and lowers stock price informativeness. Jin and Myers (2006) argue that firms have an incentive to reveal firm-specific information to outsiders in order to share the riskiness of this information, which will reduce stock price co-movement and improve stock price informativeness. </w:t>
      </w:r>
      <w:r w:rsidRPr="00B051E5">
        <w:rPr>
          <w:rFonts w:ascii="Garamond" w:eastAsia="Calibri" w:hAnsi="Garamond"/>
          <w:color w:val="000000" w:themeColor="text1"/>
        </w:rPr>
        <w:t>Principally, stock price movements can be anticipated by noting both common and private factors (Roll, 1988). The common factors include those generated from the market and the firm’s industry, while the private factors relate to the private circumstances of each firm, which differ from one to another and can be expected to change over time. If price movements are closely correlated with changes in market and industry returns, then private factors can be expected to have a significant impact in directing the changes in firms’ returns. If firms reveal incremental information beyond the general factors from the market and the industry, then it is expected that this information will significantly affect the market by increasing the observed informativeness.</w:t>
      </w:r>
    </w:p>
    <w:p w14:paraId="7FBCB40A" w14:textId="3A4005FC" w:rsidR="005C0CAC" w:rsidRPr="00B051E5" w:rsidRDefault="005C0CAC">
      <w:pPr>
        <w:spacing w:line="480" w:lineRule="auto"/>
        <w:ind w:firstLine="720"/>
        <w:jc w:val="both"/>
        <w:rPr>
          <w:rFonts w:ascii="Garamond" w:eastAsia="Calibri" w:hAnsi="Garamond" w:cs="TimesNewRomanPS"/>
          <w:color w:val="000000" w:themeColor="text1"/>
        </w:rPr>
      </w:pPr>
      <w:r w:rsidRPr="00B051E5">
        <w:rPr>
          <w:rFonts w:ascii="Garamond" w:eastAsia="Calibri" w:hAnsi="Garamond"/>
          <w:bCs/>
          <w:color w:val="000000" w:themeColor="text1"/>
        </w:rPr>
        <w:lastRenderedPageBreak/>
        <w:t>In the literature on the informativeness of voluntary disclosure, Haggard et al. (2008) argue that, according to the theory of information of markets, the stock returns of firms that reveal more information will be less correlated to market and industry returns since investors will rely less on common signals from the market and industry, and this will lead to less co-movement and more informativeness. Haggard et al. (2008) further argue that firms are likely to vary in revealing their information due to proprietary costs (the costs of gathering, preparing and providing this information and then the effects on the firms’ competitiveness). The voluntary disclosure scores provided by the Association for Investment Management and Research (AIMR) suggest to them that the disclosure of firm-specific information contributes to more informative stock prices.</w:t>
      </w:r>
      <w:r w:rsidRPr="00B051E5">
        <w:rPr>
          <w:rFonts w:ascii="Garamond" w:eastAsia="Calibri" w:hAnsi="Garamond"/>
          <w:color w:val="000000" w:themeColor="text1"/>
        </w:rPr>
        <w:t xml:space="preserve"> </w:t>
      </w:r>
    </w:p>
    <w:p w14:paraId="52778667" w14:textId="1BD00DAE" w:rsidR="0099310C" w:rsidRPr="00B051E5" w:rsidRDefault="005C0CAC" w:rsidP="005F4610">
      <w:pPr>
        <w:spacing w:line="480" w:lineRule="auto"/>
        <w:ind w:firstLine="720"/>
        <w:jc w:val="both"/>
        <w:rPr>
          <w:rFonts w:ascii="Garamond" w:eastAsia="Calibri" w:hAnsi="Garamond" w:cs="TimesNewRomanPS"/>
          <w:bCs/>
          <w:color w:val="000000" w:themeColor="text1"/>
        </w:rPr>
      </w:pPr>
      <w:r w:rsidRPr="00B051E5">
        <w:rPr>
          <w:rFonts w:ascii="Garamond" w:eastAsia="Calibri" w:hAnsi="Garamond" w:cs="TimesNewRomanPS"/>
          <w:color w:val="000000" w:themeColor="text1"/>
        </w:rPr>
        <w:t xml:space="preserve">The market is likely to see firms’ revealed risk information as useful if it is specific about these firms’ prospects and if it is difficult to replace with wider information. Practically, risk-related disclosure is useful if the synchronicity of the stock price decreases in line with the market movements since as the specific risk of the stock has changed. In other words, if risk-related disclosure is noisy (more generic and with a weaker signal), then the expectation will be that nothing at the firm (in its returns and risk) will change either or at the market (i.e., market returns) level; thus synchronicity, as a result, will stay the same. Generally, managers are likely to have a motive to reveal useful information and thus reduce information asymmetry between insiders (management) and outsiders, or even to help to reduce the gap between major categories of outsiders, such as sophisticated investors (who have different sources for obtaining information) and less sophisticated investors, by providing them with specific information and avoiding the more generic information that can relate to any business. </w:t>
      </w:r>
    </w:p>
    <w:p w14:paraId="2C098EC6" w14:textId="6F9FEA44" w:rsidR="00820639" w:rsidRPr="00B051E5" w:rsidRDefault="00446F2B"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t>4- R</w:t>
      </w:r>
      <w:r w:rsidR="00820639" w:rsidRPr="00B051E5">
        <w:rPr>
          <w:rFonts w:ascii="Garamond" w:eastAsia="Calibri" w:hAnsi="Garamond"/>
          <w:b/>
          <w:bCs/>
          <w:color w:val="000000" w:themeColor="text1"/>
          <w:sz w:val="24"/>
          <w:szCs w:val="24"/>
        </w:rPr>
        <w:t>elevant prior literature and hypothesis development</w:t>
      </w:r>
    </w:p>
    <w:p w14:paraId="02B0400B" w14:textId="4080BBB5" w:rsidR="00A853A6" w:rsidRPr="00B051E5" w:rsidRDefault="00820639">
      <w:pPr>
        <w:spacing w:line="480" w:lineRule="auto"/>
        <w:jc w:val="both"/>
        <w:rPr>
          <w:rFonts w:ascii="Garamond" w:eastAsia="Calibri" w:hAnsi="Garamond"/>
          <w:bCs/>
          <w:color w:val="000000" w:themeColor="text1"/>
        </w:rPr>
      </w:pPr>
      <w:r w:rsidRPr="00B051E5">
        <w:rPr>
          <w:rFonts w:ascii="Garamond" w:eastAsia="Calibri" w:hAnsi="Garamond"/>
          <w:bCs/>
          <w:color w:val="000000" w:themeColor="text1"/>
        </w:rPr>
        <w:t xml:space="preserve">Academic research on risk reporting finds that risk-related disclosure is likely to be more generic and less specific and that firms are likely to engage in </w:t>
      </w:r>
      <w:r w:rsidR="00541344" w:rsidRPr="00B051E5">
        <w:rPr>
          <w:rFonts w:ascii="Garamond" w:eastAsia="Calibri" w:hAnsi="Garamond"/>
          <w:bCs/>
          <w:color w:val="000000" w:themeColor="text1"/>
        </w:rPr>
        <w:t>the kind of</w:t>
      </w:r>
      <w:r w:rsidRPr="00B051E5">
        <w:rPr>
          <w:rFonts w:ascii="Garamond" w:eastAsia="Calibri" w:hAnsi="Garamond"/>
          <w:bCs/>
          <w:color w:val="000000" w:themeColor="text1"/>
        </w:rPr>
        <w:t xml:space="preserve"> disclosure that is</w:t>
      </w:r>
      <w:r w:rsidR="00D24D5E" w:rsidRPr="00B051E5">
        <w:rPr>
          <w:rFonts w:ascii="Garamond" w:eastAsia="Calibri" w:hAnsi="Garamond"/>
          <w:bCs/>
          <w:color w:val="000000" w:themeColor="text1"/>
        </w:rPr>
        <w:t xml:space="preserve"> </w:t>
      </w:r>
      <w:r w:rsidR="00541344" w:rsidRPr="00B051E5">
        <w:rPr>
          <w:rFonts w:ascii="Garamond" w:eastAsia="Calibri" w:hAnsi="Garamond"/>
          <w:bCs/>
          <w:color w:val="000000" w:themeColor="text1"/>
        </w:rPr>
        <w:t>merely</w:t>
      </w:r>
      <w:r w:rsidR="00D24D5E" w:rsidRPr="00B051E5">
        <w:rPr>
          <w:rFonts w:ascii="Garamond" w:eastAsia="Calibri" w:hAnsi="Garamond"/>
          <w:bCs/>
          <w:color w:val="000000" w:themeColor="text1"/>
        </w:rPr>
        <w:t xml:space="preserve"> </w:t>
      </w:r>
      <w:r w:rsidR="003432C5" w:rsidRPr="00B051E5">
        <w:rPr>
          <w:rFonts w:ascii="Garamond" w:eastAsia="Calibri" w:hAnsi="Garamond"/>
          <w:bCs/>
          <w:color w:val="000000" w:themeColor="text1"/>
        </w:rPr>
        <w:t>boilerplate</w:t>
      </w:r>
      <w:r w:rsidR="00D24D5E" w:rsidRPr="00B051E5">
        <w:rPr>
          <w:rFonts w:ascii="Garamond" w:eastAsia="Calibri" w:hAnsi="Garamond"/>
          <w:bCs/>
          <w:color w:val="000000" w:themeColor="text1"/>
        </w:rPr>
        <w:t xml:space="preserve">. For </w:t>
      </w:r>
      <w:r w:rsidR="00D51A17" w:rsidRPr="00B051E5">
        <w:rPr>
          <w:rFonts w:ascii="Garamond" w:eastAsia="Calibri" w:hAnsi="Garamond"/>
          <w:bCs/>
          <w:color w:val="000000" w:themeColor="text1"/>
        </w:rPr>
        <w:t>example</w:t>
      </w:r>
      <w:r w:rsidR="00D22C06" w:rsidRPr="00B051E5">
        <w:rPr>
          <w:rFonts w:ascii="Garamond" w:eastAsia="Calibri" w:hAnsi="Garamond"/>
          <w:bCs/>
          <w:color w:val="000000" w:themeColor="text1"/>
        </w:rPr>
        <w:t xml:space="preserve"> </w:t>
      </w:r>
      <w:r w:rsidR="00D24D5E" w:rsidRPr="00B051E5">
        <w:rPr>
          <w:rFonts w:ascii="Garamond" w:eastAsia="Calibri" w:hAnsi="Garamond"/>
          <w:bCs/>
          <w:color w:val="000000" w:themeColor="text1"/>
        </w:rPr>
        <w:t>for 79 non-financial UK listed firms</w:t>
      </w:r>
      <w:r w:rsidR="00DC2D50" w:rsidRPr="00B051E5">
        <w:rPr>
          <w:rFonts w:ascii="Garamond" w:eastAsia="Calibri" w:hAnsi="Garamond"/>
          <w:bCs/>
          <w:color w:val="000000" w:themeColor="text1"/>
        </w:rPr>
        <w:t>, Linsley</w:t>
      </w:r>
      <w:r w:rsidRPr="00B051E5">
        <w:rPr>
          <w:rFonts w:ascii="Garamond" w:eastAsia="Calibri" w:hAnsi="Garamond"/>
          <w:bCs/>
          <w:color w:val="000000" w:themeColor="text1"/>
        </w:rPr>
        <w:t xml:space="preserve"> and Shrives (2006) find</w:t>
      </w:r>
      <w:r w:rsidR="00D24D5E"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most of the risk disclosure to be qualitative </w:t>
      </w:r>
      <w:r w:rsidR="00DC2D50" w:rsidRPr="00B051E5">
        <w:rPr>
          <w:rFonts w:ascii="Garamond" w:eastAsia="Calibri" w:hAnsi="Garamond"/>
          <w:bCs/>
          <w:color w:val="000000" w:themeColor="text1"/>
        </w:rPr>
        <w:t>and backward-looking in nature. From</w:t>
      </w:r>
      <w:r w:rsidRPr="00B051E5">
        <w:rPr>
          <w:rFonts w:ascii="Garamond" w:eastAsia="Calibri" w:hAnsi="Garamond"/>
          <w:bCs/>
          <w:color w:val="000000" w:themeColor="text1"/>
        </w:rPr>
        <w:t xml:space="preserve"> their readings of </w:t>
      </w:r>
      <w:r w:rsidR="00673E06" w:rsidRPr="00B051E5">
        <w:rPr>
          <w:rFonts w:ascii="Garamond" w:eastAsia="Calibri" w:hAnsi="Garamond"/>
          <w:bCs/>
          <w:color w:val="000000" w:themeColor="text1"/>
        </w:rPr>
        <w:lastRenderedPageBreak/>
        <w:t>these</w:t>
      </w:r>
      <w:r w:rsidRPr="00B051E5">
        <w:rPr>
          <w:rFonts w:ascii="Garamond" w:eastAsia="Calibri" w:hAnsi="Garamond"/>
          <w:bCs/>
          <w:color w:val="000000" w:themeColor="text1"/>
        </w:rPr>
        <w:t xml:space="preserve"> </w:t>
      </w:r>
      <w:r w:rsidR="00D22C06" w:rsidRPr="00B051E5">
        <w:rPr>
          <w:rFonts w:ascii="Garamond" w:eastAsia="Calibri" w:hAnsi="Garamond"/>
          <w:bCs/>
          <w:color w:val="000000" w:themeColor="text1"/>
        </w:rPr>
        <w:t>sentences,</w:t>
      </w:r>
      <w:r w:rsidRPr="00B051E5">
        <w:rPr>
          <w:rFonts w:ascii="Garamond" w:eastAsia="Calibri" w:hAnsi="Garamond"/>
          <w:bCs/>
          <w:color w:val="000000" w:themeColor="text1"/>
        </w:rPr>
        <w:t xml:space="preserve"> they argue that this information is less useful </w:t>
      </w:r>
      <w:r w:rsidR="002346D5" w:rsidRPr="00B051E5">
        <w:rPr>
          <w:rFonts w:ascii="Garamond" w:eastAsia="Calibri" w:hAnsi="Garamond"/>
          <w:bCs/>
          <w:color w:val="000000" w:themeColor="text1"/>
        </w:rPr>
        <w:t>because</w:t>
      </w:r>
      <w:r w:rsidRPr="00B051E5">
        <w:rPr>
          <w:rFonts w:ascii="Garamond" w:eastAsia="Calibri" w:hAnsi="Garamond"/>
          <w:bCs/>
          <w:color w:val="000000" w:themeColor="text1"/>
        </w:rPr>
        <w:t xml:space="preserve"> it lacks specificity and coherence. Consistent with these findings, other studies observe the same characteristics for revealed risk information in other contexts</w:t>
      </w:r>
      <w:r w:rsidR="002346D5" w:rsidRPr="00B051E5">
        <w:rPr>
          <w:rFonts w:ascii="Garamond" w:eastAsia="Calibri" w:hAnsi="Garamond"/>
          <w:bCs/>
          <w:color w:val="000000" w:themeColor="text1"/>
        </w:rPr>
        <w:t>,</w:t>
      </w:r>
      <w:r w:rsidRPr="00B051E5">
        <w:rPr>
          <w:rFonts w:ascii="Garamond" w:eastAsia="Calibri" w:hAnsi="Garamond"/>
          <w:bCs/>
          <w:color w:val="000000" w:themeColor="text1"/>
        </w:rPr>
        <w:t xml:space="preserve"> such as (1) the Italian context, as in B</w:t>
      </w:r>
      <w:r w:rsidR="00A853A6" w:rsidRPr="00B051E5">
        <w:rPr>
          <w:rFonts w:ascii="Garamond" w:eastAsia="Calibri" w:hAnsi="Garamond"/>
          <w:bCs/>
          <w:color w:val="000000" w:themeColor="text1"/>
        </w:rPr>
        <w:t>eretta and Bozzolan (2004)</w:t>
      </w:r>
      <w:r w:rsidR="002346D5" w:rsidRPr="00B051E5">
        <w:rPr>
          <w:rFonts w:ascii="Garamond" w:eastAsia="Calibri" w:hAnsi="Garamond"/>
          <w:bCs/>
          <w:color w:val="000000" w:themeColor="text1"/>
        </w:rPr>
        <w:t>;</w:t>
      </w:r>
      <w:r w:rsidRPr="00B051E5">
        <w:rPr>
          <w:rFonts w:ascii="Garamond" w:eastAsia="Calibri" w:hAnsi="Garamond"/>
          <w:bCs/>
          <w:color w:val="000000" w:themeColor="text1"/>
        </w:rPr>
        <w:t xml:space="preserve"> (2) the Finnish c</w:t>
      </w:r>
      <w:r w:rsidR="00A853A6" w:rsidRPr="00B051E5">
        <w:rPr>
          <w:rFonts w:ascii="Garamond" w:eastAsia="Calibri" w:hAnsi="Garamond"/>
          <w:bCs/>
          <w:color w:val="000000" w:themeColor="text1"/>
        </w:rPr>
        <w:t>ontext, as in Miihkinen (2012</w:t>
      </w:r>
      <w:r w:rsidR="006D12AC" w:rsidRPr="00B051E5">
        <w:rPr>
          <w:rFonts w:ascii="Garamond" w:eastAsia="Calibri" w:hAnsi="Garamond"/>
          <w:bCs/>
          <w:color w:val="000000" w:themeColor="text1"/>
        </w:rPr>
        <w:t>); (</w:t>
      </w:r>
      <w:r w:rsidRPr="00B051E5">
        <w:rPr>
          <w:rFonts w:ascii="Garamond" w:eastAsia="Calibri" w:hAnsi="Garamond"/>
          <w:bCs/>
          <w:color w:val="000000" w:themeColor="text1"/>
        </w:rPr>
        <w:t>3) the South African context, as in N</w:t>
      </w:r>
      <w:r w:rsidR="00A853A6" w:rsidRPr="00B051E5">
        <w:rPr>
          <w:rFonts w:ascii="Garamond" w:eastAsia="Calibri" w:hAnsi="Garamond"/>
          <w:bCs/>
          <w:color w:val="000000" w:themeColor="text1"/>
        </w:rPr>
        <w:t>tim</w:t>
      </w:r>
      <w:r w:rsidR="0084459D" w:rsidRPr="00B051E5">
        <w:rPr>
          <w:rFonts w:ascii="Garamond" w:eastAsia="Calibri" w:hAnsi="Garamond"/>
          <w:bCs/>
          <w:color w:val="000000" w:themeColor="text1"/>
        </w:rPr>
        <w:t xml:space="preserve"> et al. </w:t>
      </w:r>
      <w:r w:rsidR="00A853A6" w:rsidRPr="00B051E5">
        <w:rPr>
          <w:rFonts w:ascii="Garamond" w:eastAsia="Calibri" w:hAnsi="Garamond"/>
          <w:bCs/>
          <w:color w:val="000000" w:themeColor="text1"/>
        </w:rPr>
        <w:t>(2013)</w:t>
      </w:r>
      <w:r w:rsidR="006D12AC" w:rsidRPr="00B051E5">
        <w:rPr>
          <w:rFonts w:ascii="Garamond" w:eastAsia="Calibri" w:hAnsi="Garamond"/>
          <w:bCs/>
          <w:color w:val="000000" w:themeColor="text1"/>
        </w:rPr>
        <w:t xml:space="preserve">; </w:t>
      </w:r>
      <w:r w:rsidR="00C965E5" w:rsidRPr="00B051E5">
        <w:rPr>
          <w:rFonts w:ascii="Garamond" w:eastAsia="Calibri" w:hAnsi="Garamond"/>
          <w:bCs/>
          <w:color w:val="000000" w:themeColor="text1"/>
        </w:rPr>
        <w:t xml:space="preserve">and </w:t>
      </w:r>
      <w:r w:rsidR="006D12AC" w:rsidRPr="00B051E5">
        <w:rPr>
          <w:rFonts w:ascii="Garamond" w:eastAsia="Calibri" w:hAnsi="Garamond"/>
          <w:bCs/>
          <w:color w:val="000000" w:themeColor="text1"/>
        </w:rPr>
        <w:t>MENA region as in Elamer et al. (2019), Elamer et al (2020a</w:t>
      </w:r>
      <w:r w:rsidR="00D51A17" w:rsidRPr="00B051E5">
        <w:rPr>
          <w:rFonts w:ascii="Garamond" w:eastAsia="Calibri" w:hAnsi="Garamond"/>
          <w:bCs/>
          <w:color w:val="000000" w:themeColor="text1"/>
        </w:rPr>
        <w:t>), Elamer</w:t>
      </w:r>
      <w:r w:rsidR="006D12AC" w:rsidRPr="00B051E5">
        <w:rPr>
          <w:rFonts w:ascii="Garamond" w:eastAsia="Calibri" w:hAnsi="Garamond"/>
          <w:bCs/>
          <w:color w:val="000000" w:themeColor="text1"/>
        </w:rPr>
        <w:t xml:space="preserve"> et al. (2020b)</w:t>
      </w:r>
      <w:r w:rsidR="00D51A17" w:rsidRPr="00B051E5">
        <w:rPr>
          <w:rFonts w:ascii="Garamond" w:eastAsia="Calibri" w:hAnsi="Garamond"/>
          <w:bCs/>
          <w:color w:val="000000" w:themeColor="text1"/>
        </w:rPr>
        <w:t xml:space="preserve">, </w:t>
      </w:r>
      <w:r w:rsidR="00D51A17" w:rsidRPr="00B051E5">
        <w:rPr>
          <w:rFonts w:ascii="Garamond" w:eastAsia="Calibri" w:hAnsi="Garamond" w:cstheme="majorBidi"/>
          <w:color w:val="000000" w:themeColor="text1"/>
          <w:lang w:val="en-US"/>
        </w:rPr>
        <w:t xml:space="preserve">Moumen et al. (2015). </w:t>
      </w:r>
    </w:p>
    <w:p w14:paraId="29883F81" w14:textId="2D77FBE8" w:rsidR="005C0CAC" w:rsidRPr="00B051E5" w:rsidRDefault="00C57741" w:rsidP="005C0CA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Similarly, </w:t>
      </w:r>
      <w:r w:rsidR="005C0CAC" w:rsidRPr="00B051E5">
        <w:rPr>
          <w:rFonts w:ascii="Garamond" w:eastAsia="Calibri" w:hAnsi="Garamond"/>
          <w:bCs/>
          <w:color w:val="000000" w:themeColor="text1"/>
        </w:rPr>
        <w:t xml:space="preserve">UK professional publications have generally concluded that risk information is not very useful. The ICAEW (2011) argues that the puzzle is that while, in principle, managers are likely to be motivated to improve their risk disclosure because doing so indicates the effectiveness of their risk management and also reduces the cost of capital to their firms, the current evidence (based on academic research and general observation) shows that risk information is perceived as less useful than other information. This contradiction may be explained through one, or a combination of the following challenges: the inherent subjectivity related to risk identification and assessment; the competitive costs of making a full disclosure of a firm’s riskiness, which may exceed the perceived benefits of doing so; firms may choose to reveal more generic information, from which it will be difficult to draw specific conclusions about a certain firm at a certain point in time; and the existence of some risks that firms rarely report (e.g., the risk of poor management). Furthermore, Abraham et al. (2012) specifically asked preparers and users (i.e., both buy-side and sell-side analysts) whether risk information was useful or not, and found mixed views on the usefulness of risk information in the narrative sections of annual reports; some analysts considered it useful while others considered it too general and boilerplate. </w:t>
      </w:r>
    </w:p>
    <w:p w14:paraId="0B6FE82B" w14:textId="0B888C1D" w:rsidR="00820639" w:rsidRPr="00B051E5" w:rsidRDefault="00820639" w:rsidP="00693F5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To test whether aggregate risk disclosure and its time orientation including forward and non-</w:t>
      </w:r>
      <w:r w:rsidR="0082146F" w:rsidRPr="00B051E5">
        <w:rPr>
          <w:rFonts w:ascii="Garamond" w:eastAsia="Calibri" w:hAnsi="Garamond"/>
          <w:bCs/>
          <w:color w:val="000000" w:themeColor="text1"/>
        </w:rPr>
        <w:t>forward-looking</w:t>
      </w:r>
      <w:r w:rsidRPr="00B051E5">
        <w:rPr>
          <w:rFonts w:ascii="Garamond" w:eastAsia="Calibri" w:hAnsi="Garamond"/>
          <w:bCs/>
          <w:color w:val="000000" w:themeColor="text1"/>
        </w:rPr>
        <w:t xml:space="preserve"> risk disclosure is informative or not, we build</w:t>
      </w:r>
      <w:r w:rsidR="00CE1B5F" w:rsidRPr="00B051E5">
        <w:rPr>
          <w:rFonts w:ascii="Garamond" w:eastAsia="Calibri" w:hAnsi="Garamond"/>
          <w:bCs/>
          <w:color w:val="000000" w:themeColor="text1"/>
        </w:rPr>
        <w:t xml:space="preserve"> three competing arguments</w:t>
      </w:r>
      <w:r w:rsidRPr="00B051E5">
        <w:rPr>
          <w:rFonts w:ascii="Garamond" w:eastAsia="Calibri" w:hAnsi="Garamond"/>
          <w:bCs/>
          <w:color w:val="000000" w:themeColor="text1"/>
        </w:rPr>
        <w:t xml:space="preserve">, consistent with Kravet and Muslu (2013). The first, known as </w:t>
      </w:r>
      <w:r w:rsidRPr="00B051E5">
        <w:rPr>
          <w:rFonts w:ascii="Garamond" w:eastAsia="Calibri" w:hAnsi="Garamond"/>
          <w:bCs/>
          <w:i/>
          <w:color w:val="000000" w:themeColor="text1"/>
        </w:rPr>
        <w:t>the null argument</w:t>
      </w:r>
      <w:r w:rsidRPr="00B051E5">
        <w:rPr>
          <w:rFonts w:ascii="Garamond" w:eastAsia="Calibri" w:hAnsi="Garamond"/>
          <w:bCs/>
          <w:color w:val="000000" w:themeColor="text1"/>
        </w:rPr>
        <w:t>, is that risk disclosure will not have an observable economic effect on stock price informativeness</w:t>
      </w:r>
      <w:r w:rsidR="00CE1B5F" w:rsidRPr="00B051E5">
        <w:rPr>
          <w:rFonts w:ascii="Garamond" w:eastAsia="Calibri" w:hAnsi="Garamond"/>
          <w:bCs/>
          <w:color w:val="000000" w:themeColor="text1"/>
        </w:rPr>
        <w:t>,</w:t>
      </w:r>
      <w:r w:rsidRPr="00B051E5">
        <w:rPr>
          <w:rFonts w:ascii="Garamond" w:eastAsia="Calibri" w:hAnsi="Garamond"/>
          <w:bCs/>
          <w:color w:val="000000" w:themeColor="text1"/>
        </w:rPr>
        <w:t xml:space="preserve"> </w:t>
      </w:r>
      <w:r w:rsidR="00CE1B5F" w:rsidRPr="00B051E5">
        <w:rPr>
          <w:rFonts w:ascii="Garamond" w:eastAsia="Calibri" w:hAnsi="Garamond"/>
          <w:bCs/>
          <w:color w:val="000000" w:themeColor="text1"/>
        </w:rPr>
        <w:t>in that</w:t>
      </w:r>
      <w:r w:rsidRPr="00B051E5">
        <w:rPr>
          <w:rFonts w:ascii="Garamond" w:eastAsia="Calibri" w:hAnsi="Garamond"/>
          <w:bCs/>
          <w:color w:val="000000" w:themeColor="text1"/>
        </w:rPr>
        <w:t xml:space="preserve"> such disclosure is </w:t>
      </w:r>
      <w:r w:rsidR="003432C5" w:rsidRPr="00B051E5">
        <w:rPr>
          <w:rFonts w:ascii="Garamond" w:eastAsia="Calibri" w:hAnsi="Garamond"/>
          <w:bCs/>
          <w:color w:val="000000" w:themeColor="text1"/>
        </w:rPr>
        <w:t>boilerplate</w:t>
      </w:r>
      <w:r w:rsidRPr="00B051E5">
        <w:rPr>
          <w:rFonts w:ascii="Garamond" w:eastAsia="Calibri" w:hAnsi="Garamond"/>
          <w:bCs/>
          <w:color w:val="000000" w:themeColor="text1"/>
        </w:rPr>
        <w:t xml:space="preserve">. The nature of risk disclosure in such a case is likely to be very generic and reveal </w:t>
      </w:r>
      <w:r w:rsidRPr="00B051E5">
        <w:rPr>
          <w:rFonts w:ascii="Garamond" w:eastAsia="Calibri" w:hAnsi="Garamond"/>
          <w:bCs/>
          <w:color w:val="000000" w:themeColor="text1"/>
        </w:rPr>
        <w:lastRenderedPageBreak/>
        <w:t>more noise to market participants</w:t>
      </w:r>
      <w:r w:rsidR="006C560B" w:rsidRPr="00B051E5">
        <w:rPr>
          <w:rFonts w:ascii="Garamond" w:eastAsia="Calibri" w:hAnsi="Garamond"/>
          <w:bCs/>
          <w:color w:val="000000" w:themeColor="text1"/>
        </w:rPr>
        <w:t>,</w:t>
      </w:r>
      <w:r w:rsidRPr="00B051E5">
        <w:rPr>
          <w:rFonts w:ascii="Garamond" w:eastAsia="Calibri" w:hAnsi="Garamond"/>
          <w:bCs/>
          <w:color w:val="000000" w:themeColor="text1"/>
        </w:rPr>
        <w:t xml:space="preserve"> to the extent that they will ignore the signal of th</w:t>
      </w:r>
      <w:r w:rsidR="006C560B" w:rsidRPr="00B051E5">
        <w:rPr>
          <w:rFonts w:ascii="Garamond" w:eastAsia="Calibri" w:hAnsi="Garamond"/>
          <w:bCs/>
          <w:color w:val="000000" w:themeColor="text1"/>
        </w:rPr>
        <w:t>is</w:t>
      </w:r>
      <w:r w:rsidRPr="00B051E5">
        <w:rPr>
          <w:rFonts w:ascii="Garamond" w:eastAsia="Calibri" w:hAnsi="Garamond"/>
          <w:bCs/>
          <w:color w:val="000000" w:themeColor="text1"/>
        </w:rPr>
        <w:t xml:space="preserve"> information. The second argument, known as </w:t>
      </w:r>
      <w:r w:rsidRPr="00B051E5">
        <w:rPr>
          <w:rFonts w:ascii="Garamond" w:eastAsia="Calibri" w:hAnsi="Garamond"/>
          <w:bCs/>
          <w:i/>
          <w:color w:val="000000" w:themeColor="text1"/>
        </w:rPr>
        <w:t>the divergence argument</w:t>
      </w:r>
      <w:r w:rsidRPr="00B051E5">
        <w:rPr>
          <w:rFonts w:ascii="Garamond" w:eastAsia="Calibri" w:hAnsi="Garamond"/>
          <w:bCs/>
          <w:color w:val="000000" w:themeColor="text1"/>
        </w:rPr>
        <w:t xml:space="preserve">, is that risk disclosure will be </w:t>
      </w:r>
      <w:r w:rsidR="00B462C2" w:rsidRPr="00B051E5">
        <w:rPr>
          <w:rFonts w:ascii="Garamond" w:eastAsia="Calibri" w:hAnsi="Garamond"/>
          <w:bCs/>
          <w:color w:val="000000" w:themeColor="text1"/>
        </w:rPr>
        <w:t xml:space="preserve">significantly and </w:t>
      </w:r>
      <w:r w:rsidRPr="00B051E5">
        <w:rPr>
          <w:rFonts w:ascii="Garamond" w:eastAsia="Calibri" w:hAnsi="Garamond"/>
          <w:bCs/>
          <w:color w:val="000000" w:themeColor="text1"/>
        </w:rPr>
        <w:t>negatively associated with stock price informativeness</w:t>
      </w:r>
      <w:r w:rsidR="006C560B" w:rsidRPr="00B051E5">
        <w:rPr>
          <w:rFonts w:ascii="Garamond" w:eastAsia="Calibri" w:hAnsi="Garamond"/>
          <w:bCs/>
          <w:color w:val="000000" w:themeColor="text1"/>
        </w:rPr>
        <w:t>,</w:t>
      </w:r>
      <w:r w:rsidRPr="00B051E5">
        <w:rPr>
          <w:rFonts w:ascii="Garamond" w:eastAsia="Calibri" w:hAnsi="Garamond"/>
          <w:bCs/>
          <w:color w:val="000000" w:themeColor="text1"/>
        </w:rPr>
        <w:t xml:space="preserve"> since such revealed risk information is likely to be firm-specific and the market is likely to economically react to it </w:t>
      </w:r>
      <w:r w:rsidR="006C560B" w:rsidRPr="00B051E5">
        <w:rPr>
          <w:rFonts w:ascii="Garamond" w:eastAsia="Calibri" w:hAnsi="Garamond"/>
          <w:bCs/>
          <w:color w:val="000000" w:themeColor="text1"/>
        </w:rPr>
        <w:t>because</w:t>
      </w:r>
      <w:r w:rsidRPr="00B051E5">
        <w:rPr>
          <w:rFonts w:ascii="Garamond" w:eastAsia="Calibri" w:hAnsi="Garamond"/>
          <w:bCs/>
          <w:color w:val="000000" w:themeColor="text1"/>
        </w:rPr>
        <w:t xml:space="preserve"> investors are likely to incorporate it into their decisions on prices. Risk-related information under this hypothesis is likely to reveal unknown factors </w:t>
      </w:r>
      <w:r w:rsidR="001D7732" w:rsidRPr="00B051E5">
        <w:rPr>
          <w:rFonts w:ascii="Garamond" w:eastAsia="Calibri" w:hAnsi="Garamond"/>
          <w:bCs/>
          <w:color w:val="000000" w:themeColor="text1"/>
        </w:rPr>
        <w:t xml:space="preserve">or unknown content </w:t>
      </w:r>
      <w:r w:rsidRPr="00B051E5">
        <w:rPr>
          <w:rFonts w:ascii="Garamond" w:eastAsia="Calibri" w:hAnsi="Garamond"/>
          <w:bCs/>
          <w:color w:val="000000" w:themeColor="text1"/>
        </w:rPr>
        <w:t>to market</w:t>
      </w:r>
      <w:r w:rsidR="006C560B"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participants. The third argument, known as </w:t>
      </w:r>
      <w:r w:rsidRPr="00B051E5">
        <w:rPr>
          <w:rFonts w:ascii="Garamond" w:eastAsia="Calibri" w:hAnsi="Garamond"/>
          <w:bCs/>
          <w:i/>
          <w:color w:val="000000" w:themeColor="text1"/>
        </w:rPr>
        <w:t>the convergence argument</w:t>
      </w:r>
      <w:r w:rsidRPr="00B051E5">
        <w:rPr>
          <w:rFonts w:ascii="Garamond" w:eastAsia="Calibri" w:hAnsi="Garamond"/>
          <w:bCs/>
          <w:color w:val="000000" w:themeColor="text1"/>
        </w:rPr>
        <w:t xml:space="preserve">, holds that risk disclosure will be </w:t>
      </w:r>
      <w:r w:rsidR="00B462C2" w:rsidRPr="00B051E5">
        <w:rPr>
          <w:rFonts w:ascii="Garamond" w:eastAsia="Calibri" w:hAnsi="Garamond"/>
          <w:bCs/>
          <w:color w:val="000000" w:themeColor="text1"/>
        </w:rPr>
        <w:t xml:space="preserve">significantly and </w:t>
      </w:r>
      <w:r w:rsidRPr="00B051E5">
        <w:rPr>
          <w:rFonts w:ascii="Garamond" w:eastAsia="Calibri" w:hAnsi="Garamond"/>
          <w:bCs/>
          <w:color w:val="000000" w:themeColor="text1"/>
        </w:rPr>
        <w:t>positively related to stock price informativeness</w:t>
      </w:r>
      <w:r w:rsidR="006C560B" w:rsidRPr="00B051E5">
        <w:rPr>
          <w:rFonts w:ascii="Garamond" w:eastAsia="Calibri" w:hAnsi="Garamond"/>
          <w:bCs/>
          <w:color w:val="000000" w:themeColor="text1"/>
        </w:rPr>
        <w:t xml:space="preserve"> because </w:t>
      </w:r>
      <w:r w:rsidRPr="00B051E5">
        <w:rPr>
          <w:rFonts w:ascii="Garamond" w:eastAsia="Calibri" w:hAnsi="Garamond"/>
          <w:bCs/>
          <w:color w:val="000000" w:themeColor="text1"/>
        </w:rPr>
        <w:t>such information resolves a company’s known risk factors</w:t>
      </w:r>
      <w:r w:rsidR="007A5AD2" w:rsidRPr="00B051E5">
        <w:rPr>
          <w:rFonts w:ascii="Garamond" w:eastAsia="Calibri" w:hAnsi="Garamond"/>
          <w:bCs/>
          <w:color w:val="000000" w:themeColor="text1"/>
        </w:rPr>
        <w:t>.</w:t>
      </w:r>
      <w:r w:rsidRPr="00B051E5">
        <w:rPr>
          <w:rFonts w:ascii="Garamond" w:eastAsia="Calibri" w:hAnsi="Garamond"/>
          <w:bCs/>
          <w:color w:val="000000" w:themeColor="text1"/>
        </w:rPr>
        <w:t xml:space="preserve"> </w:t>
      </w:r>
      <w:r w:rsidR="00B462C2" w:rsidRPr="00B051E5">
        <w:rPr>
          <w:rFonts w:ascii="Garamond" w:eastAsia="Calibri" w:hAnsi="Garamond"/>
          <w:bCs/>
          <w:color w:val="000000" w:themeColor="text1"/>
        </w:rPr>
        <w:t xml:space="preserve">Risk information in this case is likely to confirm what investors </w:t>
      </w:r>
      <w:r w:rsidR="006C560B" w:rsidRPr="00B051E5">
        <w:rPr>
          <w:rFonts w:ascii="Garamond" w:eastAsia="Calibri" w:hAnsi="Garamond"/>
          <w:bCs/>
          <w:color w:val="000000" w:themeColor="text1"/>
        </w:rPr>
        <w:t xml:space="preserve">had </w:t>
      </w:r>
      <w:r w:rsidR="00B462C2" w:rsidRPr="00B051E5">
        <w:rPr>
          <w:rFonts w:ascii="Garamond" w:eastAsia="Calibri" w:hAnsi="Garamond"/>
          <w:bCs/>
          <w:color w:val="000000" w:themeColor="text1"/>
        </w:rPr>
        <w:t xml:space="preserve">previously concluded </w:t>
      </w:r>
      <w:r w:rsidR="006C560B" w:rsidRPr="00B051E5">
        <w:rPr>
          <w:rFonts w:ascii="Garamond" w:eastAsia="Calibri" w:hAnsi="Garamond"/>
          <w:bCs/>
          <w:color w:val="000000" w:themeColor="text1"/>
        </w:rPr>
        <w:t>from signals in the</w:t>
      </w:r>
      <w:r w:rsidR="00B462C2" w:rsidRPr="00B051E5">
        <w:rPr>
          <w:rFonts w:ascii="Garamond" w:eastAsia="Calibri" w:hAnsi="Garamond"/>
          <w:bCs/>
          <w:color w:val="000000" w:themeColor="text1"/>
        </w:rPr>
        <w:t xml:space="preserve"> market and industry. </w:t>
      </w:r>
    </w:p>
    <w:p w14:paraId="5F2A5F62" w14:textId="23AEF18D" w:rsidR="00820639" w:rsidRPr="00B051E5" w:rsidRDefault="00820639" w:rsidP="00693F5C">
      <w:pPr>
        <w:spacing w:line="480" w:lineRule="auto"/>
        <w:ind w:firstLine="720"/>
        <w:jc w:val="both"/>
        <w:rPr>
          <w:rFonts w:ascii="Garamond" w:eastAsia="Calibri" w:hAnsi="Garamond"/>
          <w:color w:val="000000" w:themeColor="text1"/>
        </w:rPr>
      </w:pPr>
      <w:r w:rsidRPr="00B051E5">
        <w:rPr>
          <w:rFonts w:ascii="Garamond" w:eastAsia="Calibri" w:hAnsi="Garamond"/>
          <w:bCs/>
          <w:color w:val="000000" w:themeColor="text1"/>
        </w:rPr>
        <w:t xml:space="preserve">Therefore, the expectation is that, if the disclosed </w:t>
      </w:r>
      <w:r w:rsidR="006C560B" w:rsidRPr="00B051E5">
        <w:rPr>
          <w:rFonts w:ascii="Garamond" w:eastAsia="Calibri" w:hAnsi="Garamond"/>
          <w:bCs/>
          <w:color w:val="000000" w:themeColor="text1"/>
        </w:rPr>
        <w:t xml:space="preserve">risk </w:t>
      </w:r>
      <w:r w:rsidRPr="00B051E5">
        <w:rPr>
          <w:rFonts w:ascii="Garamond" w:eastAsia="Calibri" w:hAnsi="Garamond"/>
          <w:bCs/>
          <w:color w:val="000000" w:themeColor="text1"/>
        </w:rPr>
        <w:t xml:space="preserve">information (aggregate, forward-looking, and non-forward-looking) is private and firm-specific (generic), then outsiders are (not) likely to rely on it and will place lower (higher) reliance on signals received from the common factors of the market and the firm’s industry. </w:t>
      </w:r>
      <w:r w:rsidR="00CD36B5" w:rsidRPr="00B051E5">
        <w:rPr>
          <w:rFonts w:ascii="Garamond" w:eastAsia="Calibri" w:hAnsi="Garamond"/>
          <w:bCs/>
          <w:color w:val="000000" w:themeColor="text1"/>
        </w:rPr>
        <w:t>In p</w:t>
      </w:r>
      <w:r w:rsidRPr="00B051E5">
        <w:rPr>
          <w:rFonts w:ascii="Garamond" w:eastAsia="Calibri" w:hAnsi="Garamond"/>
          <w:bCs/>
          <w:color w:val="000000" w:themeColor="text1"/>
        </w:rPr>
        <w:t>ractic</w:t>
      </w:r>
      <w:r w:rsidR="00CD36B5" w:rsidRPr="00B051E5">
        <w:rPr>
          <w:rFonts w:ascii="Garamond" w:eastAsia="Calibri" w:hAnsi="Garamond"/>
          <w:bCs/>
          <w:color w:val="000000" w:themeColor="text1"/>
        </w:rPr>
        <w:t>e,</w:t>
      </w:r>
      <w:r w:rsidRPr="00B051E5">
        <w:rPr>
          <w:rFonts w:ascii="Garamond" w:eastAsia="Calibri" w:hAnsi="Garamond"/>
          <w:bCs/>
          <w:color w:val="000000" w:themeColor="text1"/>
        </w:rPr>
        <w:t xml:space="preserve"> if variations in stock prices are less (more) attributable to variations in market and industry returns, then the information will be more (less) informative. </w:t>
      </w:r>
      <w:r w:rsidR="00CD36B5" w:rsidRPr="00B051E5">
        <w:rPr>
          <w:rFonts w:ascii="Garamond" w:eastAsia="Calibri" w:hAnsi="Garamond"/>
          <w:bCs/>
          <w:color w:val="000000" w:themeColor="text1"/>
        </w:rPr>
        <w:t xml:space="preserve">In light of </w:t>
      </w:r>
      <w:r w:rsidRPr="00B051E5">
        <w:rPr>
          <w:rFonts w:ascii="Garamond" w:eastAsia="Calibri" w:hAnsi="Garamond"/>
          <w:bCs/>
          <w:color w:val="000000" w:themeColor="text1"/>
        </w:rPr>
        <w:t>the previous discussion</w:t>
      </w:r>
      <w:r w:rsidR="0060078C" w:rsidRPr="00B051E5">
        <w:rPr>
          <w:rFonts w:ascii="Garamond" w:eastAsia="Calibri" w:hAnsi="Garamond"/>
          <w:bCs/>
          <w:color w:val="000000" w:themeColor="text1"/>
        </w:rPr>
        <w:t xml:space="preserve"> and </w:t>
      </w:r>
      <w:r w:rsidR="0060078C" w:rsidRPr="00B051E5">
        <w:rPr>
          <w:rFonts w:ascii="Garamond" w:eastAsia="Calibri" w:hAnsi="Garamond"/>
          <w:color w:val="000000" w:themeColor="text1"/>
        </w:rPr>
        <w:t xml:space="preserve">consistent with </w:t>
      </w:r>
      <w:r w:rsidR="0060078C" w:rsidRPr="00B051E5">
        <w:rPr>
          <w:rFonts w:ascii="Garamond" w:eastAsia="Calibri" w:hAnsi="Garamond"/>
          <w:i/>
          <w:iCs/>
          <w:color w:val="000000" w:themeColor="text1"/>
        </w:rPr>
        <w:t>the divergence argument</w:t>
      </w:r>
      <w:r w:rsidR="0060078C" w:rsidRPr="00B051E5">
        <w:rPr>
          <w:rFonts w:ascii="Garamond" w:eastAsia="Calibri" w:hAnsi="Garamond"/>
          <w:color w:val="000000" w:themeColor="text1"/>
        </w:rPr>
        <w:t xml:space="preserve">, </w:t>
      </w:r>
      <w:r w:rsidRPr="00B051E5">
        <w:rPr>
          <w:rFonts w:ascii="Garamond" w:eastAsia="Calibri" w:hAnsi="Garamond"/>
          <w:color w:val="000000" w:themeColor="text1"/>
        </w:rPr>
        <w:t>we conjecture that stock prices are likely to</w:t>
      </w:r>
      <w:r w:rsidR="00CD36B5" w:rsidRPr="00B051E5">
        <w:rPr>
          <w:rFonts w:ascii="Garamond" w:eastAsia="Calibri" w:hAnsi="Garamond"/>
          <w:color w:val="000000" w:themeColor="text1"/>
        </w:rPr>
        <w:t xml:space="preserve"> significantly</w:t>
      </w:r>
      <w:r w:rsidRPr="00B051E5">
        <w:rPr>
          <w:rFonts w:ascii="Garamond" w:eastAsia="Calibri" w:hAnsi="Garamond"/>
          <w:color w:val="000000" w:themeColor="text1"/>
        </w:rPr>
        <w:t xml:space="preserve"> incorporate the aggregate risk disclosure and its directional parts of the disclosure (forward- and non-forward-looking risk information) if this information is useful. This leads us to formulate the following hypothesis:</w:t>
      </w:r>
    </w:p>
    <w:p w14:paraId="7C8D0402" w14:textId="17A97E1E" w:rsidR="0060078C" w:rsidRPr="00B051E5" w:rsidRDefault="00820639" w:rsidP="00AE59E0">
      <w:pPr>
        <w:spacing w:line="360" w:lineRule="auto"/>
        <w:jc w:val="both"/>
        <w:rPr>
          <w:rFonts w:ascii="Garamond" w:eastAsia="Calibri" w:hAnsi="Garamond"/>
          <w:i/>
          <w:iCs/>
          <w:color w:val="000000" w:themeColor="text1"/>
        </w:rPr>
      </w:pPr>
      <w:r w:rsidRPr="00B051E5">
        <w:rPr>
          <w:rFonts w:ascii="Garamond" w:eastAsia="Calibri" w:hAnsi="Garamond"/>
          <w:color w:val="000000" w:themeColor="text1"/>
        </w:rPr>
        <w:t xml:space="preserve">H1. If the aggregate risk disclosure or its time orientation (forward and/or non-forward-looking risk disclosure) is firm-specific, then it is likely to be significantly and negatively associated with stock price </w:t>
      </w:r>
      <w:r w:rsidR="0060078C" w:rsidRPr="00B051E5">
        <w:rPr>
          <w:rFonts w:ascii="Garamond" w:eastAsia="Calibri" w:hAnsi="Garamond"/>
          <w:color w:val="000000" w:themeColor="text1"/>
        </w:rPr>
        <w:t>informativeness</w:t>
      </w:r>
      <w:r w:rsidRPr="00B051E5">
        <w:rPr>
          <w:rFonts w:ascii="Garamond" w:eastAsia="Calibri" w:hAnsi="Garamond"/>
          <w:i/>
          <w:iCs/>
          <w:color w:val="000000" w:themeColor="text1"/>
        </w:rPr>
        <w:t>.</w:t>
      </w:r>
    </w:p>
    <w:p w14:paraId="5C57F753" w14:textId="77777777" w:rsidR="005F4610" w:rsidRPr="00B051E5" w:rsidRDefault="005F4610" w:rsidP="00AE59E0">
      <w:pPr>
        <w:spacing w:line="360" w:lineRule="auto"/>
        <w:jc w:val="both"/>
        <w:rPr>
          <w:rFonts w:ascii="Garamond" w:eastAsia="Calibri" w:hAnsi="Garamond"/>
          <w:i/>
          <w:iCs/>
          <w:color w:val="000000" w:themeColor="text1"/>
        </w:rPr>
      </w:pPr>
    </w:p>
    <w:p w14:paraId="134A9023" w14:textId="6F07B836" w:rsidR="00820639" w:rsidRPr="00B051E5" w:rsidRDefault="00446F2B"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t>5</w:t>
      </w:r>
      <w:r w:rsidR="00615576" w:rsidRPr="00B051E5">
        <w:rPr>
          <w:rFonts w:ascii="Garamond" w:eastAsia="Calibri" w:hAnsi="Garamond"/>
          <w:b/>
          <w:bCs/>
          <w:color w:val="000000" w:themeColor="text1"/>
          <w:sz w:val="24"/>
          <w:szCs w:val="24"/>
        </w:rPr>
        <w:t>.</w:t>
      </w:r>
      <w:r w:rsidRPr="00B051E5">
        <w:rPr>
          <w:rFonts w:ascii="Garamond" w:eastAsia="Calibri" w:hAnsi="Garamond"/>
          <w:b/>
          <w:bCs/>
          <w:color w:val="000000" w:themeColor="text1"/>
          <w:sz w:val="24"/>
          <w:szCs w:val="24"/>
        </w:rPr>
        <w:t xml:space="preserve"> Research design </w:t>
      </w:r>
    </w:p>
    <w:p w14:paraId="2E883A66" w14:textId="1632F405" w:rsidR="00820639" w:rsidRPr="00B051E5" w:rsidRDefault="002211D7" w:rsidP="00D75008">
      <w:pPr>
        <w:spacing w:line="360" w:lineRule="auto"/>
        <w:jc w:val="both"/>
        <w:rPr>
          <w:rFonts w:ascii="Garamond" w:eastAsia="Calibri" w:hAnsi="Garamond"/>
          <w:i/>
          <w:iCs/>
          <w:color w:val="000000" w:themeColor="text1"/>
        </w:rPr>
      </w:pPr>
      <w:r w:rsidRPr="00B051E5">
        <w:rPr>
          <w:rFonts w:ascii="Garamond" w:eastAsia="Calibri" w:hAnsi="Garamond"/>
          <w:i/>
          <w:iCs/>
          <w:color w:val="000000" w:themeColor="text1"/>
        </w:rPr>
        <w:t>5</w:t>
      </w:r>
      <w:r w:rsidR="00615576" w:rsidRPr="00B051E5">
        <w:rPr>
          <w:rFonts w:ascii="Garamond" w:eastAsia="Calibri" w:hAnsi="Garamond"/>
          <w:i/>
          <w:iCs/>
          <w:color w:val="000000" w:themeColor="text1"/>
        </w:rPr>
        <w:t xml:space="preserve">.1 </w:t>
      </w:r>
      <w:r w:rsidR="00820639" w:rsidRPr="00B051E5">
        <w:rPr>
          <w:rFonts w:ascii="Garamond" w:eastAsia="Calibri" w:hAnsi="Garamond"/>
          <w:i/>
          <w:iCs/>
          <w:color w:val="000000" w:themeColor="text1"/>
        </w:rPr>
        <w:t xml:space="preserve">Sample selection and data collection </w:t>
      </w:r>
    </w:p>
    <w:p w14:paraId="360667AF" w14:textId="418FC6F9" w:rsidR="005C0CAC" w:rsidRPr="00B051E5" w:rsidRDefault="00820639" w:rsidP="00EF4CE0">
      <w:pPr>
        <w:spacing w:line="480" w:lineRule="auto"/>
        <w:jc w:val="both"/>
        <w:rPr>
          <w:rFonts w:ascii="Garamond" w:eastAsia="Calibri" w:hAnsi="Garamond"/>
          <w:color w:val="000000" w:themeColor="text1"/>
        </w:rPr>
      </w:pPr>
      <w:r w:rsidRPr="00B051E5">
        <w:rPr>
          <w:rFonts w:ascii="Garamond" w:eastAsia="Calibri" w:hAnsi="Garamond"/>
          <w:color w:val="000000" w:themeColor="text1"/>
        </w:rPr>
        <w:t xml:space="preserve">The sample of our study </w:t>
      </w:r>
      <w:r w:rsidR="00A52C2F" w:rsidRPr="00B051E5">
        <w:rPr>
          <w:rFonts w:ascii="Garamond" w:eastAsia="Calibri" w:hAnsi="Garamond"/>
          <w:color w:val="000000" w:themeColor="text1"/>
        </w:rPr>
        <w:t xml:space="preserve">is based on </w:t>
      </w:r>
      <w:r w:rsidRPr="00B051E5">
        <w:rPr>
          <w:rFonts w:ascii="Garamond" w:eastAsia="Calibri" w:hAnsi="Garamond"/>
          <w:color w:val="000000" w:themeColor="text1"/>
        </w:rPr>
        <w:t>UK FTSE all-share non-financial firms</w:t>
      </w:r>
      <w:r w:rsidR="0068266D" w:rsidRPr="00B051E5">
        <w:rPr>
          <w:rFonts w:ascii="Garamond" w:eastAsia="Calibri" w:hAnsi="Garamond"/>
          <w:color w:val="000000" w:themeColor="text1"/>
        </w:rPr>
        <w:t xml:space="preserve"> </w:t>
      </w:r>
      <w:r w:rsidR="00A52C2F" w:rsidRPr="00B051E5">
        <w:rPr>
          <w:rFonts w:ascii="Garamond" w:eastAsia="Calibri" w:hAnsi="Garamond"/>
          <w:color w:val="000000" w:themeColor="text1"/>
        </w:rPr>
        <w:t xml:space="preserve">over a period of ten years, from 2005 to 2014, </w:t>
      </w:r>
      <w:r w:rsidR="0068266D" w:rsidRPr="00B051E5">
        <w:rPr>
          <w:rFonts w:ascii="Garamond" w:eastAsia="Calibri" w:hAnsi="Garamond"/>
          <w:color w:val="000000" w:themeColor="text1"/>
        </w:rPr>
        <w:t>(#</w:t>
      </w:r>
      <w:r w:rsidR="00226A44" w:rsidRPr="00B051E5">
        <w:rPr>
          <w:rFonts w:ascii="Garamond" w:eastAsia="Calibri" w:hAnsi="Garamond"/>
          <w:color w:val="000000" w:themeColor="text1"/>
        </w:rPr>
        <w:t>3,390</w:t>
      </w:r>
      <w:r w:rsidR="0084203C" w:rsidRPr="00B051E5">
        <w:rPr>
          <w:rFonts w:ascii="Garamond" w:eastAsia="Calibri" w:hAnsi="Garamond"/>
          <w:color w:val="000000" w:themeColor="text1"/>
        </w:rPr>
        <w:t xml:space="preserve"> </w:t>
      </w:r>
      <w:r w:rsidR="0068266D" w:rsidRPr="00B051E5">
        <w:rPr>
          <w:rFonts w:ascii="Garamond" w:eastAsia="Calibri" w:hAnsi="Garamond"/>
          <w:color w:val="000000" w:themeColor="text1"/>
        </w:rPr>
        <w:t>firm-year observations)</w:t>
      </w:r>
      <w:r w:rsidRPr="00B051E5">
        <w:rPr>
          <w:rFonts w:ascii="Garamond" w:eastAsia="Calibri" w:hAnsi="Garamond"/>
          <w:color w:val="000000" w:themeColor="text1"/>
        </w:rPr>
        <w:t xml:space="preserve">. </w:t>
      </w:r>
      <w:r w:rsidR="006D2025" w:rsidRPr="00B051E5">
        <w:rPr>
          <w:rFonts w:ascii="Garamond" w:eastAsia="Calibri" w:hAnsi="Garamond"/>
          <w:color w:val="000000" w:themeColor="text1"/>
        </w:rPr>
        <w:t>Our</w:t>
      </w:r>
      <w:r w:rsidR="004A255A" w:rsidRPr="00B051E5">
        <w:rPr>
          <w:rFonts w:ascii="Garamond" w:eastAsia="Calibri" w:hAnsi="Garamond"/>
          <w:color w:val="000000" w:themeColor="text1"/>
        </w:rPr>
        <w:t xml:space="preserve"> paper looks mainly at non-financial </w:t>
      </w:r>
      <w:r w:rsidR="004A255A" w:rsidRPr="00B051E5">
        <w:rPr>
          <w:rFonts w:ascii="Garamond" w:eastAsia="Calibri" w:hAnsi="Garamond"/>
          <w:color w:val="000000" w:themeColor="text1"/>
        </w:rPr>
        <w:lastRenderedPageBreak/>
        <w:t xml:space="preserve">firms </w:t>
      </w:r>
      <w:r w:rsidR="00CD36B5" w:rsidRPr="00B051E5">
        <w:rPr>
          <w:rFonts w:ascii="Garamond" w:eastAsia="Calibri" w:hAnsi="Garamond"/>
          <w:color w:val="000000" w:themeColor="text1"/>
        </w:rPr>
        <w:t xml:space="preserve">because </w:t>
      </w:r>
      <w:r w:rsidR="004A255A" w:rsidRPr="00B051E5">
        <w:rPr>
          <w:rFonts w:ascii="Garamond" w:eastAsia="Calibri" w:hAnsi="Garamond"/>
          <w:color w:val="000000" w:themeColor="text1"/>
        </w:rPr>
        <w:t>financial firms are subject to different regulations and have features that are significantly different from those of non-financial firms (i.e.</w:t>
      </w:r>
      <w:r w:rsidR="00646910" w:rsidRPr="00B051E5">
        <w:rPr>
          <w:rFonts w:ascii="Garamond" w:eastAsia="Calibri" w:hAnsi="Garamond"/>
          <w:color w:val="000000" w:themeColor="text1"/>
        </w:rPr>
        <w:t>,</w:t>
      </w:r>
      <w:r w:rsidR="004A255A" w:rsidRPr="00B051E5">
        <w:rPr>
          <w:rFonts w:ascii="Garamond" w:eastAsia="Calibri" w:hAnsi="Garamond"/>
          <w:color w:val="000000" w:themeColor="text1"/>
        </w:rPr>
        <w:t xml:space="preserve"> the main sources of finance and investment activities). </w:t>
      </w:r>
      <w:r w:rsidR="00A52C2F" w:rsidRPr="00B051E5">
        <w:rPr>
          <w:rFonts w:ascii="Garamond" w:eastAsia="Calibri" w:hAnsi="Garamond"/>
          <w:color w:val="000000" w:themeColor="text1"/>
        </w:rPr>
        <w:t xml:space="preserve">Our ample </w:t>
      </w:r>
      <w:r w:rsidRPr="00B051E5">
        <w:rPr>
          <w:rFonts w:ascii="Garamond" w:eastAsia="Calibri" w:hAnsi="Garamond"/>
          <w:color w:val="000000" w:themeColor="text1"/>
        </w:rPr>
        <w:t>start</w:t>
      </w:r>
      <w:r w:rsidR="00A52C2F" w:rsidRPr="00B051E5">
        <w:rPr>
          <w:rFonts w:ascii="Garamond" w:eastAsia="Calibri" w:hAnsi="Garamond"/>
          <w:color w:val="000000" w:themeColor="text1"/>
        </w:rPr>
        <w:t>s</w:t>
      </w:r>
      <w:r w:rsidRPr="00B051E5">
        <w:rPr>
          <w:rFonts w:ascii="Garamond" w:eastAsia="Calibri" w:hAnsi="Garamond"/>
          <w:color w:val="000000" w:themeColor="text1"/>
        </w:rPr>
        <w:t xml:space="preserve"> with the year 2005</w:t>
      </w:r>
      <w:r w:rsidR="00501189" w:rsidRPr="00B051E5">
        <w:rPr>
          <w:rFonts w:ascii="Garamond" w:eastAsia="Calibri" w:hAnsi="Garamond"/>
          <w:color w:val="000000" w:themeColor="text1"/>
        </w:rPr>
        <w:t>,</w:t>
      </w:r>
      <w:r w:rsidRPr="00B051E5">
        <w:rPr>
          <w:rFonts w:ascii="Garamond" w:eastAsia="Calibri" w:hAnsi="Garamond"/>
          <w:color w:val="000000" w:themeColor="text1"/>
        </w:rPr>
        <w:t xml:space="preserve"> when the International Financial Reporting Standards (IFRS) became a mandatory requirement for UK firms</w:t>
      </w:r>
      <w:r w:rsidR="00350451" w:rsidRPr="00B051E5">
        <w:rPr>
          <w:rFonts w:ascii="Garamond" w:eastAsia="Calibri" w:hAnsi="Garamond"/>
          <w:color w:val="000000" w:themeColor="text1"/>
        </w:rPr>
        <w:t>.</w:t>
      </w:r>
      <w:r w:rsidR="00D7142F" w:rsidRPr="00B051E5">
        <w:rPr>
          <w:rFonts w:ascii="Garamond" w:eastAsia="Calibri" w:hAnsi="Garamond"/>
          <w:color w:val="000000" w:themeColor="text1"/>
        </w:rPr>
        <w:t xml:space="preserve"> Our sample</w:t>
      </w:r>
      <w:r w:rsidR="00A52C2F" w:rsidRPr="00B051E5">
        <w:rPr>
          <w:rFonts w:ascii="Garamond" w:eastAsia="Calibri" w:hAnsi="Garamond"/>
          <w:color w:val="000000" w:themeColor="text1"/>
        </w:rPr>
        <w:t xml:space="preserve"> </w:t>
      </w:r>
      <w:r w:rsidR="004A255A" w:rsidRPr="00B051E5">
        <w:rPr>
          <w:rFonts w:ascii="Garamond" w:eastAsia="Calibri" w:hAnsi="Garamond"/>
          <w:color w:val="000000" w:themeColor="text1"/>
        </w:rPr>
        <w:t>stop</w:t>
      </w:r>
      <w:r w:rsidR="00A52C2F" w:rsidRPr="00B051E5">
        <w:rPr>
          <w:rFonts w:ascii="Garamond" w:eastAsia="Calibri" w:hAnsi="Garamond"/>
          <w:color w:val="000000" w:themeColor="text1"/>
        </w:rPr>
        <w:t>s</w:t>
      </w:r>
      <w:r w:rsidR="004A255A" w:rsidRPr="00B051E5">
        <w:rPr>
          <w:rFonts w:ascii="Garamond" w:eastAsia="Calibri" w:hAnsi="Garamond"/>
          <w:color w:val="000000" w:themeColor="text1"/>
        </w:rPr>
        <w:t xml:space="preserve"> at the year 2014</w:t>
      </w:r>
      <w:r w:rsidR="006D2025" w:rsidRPr="00B051E5">
        <w:rPr>
          <w:rFonts w:ascii="Garamond" w:eastAsia="Calibri" w:hAnsi="Garamond"/>
          <w:color w:val="000000" w:themeColor="text1"/>
        </w:rPr>
        <w:t xml:space="preserve"> </w:t>
      </w:r>
      <w:r w:rsidR="00A52C2F" w:rsidRPr="00B051E5">
        <w:rPr>
          <w:rFonts w:ascii="Garamond" w:eastAsia="Calibri" w:hAnsi="Garamond"/>
          <w:color w:val="000000" w:themeColor="text1"/>
        </w:rPr>
        <w:t xml:space="preserve">as the latest year of which annual reports can be </w:t>
      </w:r>
      <w:r w:rsidR="00D7142F" w:rsidRPr="00B051E5">
        <w:rPr>
          <w:rFonts w:ascii="Garamond" w:eastAsia="Calibri" w:hAnsi="Garamond"/>
          <w:color w:val="000000" w:themeColor="text1"/>
        </w:rPr>
        <w:t xml:space="preserve">feasibly </w:t>
      </w:r>
      <w:r w:rsidR="00DE2335" w:rsidRPr="00B051E5">
        <w:rPr>
          <w:rFonts w:ascii="Garamond" w:eastAsia="Calibri" w:hAnsi="Garamond"/>
          <w:color w:val="000000" w:themeColor="text1"/>
        </w:rPr>
        <w:t>collected manually</w:t>
      </w:r>
      <w:r w:rsidR="00A52C2F" w:rsidRPr="00B051E5">
        <w:rPr>
          <w:rFonts w:ascii="Garamond" w:eastAsia="Calibri" w:hAnsi="Garamond"/>
          <w:color w:val="000000" w:themeColor="text1"/>
        </w:rPr>
        <w:t xml:space="preserve"> firm by firm over </w:t>
      </w:r>
      <w:r w:rsidR="000408B8" w:rsidRPr="00B051E5">
        <w:rPr>
          <w:rFonts w:ascii="Garamond" w:eastAsia="Calibri" w:hAnsi="Garamond"/>
          <w:color w:val="000000" w:themeColor="text1"/>
        </w:rPr>
        <w:t xml:space="preserve">the 10 </w:t>
      </w:r>
      <w:r w:rsidR="00A52C2F" w:rsidRPr="00B051E5">
        <w:rPr>
          <w:rFonts w:ascii="Garamond" w:eastAsia="Calibri" w:hAnsi="Garamond"/>
          <w:color w:val="000000" w:themeColor="text1"/>
        </w:rPr>
        <w:t>years</w:t>
      </w:r>
      <w:r w:rsidR="00501189" w:rsidRPr="00B051E5">
        <w:rPr>
          <w:rFonts w:ascii="Garamond" w:eastAsia="Calibri" w:hAnsi="Garamond"/>
          <w:color w:val="000000" w:themeColor="text1"/>
        </w:rPr>
        <w:t xml:space="preserve"> in question</w:t>
      </w:r>
      <w:r w:rsidR="00D7142F" w:rsidRPr="00B051E5">
        <w:rPr>
          <w:rFonts w:ascii="Garamond" w:eastAsia="Calibri" w:hAnsi="Garamond"/>
          <w:color w:val="000000" w:themeColor="text1"/>
        </w:rPr>
        <w:t>, either from Thomson One, or</w:t>
      </w:r>
      <w:r w:rsidR="00501189" w:rsidRPr="00B051E5">
        <w:rPr>
          <w:rFonts w:ascii="Garamond" w:eastAsia="Calibri" w:hAnsi="Garamond"/>
          <w:color w:val="000000" w:themeColor="text1"/>
        </w:rPr>
        <w:t>,</w:t>
      </w:r>
      <w:r w:rsidR="00D7142F" w:rsidRPr="00B051E5">
        <w:rPr>
          <w:rFonts w:ascii="Garamond" w:eastAsia="Calibri" w:hAnsi="Garamond"/>
          <w:color w:val="000000" w:themeColor="text1"/>
        </w:rPr>
        <w:t xml:space="preserve"> if not available there</w:t>
      </w:r>
      <w:r w:rsidR="00501189" w:rsidRPr="00B051E5">
        <w:rPr>
          <w:rFonts w:ascii="Garamond" w:eastAsia="Calibri" w:hAnsi="Garamond"/>
          <w:color w:val="000000" w:themeColor="text1"/>
        </w:rPr>
        <w:t>,</w:t>
      </w:r>
      <w:r w:rsidR="00D7142F" w:rsidRPr="00B051E5">
        <w:rPr>
          <w:rFonts w:ascii="Garamond" w:eastAsia="Calibri" w:hAnsi="Garamond"/>
          <w:color w:val="000000" w:themeColor="text1"/>
        </w:rPr>
        <w:t xml:space="preserve"> from the company’s website</w:t>
      </w:r>
      <w:r w:rsidR="00DE153A" w:rsidRPr="00B051E5">
        <w:rPr>
          <w:rFonts w:ascii="Garamond" w:eastAsia="Calibri" w:hAnsi="Garamond"/>
          <w:color w:val="000000" w:themeColor="text1"/>
        </w:rPr>
        <w:t xml:space="preserve">. </w:t>
      </w:r>
      <w:r w:rsidR="00D7142F" w:rsidRPr="00B051E5">
        <w:rPr>
          <w:rFonts w:ascii="Garamond" w:eastAsia="Calibri" w:hAnsi="Garamond"/>
          <w:color w:val="000000" w:themeColor="text1"/>
        </w:rPr>
        <w:t>These annual reports were manually converted into text files to be readable by QSR version 6 (hereafter</w:t>
      </w:r>
      <w:r w:rsidR="00501189" w:rsidRPr="00B051E5">
        <w:rPr>
          <w:rFonts w:ascii="Garamond" w:eastAsia="Calibri" w:hAnsi="Garamond"/>
          <w:color w:val="000000" w:themeColor="text1"/>
        </w:rPr>
        <w:t>,</w:t>
      </w:r>
      <w:r w:rsidR="00D7142F" w:rsidRPr="00B051E5">
        <w:rPr>
          <w:rFonts w:ascii="Garamond" w:eastAsia="Calibri" w:hAnsi="Garamond"/>
          <w:color w:val="000000" w:themeColor="text1"/>
        </w:rPr>
        <w:t xml:space="preserve"> QSR N6), which was used to capture the proportion</w:t>
      </w:r>
      <w:r w:rsidR="00501189" w:rsidRPr="00B051E5">
        <w:rPr>
          <w:rFonts w:ascii="Garamond" w:eastAsia="Calibri" w:hAnsi="Garamond"/>
          <w:color w:val="000000" w:themeColor="text1"/>
        </w:rPr>
        <w:t>s</w:t>
      </w:r>
      <w:r w:rsidR="00D7142F" w:rsidRPr="00B051E5">
        <w:rPr>
          <w:rFonts w:ascii="Garamond" w:eastAsia="Calibri" w:hAnsi="Garamond"/>
          <w:color w:val="000000" w:themeColor="text1"/>
        </w:rPr>
        <w:t xml:space="preserve"> of aggregate, forward- and non-forward-looking risk disclosures.</w:t>
      </w:r>
      <w:r w:rsidR="00F47041" w:rsidRPr="00B051E5">
        <w:rPr>
          <w:rFonts w:ascii="Garamond" w:eastAsia="Calibri" w:hAnsi="Garamond"/>
          <w:color w:val="000000" w:themeColor="text1"/>
        </w:rPr>
        <w:t xml:space="preserve"> </w:t>
      </w:r>
      <w:r w:rsidR="00D7142F" w:rsidRPr="00B051E5">
        <w:rPr>
          <w:rFonts w:ascii="Garamond" w:eastAsia="Calibri" w:hAnsi="Garamond"/>
          <w:color w:val="000000" w:themeColor="text1"/>
        </w:rPr>
        <w:t>We therefore excluded all annual reports that could not be converted (</w:t>
      </w:r>
      <w:r w:rsidR="00EE13E7" w:rsidRPr="00B051E5">
        <w:rPr>
          <w:rFonts w:ascii="Garamond" w:eastAsia="Calibri" w:hAnsi="Garamond"/>
          <w:color w:val="000000" w:themeColor="text1"/>
        </w:rPr>
        <w:t>i.e.,</w:t>
      </w:r>
      <w:r w:rsidR="00D7142F" w:rsidRPr="00B051E5">
        <w:rPr>
          <w:rFonts w:ascii="Garamond" w:eastAsia="Calibri" w:hAnsi="Garamond"/>
          <w:color w:val="000000" w:themeColor="text1"/>
        </w:rPr>
        <w:t xml:space="preserve"> secured or generated default errors, #</w:t>
      </w:r>
      <w:r w:rsidR="00226A44" w:rsidRPr="00B051E5">
        <w:rPr>
          <w:rFonts w:ascii="Garamond" w:eastAsia="Calibri" w:hAnsi="Garamond"/>
          <w:color w:val="000000" w:themeColor="text1"/>
        </w:rPr>
        <w:t>506</w:t>
      </w:r>
      <w:r w:rsidR="00D7142F" w:rsidRPr="00B051E5">
        <w:rPr>
          <w:rFonts w:ascii="Garamond" w:eastAsia="Calibri" w:hAnsi="Garamond"/>
          <w:color w:val="000000" w:themeColor="text1"/>
        </w:rPr>
        <w:t xml:space="preserve"> firm-year observations).</w:t>
      </w:r>
      <w:r w:rsidR="00AB7D9B" w:rsidRPr="00B051E5">
        <w:rPr>
          <w:rFonts w:ascii="Garamond" w:eastAsia="Calibri" w:hAnsi="Garamond"/>
          <w:color w:val="000000" w:themeColor="text1"/>
        </w:rPr>
        <w:t xml:space="preserve"> </w:t>
      </w:r>
      <w:r w:rsidRPr="00B051E5">
        <w:rPr>
          <w:rFonts w:ascii="Garamond" w:eastAsia="Calibri" w:hAnsi="Garamond"/>
          <w:color w:val="000000" w:themeColor="text1"/>
        </w:rPr>
        <w:t xml:space="preserve">All </w:t>
      </w:r>
      <w:r w:rsidR="00983B22" w:rsidRPr="00B051E5">
        <w:rPr>
          <w:rFonts w:ascii="Garamond" w:eastAsia="Calibri" w:hAnsi="Garamond"/>
          <w:color w:val="000000" w:themeColor="text1"/>
        </w:rPr>
        <w:t xml:space="preserve">the </w:t>
      </w:r>
      <w:r w:rsidRPr="00B051E5">
        <w:rPr>
          <w:rFonts w:ascii="Garamond" w:eastAsia="Calibri" w:hAnsi="Garamond"/>
          <w:color w:val="000000" w:themeColor="text1"/>
        </w:rPr>
        <w:t xml:space="preserve">financial </w:t>
      </w:r>
      <w:r w:rsidR="005A1181" w:rsidRPr="00B051E5">
        <w:rPr>
          <w:rFonts w:ascii="Garamond" w:eastAsia="Calibri" w:hAnsi="Garamond"/>
          <w:color w:val="000000" w:themeColor="text1"/>
        </w:rPr>
        <w:t xml:space="preserve">and governance </w:t>
      </w:r>
      <w:r w:rsidRPr="00B051E5">
        <w:rPr>
          <w:rFonts w:ascii="Garamond" w:eastAsia="Calibri" w:hAnsi="Garamond"/>
          <w:color w:val="000000" w:themeColor="text1"/>
        </w:rPr>
        <w:t xml:space="preserve">variables were collected from </w:t>
      </w:r>
      <w:r w:rsidR="00983B22" w:rsidRPr="00B051E5">
        <w:rPr>
          <w:rFonts w:ascii="Garamond" w:eastAsia="Calibri" w:hAnsi="Garamond"/>
          <w:color w:val="000000" w:themeColor="text1"/>
        </w:rPr>
        <w:t xml:space="preserve">the </w:t>
      </w:r>
      <w:r w:rsidR="005A1181" w:rsidRPr="00B051E5">
        <w:rPr>
          <w:rFonts w:ascii="Garamond" w:eastAsia="Calibri" w:hAnsi="Garamond"/>
          <w:color w:val="000000" w:themeColor="text1"/>
        </w:rPr>
        <w:t>Datastream.</w:t>
      </w:r>
      <w:r w:rsidRPr="00B051E5">
        <w:rPr>
          <w:rFonts w:ascii="Garamond" w:eastAsia="Calibri" w:hAnsi="Garamond"/>
          <w:color w:val="000000" w:themeColor="text1"/>
        </w:rPr>
        <w:t xml:space="preserve"> We excluded observations that contained missing values</w:t>
      </w:r>
      <w:r w:rsidR="00A32CC4" w:rsidRPr="00B051E5">
        <w:rPr>
          <w:rFonts w:ascii="Garamond" w:eastAsia="Calibri" w:hAnsi="Garamond"/>
          <w:color w:val="000000" w:themeColor="text1"/>
        </w:rPr>
        <w:t xml:space="preserve"> (#</w:t>
      </w:r>
      <w:r w:rsidR="00226A44" w:rsidRPr="00B051E5">
        <w:rPr>
          <w:rFonts w:ascii="Garamond" w:eastAsia="Calibri" w:hAnsi="Garamond"/>
          <w:color w:val="000000" w:themeColor="text1"/>
        </w:rPr>
        <w:t xml:space="preserve">666 </w:t>
      </w:r>
      <w:r w:rsidR="00A32CC4" w:rsidRPr="00B051E5">
        <w:rPr>
          <w:rFonts w:ascii="Garamond" w:eastAsia="Calibri" w:hAnsi="Garamond"/>
          <w:color w:val="000000" w:themeColor="text1"/>
        </w:rPr>
        <w:t>firm-year observations)</w:t>
      </w:r>
      <w:r w:rsidRPr="00B051E5">
        <w:rPr>
          <w:rFonts w:ascii="Garamond" w:eastAsia="Calibri" w:hAnsi="Garamond"/>
          <w:color w:val="000000" w:themeColor="text1"/>
        </w:rPr>
        <w:t xml:space="preserve">. This led to a sample </w:t>
      </w:r>
      <w:r w:rsidR="00240653" w:rsidRPr="00B051E5">
        <w:rPr>
          <w:rFonts w:ascii="Garamond" w:eastAsia="Calibri" w:hAnsi="Garamond"/>
          <w:color w:val="000000" w:themeColor="text1"/>
        </w:rPr>
        <w:t xml:space="preserve">of </w:t>
      </w:r>
      <w:r w:rsidR="00072BDC" w:rsidRPr="00B051E5">
        <w:rPr>
          <w:rFonts w:ascii="Garamond" w:eastAsia="Calibri" w:hAnsi="Garamond"/>
          <w:color w:val="000000" w:themeColor="text1"/>
        </w:rPr>
        <w:t xml:space="preserve">2,218 </w:t>
      </w:r>
      <w:r w:rsidR="00240653" w:rsidRPr="00B051E5">
        <w:rPr>
          <w:rFonts w:ascii="Garamond" w:eastAsia="Calibri" w:hAnsi="Garamond"/>
          <w:color w:val="000000" w:themeColor="text1"/>
        </w:rPr>
        <w:t>firm-year observations.</w:t>
      </w:r>
      <w:r w:rsidR="00EF4CE0" w:rsidRPr="00B051E5">
        <w:rPr>
          <w:rFonts w:ascii="Garamond" w:eastAsia="Calibri" w:hAnsi="Garamond"/>
          <w:color w:val="000000" w:themeColor="text1"/>
        </w:rPr>
        <w:t xml:space="preserve"> Appendix 1 detailed the sample selection and allocations across years and industries.</w:t>
      </w:r>
      <w:r w:rsidR="00EF4CE0" w:rsidRPr="00B051E5">
        <w:rPr>
          <w:rStyle w:val="FootnoteReference"/>
          <w:rFonts w:ascii="Garamond" w:eastAsia="Calibri" w:hAnsi="Garamond"/>
          <w:color w:val="000000" w:themeColor="text1"/>
        </w:rPr>
        <w:footnoteReference w:id="2"/>
      </w:r>
      <w:r w:rsidR="00EF4CE0" w:rsidRPr="00B051E5">
        <w:rPr>
          <w:rFonts w:ascii="Garamond" w:eastAsia="Calibri" w:hAnsi="Garamond"/>
          <w:color w:val="000000" w:themeColor="text1"/>
        </w:rPr>
        <w:t xml:space="preserve"> </w:t>
      </w:r>
    </w:p>
    <w:p w14:paraId="02A2ADB9" w14:textId="3BC815CB" w:rsidR="00820639" w:rsidRPr="00B051E5" w:rsidRDefault="002211D7" w:rsidP="00D75008">
      <w:pPr>
        <w:spacing w:line="360" w:lineRule="auto"/>
        <w:jc w:val="both"/>
        <w:rPr>
          <w:rFonts w:ascii="Garamond" w:eastAsia="Calibri" w:hAnsi="Garamond"/>
          <w:i/>
          <w:iCs/>
          <w:color w:val="000000" w:themeColor="text1"/>
        </w:rPr>
      </w:pPr>
      <w:r w:rsidRPr="00B051E5">
        <w:rPr>
          <w:rFonts w:ascii="Garamond" w:eastAsia="Calibri" w:hAnsi="Garamond"/>
          <w:i/>
          <w:iCs/>
          <w:color w:val="000000" w:themeColor="text1"/>
        </w:rPr>
        <w:t>5</w:t>
      </w:r>
      <w:r w:rsidR="00615576" w:rsidRPr="00B051E5">
        <w:rPr>
          <w:rFonts w:ascii="Garamond" w:eastAsia="Calibri" w:hAnsi="Garamond"/>
          <w:i/>
          <w:iCs/>
          <w:color w:val="000000" w:themeColor="text1"/>
        </w:rPr>
        <w:t xml:space="preserve">.2 </w:t>
      </w:r>
      <w:r w:rsidR="00820639" w:rsidRPr="00B051E5">
        <w:rPr>
          <w:rFonts w:ascii="Garamond" w:eastAsia="Calibri" w:hAnsi="Garamond"/>
          <w:i/>
          <w:iCs/>
          <w:color w:val="000000" w:themeColor="text1"/>
        </w:rPr>
        <w:t xml:space="preserve">Measuring stock price informativeness </w:t>
      </w:r>
    </w:p>
    <w:p w14:paraId="357C9154" w14:textId="013A9479" w:rsidR="00820639" w:rsidRPr="00B051E5" w:rsidRDefault="00820639" w:rsidP="00693F5C">
      <w:pPr>
        <w:spacing w:line="480" w:lineRule="auto"/>
        <w:jc w:val="both"/>
        <w:rPr>
          <w:rFonts w:ascii="Garamond" w:eastAsia="Calibri" w:hAnsi="Garamond"/>
          <w:color w:val="000000" w:themeColor="text1"/>
        </w:rPr>
      </w:pPr>
      <w:r w:rsidRPr="00B051E5">
        <w:rPr>
          <w:rFonts w:ascii="Garamond" w:eastAsia="Calibri" w:hAnsi="Garamond"/>
          <w:color w:val="000000" w:themeColor="text1"/>
        </w:rPr>
        <w:t>Following Roll (1988) and Morck et al. (2000), we considered R-squared as a measure of stock price informativeness</w:t>
      </w:r>
      <w:r w:rsidR="00983B22" w:rsidRPr="00B051E5">
        <w:rPr>
          <w:rFonts w:ascii="Garamond" w:eastAsia="Calibri" w:hAnsi="Garamond"/>
          <w:color w:val="000000" w:themeColor="text1"/>
        </w:rPr>
        <w:t>,</w:t>
      </w:r>
      <w:r w:rsidRPr="00B051E5">
        <w:rPr>
          <w:rFonts w:ascii="Garamond" w:eastAsia="Calibri" w:hAnsi="Garamond"/>
          <w:color w:val="000000" w:themeColor="text1"/>
        </w:rPr>
        <w:t xml:space="preserve"> since it gives a measure of the extent to which stock price variations are driven by common factors related to the market and/or the industry, which can be considered less informative. Highly informative risk information (lower R-squared or higher (1-R-squared)) should enable the market’s participants to successfully incorporate such distinctive information into stock prices, making variations in </w:t>
      </w:r>
      <w:r w:rsidR="00673E06" w:rsidRPr="00B051E5">
        <w:rPr>
          <w:rFonts w:ascii="Garamond" w:eastAsia="Calibri" w:hAnsi="Garamond"/>
          <w:color w:val="000000" w:themeColor="text1"/>
        </w:rPr>
        <w:t>these</w:t>
      </w:r>
      <w:r w:rsidRPr="00B051E5">
        <w:rPr>
          <w:rFonts w:ascii="Garamond" w:eastAsia="Calibri" w:hAnsi="Garamond"/>
          <w:color w:val="000000" w:themeColor="text1"/>
        </w:rPr>
        <w:t xml:space="preserve"> firms’ prices less </w:t>
      </w:r>
      <w:r w:rsidR="003C7280" w:rsidRPr="00B051E5">
        <w:rPr>
          <w:rFonts w:ascii="Garamond" w:eastAsia="Calibri" w:hAnsi="Garamond"/>
          <w:color w:val="000000" w:themeColor="text1"/>
        </w:rPr>
        <w:t xml:space="preserve">closely </w:t>
      </w:r>
      <w:r w:rsidRPr="00B051E5">
        <w:rPr>
          <w:rFonts w:ascii="Garamond" w:eastAsia="Calibri" w:hAnsi="Garamond"/>
          <w:color w:val="000000" w:themeColor="text1"/>
        </w:rPr>
        <w:t xml:space="preserve">correlated with variations in market and industry returns. To measure the stock price informativeness of risk related information (aggregate </w:t>
      </w:r>
      <w:r w:rsidRPr="00B051E5">
        <w:rPr>
          <w:rFonts w:ascii="Garamond" w:eastAsia="Calibri" w:hAnsi="Garamond"/>
          <w:color w:val="000000" w:themeColor="text1"/>
        </w:rPr>
        <w:lastRenderedPageBreak/>
        <w:t>level, and their time orientation</w:t>
      </w:r>
      <w:r w:rsidR="003C7280" w:rsidRPr="00B051E5">
        <w:rPr>
          <w:rFonts w:ascii="Garamond" w:eastAsia="Calibri" w:hAnsi="Garamond"/>
          <w:color w:val="000000" w:themeColor="text1"/>
        </w:rPr>
        <w:t>, whether</w:t>
      </w:r>
      <w:r w:rsidRPr="00B051E5">
        <w:rPr>
          <w:rFonts w:ascii="Garamond" w:eastAsia="Calibri" w:hAnsi="Garamond"/>
          <w:color w:val="000000" w:themeColor="text1"/>
        </w:rPr>
        <w:t xml:space="preserve"> forward and non-forward-looking), we measured R-squared </w:t>
      </w:r>
      <w:r w:rsidR="00991EED" w:rsidRPr="00B051E5">
        <w:rPr>
          <w:rFonts w:ascii="Garamond" w:eastAsia="Calibri" w:hAnsi="Garamond"/>
          <w:color w:val="000000" w:themeColor="text1"/>
        </w:rPr>
        <w:t xml:space="preserve">based </w:t>
      </w:r>
      <w:r w:rsidR="003C7280" w:rsidRPr="00B051E5">
        <w:rPr>
          <w:rFonts w:ascii="Garamond" w:eastAsia="Calibri" w:hAnsi="Garamond"/>
          <w:color w:val="000000" w:themeColor="text1"/>
        </w:rPr>
        <w:t xml:space="preserve">Equation </w:t>
      </w:r>
      <w:r w:rsidR="00991EED" w:rsidRPr="00B051E5">
        <w:rPr>
          <w:rFonts w:ascii="Garamond" w:eastAsia="Calibri" w:hAnsi="Garamond"/>
          <w:color w:val="000000" w:themeColor="text1"/>
        </w:rPr>
        <w:t>1. In this equation,</w:t>
      </w:r>
      <w:r w:rsidRPr="00B051E5">
        <w:rPr>
          <w:rFonts w:ascii="Garamond" w:eastAsia="Calibri" w:hAnsi="Garamond"/>
          <w:color w:val="000000" w:themeColor="text1"/>
        </w:rPr>
        <w:t xml:space="preserve"> we regressed the firms’</w:t>
      </w:r>
      <w:r w:rsidR="00941387" w:rsidRPr="00B051E5">
        <w:rPr>
          <w:color w:val="000000" w:themeColor="text1"/>
        </w:rPr>
        <w:t xml:space="preserve"> </w:t>
      </w:r>
      <w:r w:rsidR="00941387" w:rsidRPr="00B051E5">
        <w:rPr>
          <w:rFonts w:ascii="Garamond" w:eastAsia="Calibri" w:hAnsi="Garamond"/>
          <w:color w:val="000000" w:themeColor="text1"/>
        </w:rPr>
        <w:t>daily returns</w:t>
      </w:r>
      <w:r w:rsidRPr="00B051E5">
        <w:rPr>
          <w:rFonts w:ascii="Garamond" w:eastAsia="Calibri" w:hAnsi="Garamond"/>
          <w:color w:val="000000" w:themeColor="text1"/>
        </w:rPr>
        <w:t xml:space="preserve"> (</w:t>
      </w:r>
      <w:r w:rsidRPr="00B051E5">
        <w:rPr>
          <w:rFonts w:ascii="Garamond" w:eastAsia="Calibri" w:hAnsi="Garamond"/>
          <w:i/>
          <w:color w:val="000000" w:themeColor="text1"/>
        </w:rPr>
        <w:t>RET</w:t>
      </w:r>
      <w:r w:rsidRPr="00B051E5">
        <w:rPr>
          <w:rFonts w:ascii="Garamond" w:eastAsia="Calibri" w:hAnsi="Garamond"/>
          <w:i/>
          <w:color w:val="000000" w:themeColor="text1"/>
          <w:vertAlign w:val="subscript"/>
        </w:rPr>
        <w:t>i,t</w:t>
      </w:r>
      <w:r w:rsidRPr="00B051E5">
        <w:rPr>
          <w:rFonts w:ascii="Garamond" w:eastAsia="Calibri" w:hAnsi="Garamond"/>
          <w:color w:val="000000" w:themeColor="text1"/>
        </w:rPr>
        <w:t>)</w:t>
      </w:r>
      <w:r w:rsidRPr="00B051E5">
        <w:rPr>
          <w:rFonts w:ascii="Garamond" w:eastAsia="Calibri" w:hAnsi="Garamond"/>
          <w:color w:val="000000" w:themeColor="text1"/>
          <w:vertAlign w:val="subscript"/>
        </w:rPr>
        <w:t xml:space="preserve"> </w:t>
      </w:r>
      <w:r w:rsidRPr="00B051E5">
        <w:rPr>
          <w:rFonts w:ascii="Garamond" w:eastAsia="Calibri" w:hAnsi="Garamond"/>
          <w:color w:val="000000" w:themeColor="text1"/>
        </w:rPr>
        <w:t>on both the market (</w:t>
      </w:r>
      <w:r w:rsidRPr="00B051E5">
        <w:rPr>
          <w:rFonts w:ascii="Garamond" w:eastAsia="Calibri" w:hAnsi="Garamond"/>
          <w:i/>
          <w:color w:val="000000" w:themeColor="text1"/>
        </w:rPr>
        <w:t>MARET</w:t>
      </w:r>
      <w:r w:rsidRPr="00B051E5">
        <w:rPr>
          <w:rFonts w:ascii="Garamond" w:eastAsia="Calibri" w:hAnsi="Garamond"/>
          <w:i/>
          <w:color w:val="000000" w:themeColor="text1"/>
          <w:vertAlign w:val="subscript"/>
        </w:rPr>
        <w:t>i,t</w:t>
      </w:r>
      <w:r w:rsidRPr="00B051E5">
        <w:rPr>
          <w:rFonts w:ascii="Garamond" w:eastAsia="Calibri" w:hAnsi="Garamond"/>
          <w:color w:val="000000" w:themeColor="text1"/>
        </w:rPr>
        <w:t>)</w:t>
      </w:r>
      <w:r w:rsidRPr="00B051E5">
        <w:rPr>
          <w:rFonts w:ascii="Garamond" w:eastAsia="Calibri" w:hAnsi="Garamond"/>
          <w:color w:val="000000" w:themeColor="text1"/>
          <w:vertAlign w:val="subscript"/>
        </w:rPr>
        <w:t xml:space="preserve"> </w:t>
      </w:r>
      <w:r w:rsidRPr="00B051E5">
        <w:rPr>
          <w:rFonts w:ascii="Garamond" w:eastAsia="Calibri" w:hAnsi="Garamond"/>
          <w:color w:val="000000" w:themeColor="text1"/>
        </w:rPr>
        <w:t>and industry (</w:t>
      </w:r>
      <w:r w:rsidRPr="00B051E5">
        <w:rPr>
          <w:rFonts w:ascii="Garamond" w:eastAsia="Calibri" w:hAnsi="Garamond"/>
          <w:i/>
          <w:color w:val="000000" w:themeColor="text1"/>
        </w:rPr>
        <w:t>INDRET</w:t>
      </w:r>
      <w:r w:rsidRPr="00B051E5">
        <w:rPr>
          <w:rFonts w:ascii="Garamond" w:eastAsia="Calibri" w:hAnsi="Garamond"/>
          <w:i/>
          <w:color w:val="000000" w:themeColor="text1"/>
          <w:vertAlign w:val="subscript"/>
        </w:rPr>
        <w:t>i,t</w:t>
      </w:r>
      <w:r w:rsidRPr="00B051E5">
        <w:rPr>
          <w:rFonts w:ascii="Garamond" w:eastAsia="Calibri" w:hAnsi="Garamond"/>
          <w:color w:val="000000" w:themeColor="text1"/>
        </w:rPr>
        <w:t>)</w:t>
      </w:r>
      <w:r w:rsidRPr="00B051E5">
        <w:rPr>
          <w:rFonts w:ascii="Garamond" w:eastAsia="Calibri" w:hAnsi="Garamond"/>
          <w:color w:val="000000" w:themeColor="text1"/>
          <w:vertAlign w:val="subscript"/>
        </w:rPr>
        <w:t xml:space="preserve"> </w:t>
      </w:r>
      <w:r w:rsidRPr="00B051E5">
        <w:rPr>
          <w:rFonts w:ascii="Garamond" w:eastAsia="Calibri" w:hAnsi="Garamond"/>
          <w:color w:val="000000" w:themeColor="text1"/>
        </w:rPr>
        <w:t>daily returns over a period of three months after the annual reports ha</w:t>
      </w:r>
      <w:r w:rsidR="000729D1" w:rsidRPr="00B051E5">
        <w:rPr>
          <w:rFonts w:ascii="Garamond" w:eastAsia="Calibri" w:hAnsi="Garamond"/>
          <w:color w:val="000000" w:themeColor="text1"/>
        </w:rPr>
        <w:t>d</w:t>
      </w:r>
      <w:r w:rsidRPr="00B051E5">
        <w:rPr>
          <w:rFonts w:ascii="Garamond" w:eastAsia="Calibri" w:hAnsi="Garamond"/>
          <w:color w:val="000000" w:themeColor="text1"/>
        </w:rPr>
        <w:t xml:space="preserve"> been made publicly available</w:t>
      </w:r>
      <w:r w:rsidR="0068266D" w:rsidRPr="00B051E5">
        <w:rPr>
          <w:rFonts w:ascii="Garamond" w:eastAsia="Calibri" w:hAnsi="Garamond"/>
          <w:color w:val="000000" w:themeColor="text1"/>
        </w:rPr>
        <w:t xml:space="preserve">, to ensure that risk-related disclosure had been </w:t>
      </w:r>
      <w:r w:rsidR="000729D1" w:rsidRPr="00B051E5">
        <w:rPr>
          <w:rFonts w:ascii="Garamond" w:eastAsia="Calibri" w:hAnsi="Garamond"/>
          <w:color w:val="000000" w:themeColor="text1"/>
        </w:rPr>
        <w:t xml:space="preserve">publicly </w:t>
      </w:r>
      <w:r w:rsidR="0068266D" w:rsidRPr="00B051E5">
        <w:rPr>
          <w:rFonts w:ascii="Garamond" w:eastAsia="Calibri" w:hAnsi="Garamond"/>
          <w:color w:val="000000" w:themeColor="text1"/>
        </w:rPr>
        <w:t xml:space="preserve">made to investors (e.g. Kravet </w:t>
      </w:r>
      <w:r w:rsidR="00946F85" w:rsidRPr="00B051E5">
        <w:rPr>
          <w:rFonts w:ascii="Garamond" w:eastAsia="Calibri" w:hAnsi="Garamond"/>
          <w:color w:val="000000" w:themeColor="text1"/>
        </w:rPr>
        <w:t xml:space="preserve">and </w:t>
      </w:r>
      <w:r w:rsidR="0068266D" w:rsidRPr="00B051E5">
        <w:rPr>
          <w:rFonts w:ascii="Garamond" w:eastAsia="Calibri" w:hAnsi="Garamond"/>
          <w:color w:val="000000" w:themeColor="text1"/>
        </w:rPr>
        <w:t xml:space="preserve"> Muslu 2013). </w:t>
      </w:r>
      <w:r w:rsidRPr="00B051E5">
        <w:rPr>
          <w:rFonts w:ascii="Garamond" w:eastAsia="Calibri" w:hAnsi="Garamond"/>
          <w:color w:val="000000" w:themeColor="text1"/>
        </w:rPr>
        <w:t>Additionally, awe included the lagged values of the regressors (</w:t>
      </w:r>
      <w:r w:rsidRPr="00B051E5">
        <w:rPr>
          <w:rFonts w:ascii="Garamond" w:eastAsia="Calibri" w:hAnsi="Garamond"/>
          <w:i/>
          <w:color w:val="000000" w:themeColor="text1"/>
        </w:rPr>
        <w:t>MARET</w:t>
      </w:r>
      <w:r w:rsidRPr="00B051E5">
        <w:rPr>
          <w:rFonts w:ascii="Garamond" w:eastAsia="Calibri" w:hAnsi="Garamond"/>
          <w:i/>
          <w:color w:val="000000" w:themeColor="text1"/>
          <w:vertAlign w:val="subscript"/>
        </w:rPr>
        <w:t>i</w:t>
      </w:r>
      <w:r w:rsidR="00350451" w:rsidRPr="00B051E5">
        <w:rPr>
          <w:rFonts w:ascii="Garamond" w:eastAsia="Calibri" w:hAnsi="Garamond"/>
          <w:i/>
          <w:color w:val="000000" w:themeColor="text1"/>
          <w:vertAlign w:val="subscript"/>
        </w:rPr>
        <w:t>, t</w:t>
      </w:r>
      <w:r w:rsidRPr="00B051E5">
        <w:rPr>
          <w:rFonts w:ascii="Garamond" w:eastAsia="Calibri" w:hAnsi="Garamond"/>
          <w:i/>
          <w:color w:val="000000" w:themeColor="text1"/>
          <w:vertAlign w:val="subscript"/>
        </w:rPr>
        <w:t>-1</w:t>
      </w:r>
      <w:r w:rsidRPr="00B051E5">
        <w:rPr>
          <w:rFonts w:ascii="Garamond" w:eastAsia="Calibri" w:hAnsi="Garamond"/>
          <w:color w:val="000000" w:themeColor="text1"/>
        </w:rPr>
        <w:t xml:space="preserve"> and </w:t>
      </w:r>
      <w:r w:rsidRPr="00B051E5">
        <w:rPr>
          <w:rFonts w:ascii="Garamond" w:eastAsia="Calibri" w:hAnsi="Garamond"/>
          <w:i/>
          <w:color w:val="000000" w:themeColor="text1"/>
        </w:rPr>
        <w:t>INDRET</w:t>
      </w:r>
      <w:r w:rsidRPr="00B051E5">
        <w:rPr>
          <w:rFonts w:ascii="Garamond" w:eastAsia="Calibri" w:hAnsi="Garamond"/>
          <w:i/>
          <w:color w:val="000000" w:themeColor="text1"/>
          <w:vertAlign w:val="subscript"/>
        </w:rPr>
        <w:t>i</w:t>
      </w:r>
      <w:r w:rsidR="00350451" w:rsidRPr="00B051E5">
        <w:rPr>
          <w:rFonts w:ascii="Garamond" w:eastAsia="Calibri" w:hAnsi="Garamond"/>
          <w:i/>
          <w:color w:val="000000" w:themeColor="text1"/>
          <w:vertAlign w:val="subscript"/>
        </w:rPr>
        <w:t>, t</w:t>
      </w:r>
      <w:r w:rsidRPr="00B051E5">
        <w:rPr>
          <w:rFonts w:ascii="Garamond" w:eastAsia="Calibri" w:hAnsi="Garamond"/>
          <w:i/>
          <w:color w:val="000000" w:themeColor="text1"/>
          <w:vertAlign w:val="subscript"/>
        </w:rPr>
        <w:t>-1</w:t>
      </w:r>
      <w:r w:rsidRPr="00B051E5">
        <w:rPr>
          <w:rFonts w:ascii="Garamond" w:eastAsia="Calibri" w:hAnsi="Garamond"/>
          <w:color w:val="000000" w:themeColor="text1"/>
        </w:rPr>
        <w:t>)</w:t>
      </w:r>
      <w:r w:rsidRPr="00B051E5">
        <w:rPr>
          <w:rFonts w:ascii="Garamond" w:eastAsia="Calibri" w:hAnsi="Garamond"/>
          <w:color w:val="000000" w:themeColor="text1"/>
          <w:vertAlign w:val="subscript"/>
        </w:rPr>
        <w:t xml:space="preserve"> </w:t>
      </w:r>
      <w:r w:rsidR="000729D1" w:rsidRPr="00B051E5">
        <w:rPr>
          <w:rFonts w:ascii="Garamond" w:eastAsia="Calibri" w:hAnsi="Garamond"/>
          <w:color w:val="000000" w:themeColor="text1"/>
        </w:rPr>
        <w:t xml:space="preserve">since </w:t>
      </w:r>
      <w:r w:rsidRPr="00B051E5">
        <w:rPr>
          <w:rFonts w:ascii="Garamond" w:eastAsia="Calibri" w:hAnsi="Garamond"/>
          <w:color w:val="000000" w:themeColor="text1"/>
        </w:rPr>
        <w:t xml:space="preserve">the presence of informed parties can impact the timing of </w:t>
      </w:r>
      <w:r w:rsidR="000729D1" w:rsidRPr="00B051E5">
        <w:rPr>
          <w:rFonts w:ascii="Garamond" w:eastAsia="Calibri" w:hAnsi="Garamond"/>
          <w:color w:val="000000" w:themeColor="text1"/>
        </w:rPr>
        <w:t xml:space="preserve">the incorporation into prices of </w:t>
      </w:r>
      <w:r w:rsidRPr="00B051E5">
        <w:rPr>
          <w:rFonts w:ascii="Garamond" w:eastAsia="Calibri" w:hAnsi="Garamond"/>
          <w:color w:val="000000" w:themeColor="text1"/>
        </w:rPr>
        <w:t>market and industry information</w:t>
      </w:r>
      <w:r w:rsidR="000729D1" w:rsidRPr="00B051E5">
        <w:rPr>
          <w:rFonts w:ascii="Garamond" w:eastAsia="Calibri" w:hAnsi="Garamond"/>
          <w:color w:val="000000" w:themeColor="text1"/>
        </w:rPr>
        <w:t>.</w:t>
      </w:r>
      <w:r w:rsidRPr="00B051E5">
        <w:rPr>
          <w:rFonts w:ascii="Garamond" w:eastAsia="Calibri" w:hAnsi="Garamond"/>
          <w:color w:val="000000" w:themeColor="text1"/>
        </w:rPr>
        <w:t xml:space="preserve"> </w:t>
      </w:r>
      <w:r w:rsidR="009F5C73" w:rsidRPr="00B051E5">
        <w:rPr>
          <w:rFonts w:ascii="Garamond" w:eastAsia="Calibri" w:hAnsi="Garamond"/>
          <w:color w:val="000000" w:themeColor="text1"/>
        </w:rPr>
        <w:t>Thus</w:t>
      </w:r>
      <w:r w:rsidRPr="00B051E5">
        <w:rPr>
          <w:rFonts w:ascii="Garamond" w:eastAsia="Calibri" w:hAnsi="Garamond"/>
          <w:color w:val="000000" w:themeColor="text1"/>
        </w:rPr>
        <w:t>, we used the following regression to generate R-squared.</w:t>
      </w:r>
    </w:p>
    <w:tbl>
      <w:tblPr>
        <w:tblpPr w:leftFromText="180" w:rightFromText="180" w:vertAnchor="text" w:horzAnchor="margin" w:tblpY="43"/>
        <w:tblW w:w="10065" w:type="dxa"/>
        <w:tblLook w:val="04A0" w:firstRow="1" w:lastRow="0" w:firstColumn="1" w:lastColumn="0" w:noHBand="0" w:noVBand="1"/>
      </w:tblPr>
      <w:tblGrid>
        <w:gridCol w:w="1067"/>
        <w:gridCol w:w="7722"/>
        <w:gridCol w:w="1276"/>
      </w:tblGrid>
      <w:tr w:rsidR="00B051E5" w:rsidRPr="00B051E5" w14:paraId="2A659084" w14:textId="77777777" w:rsidTr="00524315">
        <w:trPr>
          <w:trHeight w:val="568"/>
        </w:trPr>
        <w:tc>
          <w:tcPr>
            <w:tcW w:w="1067" w:type="dxa"/>
            <w:shd w:val="clear" w:color="auto" w:fill="auto"/>
          </w:tcPr>
          <w:p w14:paraId="06E0211B" w14:textId="77777777" w:rsidR="00820639" w:rsidRPr="00B051E5" w:rsidRDefault="008D4623" w:rsidP="00D75008">
            <w:pPr>
              <w:spacing w:line="360" w:lineRule="auto"/>
              <w:jc w:val="both"/>
              <w:rPr>
                <w:rFonts w:ascii="Garamond" w:eastAsia="Calibri" w:hAnsi="Garamond"/>
                <w:b/>
                <w:bCs/>
                <w:color w:val="000000" w:themeColor="text1"/>
                <w:sz w:val="22"/>
                <w:szCs w:val="22"/>
              </w:rPr>
            </w:pPr>
            <m:oMathPara>
              <m:oMath>
                <m:r>
                  <w:rPr>
                    <w:rFonts w:ascii="Cambria Math" w:eastAsia="Calibri" w:hAnsi="Garamond"/>
                    <w:noProof/>
                    <w:color w:val="000000" w:themeColor="text1"/>
                    <w:sz w:val="22"/>
                    <w:szCs w:val="22"/>
                  </w:rPr>
                  <m:t>RE</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T</m:t>
                    </m:r>
                  </m:e>
                  <m:sub>
                    <m:r>
                      <w:rPr>
                        <w:rFonts w:ascii="Cambria Math" w:eastAsia="Calibri" w:hAnsi="Garamond"/>
                        <w:noProof/>
                        <w:color w:val="000000" w:themeColor="text1"/>
                        <w:sz w:val="22"/>
                        <w:szCs w:val="22"/>
                      </w:rPr>
                      <m:t>i,t</m:t>
                    </m:r>
                  </m:sub>
                </m:sSub>
                <m:r>
                  <m:rPr>
                    <m:sty m:val="bi"/>
                  </m:rPr>
                  <w:rPr>
                    <w:rFonts w:ascii="Cambria Math" w:eastAsia="Calibri" w:hAnsi="Garamond"/>
                    <w:noProof/>
                    <w:color w:val="000000" w:themeColor="text1"/>
                    <w:sz w:val="22"/>
                    <w:szCs w:val="22"/>
                  </w:rPr>
                  <m:t>=</m:t>
                </m:r>
              </m:oMath>
            </m:oMathPara>
          </w:p>
        </w:tc>
        <w:tc>
          <w:tcPr>
            <w:tcW w:w="7722" w:type="dxa"/>
            <w:shd w:val="clear" w:color="auto" w:fill="auto"/>
          </w:tcPr>
          <w:p w14:paraId="5F62B743" w14:textId="77777777" w:rsidR="00820639" w:rsidRPr="00B051E5" w:rsidRDefault="00490386" w:rsidP="00D75008">
            <w:pPr>
              <w:spacing w:line="360" w:lineRule="auto"/>
              <w:jc w:val="both"/>
              <w:rPr>
                <w:rFonts w:ascii="Garamond" w:eastAsia="Calibri" w:hAnsi="Garamond"/>
                <w:b/>
                <w:bCs/>
                <w:color w:val="000000" w:themeColor="text1"/>
                <w:sz w:val="22"/>
                <w:szCs w:val="22"/>
              </w:rPr>
            </w:pPr>
            <m:oMathPara>
              <m:oMath>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0</m:t>
                    </m:r>
                  </m:sub>
                </m:sSub>
                <m:r>
                  <w:rPr>
                    <w:rFonts w:ascii="Cambria Math" w:eastAsia="Calibri" w:hAnsi="Garamond"/>
                    <w:noProof/>
                    <w:color w:val="000000" w:themeColor="text1"/>
                    <w:sz w:val="22"/>
                    <w:szCs w:val="22"/>
                  </w:rPr>
                  <m:t>+</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1</m:t>
                    </m:r>
                  </m:sub>
                </m:sSub>
                <m:r>
                  <w:rPr>
                    <w:rFonts w:ascii="Cambria Math" w:eastAsia="Calibri" w:hAnsi="Garamond"/>
                    <w:noProof/>
                    <w:color w:val="000000" w:themeColor="text1"/>
                    <w:sz w:val="22"/>
                    <w:szCs w:val="22"/>
                  </w:rPr>
                  <m:t>MARE</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T</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2</m:t>
                    </m:r>
                  </m:sub>
                </m:sSub>
                <m:r>
                  <w:rPr>
                    <w:rFonts w:ascii="Cambria Math" w:eastAsia="Calibri" w:hAnsi="Garamond"/>
                    <w:noProof/>
                    <w:color w:val="000000" w:themeColor="text1"/>
                    <w:sz w:val="22"/>
                    <w:szCs w:val="22"/>
                  </w:rPr>
                  <m:t>MARE</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T</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1</m:t>
                    </m:r>
                  </m:sub>
                </m:sSub>
                <m:r>
                  <w:rPr>
                    <w:rFonts w:ascii="Cambria Math" w:eastAsia="Calibri" w:hAnsi="Garamond"/>
                    <w:noProof/>
                    <w:color w:val="000000" w:themeColor="text1"/>
                    <w:sz w:val="22"/>
                    <w:szCs w:val="22"/>
                  </w:rPr>
                  <m:t>+</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3</m:t>
                    </m:r>
                  </m:sub>
                </m:sSub>
                <m:r>
                  <w:rPr>
                    <w:rFonts w:ascii="Cambria Math" w:eastAsia="Calibri" w:hAnsi="Garamond"/>
                    <w:noProof/>
                    <w:color w:val="000000" w:themeColor="text1"/>
                    <w:sz w:val="22"/>
                    <w:szCs w:val="22"/>
                  </w:rPr>
                  <m:t>INDRE</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T</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4</m:t>
                    </m:r>
                  </m:sub>
                </m:sSub>
                <m:r>
                  <w:rPr>
                    <w:rFonts w:ascii="Cambria Math" w:eastAsia="Calibri" w:hAnsi="Garamond"/>
                    <w:noProof/>
                    <w:color w:val="000000" w:themeColor="text1"/>
                    <w:sz w:val="22"/>
                    <w:szCs w:val="22"/>
                  </w:rPr>
                  <m:t>INDRE</m:t>
                </m:r>
                <m:sSub>
                  <m:sSubPr>
                    <m:ctrlPr>
                      <w:rPr>
                        <w:rFonts w:ascii="Cambria Math" w:eastAsia="Calibri" w:hAnsi="Garamond"/>
                        <w:bCs/>
                        <w:i/>
                        <w:noProof/>
                        <w:color w:val="000000" w:themeColor="text1"/>
                        <w:sz w:val="22"/>
                        <w:szCs w:val="22"/>
                      </w:rPr>
                    </m:ctrlPr>
                  </m:sSubPr>
                  <m:e>
                    <m:r>
                      <w:rPr>
                        <w:rFonts w:ascii="Cambria Math" w:eastAsia="Calibri" w:hAnsi="Garamond"/>
                        <w:noProof/>
                        <w:color w:val="000000" w:themeColor="text1"/>
                        <w:sz w:val="22"/>
                        <w:szCs w:val="22"/>
                      </w:rPr>
                      <m:t>T</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1</m:t>
                    </m:r>
                  </m:sub>
                </m:sSub>
                <m:r>
                  <m:rPr>
                    <m:sty m:val="bi"/>
                  </m:rPr>
                  <w:rPr>
                    <w:rFonts w:ascii="Cambria Math" w:eastAsia="Calibri" w:hAnsi="Garamond"/>
                    <w:noProof/>
                    <w:color w:val="000000" w:themeColor="text1"/>
                    <w:sz w:val="22"/>
                    <w:szCs w:val="22"/>
                  </w:rPr>
                  <m:t>+</m:t>
                </m:r>
                <m:sSub>
                  <m:sSubPr>
                    <m:ctrlPr>
                      <w:rPr>
                        <w:rFonts w:ascii="Cambria Math" w:eastAsia="Calibri" w:hAnsi="Garamond"/>
                        <w:b/>
                        <w:bCs/>
                        <w:i/>
                        <w:noProof/>
                        <w:color w:val="000000" w:themeColor="text1"/>
                        <w:sz w:val="22"/>
                        <w:szCs w:val="22"/>
                      </w:rPr>
                    </m:ctrlPr>
                  </m:sSubPr>
                  <m:e>
                    <m:r>
                      <m:rPr>
                        <m:sty m:val="bi"/>
                      </m:rPr>
                      <w:rPr>
                        <w:rFonts w:ascii="Cambria Math" w:eastAsia="Calibri" w:hAnsi="Garamond"/>
                        <w:noProof/>
                        <w:color w:val="000000" w:themeColor="text1"/>
                        <w:sz w:val="22"/>
                        <w:szCs w:val="22"/>
                      </w:rPr>
                      <m:t>ε</m:t>
                    </m:r>
                  </m:e>
                  <m:sub>
                    <m:r>
                      <m:rPr>
                        <m:sty m:val="bi"/>
                      </m:rPr>
                      <w:rPr>
                        <w:rFonts w:ascii="Cambria Math" w:eastAsia="Calibri" w:hAnsi="Garamond"/>
                        <w:noProof/>
                        <w:color w:val="000000" w:themeColor="text1"/>
                        <w:sz w:val="22"/>
                        <w:szCs w:val="22"/>
                      </w:rPr>
                      <m:t>i</m:t>
                    </m:r>
                    <m:r>
                      <m:rPr>
                        <m:sty m:val="bi"/>
                      </m:rPr>
                      <w:rPr>
                        <w:rFonts w:ascii="Cambria Math" w:eastAsia="Calibri" w:hAnsi="Garamond"/>
                        <w:noProof/>
                        <w:color w:val="000000" w:themeColor="text1"/>
                        <w:sz w:val="22"/>
                        <w:szCs w:val="22"/>
                      </w:rPr>
                      <m:t>,</m:t>
                    </m:r>
                    <m:r>
                      <m:rPr>
                        <m:sty m:val="bi"/>
                      </m:rPr>
                      <w:rPr>
                        <w:rFonts w:ascii="Cambria Math" w:eastAsia="Calibri" w:hAnsi="Garamond"/>
                        <w:noProof/>
                        <w:color w:val="000000" w:themeColor="text1"/>
                        <w:sz w:val="22"/>
                        <w:szCs w:val="22"/>
                      </w:rPr>
                      <m:t>t</m:t>
                    </m:r>
                  </m:sub>
                </m:sSub>
              </m:oMath>
            </m:oMathPara>
          </w:p>
        </w:tc>
        <w:tc>
          <w:tcPr>
            <w:tcW w:w="1276" w:type="dxa"/>
            <w:shd w:val="clear" w:color="auto" w:fill="auto"/>
          </w:tcPr>
          <w:p w14:paraId="691D76DB" w14:textId="77777777" w:rsidR="00820639" w:rsidRPr="00B051E5" w:rsidRDefault="003C7280" w:rsidP="00D75008">
            <w:pPr>
              <w:spacing w:line="360" w:lineRule="auto"/>
              <w:jc w:val="both"/>
              <w:rPr>
                <w:rFonts w:ascii="Garamond" w:eastAsia="Calibri" w:hAnsi="Garamond"/>
                <w:bCs/>
                <w:color w:val="000000" w:themeColor="text1"/>
                <w:sz w:val="22"/>
                <w:szCs w:val="22"/>
              </w:rPr>
            </w:pPr>
            <w:r w:rsidRPr="00B051E5">
              <w:rPr>
                <w:rFonts w:ascii="Garamond" w:eastAsia="Calibri" w:hAnsi="Garamond"/>
                <w:bCs/>
                <w:color w:val="000000" w:themeColor="text1"/>
                <w:sz w:val="22"/>
                <w:szCs w:val="22"/>
              </w:rPr>
              <w:t>Equation</w:t>
            </w:r>
            <w:r w:rsidR="00820639" w:rsidRPr="00B051E5">
              <w:rPr>
                <w:rFonts w:ascii="Garamond" w:eastAsia="Calibri" w:hAnsi="Garamond"/>
                <w:bCs/>
                <w:color w:val="000000" w:themeColor="text1"/>
                <w:sz w:val="22"/>
                <w:szCs w:val="22"/>
              </w:rPr>
              <w:t xml:space="preserve"> 1</w:t>
            </w:r>
          </w:p>
        </w:tc>
      </w:tr>
    </w:tbl>
    <w:p w14:paraId="03390794" w14:textId="1700A768" w:rsidR="00820639" w:rsidRPr="00B051E5" w:rsidRDefault="00E958F8" w:rsidP="00693F5C">
      <w:pPr>
        <w:spacing w:line="480" w:lineRule="auto"/>
        <w:ind w:firstLine="720"/>
        <w:jc w:val="both"/>
        <w:rPr>
          <w:rFonts w:ascii="Garamond" w:eastAsia="Calibri" w:hAnsi="Garamond"/>
          <w:color w:val="000000" w:themeColor="text1"/>
        </w:rPr>
      </w:pPr>
      <w:r w:rsidRPr="00B051E5">
        <w:rPr>
          <w:rFonts w:ascii="Garamond" w:eastAsia="Calibri" w:hAnsi="Garamond"/>
          <w:color w:val="000000" w:themeColor="text1"/>
        </w:rPr>
        <w:t>To g</w:t>
      </w:r>
      <w:r w:rsidR="00820639" w:rsidRPr="00B051E5">
        <w:rPr>
          <w:rFonts w:ascii="Garamond" w:eastAsia="Calibri" w:hAnsi="Garamond"/>
          <w:color w:val="000000" w:themeColor="text1"/>
        </w:rPr>
        <w:t>enerate high explanatory power (high R-squared) a firm must trade with the market, meaning that the firm’s stock prices must align with the stock prices of other firms in the market or, in other words, the firm should exhibit synchronous stock price movement (e.g., Ashbaugh-Skaife</w:t>
      </w:r>
      <w:r w:rsidR="00946F85" w:rsidRPr="00B051E5">
        <w:rPr>
          <w:rFonts w:ascii="Garamond" w:eastAsia="Calibri" w:hAnsi="Garamond"/>
          <w:color w:val="000000" w:themeColor="text1"/>
        </w:rPr>
        <w:t xml:space="preserve"> et al. </w:t>
      </w:r>
      <w:r w:rsidR="00820639" w:rsidRPr="00B051E5">
        <w:rPr>
          <w:rFonts w:ascii="Garamond" w:eastAsia="Calibri" w:hAnsi="Garamond"/>
          <w:color w:val="000000" w:themeColor="text1"/>
        </w:rPr>
        <w:t xml:space="preserve">2006). While R-squared is bounded between 0 and 1, for our regression analyses we followed </w:t>
      </w:r>
      <w:r w:rsidRPr="00B051E5">
        <w:rPr>
          <w:rFonts w:ascii="Garamond" w:eastAsia="Calibri" w:hAnsi="Garamond"/>
          <w:color w:val="000000" w:themeColor="text1"/>
        </w:rPr>
        <w:t xml:space="preserve">the </w:t>
      </w:r>
      <w:r w:rsidR="00820639" w:rsidRPr="00B051E5">
        <w:rPr>
          <w:rFonts w:ascii="Garamond" w:eastAsia="Calibri" w:hAnsi="Garamond"/>
          <w:color w:val="000000" w:themeColor="text1"/>
        </w:rPr>
        <w:t>prior literature (e.g.</w:t>
      </w:r>
      <w:r w:rsidR="00646910"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Piotroski </w:t>
      </w:r>
      <w:r w:rsidR="00946F85" w:rsidRPr="00B051E5">
        <w:rPr>
          <w:rFonts w:ascii="Garamond" w:eastAsia="Calibri" w:hAnsi="Garamond"/>
          <w:color w:val="000000" w:themeColor="text1"/>
        </w:rPr>
        <w:t>and Roulstone</w:t>
      </w:r>
      <w:r w:rsidR="00E05955"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2004; Haggard et al.</w:t>
      </w:r>
      <w:r w:rsidR="00E05955" w:rsidRPr="00B051E5">
        <w:rPr>
          <w:rFonts w:ascii="Garamond" w:eastAsia="Calibri" w:hAnsi="Garamond"/>
          <w:color w:val="000000" w:themeColor="text1"/>
        </w:rPr>
        <w:t>,</w:t>
      </w:r>
      <w:r w:rsidR="00820639" w:rsidRPr="00B051E5">
        <w:rPr>
          <w:rFonts w:ascii="Garamond" w:eastAsia="Calibri" w:hAnsi="Garamond"/>
          <w:color w:val="000000" w:themeColor="text1"/>
        </w:rPr>
        <w:t xml:space="preserve"> 2008) and transformed it into an unbounded continuous variable </w:t>
      </w:r>
      <w:r w:rsidR="00820639" w:rsidRPr="00B051E5">
        <w:rPr>
          <w:rFonts w:ascii="Garamond" w:eastAsia="Calibri" w:hAnsi="Garamond"/>
          <w:i/>
          <w:color w:val="000000" w:themeColor="text1"/>
        </w:rPr>
        <w:t>SYNCH</w:t>
      </w:r>
      <w:r w:rsidR="00820639" w:rsidRPr="00B051E5">
        <w:rPr>
          <w:rFonts w:ascii="Garamond" w:eastAsia="Calibri" w:hAnsi="Garamond"/>
          <w:color w:val="000000" w:themeColor="text1"/>
        </w:rPr>
        <w:t xml:space="preserve">:                                      </w:t>
      </w:r>
    </w:p>
    <w:tbl>
      <w:tblPr>
        <w:tblpPr w:leftFromText="180" w:rightFromText="180" w:vertAnchor="text" w:horzAnchor="margin" w:tblpY="89"/>
        <w:tblW w:w="9792" w:type="dxa"/>
        <w:tblLook w:val="04A0" w:firstRow="1" w:lastRow="0" w:firstColumn="1" w:lastColumn="0" w:noHBand="0" w:noVBand="1"/>
      </w:tblPr>
      <w:tblGrid>
        <w:gridCol w:w="1510"/>
        <w:gridCol w:w="2254"/>
        <w:gridCol w:w="6028"/>
      </w:tblGrid>
      <w:tr w:rsidR="00B051E5" w:rsidRPr="00B051E5" w14:paraId="29841A2E" w14:textId="77777777" w:rsidTr="000C0153">
        <w:trPr>
          <w:trHeight w:val="644"/>
        </w:trPr>
        <w:tc>
          <w:tcPr>
            <w:tcW w:w="1510" w:type="dxa"/>
            <w:shd w:val="clear" w:color="auto" w:fill="auto"/>
          </w:tcPr>
          <w:p w14:paraId="3DE45DDB" w14:textId="77777777" w:rsidR="00820639" w:rsidRPr="00B051E5" w:rsidRDefault="00C17312" w:rsidP="00524315">
            <w:pPr>
              <w:spacing w:line="360" w:lineRule="auto"/>
              <w:jc w:val="both"/>
              <w:rPr>
                <w:rFonts w:ascii="Garamond" w:eastAsia="Calibri" w:hAnsi="Garamond"/>
                <w:color w:val="000000" w:themeColor="text1"/>
                <w:sz w:val="22"/>
                <w:szCs w:val="22"/>
              </w:rPr>
            </w:pPr>
            <m:oMathPara>
              <m:oMath>
                <m:r>
                  <w:rPr>
                    <w:rFonts w:ascii="Cambria Math" w:eastAsia="Calibri" w:hAnsi="Garamond"/>
                    <w:noProof/>
                    <w:color w:val="000000" w:themeColor="text1"/>
                    <w:sz w:val="22"/>
                    <w:szCs w:val="22"/>
                  </w:rPr>
                  <m:t>SYNC</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H</m:t>
                    </m:r>
                  </m:e>
                  <m:sub>
                    <m:r>
                      <w:rPr>
                        <w:rFonts w:ascii="Cambria Math" w:eastAsia="Calibri" w:hAnsi="Garamond"/>
                        <w:noProof/>
                        <w:color w:val="000000" w:themeColor="text1"/>
                        <w:sz w:val="22"/>
                        <w:szCs w:val="22"/>
                      </w:rPr>
                      <m:t>i,t</m:t>
                    </m:r>
                  </m:sub>
                </m:sSub>
                <m:r>
                  <w:rPr>
                    <w:rFonts w:ascii="Cambria Math" w:eastAsia="Calibri" w:hAnsi="Garamond"/>
                    <w:noProof/>
                    <w:color w:val="000000" w:themeColor="text1"/>
                    <w:sz w:val="22"/>
                    <w:szCs w:val="22"/>
                  </w:rPr>
                  <m:t>=</m:t>
                </m:r>
              </m:oMath>
            </m:oMathPara>
          </w:p>
        </w:tc>
        <w:tc>
          <w:tcPr>
            <w:tcW w:w="2254" w:type="dxa"/>
            <w:shd w:val="clear" w:color="auto" w:fill="auto"/>
          </w:tcPr>
          <w:p w14:paraId="7CF17106" w14:textId="77777777" w:rsidR="00820639" w:rsidRPr="00B051E5" w:rsidRDefault="00490386" w:rsidP="00524315">
            <w:pPr>
              <w:spacing w:line="360" w:lineRule="auto"/>
              <w:jc w:val="both"/>
              <w:rPr>
                <w:rFonts w:ascii="Garamond" w:eastAsia="Calibri" w:hAnsi="Garamond"/>
                <w:color w:val="000000" w:themeColor="text1"/>
                <w:sz w:val="22"/>
                <w:szCs w:val="22"/>
              </w:rPr>
            </w:pPr>
            <m:oMathPara>
              <m:oMath>
                <m:func>
                  <m:funcPr>
                    <m:ctrlPr>
                      <w:rPr>
                        <w:rFonts w:ascii="Cambria Math" w:eastAsia="Calibri" w:hAnsi="Garamond"/>
                        <w:i/>
                        <w:noProof/>
                        <w:color w:val="000000" w:themeColor="text1"/>
                        <w:sz w:val="22"/>
                        <w:szCs w:val="22"/>
                      </w:rPr>
                    </m:ctrlPr>
                  </m:funcPr>
                  <m:fName>
                    <m:r>
                      <w:rPr>
                        <w:rFonts w:ascii="Cambria Math" w:eastAsia="Calibri" w:hAnsi="Garamond"/>
                        <w:noProof/>
                        <w:color w:val="000000" w:themeColor="text1"/>
                        <w:sz w:val="22"/>
                        <w:szCs w:val="22"/>
                      </w:rPr>
                      <m:t>log</m:t>
                    </m:r>
                  </m:fName>
                  <m:e>
                    <m:d>
                      <m:dPr>
                        <m:ctrlPr>
                          <w:rPr>
                            <w:rFonts w:ascii="Cambria Math" w:eastAsia="Calibri" w:hAnsi="Garamond"/>
                            <w:i/>
                            <w:noProof/>
                            <w:color w:val="000000" w:themeColor="text1"/>
                            <w:sz w:val="22"/>
                            <w:szCs w:val="22"/>
                          </w:rPr>
                        </m:ctrlPr>
                      </m:dPr>
                      <m:e>
                        <m:f>
                          <m:fPr>
                            <m:ctrlPr>
                              <w:rPr>
                                <w:rFonts w:ascii="Cambria Math" w:eastAsia="Calibri" w:hAnsi="Garamond"/>
                                <w:i/>
                                <w:noProof/>
                                <w:color w:val="000000" w:themeColor="text1"/>
                                <w:sz w:val="22"/>
                                <w:szCs w:val="22"/>
                              </w:rPr>
                            </m:ctrlPr>
                          </m:fPr>
                          <m:num>
                            <m:sSup>
                              <m:sSupPr>
                                <m:ctrlPr>
                                  <w:rPr>
                                    <w:rFonts w:ascii="Cambria Math" w:eastAsia="Calibri" w:hAnsi="Garamond"/>
                                    <w:i/>
                                    <w:noProof/>
                                    <w:color w:val="000000" w:themeColor="text1"/>
                                    <w:sz w:val="22"/>
                                    <w:szCs w:val="22"/>
                                  </w:rPr>
                                </m:ctrlPr>
                              </m:sSupPr>
                              <m:e>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R</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e>
                              <m:sup>
                                <m:r>
                                  <w:rPr>
                                    <w:rFonts w:ascii="Cambria Math" w:eastAsia="Calibri" w:hAnsi="Garamond"/>
                                    <w:noProof/>
                                    <w:color w:val="000000" w:themeColor="text1"/>
                                    <w:sz w:val="22"/>
                                    <w:szCs w:val="22"/>
                                  </w:rPr>
                                  <m:t>2</m:t>
                                </m:r>
                              </m:sup>
                            </m:sSup>
                          </m:num>
                          <m:den>
                            <m:r>
                              <w:rPr>
                                <w:rFonts w:ascii="Cambria Math" w:eastAsia="Calibri" w:hAnsi="Garamond"/>
                                <w:noProof/>
                                <w:color w:val="000000" w:themeColor="text1"/>
                                <w:sz w:val="22"/>
                                <w:szCs w:val="22"/>
                              </w:rPr>
                              <m:t>1</m:t>
                            </m:r>
                            <m:r>
                              <w:rPr>
                                <w:rFonts w:ascii="Cambria Math" w:eastAsia="Calibri" w:hAnsi="Garamond"/>
                                <w:noProof/>
                                <w:color w:val="000000" w:themeColor="text1"/>
                                <w:sz w:val="22"/>
                                <w:szCs w:val="22"/>
                              </w:rPr>
                              <m:t>-</m:t>
                            </m:r>
                            <m:sSup>
                              <m:sSupPr>
                                <m:ctrlPr>
                                  <w:rPr>
                                    <w:rFonts w:ascii="Cambria Math" w:eastAsia="Calibri" w:hAnsi="Garamond"/>
                                    <w:i/>
                                    <w:noProof/>
                                    <w:color w:val="000000" w:themeColor="text1"/>
                                    <w:sz w:val="22"/>
                                    <w:szCs w:val="22"/>
                                  </w:rPr>
                                </m:ctrlPr>
                              </m:sSupPr>
                              <m:e>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R</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e>
                              <m:sup>
                                <m:r>
                                  <w:rPr>
                                    <w:rFonts w:ascii="Cambria Math" w:eastAsia="Calibri" w:hAnsi="Garamond"/>
                                    <w:noProof/>
                                    <w:color w:val="000000" w:themeColor="text1"/>
                                    <w:sz w:val="22"/>
                                    <w:szCs w:val="22"/>
                                  </w:rPr>
                                  <m:t>2</m:t>
                                </m:r>
                              </m:sup>
                            </m:sSup>
                            <m:ctrlPr>
                              <w:rPr>
                                <w:rFonts w:ascii="Cambria Math" w:eastAsia="Calibri" w:hAnsi="Cambria Math"/>
                                <w:i/>
                                <w:noProof/>
                                <w:color w:val="000000" w:themeColor="text1"/>
                                <w:sz w:val="22"/>
                                <w:szCs w:val="22"/>
                              </w:rPr>
                            </m:ctrlPr>
                          </m:den>
                        </m:f>
                        <m:ctrlPr>
                          <w:rPr>
                            <w:rFonts w:ascii="Cambria Math" w:eastAsia="Calibri" w:hAnsi="Cambria Math"/>
                            <w:i/>
                            <w:noProof/>
                            <w:color w:val="000000" w:themeColor="text1"/>
                            <w:sz w:val="22"/>
                            <w:szCs w:val="22"/>
                          </w:rPr>
                        </m:ctrlPr>
                      </m:e>
                    </m:d>
                    <m:ctrlPr>
                      <w:rPr>
                        <w:rFonts w:ascii="Cambria Math" w:eastAsia="Calibri" w:hAnsi="Cambria Math"/>
                        <w:i/>
                        <w:noProof/>
                        <w:color w:val="000000" w:themeColor="text1"/>
                        <w:sz w:val="22"/>
                        <w:szCs w:val="22"/>
                      </w:rPr>
                    </m:ctrlPr>
                  </m:e>
                </m:func>
              </m:oMath>
            </m:oMathPara>
          </w:p>
        </w:tc>
        <w:tc>
          <w:tcPr>
            <w:tcW w:w="6028" w:type="dxa"/>
            <w:shd w:val="clear" w:color="auto" w:fill="auto"/>
          </w:tcPr>
          <w:p w14:paraId="5589FB8C" w14:textId="30AC85F4" w:rsidR="00820639" w:rsidRPr="00B051E5" w:rsidRDefault="00C17312" w:rsidP="00524315">
            <w:pPr>
              <w:spacing w:line="360" w:lineRule="auto"/>
              <w:jc w:val="both"/>
              <w:rPr>
                <w:rFonts w:ascii="Garamond" w:eastAsia="Calibri" w:hAnsi="Garamond"/>
                <w:color w:val="000000" w:themeColor="text1"/>
                <w:sz w:val="22"/>
                <w:szCs w:val="22"/>
              </w:rPr>
            </w:pPr>
            <w:r w:rsidRPr="00B051E5">
              <w:rPr>
                <w:rFonts w:ascii="Garamond" w:eastAsia="Calibri" w:hAnsi="Garamond"/>
                <w:color w:val="000000" w:themeColor="text1"/>
                <w:sz w:val="22"/>
                <w:szCs w:val="22"/>
              </w:rPr>
              <w:t xml:space="preserve">    </w:t>
            </w:r>
            <w:r w:rsidR="002114DC" w:rsidRPr="00B051E5">
              <w:rPr>
                <w:rFonts w:ascii="Garamond" w:eastAsia="Calibri" w:hAnsi="Garamond"/>
                <w:color w:val="000000" w:themeColor="text1"/>
                <w:sz w:val="22"/>
                <w:szCs w:val="22"/>
              </w:rPr>
              <w:t xml:space="preserve">                                                                  Equation 2</w:t>
            </w:r>
            <w:r w:rsidRPr="00B051E5">
              <w:rPr>
                <w:rFonts w:ascii="Garamond" w:eastAsia="Calibri" w:hAnsi="Garamond"/>
                <w:color w:val="000000" w:themeColor="text1"/>
                <w:sz w:val="22"/>
                <w:szCs w:val="22"/>
              </w:rPr>
              <w:t xml:space="preserve">    </w:t>
            </w:r>
            <w:r w:rsidR="002114DC" w:rsidRPr="00B051E5">
              <w:rPr>
                <w:rFonts w:ascii="Garamond" w:eastAsia="Calibri" w:hAnsi="Garamond"/>
                <w:color w:val="000000" w:themeColor="text1"/>
                <w:sz w:val="22"/>
                <w:szCs w:val="22"/>
              </w:rPr>
              <w:t xml:space="preserve">                                                                                      </w:t>
            </w:r>
          </w:p>
        </w:tc>
      </w:tr>
    </w:tbl>
    <w:p w14:paraId="769DC813" w14:textId="77777777" w:rsidR="00DB5025" w:rsidRPr="00B051E5" w:rsidRDefault="00DB5025" w:rsidP="00D75008">
      <w:pPr>
        <w:spacing w:line="360" w:lineRule="auto"/>
        <w:jc w:val="both"/>
        <w:rPr>
          <w:rFonts w:ascii="Garamond" w:eastAsia="Calibri" w:hAnsi="Garamond"/>
          <w:i/>
          <w:iCs/>
          <w:color w:val="000000" w:themeColor="text1"/>
        </w:rPr>
      </w:pPr>
    </w:p>
    <w:p w14:paraId="4BED14E7" w14:textId="05F8EC82" w:rsidR="00820639" w:rsidRPr="00B051E5" w:rsidRDefault="002211D7" w:rsidP="00D75008">
      <w:pPr>
        <w:spacing w:line="360" w:lineRule="auto"/>
        <w:jc w:val="both"/>
        <w:rPr>
          <w:rFonts w:ascii="Garamond" w:eastAsia="Calibri" w:hAnsi="Garamond"/>
          <w:i/>
          <w:iCs/>
          <w:color w:val="000000" w:themeColor="text1"/>
        </w:rPr>
      </w:pPr>
      <w:r w:rsidRPr="00B051E5">
        <w:rPr>
          <w:rFonts w:ascii="Garamond" w:eastAsia="Calibri" w:hAnsi="Garamond"/>
          <w:i/>
          <w:iCs/>
          <w:color w:val="000000" w:themeColor="text1"/>
        </w:rPr>
        <w:t>5</w:t>
      </w:r>
      <w:r w:rsidR="00FC0652" w:rsidRPr="00B051E5">
        <w:rPr>
          <w:rFonts w:ascii="Garamond" w:eastAsia="Calibri" w:hAnsi="Garamond"/>
          <w:i/>
          <w:iCs/>
          <w:color w:val="000000" w:themeColor="text1"/>
        </w:rPr>
        <w:t xml:space="preserve">.3 </w:t>
      </w:r>
      <w:r w:rsidR="00820639" w:rsidRPr="00B051E5">
        <w:rPr>
          <w:rFonts w:ascii="Garamond" w:eastAsia="Calibri" w:hAnsi="Garamond"/>
          <w:i/>
          <w:iCs/>
          <w:color w:val="000000" w:themeColor="text1"/>
        </w:rPr>
        <w:t xml:space="preserve">Measuring </w:t>
      </w:r>
      <w:r w:rsidR="00985664" w:rsidRPr="00B051E5">
        <w:rPr>
          <w:rFonts w:ascii="Garamond" w:eastAsia="Calibri" w:hAnsi="Garamond"/>
          <w:i/>
          <w:iCs/>
          <w:color w:val="000000" w:themeColor="text1"/>
        </w:rPr>
        <w:t xml:space="preserve">aggregate risk disclosure and its time orientation </w:t>
      </w:r>
    </w:p>
    <w:p w14:paraId="1FD19743" w14:textId="21EE7DE5" w:rsidR="00291745" w:rsidRPr="00B051E5" w:rsidRDefault="00820639" w:rsidP="00693F5C">
      <w:pPr>
        <w:spacing w:line="480" w:lineRule="auto"/>
        <w:jc w:val="both"/>
        <w:rPr>
          <w:rFonts w:ascii="Garamond" w:eastAsia="Calibri" w:hAnsi="Garamond"/>
          <w:color w:val="000000" w:themeColor="text1"/>
        </w:rPr>
      </w:pPr>
      <w:r w:rsidRPr="00B051E5">
        <w:rPr>
          <w:rFonts w:ascii="Garamond" w:eastAsia="Calibri" w:hAnsi="Garamond"/>
          <w:color w:val="000000" w:themeColor="text1"/>
        </w:rPr>
        <w:t xml:space="preserve">In order to measure </w:t>
      </w:r>
      <w:r w:rsidR="00985664" w:rsidRPr="00B051E5">
        <w:rPr>
          <w:rFonts w:ascii="Garamond" w:eastAsia="Calibri" w:hAnsi="Garamond"/>
          <w:color w:val="000000" w:themeColor="text1"/>
        </w:rPr>
        <w:t>aggregate risk disclosure</w:t>
      </w:r>
      <w:r w:rsidRPr="00B051E5">
        <w:rPr>
          <w:rFonts w:ascii="Garamond" w:eastAsia="Calibri" w:hAnsi="Garamond"/>
          <w:color w:val="000000" w:themeColor="text1"/>
        </w:rPr>
        <w:t xml:space="preserve">, we generated a word list largely consistent with </w:t>
      </w:r>
      <w:r w:rsidR="00EC4DFB" w:rsidRPr="00B051E5">
        <w:rPr>
          <w:rFonts w:ascii="Garamond" w:eastAsia="Calibri" w:hAnsi="Garamond"/>
          <w:color w:val="000000" w:themeColor="text1"/>
        </w:rPr>
        <w:t xml:space="preserve">the </w:t>
      </w:r>
      <w:r w:rsidRPr="00B051E5">
        <w:rPr>
          <w:rFonts w:ascii="Garamond" w:eastAsia="Calibri" w:hAnsi="Garamond"/>
          <w:color w:val="000000" w:themeColor="text1"/>
        </w:rPr>
        <w:t>prior literature on risk disclosure, including</w:t>
      </w:r>
      <w:r w:rsidR="00735FFB" w:rsidRPr="00B051E5">
        <w:rPr>
          <w:rFonts w:ascii="Garamond" w:hAnsi="Garamond"/>
          <w:bCs/>
          <w:color w:val="000000" w:themeColor="text1"/>
          <w:kern w:val="16"/>
        </w:rPr>
        <w:t xml:space="preserve"> Kravet and Muslu (2013)</w:t>
      </w:r>
      <w:r w:rsidR="00350451" w:rsidRPr="00B051E5">
        <w:rPr>
          <w:rFonts w:ascii="Garamond" w:hAnsi="Garamond"/>
          <w:bCs/>
          <w:color w:val="000000" w:themeColor="text1"/>
          <w:kern w:val="16"/>
        </w:rPr>
        <w:t xml:space="preserve">, </w:t>
      </w:r>
      <w:r w:rsidR="00350451" w:rsidRPr="00B051E5">
        <w:rPr>
          <w:rFonts w:ascii="Garamond" w:eastAsia="Calibri" w:hAnsi="Garamond"/>
          <w:color w:val="000000" w:themeColor="text1"/>
        </w:rPr>
        <w:t>Elshandidy</w:t>
      </w:r>
      <w:r w:rsidRPr="00B051E5">
        <w:rPr>
          <w:rFonts w:ascii="Garamond" w:eastAsia="Calibri" w:hAnsi="Garamond"/>
          <w:color w:val="000000" w:themeColor="text1"/>
        </w:rPr>
        <w:t xml:space="preserve"> et al. (2013), and Elshandidy and Neri (2015). </w:t>
      </w:r>
      <w:r w:rsidR="00291745" w:rsidRPr="00B051E5">
        <w:rPr>
          <w:rFonts w:ascii="Garamond" w:eastAsia="Calibri" w:hAnsi="Garamond"/>
          <w:color w:val="000000" w:themeColor="text1"/>
        </w:rPr>
        <w:t xml:space="preserve">Figure 1 shows the detailed steps in capturing the score for the aggregate risk disclosure and its orientation, along with our final word list. </w:t>
      </w:r>
    </w:p>
    <w:p w14:paraId="6147B29D" w14:textId="432F4B05" w:rsidR="00AC29B8" w:rsidRPr="00B051E5" w:rsidRDefault="00291745" w:rsidP="00693F5C">
      <w:pPr>
        <w:spacing w:line="480" w:lineRule="auto"/>
        <w:ind w:firstLine="720"/>
        <w:jc w:val="center"/>
        <w:rPr>
          <w:rFonts w:ascii="Garamond" w:eastAsia="Calibri" w:hAnsi="Garamond"/>
          <w:b/>
          <w:color w:val="000000" w:themeColor="text1"/>
          <w:sz w:val="20"/>
          <w:szCs w:val="20"/>
        </w:rPr>
      </w:pPr>
      <w:r w:rsidRPr="00B051E5">
        <w:rPr>
          <w:rFonts w:ascii="Garamond" w:eastAsia="Calibri" w:hAnsi="Garamond"/>
          <w:b/>
          <w:color w:val="000000" w:themeColor="text1"/>
          <w:sz w:val="20"/>
          <w:szCs w:val="20"/>
        </w:rPr>
        <w:t>[Insert Figure 1 about here]</w:t>
      </w:r>
    </w:p>
    <w:p w14:paraId="7EF4BB88" w14:textId="62166488" w:rsidR="00F85A2C" w:rsidRPr="00B051E5" w:rsidRDefault="00820639" w:rsidP="00693F5C">
      <w:pPr>
        <w:spacing w:line="480" w:lineRule="auto"/>
        <w:ind w:firstLine="720"/>
        <w:jc w:val="both"/>
        <w:rPr>
          <w:rFonts w:ascii="Garamond" w:eastAsia="Calibri" w:hAnsi="Garamond"/>
          <w:color w:val="000000" w:themeColor="text1"/>
          <w:u w:val="single"/>
          <w:lang w:val="en-US"/>
        </w:rPr>
      </w:pPr>
      <w:r w:rsidRPr="00B051E5">
        <w:rPr>
          <w:rFonts w:ascii="Garamond" w:eastAsia="Calibri" w:hAnsi="Garamond"/>
          <w:color w:val="000000" w:themeColor="text1"/>
        </w:rPr>
        <w:t xml:space="preserve">Our next step was to process the annual reports after we had transferred them into text in the intensive software QSR N6. The first score </w:t>
      </w:r>
      <w:r w:rsidR="00020EF9" w:rsidRPr="00B051E5">
        <w:rPr>
          <w:rFonts w:ascii="Garamond" w:eastAsia="Calibri" w:hAnsi="Garamond"/>
          <w:color w:val="000000" w:themeColor="text1"/>
        </w:rPr>
        <w:t xml:space="preserve">that </w:t>
      </w:r>
      <w:r w:rsidRPr="00B051E5">
        <w:rPr>
          <w:rFonts w:ascii="Garamond" w:eastAsia="Calibri" w:hAnsi="Garamond"/>
          <w:color w:val="000000" w:themeColor="text1"/>
        </w:rPr>
        <w:t xml:space="preserve">we constructed was the aggregate risk disclosure, for which we counted the number of sentences containing at least one word evocative </w:t>
      </w:r>
      <w:r w:rsidRPr="00B051E5">
        <w:rPr>
          <w:rFonts w:ascii="Garamond" w:eastAsia="Calibri" w:hAnsi="Garamond"/>
          <w:color w:val="000000" w:themeColor="text1"/>
        </w:rPr>
        <w:lastRenderedPageBreak/>
        <w:t xml:space="preserve">of risk from our final word list. This </w:t>
      </w:r>
      <w:r w:rsidR="00020EF9" w:rsidRPr="00B051E5">
        <w:rPr>
          <w:rFonts w:ascii="Garamond" w:eastAsia="Calibri" w:hAnsi="Garamond"/>
          <w:color w:val="000000" w:themeColor="text1"/>
        </w:rPr>
        <w:t xml:space="preserve">involved </w:t>
      </w:r>
      <w:r w:rsidRPr="00B051E5">
        <w:rPr>
          <w:rFonts w:ascii="Garamond" w:eastAsia="Calibri" w:hAnsi="Garamond"/>
          <w:color w:val="000000" w:themeColor="text1"/>
        </w:rPr>
        <w:t>generating the a</w:t>
      </w:r>
      <w:r w:rsidR="00513CEB" w:rsidRPr="00B051E5">
        <w:rPr>
          <w:rFonts w:ascii="Garamond" w:eastAsia="Calibri" w:hAnsi="Garamond"/>
          <w:color w:val="000000" w:themeColor="text1"/>
        </w:rPr>
        <w:t xml:space="preserve">ggregate risk disclosure score </w:t>
      </w:r>
      <w:r w:rsidRPr="00B051E5">
        <w:rPr>
          <w:rFonts w:ascii="Garamond" w:eastAsia="Calibri" w:hAnsi="Garamond"/>
          <w:color w:val="000000" w:themeColor="text1"/>
        </w:rPr>
        <w:t xml:space="preserve">for firm </w:t>
      </w:r>
      <w:r w:rsidR="00513CEB" w:rsidRPr="00B051E5">
        <w:rPr>
          <w:rFonts w:ascii="Garamond" w:eastAsia="Calibri" w:hAnsi="Garamond"/>
          <w:i/>
          <w:color w:val="000000" w:themeColor="text1"/>
        </w:rPr>
        <w:t xml:space="preserve">i </w:t>
      </w:r>
      <w:r w:rsidR="00513CEB" w:rsidRPr="00B051E5">
        <w:rPr>
          <w:rFonts w:ascii="Garamond" w:eastAsia="Calibri" w:hAnsi="Garamond"/>
          <w:color w:val="000000" w:themeColor="text1"/>
        </w:rPr>
        <w:t>in</w:t>
      </w:r>
      <w:r w:rsidRPr="00B051E5">
        <w:rPr>
          <w:rFonts w:ascii="Garamond" w:eastAsia="Calibri" w:hAnsi="Garamond"/>
          <w:i/>
          <w:color w:val="000000" w:themeColor="text1"/>
        </w:rPr>
        <w:t xml:space="preserve"> </w:t>
      </w:r>
      <w:r w:rsidRPr="00B051E5">
        <w:rPr>
          <w:rFonts w:ascii="Garamond" w:eastAsia="Calibri" w:hAnsi="Garamond"/>
          <w:color w:val="000000" w:themeColor="text1"/>
        </w:rPr>
        <w:t>year</w:t>
      </w:r>
      <w:r w:rsidRPr="00B051E5">
        <w:rPr>
          <w:rFonts w:ascii="Garamond" w:eastAsia="Calibri" w:hAnsi="Garamond"/>
          <w:i/>
          <w:color w:val="000000" w:themeColor="text1"/>
        </w:rPr>
        <w:t xml:space="preserve"> t, </w:t>
      </w:r>
      <w:r w:rsidRPr="00B051E5">
        <w:rPr>
          <w:rFonts w:ascii="Garamond" w:eastAsia="Calibri" w:hAnsi="Garamond"/>
          <w:color w:val="000000" w:themeColor="text1"/>
        </w:rPr>
        <w:t xml:space="preserve">which was then scaled by the total number of sentences coded in all </w:t>
      </w:r>
      <w:r w:rsidR="00020EF9" w:rsidRPr="00B051E5">
        <w:rPr>
          <w:rFonts w:ascii="Garamond" w:eastAsia="Calibri" w:hAnsi="Garamond"/>
          <w:color w:val="000000" w:themeColor="text1"/>
        </w:rPr>
        <w:t xml:space="preserve">the </w:t>
      </w:r>
      <w:r w:rsidRPr="00B051E5">
        <w:rPr>
          <w:rFonts w:ascii="Garamond" w:eastAsia="Calibri" w:hAnsi="Garamond"/>
          <w:color w:val="000000" w:themeColor="text1"/>
        </w:rPr>
        <w:t xml:space="preserve">narrative sections for firm </w:t>
      </w:r>
      <w:r w:rsidRPr="00B051E5">
        <w:rPr>
          <w:rFonts w:ascii="Garamond" w:eastAsia="Calibri" w:hAnsi="Garamond"/>
          <w:i/>
          <w:color w:val="000000" w:themeColor="text1"/>
        </w:rPr>
        <w:t xml:space="preserve">i </w:t>
      </w:r>
      <w:r w:rsidRPr="00B051E5">
        <w:rPr>
          <w:rFonts w:ascii="Garamond" w:eastAsia="Calibri" w:hAnsi="Garamond"/>
          <w:color w:val="000000" w:themeColor="text1"/>
        </w:rPr>
        <w:t>in year</w:t>
      </w:r>
      <w:r w:rsidRPr="00B051E5">
        <w:rPr>
          <w:rFonts w:ascii="Garamond" w:eastAsia="Calibri" w:hAnsi="Garamond"/>
          <w:i/>
          <w:color w:val="000000" w:themeColor="text1"/>
        </w:rPr>
        <w:t xml:space="preserve"> t </w:t>
      </w:r>
      <w:r w:rsidRPr="00B051E5">
        <w:rPr>
          <w:rFonts w:ascii="Garamond" w:eastAsia="Calibri" w:hAnsi="Garamond"/>
          <w:color w:val="000000" w:themeColor="text1"/>
        </w:rPr>
        <w:t>to give the proportion of aggregate risk disclosure (</w:t>
      </w:r>
      <w:r w:rsidR="009D2DBF" w:rsidRPr="00B051E5">
        <w:rPr>
          <w:rFonts w:ascii="Garamond" w:eastAsia="Calibri" w:hAnsi="Garamond"/>
          <w:i/>
          <w:color w:val="000000" w:themeColor="text1"/>
        </w:rPr>
        <w:t>PARD</w:t>
      </w:r>
      <w:r w:rsidRPr="00B051E5">
        <w:rPr>
          <w:rFonts w:ascii="Garamond" w:eastAsia="Calibri" w:hAnsi="Garamond"/>
          <w:i/>
          <w:color w:val="000000" w:themeColor="text1"/>
          <w:vertAlign w:val="subscript"/>
        </w:rPr>
        <w:t>i,t</w:t>
      </w:r>
      <w:r w:rsidRPr="00B051E5">
        <w:rPr>
          <w:rFonts w:ascii="Garamond" w:eastAsia="Calibri" w:hAnsi="Garamond"/>
          <w:color w:val="000000" w:themeColor="text1"/>
        </w:rPr>
        <w:t>)</w:t>
      </w:r>
      <w:r w:rsidR="009D2DBF" w:rsidRPr="00B051E5">
        <w:rPr>
          <w:rFonts w:ascii="Garamond" w:eastAsia="Calibri" w:hAnsi="Garamond"/>
          <w:color w:val="000000" w:themeColor="text1"/>
        </w:rPr>
        <w:t>.</w:t>
      </w:r>
      <w:r w:rsidRPr="00B051E5">
        <w:rPr>
          <w:rFonts w:ascii="Garamond" w:eastAsia="Calibri" w:hAnsi="Garamond"/>
          <w:color w:val="000000" w:themeColor="text1"/>
        </w:rPr>
        <w:t xml:space="preserve"> Once we had obtained </w:t>
      </w:r>
      <w:r w:rsidR="00513CEB" w:rsidRPr="00B051E5">
        <w:rPr>
          <w:rFonts w:ascii="Garamond" w:eastAsia="Calibri" w:hAnsi="Garamond"/>
          <w:i/>
          <w:color w:val="000000" w:themeColor="text1"/>
        </w:rPr>
        <w:t>P</w:t>
      </w:r>
      <w:r w:rsidRPr="00B051E5">
        <w:rPr>
          <w:rFonts w:ascii="Garamond" w:eastAsia="Calibri" w:hAnsi="Garamond"/>
          <w:i/>
          <w:color w:val="000000" w:themeColor="text1"/>
        </w:rPr>
        <w:t>ARD</w:t>
      </w:r>
      <w:r w:rsidRPr="00B051E5">
        <w:rPr>
          <w:rFonts w:ascii="Garamond" w:eastAsia="Calibri" w:hAnsi="Garamond"/>
          <w:i/>
          <w:color w:val="000000" w:themeColor="text1"/>
          <w:vertAlign w:val="subscript"/>
        </w:rPr>
        <w:t>i,t</w:t>
      </w:r>
      <w:r w:rsidRPr="00B051E5">
        <w:rPr>
          <w:rFonts w:ascii="Garamond" w:eastAsia="Calibri" w:hAnsi="Garamond"/>
          <w:i/>
          <w:color w:val="000000" w:themeColor="text1"/>
        </w:rPr>
        <w:t xml:space="preserve"> </w:t>
      </w:r>
      <w:r w:rsidRPr="00B051E5">
        <w:rPr>
          <w:rFonts w:ascii="Garamond" w:eastAsia="Calibri" w:hAnsi="Garamond"/>
          <w:color w:val="000000" w:themeColor="text1"/>
        </w:rPr>
        <w:t>the next mission was to make a distinction between forward- and non-forward-looking risk information. To th</w:t>
      </w:r>
      <w:r w:rsidR="00020EF9" w:rsidRPr="00B051E5">
        <w:rPr>
          <w:rFonts w:ascii="Garamond" w:eastAsia="Calibri" w:hAnsi="Garamond"/>
          <w:color w:val="000000" w:themeColor="text1"/>
        </w:rPr>
        <w:t xml:space="preserve">is </w:t>
      </w:r>
      <w:r w:rsidRPr="00B051E5">
        <w:rPr>
          <w:rFonts w:ascii="Garamond" w:eastAsia="Calibri" w:hAnsi="Garamond"/>
          <w:color w:val="000000" w:themeColor="text1"/>
        </w:rPr>
        <w:t>end, we generated another word list to capture future-oriented information</w:t>
      </w:r>
      <w:r w:rsidR="00F85A2C" w:rsidRPr="00B051E5">
        <w:rPr>
          <w:rFonts w:ascii="Garamond" w:eastAsia="Calibri" w:hAnsi="Garamond"/>
          <w:color w:val="000000" w:themeColor="text1"/>
        </w:rPr>
        <w:t xml:space="preserve"> that is consistent with Muslu et al. (2014). </w:t>
      </w:r>
    </w:p>
    <w:p w14:paraId="79CD1CC2" w14:textId="63F096AF" w:rsidR="00663DC5" w:rsidRPr="00B051E5" w:rsidRDefault="00820639" w:rsidP="00693F5C">
      <w:pPr>
        <w:spacing w:line="480" w:lineRule="auto"/>
        <w:ind w:firstLine="720"/>
        <w:jc w:val="both"/>
        <w:rPr>
          <w:rFonts w:ascii="Garamond" w:eastAsia="Calibri" w:hAnsi="Garamond"/>
          <w:color w:val="000000" w:themeColor="text1"/>
        </w:rPr>
      </w:pPr>
      <w:r w:rsidRPr="00B051E5">
        <w:rPr>
          <w:rFonts w:ascii="Garamond" w:eastAsia="Calibri" w:hAnsi="Garamond"/>
          <w:color w:val="000000" w:themeColor="text1"/>
        </w:rPr>
        <w:t xml:space="preserve">To </w:t>
      </w:r>
      <w:r w:rsidR="00B94558" w:rsidRPr="00B051E5">
        <w:rPr>
          <w:rFonts w:ascii="Garamond" w:eastAsia="Calibri" w:hAnsi="Garamond"/>
          <w:color w:val="000000" w:themeColor="text1"/>
        </w:rPr>
        <w:t>obtain</w:t>
      </w:r>
      <w:r w:rsidRPr="00B051E5">
        <w:rPr>
          <w:rFonts w:ascii="Garamond" w:eastAsia="Calibri" w:hAnsi="Garamond"/>
          <w:color w:val="000000" w:themeColor="text1"/>
        </w:rPr>
        <w:t xml:space="preserve"> the future-oriented risk information, each risk </w:t>
      </w:r>
      <w:r w:rsidR="00985664" w:rsidRPr="00B051E5">
        <w:rPr>
          <w:rFonts w:ascii="Garamond" w:eastAsia="Calibri" w:hAnsi="Garamond"/>
          <w:color w:val="000000" w:themeColor="text1"/>
        </w:rPr>
        <w:t xml:space="preserve">sentence </w:t>
      </w:r>
      <w:r w:rsidRPr="00B051E5">
        <w:rPr>
          <w:rFonts w:ascii="Garamond" w:eastAsia="Calibri" w:hAnsi="Garamond"/>
          <w:color w:val="000000" w:themeColor="text1"/>
        </w:rPr>
        <w:t>among the aggregate risk scores</w:t>
      </w:r>
      <w:r w:rsidR="00B94558" w:rsidRPr="00B051E5">
        <w:rPr>
          <w:rFonts w:ascii="Garamond" w:eastAsia="Calibri" w:hAnsi="Garamond"/>
          <w:color w:val="000000" w:themeColor="text1"/>
        </w:rPr>
        <w:t xml:space="preserve"> </w:t>
      </w:r>
      <w:r w:rsidRPr="00B051E5">
        <w:rPr>
          <w:rFonts w:ascii="Garamond" w:eastAsia="Calibri" w:hAnsi="Garamond"/>
          <w:color w:val="000000" w:themeColor="text1"/>
        </w:rPr>
        <w:t xml:space="preserve">previously captured was reclassified as either </w:t>
      </w:r>
      <w:r w:rsidR="00B94558" w:rsidRPr="00B051E5">
        <w:rPr>
          <w:rFonts w:ascii="Garamond" w:eastAsia="Calibri" w:hAnsi="Garamond"/>
          <w:color w:val="000000" w:themeColor="text1"/>
        </w:rPr>
        <w:t xml:space="preserve">a </w:t>
      </w:r>
      <w:r w:rsidRPr="00B051E5">
        <w:rPr>
          <w:rFonts w:ascii="Garamond" w:eastAsia="Calibri" w:hAnsi="Garamond"/>
          <w:color w:val="000000" w:themeColor="text1"/>
        </w:rPr>
        <w:t>forward-looking risk disclosure, if it contained at least one word indicating the future based on our generated future word list, or non-forward-looking risk disclosure, otherwise. We were therefore able to obtain the number of sentences indicating f</w:t>
      </w:r>
      <w:r w:rsidR="00513CEB" w:rsidRPr="00B051E5">
        <w:rPr>
          <w:rFonts w:ascii="Garamond" w:eastAsia="Calibri" w:hAnsi="Garamond"/>
          <w:color w:val="000000" w:themeColor="text1"/>
        </w:rPr>
        <w:t>orward-looking risk disclosure</w:t>
      </w:r>
      <w:r w:rsidRPr="00B051E5">
        <w:rPr>
          <w:rFonts w:ascii="Garamond" w:eastAsia="Calibri" w:hAnsi="Garamond"/>
          <w:i/>
          <w:color w:val="000000" w:themeColor="text1"/>
          <w:vertAlign w:val="subscript"/>
        </w:rPr>
        <w:t xml:space="preserve"> </w:t>
      </w:r>
      <w:r w:rsidRPr="00B051E5">
        <w:rPr>
          <w:rFonts w:ascii="Garamond" w:eastAsia="Calibri" w:hAnsi="Garamond"/>
          <w:color w:val="000000" w:themeColor="text1"/>
        </w:rPr>
        <w:t xml:space="preserve">for firm </w:t>
      </w:r>
      <w:r w:rsidRPr="00B051E5">
        <w:rPr>
          <w:rFonts w:ascii="Garamond" w:eastAsia="Calibri" w:hAnsi="Garamond"/>
          <w:i/>
          <w:color w:val="000000" w:themeColor="text1"/>
        </w:rPr>
        <w:t xml:space="preserve">i </w:t>
      </w:r>
      <w:r w:rsidRPr="00B051E5">
        <w:rPr>
          <w:rFonts w:ascii="Garamond" w:eastAsia="Calibri" w:hAnsi="Garamond"/>
          <w:color w:val="000000" w:themeColor="text1"/>
        </w:rPr>
        <w:t>in year</w:t>
      </w:r>
      <w:r w:rsidRPr="00B051E5">
        <w:rPr>
          <w:rFonts w:ascii="Garamond" w:eastAsia="Calibri" w:hAnsi="Garamond"/>
          <w:i/>
          <w:color w:val="000000" w:themeColor="text1"/>
        </w:rPr>
        <w:t xml:space="preserve"> t </w:t>
      </w:r>
      <w:r w:rsidRPr="00B051E5">
        <w:rPr>
          <w:rFonts w:ascii="Garamond" w:eastAsia="Calibri" w:hAnsi="Garamond"/>
          <w:color w:val="000000" w:themeColor="text1"/>
        </w:rPr>
        <w:t xml:space="preserve">and the number not </w:t>
      </w:r>
      <w:r w:rsidR="001E42E5" w:rsidRPr="00B051E5">
        <w:rPr>
          <w:rFonts w:ascii="Garamond" w:eastAsia="Calibri" w:hAnsi="Garamond"/>
          <w:color w:val="000000" w:themeColor="text1"/>
        </w:rPr>
        <w:t xml:space="preserve">indicating this </w:t>
      </w:r>
      <w:r w:rsidRPr="00B051E5">
        <w:rPr>
          <w:rFonts w:ascii="Garamond" w:eastAsia="Calibri" w:hAnsi="Garamond"/>
          <w:color w:val="000000" w:themeColor="text1"/>
        </w:rPr>
        <w:t>(classified as non-f</w:t>
      </w:r>
      <w:r w:rsidR="00513CEB" w:rsidRPr="00B051E5">
        <w:rPr>
          <w:rFonts w:ascii="Garamond" w:eastAsia="Calibri" w:hAnsi="Garamond"/>
          <w:color w:val="000000" w:themeColor="text1"/>
        </w:rPr>
        <w:t>orward-looking risk disclosure</w:t>
      </w:r>
      <w:r w:rsidRPr="00B051E5">
        <w:rPr>
          <w:rFonts w:ascii="Garamond" w:eastAsia="Calibri" w:hAnsi="Garamond"/>
          <w:color w:val="000000" w:themeColor="text1"/>
        </w:rPr>
        <w:t xml:space="preserve"> for firm </w:t>
      </w:r>
      <w:r w:rsidRPr="00B051E5">
        <w:rPr>
          <w:rFonts w:ascii="Garamond" w:eastAsia="Calibri" w:hAnsi="Garamond"/>
          <w:i/>
          <w:color w:val="000000" w:themeColor="text1"/>
        </w:rPr>
        <w:t xml:space="preserve">i </w:t>
      </w:r>
      <w:r w:rsidRPr="00B051E5">
        <w:rPr>
          <w:rFonts w:ascii="Garamond" w:eastAsia="Calibri" w:hAnsi="Garamond"/>
          <w:color w:val="000000" w:themeColor="text1"/>
        </w:rPr>
        <w:t>and year</w:t>
      </w:r>
      <w:r w:rsidRPr="00B051E5">
        <w:rPr>
          <w:rFonts w:ascii="Garamond" w:eastAsia="Calibri" w:hAnsi="Garamond"/>
          <w:i/>
          <w:color w:val="000000" w:themeColor="text1"/>
        </w:rPr>
        <w:t xml:space="preserve"> t</w:t>
      </w:r>
      <w:r w:rsidRPr="00B051E5">
        <w:rPr>
          <w:rFonts w:ascii="Garamond" w:eastAsia="Calibri" w:hAnsi="Garamond"/>
          <w:color w:val="000000" w:themeColor="text1"/>
        </w:rPr>
        <w:t xml:space="preserve">), each of which was scaled by </w:t>
      </w:r>
      <w:r w:rsidR="007573E9" w:rsidRPr="00B051E5">
        <w:rPr>
          <w:rFonts w:ascii="Garamond" w:hAnsi="Garamond"/>
          <w:color w:val="000000" w:themeColor="text1"/>
          <w:lang w:val="en-US"/>
        </w:rPr>
        <w:t xml:space="preserve">the aggregate risk disclosure scores </w:t>
      </w:r>
      <w:r w:rsidR="007573E9" w:rsidRPr="00B051E5">
        <w:rPr>
          <w:rFonts w:ascii="Garamond" w:hAnsi="Garamond"/>
          <w:i/>
          <w:color w:val="000000" w:themeColor="text1"/>
          <w:lang w:val="en-US"/>
        </w:rPr>
        <w:t>(ARD</w:t>
      </w:r>
      <w:r w:rsidR="007573E9" w:rsidRPr="00B051E5">
        <w:rPr>
          <w:rFonts w:ascii="Garamond" w:hAnsi="Garamond"/>
          <w:i/>
          <w:color w:val="000000" w:themeColor="text1"/>
          <w:vertAlign w:val="subscript"/>
          <w:lang w:val="en-US"/>
        </w:rPr>
        <w:t xml:space="preserve"> i,t</w:t>
      </w:r>
      <w:r w:rsidR="007573E9" w:rsidRPr="00B051E5">
        <w:rPr>
          <w:rFonts w:ascii="Garamond" w:hAnsi="Garamond"/>
          <w:i/>
          <w:color w:val="000000" w:themeColor="text1"/>
          <w:lang w:val="en-US"/>
        </w:rPr>
        <w:t>)</w:t>
      </w:r>
      <w:r w:rsidR="007573E9" w:rsidRPr="00B051E5">
        <w:rPr>
          <w:rFonts w:ascii="Garamond" w:hAnsi="Garamond"/>
          <w:color w:val="000000" w:themeColor="text1"/>
          <w:lang w:val="en-US"/>
        </w:rPr>
        <w:t xml:space="preserve"> previously calculated</w:t>
      </w:r>
      <w:r w:rsidRPr="00B051E5">
        <w:rPr>
          <w:rFonts w:ascii="Garamond" w:eastAsia="Calibri" w:hAnsi="Garamond"/>
          <w:color w:val="000000" w:themeColor="text1"/>
        </w:rPr>
        <w:t xml:space="preserve"> to obtain the proportion of sentences that indicated the future (the forward-looking, </w:t>
      </w:r>
      <w:r w:rsidRPr="00B051E5">
        <w:rPr>
          <w:rFonts w:ascii="Garamond" w:eastAsia="Calibri" w:hAnsi="Garamond"/>
          <w:i/>
          <w:color w:val="000000" w:themeColor="text1"/>
        </w:rPr>
        <w:t>PFLRD</w:t>
      </w:r>
      <w:r w:rsidRPr="00B051E5">
        <w:rPr>
          <w:rFonts w:ascii="Garamond" w:eastAsia="Calibri" w:hAnsi="Garamond"/>
          <w:i/>
          <w:color w:val="000000" w:themeColor="text1"/>
          <w:vertAlign w:val="subscript"/>
        </w:rPr>
        <w:t>i,t</w:t>
      </w:r>
      <w:r w:rsidRPr="00B051E5">
        <w:rPr>
          <w:rFonts w:ascii="Garamond" w:eastAsia="Calibri" w:hAnsi="Garamond"/>
          <w:color w:val="000000" w:themeColor="text1"/>
        </w:rPr>
        <w:t>) and the proportion that did not (non-forward-looking</w:t>
      </w:r>
      <w:r w:rsidRPr="00B051E5">
        <w:rPr>
          <w:rFonts w:ascii="Garamond" w:eastAsia="Calibri" w:hAnsi="Garamond"/>
          <w:i/>
          <w:color w:val="000000" w:themeColor="text1"/>
        </w:rPr>
        <w:t>, PNFLRD</w:t>
      </w:r>
      <w:r w:rsidRPr="00B051E5">
        <w:rPr>
          <w:rFonts w:ascii="Garamond" w:eastAsia="Calibri" w:hAnsi="Garamond"/>
          <w:i/>
          <w:color w:val="000000" w:themeColor="text1"/>
          <w:vertAlign w:val="subscript"/>
        </w:rPr>
        <w:t>i,t</w:t>
      </w:r>
      <w:r w:rsidRPr="00B051E5">
        <w:rPr>
          <w:rFonts w:ascii="Garamond" w:eastAsia="Calibri" w:hAnsi="Garamond"/>
          <w:color w:val="000000" w:themeColor="text1"/>
        </w:rPr>
        <w:t>).</w:t>
      </w:r>
      <w:r w:rsidR="00F16A0B" w:rsidRPr="00B051E5">
        <w:rPr>
          <w:rFonts w:ascii="Garamond" w:eastAsia="Calibri" w:hAnsi="Garamond"/>
          <w:color w:val="000000" w:themeColor="text1"/>
        </w:rPr>
        <w:t xml:space="preserve"> </w:t>
      </w:r>
    </w:p>
    <w:p w14:paraId="2BE3AA2F" w14:textId="3995EFF3" w:rsidR="00820639" w:rsidRPr="00B051E5" w:rsidRDefault="002211D7" w:rsidP="00D75008">
      <w:pPr>
        <w:spacing w:line="360" w:lineRule="auto"/>
        <w:jc w:val="both"/>
        <w:rPr>
          <w:rFonts w:ascii="Garamond" w:eastAsia="Calibri" w:hAnsi="Garamond"/>
          <w:i/>
          <w:iCs/>
          <w:color w:val="000000" w:themeColor="text1"/>
        </w:rPr>
      </w:pPr>
      <w:r w:rsidRPr="00B051E5">
        <w:rPr>
          <w:rFonts w:ascii="Garamond" w:eastAsia="Calibri" w:hAnsi="Garamond"/>
          <w:i/>
          <w:iCs/>
          <w:color w:val="000000" w:themeColor="text1"/>
        </w:rPr>
        <w:t>5</w:t>
      </w:r>
      <w:r w:rsidR="00615576" w:rsidRPr="00B051E5">
        <w:rPr>
          <w:rFonts w:ascii="Garamond" w:eastAsia="Calibri" w:hAnsi="Garamond"/>
          <w:i/>
          <w:iCs/>
          <w:color w:val="000000" w:themeColor="text1"/>
        </w:rPr>
        <w:t>.</w:t>
      </w:r>
      <w:r w:rsidR="00FC0652" w:rsidRPr="00B051E5">
        <w:rPr>
          <w:rFonts w:ascii="Garamond" w:eastAsia="Calibri" w:hAnsi="Garamond"/>
          <w:i/>
          <w:iCs/>
          <w:color w:val="000000" w:themeColor="text1"/>
        </w:rPr>
        <w:t>4</w:t>
      </w:r>
      <w:r w:rsidR="00615576" w:rsidRPr="00B051E5">
        <w:rPr>
          <w:rFonts w:ascii="Garamond" w:eastAsia="Calibri" w:hAnsi="Garamond"/>
          <w:i/>
          <w:iCs/>
          <w:color w:val="000000" w:themeColor="text1"/>
        </w:rPr>
        <w:t xml:space="preserve"> </w:t>
      </w:r>
      <w:r w:rsidR="00820639" w:rsidRPr="00B051E5">
        <w:rPr>
          <w:rFonts w:ascii="Garamond" w:eastAsia="Calibri" w:hAnsi="Garamond"/>
          <w:i/>
          <w:iCs/>
          <w:color w:val="000000" w:themeColor="text1"/>
        </w:rPr>
        <w:t>Empirical model</w:t>
      </w:r>
    </w:p>
    <w:p w14:paraId="580494B4" w14:textId="5B21EB34" w:rsidR="006214E3" w:rsidRPr="00B051E5" w:rsidRDefault="006214E3" w:rsidP="00693F5C">
      <w:pPr>
        <w:spacing w:line="480" w:lineRule="auto"/>
        <w:jc w:val="both"/>
        <w:rPr>
          <w:rFonts w:ascii="Garamond" w:eastAsia="Calibri" w:hAnsi="Garamond"/>
          <w:bCs/>
          <w:color w:val="000000" w:themeColor="text1"/>
        </w:rPr>
      </w:pPr>
      <w:r w:rsidRPr="00B051E5">
        <w:rPr>
          <w:rFonts w:ascii="Garamond" w:eastAsia="Calibri" w:hAnsi="Garamond"/>
          <w:bCs/>
          <w:color w:val="000000" w:themeColor="text1"/>
        </w:rPr>
        <w:t xml:space="preserve">To test </w:t>
      </w:r>
      <w:r w:rsidRPr="00B051E5">
        <w:rPr>
          <w:rFonts w:ascii="Garamond" w:eastAsia="Calibri" w:hAnsi="Garamond"/>
          <w:b/>
          <w:bCs/>
          <w:i/>
          <w:color w:val="000000" w:themeColor="text1"/>
        </w:rPr>
        <w:t>H1</w:t>
      </w:r>
      <w:r w:rsidRPr="00B051E5">
        <w:rPr>
          <w:rFonts w:ascii="Garamond" w:eastAsia="Calibri" w:hAnsi="Garamond"/>
          <w:bCs/>
          <w:color w:val="000000" w:themeColor="text1"/>
        </w:rPr>
        <w:t xml:space="preserve">, we use the lead-lag approach through the following two equations to examine how </w:t>
      </w:r>
      <w:r w:rsidRPr="00B051E5">
        <w:rPr>
          <w:rFonts w:ascii="Garamond" w:eastAsia="Calibri" w:hAnsi="Garamond"/>
          <w:bCs/>
          <w:i/>
          <w:color w:val="000000" w:themeColor="text1"/>
        </w:rPr>
        <w:t>PARD</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xml:space="preserve">., in </w:t>
      </w:r>
      <w:r w:rsidR="003C7280" w:rsidRPr="00B051E5">
        <w:rPr>
          <w:rFonts w:ascii="Garamond" w:eastAsia="Calibri" w:hAnsi="Garamond"/>
          <w:bCs/>
          <w:color w:val="000000" w:themeColor="text1"/>
        </w:rPr>
        <w:t>Equation</w:t>
      </w:r>
      <w:r w:rsidRPr="00B051E5">
        <w:rPr>
          <w:rFonts w:ascii="Garamond" w:eastAsia="Calibri" w:hAnsi="Garamond"/>
          <w:bCs/>
          <w:color w:val="000000" w:themeColor="text1"/>
        </w:rPr>
        <w:t xml:space="preserve"> 3, and </w:t>
      </w:r>
      <w:r w:rsidRPr="00B051E5">
        <w:rPr>
          <w:rFonts w:ascii="Garamond" w:eastAsia="Calibri" w:hAnsi="Garamond"/>
          <w:bCs/>
          <w:i/>
          <w:color w:val="000000" w:themeColor="text1"/>
        </w:rPr>
        <w:t>PFLRD</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xml:space="preserve"> and </w:t>
      </w:r>
      <w:r w:rsidRPr="00B051E5">
        <w:rPr>
          <w:rFonts w:ascii="Garamond" w:eastAsia="Calibri" w:hAnsi="Garamond"/>
          <w:bCs/>
          <w:i/>
          <w:color w:val="000000" w:themeColor="text1"/>
        </w:rPr>
        <w:t>PNFLRD</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xml:space="preserve">, in </w:t>
      </w:r>
      <w:r w:rsidR="003C7280" w:rsidRPr="00B051E5">
        <w:rPr>
          <w:rFonts w:ascii="Garamond" w:eastAsia="Calibri" w:hAnsi="Garamond"/>
          <w:bCs/>
          <w:color w:val="000000" w:themeColor="text1"/>
        </w:rPr>
        <w:t>Equation</w:t>
      </w:r>
      <w:r w:rsidRPr="00B051E5">
        <w:rPr>
          <w:rFonts w:ascii="Garamond" w:eastAsia="Calibri" w:hAnsi="Garamond"/>
          <w:bCs/>
          <w:color w:val="000000" w:themeColor="text1"/>
        </w:rPr>
        <w:t xml:space="preserve"> 4, influence stock price informativeness as measured by </w:t>
      </w:r>
      <w:r w:rsidRPr="00B051E5">
        <w:rPr>
          <w:rFonts w:ascii="Garamond" w:eastAsia="Calibri" w:hAnsi="Garamond"/>
          <w:bCs/>
          <w:i/>
          <w:color w:val="000000" w:themeColor="text1"/>
        </w:rPr>
        <w:t>SYNCK</w:t>
      </w:r>
      <w:r w:rsidRPr="00B051E5">
        <w:rPr>
          <w:rFonts w:ascii="Garamond" w:eastAsia="Calibri" w:hAnsi="Garamond"/>
          <w:bCs/>
          <w:i/>
          <w:color w:val="000000" w:themeColor="text1"/>
          <w:vertAlign w:val="subscript"/>
        </w:rPr>
        <w:t xml:space="preserve">i,t+1 </w:t>
      </w:r>
      <w:r w:rsidRPr="00B051E5">
        <w:rPr>
          <w:rFonts w:ascii="Garamond" w:eastAsia="Calibri" w:hAnsi="Garamond"/>
          <w:bCs/>
          <w:color w:val="000000" w:themeColor="text1"/>
        </w:rPr>
        <w:t xml:space="preserve">(generated </w:t>
      </w:r>
      <w:r w:rsidR="00E31B72" w:rsidRPr="00B051E5">
        <w:rPr>
          <w:rFonts w:ascii="Garamond" w:eastAsia="Calibri" w:hAnsi="Garamond"/>
          <w:bCs/>
          <w:color w:val="000000" w:themeColor="text1"/>
        </w:rPr>
        <w:t xml:space="preserve">from </w:t>
      </w:r>
      <w:r w:rsidR="003C7280" w:rsidRPr="00B051E5">
        <w:rPr>
          <w:rFonts w:ascii="Garamond" w:eastAsia="Calibri" w:hAnsi="Garamond"/>
          <w:bCs/>
          <w:color w:val="000000" w:themeColor="text1"/>
        </w:rPr>
        <w:t>Equation</w:t>
      </w:r>
      <w:r w:rsidRPr="00B051E5">
        <w:rPr>
          <w:rFonts w:ascii="Garamond" w:eastAsia="Calibri" w:hAnsi="Garamond"/>
          <w:bCs/>
          <w:color w:val="000000" w:themeColor="text1"/>
        </w:rPr>
        <w:t xml:space="preserve"> 1 and </w:t>
      </w:r>
      <w:r w:rsidR="003C7280" w:rsidRPr="00B051E5">
        <w:rPr>
          <w:rFonts w:ascii="Garamond" w:eastAsia="Calibri" w:hAnsi="Garamond"/>
          <w:bCs/>
          <w:color w:val="000000" w:themeColor="text1"/>
        </w:rPr>
        <w:t>Equation</w:t>
      </w:r>
      <w:r w:rsidRPr="00B051E5">
        <w:rPr>
          <w:rFonts w:ascii="Garamond" w:eastAsia="Calibri" w:hAnsi="Garamond"/>
          <w:bCs/>
          <w:color w:val="000000" w:themeColor="text1"/>
        </w:rPr>
        <w:t xml:space="preserve"> 2) over a period of </w:t>
      </w:r>
      <w:r w:rsidR="00A46503" w:rsidRPr="00B051E5">
        <w:rPr>
          <w:rFonts w:ascii="Garamond" w:eastAsia="Calibri" w:hAnsi="Garamond"/>
          <w:bCs/>
          <w:color w:val="000000" w:themeColor="text1"/>
        </w:rPr>
        <w:t>ten</w:t>
      </w:r>
      <w:r w:rsidRPr="00B051E5">
        <w:rPr>
          <w:rFonts w:ascii="Garamond" w:eastAsia="Calibri" w:hAnsi="Garamond"/>
          <w:bCs/>
          <w:color w:val="000000" w:themeColor="text1"/>
        </w:rPr>
        <w:t xml:space="preserve"> years for </w:t>
      </w:r>
      <w:r w:rsidR="00E31B72" w:rsidRPr="00B051E5">
        <w:rPr>
          <w:rFonts w:ascii="Garamond" w:eastAsia="Calibri" w:hAnsi="Garamond"/>
          <w:bCs/>
          <w:color w:val="000000" w:themeColor="text1"/>
        </w:rPr>
        <w:t>the</w:t>
      </w:r>
      <w:r w:rsidR="00350451" w:rsidRPr="00B051E5">
        <w:rPr>
          <w:rFonts w:ascii="Garamond" w:eastAsia="Calibri" w:hAnsi="Garamond"/>
          <w:bCs/>
          <w:color w:val="000000" w:themeColor="text1"/>
        </w:rPr>
        <w:t xml:space="preserve"> </w:t>
      </w:r>
      <w:r w:rsidRPr="00B051E5">
        <w:rPr>
          <w:rFonts w:ascii="Garamond" w:eastAsia="Calibri" w:hAnsi="Garamond"/>
          <w:bCs/>
          <w:color w:val="000000" w:themeColor="text1"/>
        </w:rPr>
        <w:t>UK FTSE all-share non-financial firms.</w:t>
      </w:r>
      <w:r w:rsidR="00506A47" w:rsidRPr="00B051E5">
        <w:rPr>
          <w:rFonts w:ascii="Garamond" w:eastAsia="Calibri" w:hAnsi="Garamond"/>
          <w:bCs/>
          <w:color w:val="000000" w:themeColor="text1"/>
        </w:rPr>
        <w:t xml:space="preserve"> Both equations rely on ordinary least squares (OLS) covering both year- and industry-fixed effects, to control for unobserved heterogeneity across firms. </w:t>
      </w:r>
    </w:p>
    <w:tbl>
      <w:tblPr>
        <w:tblpPr w:leftFromText="180" w:rightFromText="180" w:vertAnchor="text" w:horzAnchor="margin" w:tblpX="-142" w:tblpY="122"/>
        <w:tblW w:w="10207" w:type="dxa"/>
        <w:tblLook w:val="04A0" w:firstRow="1" w:lastRow="0" w:firstColumn="1" w:lastColumn="0" w:noHBand="0" w:noVBand="1"/>
      </w:tblPr>
      <w:tblGrid>
        <w:gridCol w:w="1720"/>
        <w:gridCol w:w="7211"/>
        <w:gridCol w:w="1276"/>
      </w:tblGrid>
      <w:tr w:rsidR="00B051E5" w:rsidRPr="00B051E5" w14:paraId="5769AD68" w14:textId="77777777" w:rsidTr="000E4673">
        <w:trPr>
          <w:trHeight w:val="1418"/>
        </w:trPr>
        <w:tc>
          <w:tcPr>
            <w:tcW w:w="1720" w:type="dxa"/>
            <w:shd w:val="clear" w:color="auto" w:fill="auto"/>
          </w:tcPr>
          <w:p w14:paraId="42C9B01B" w14:textId="77777777" w:rsidR="00F17521" w:rsidRPr="00B051E5" w:rsidRDefault="00F17521" w:rsidP="000E4673">
            <w:pPr>
              <w:jc w:val="both"/>
              <w:rPr>
                <w:rFonts w:ascii="Garamond" w:eastAsia="Calibri" w:hAnsi="Garamond"/>
                <w:color w:val="000000" w:themeColor="text1"/>
                <w:sz w:val="22"/>
                <w:szCs w:val="22"/>
              </w:rPr>
            </w:pPr>
            <m:oMathPara>
              <m:oMath>
                <m:r>
                  <w:rPr>
                    <w:rFonts w:ascii="Cambria Math" w:eastAsia="Calibri" w:hAnsi="Garamond"/>
                    <w:noProof/>
                    <w:color w:val="000000" w:themeColor="text1"/>
                    <w:sz w:val="22"/>
                    <w:szCs w:val="22"/>
                  </w:rPr>
                  <m:t>SYNC</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H</m:t>
                    </m:r>
                  </m:e>
                  <m:sub>
                    <m:r>
                      <w:rPr>
                        <w:rFonts w:ascii="Cambria Math" w:eastAsia="Calibri" w:hAnsi="Garamond"/>
                        <w:noProof/>
                        <w:color w:val="000000" w:themeColor="text1"/>
                        <w:sz w:val="22"/>
                        <w:szCs w:val="22"/>
                      </w:rPr>
                      <m:t>i,t+1</m:t>
                    </m:r>
                  </m:sub>
                </m:sSub>
                <m:r>
                  <w:rPr>
                    <w:rFonts w:ascii="Cambria Math" w:eastAsia="Calibri" w:hAnsi="Garamond"/>
                    <w:noProof/>
                    <w:color w:val="000000" w:themeColor="text1"/>
                    <w:sz w:val="22"/>
                    <w:szCs w:val="22"/>
                  </w:rPr>
                  <m:t>=</m:t>
                </m:r>
              </m:oMath>
            </m:oMathPara>
          </w:p>
        </w:tc>
        <w:tc>
          <w:tcPr>
            <w:tcW w:w="7211" w:type="dxa"/>
            <w:shd w:val="clear" w:color="auto" w:fill="auto"/>
          </w:tcPr>
          <w:p w14:paraId="4E75D92B" w14:textId="77777777" w:rsidR="00F17521" w:rsidRPr="00B051E5" w:rsidRDefault="00490386" w:rsidP="000E4673">
            <w:pPr>
              <w:rPr>
                <w:rFonts w:ascii="Garamond" w:eastAsia="Calibri" w:hAnsi="Garamond"/>
                <w:color w:val="000000" w:themeColor="text1"/>
                <w:sz w:val="22"/>
                <w:szCs w:val="22"/>
              </w:rPr>
            </w:pPr>
            <m:oMathPara>
              <m:oMath>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0</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1</m:t>
                    </m:r>
                  </m:sub>
                </m:sSub>
                <m:r>
                  <w:rPr>
                    <w:rFonts w:ascii="Cambria Math" w:eastAsia="Calibri" w:hAnsi="Garamond"/>
                    <w:noProof/>
                    <w:color w:val="000000" w:themeColor="text1"/>
                    <w:sz w:val="22"/>
                    <w:szCs w:val="22"/>
                  </w:rPr>
                  <m:t>PAR</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D</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2</m:t>
                    </m:r>
                  </m:sub>
                </m:sSub>
                <m:r>
                  <w:rPr>
                    <w:rFonts w:ascii="Cambria Math" w:eastAsia="Calibri" w:hAnsi="Garamond"/>
                    <w:noProof/>
                    <w:color w:val="000000" w:themeColor="text1"/>
                    <w:sz w:val="22"/>
                    <w:szCs w:val="22"/>
                  </w:rPr>
                  <m:t>SIZ</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E</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3</m:t>
                    </m:r>
                  </m:sub>
                </m:sSub>
                <m:r>
                  <w:rPr>
                    <w:rFonts w:ascii="Cambria Math" w:eastAsia="Calibri" w:hAnsi="Garamond"/>
                    <w:noProof/>
                    <w:color w:val="000000" w:themeColor="text1"/>
                    <w:sz w:val="22"/>
                    <w:szCs w:val="22"/>
                  </w:rPr>
                  <m:t>LE</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V</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4</m:t>
                    </m:r>
                  </m:sub>
                </m:sSub>
                <m:r>
                  <w:rPr>
                    <w:rFonts w:ascii="Cambria Math" w:eastAsia="Calibri" w:hAnsi="Garamond"/>
                    <w:noProof/>
                    <w:color w:val="000000" w:themeColor="text1"/>
                    <w:sz w:val="22"/>
                    <w:szCs w:val="22"/>
                  </w:rPr>
                  <m:t>VO</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L</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5</m:t>
                    </m:r>
                  </m:sub>
                </m:sSub>
                <m:r>
                  <w:rPr>
                    <w:rFonts w:ascii="Cambria Math" w:eastAsia="Calibri" w:hAnsi="Garamond"/>
                    <w:noProof/>
                    <w:color w:val="000000" w:themeColor="text1"/>
                    <w:sz w:val="22"/>
                    <w:szCs w:val="22"/>
                  </w:rPr>
                  <m:t>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B</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oMath>
            </m:oMathPara>
          </w:p>
          <w:p w14:paraId="1A192CE7" w14:textId="77777777" w:rsidR="00F17521" w:rsidRPr="00B051E5" w:rsidRDefault="00490386" w:rsidP="000E4673">
            <w:pPr>
              <w:rPr>
                <w:rFonts w:ascii="Garamond" w:eastAsia="Calibri" w:hAnsi="Garamond"/>
                <w:color w:val="000000" w:themeColor="text1"/>
                <w:sz w:val="22"/>
                <w:szCs w:val="22"/>
              </w:rPr>
            </w:pPr>
            <m:oMathPara>
              <m:oMath>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6</m:t>
                    </m:r>
                  </m:sub>
                </m:sSub>
                <m:r>
                  <w:rPr>
                    <w:rFonts w:ascii="Cambria Math" w:eastAsia="Calibri" w:hAnsi="Garamond"/>
                    <w:noProof/>
                    <w:color w:val="000000" w:themeColor="text1"/>
                    <w:sz w:val="22"/>
                    <w:szCs w:val="22"/>
                  </w:rPr>
                  <m:t>VOLATILIT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Y</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7</m:t>
                    </m:r>
                  </m:sub>
                </m:sSub>
                <m:r>
                  <w:rPr>
                    <w:rFonts w:ascii="Cambria Math" w:eastAsia="Calibri" w:hAnsi="Garamond"/>
                    <w:noProof/>
                    <w:color w:val="000000" w:themeColor="text1"/>
                    <w:sz w:val="22"/>
                    <w:szCs w:val="22"/>
                  </w:rPr>
                  <m:t>RO</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A</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8</m:t>
                    </m:r>
                  </m:sub>
                </m:sSub>
                <m:r>
                  <w:rPr>
                    <w:rFonts w:ascii="Cambria Math" w:eastAsia="Calibri" w:hAnsi="Garamond"/>
                    <w:noProof/>
                    <w:color w:val="000000" w:themeColor="text1"/>
                    <w:sz w:val="22"/>
                    <w:szCs w:val="22"/>
                  </w:rPr>
                  <m:t>BSIZ</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E</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9</m:t>
                    </m:r>
                  </m:sub>
                </m:sSub>
                <m:r>
                  <w:rPr>
                    <w:rFonts w:ascii="Cambria Math" w:eastAsia="Calibri" w:hAnsi="Garamond"/>
                    <w:noProof/>
                    <w:color w:val="000000" w:themeColor="text1"/>
                    <w:sz w:val="22"/>
                    <w:szCs w:val="22"/>
                  </w:rPr>
                  <m:t>BIND</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P</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oMath>
            </m:oMathPara>
          </w:p>
          <w:p w14:paraId="52DC4B12" w14:textId="77777777" w:rsidR="00F17521" w:rsidRPr="00B051E5" w:rsidRDefault="00490386" w:rsidP="000E4673">
            <w:pPr>
              <w:rPr>
                <w:rFonts w:ascii="Garamond" w:eastAsia="Calibri" w:hAnsi="Garamond"/>
                <w:color w:val="000000" w:themeColor="text1"/>
                <w:sz w:val="22"/>
                <w:szCs w:val="22"/>
              </w:rPr>
            </w:pPr>
            <m:oMathPara>
              <m:oMath>
                <m:sSub>
                  <m:sSubPr>
                    <m:ctrlPr>
                      <w:rPr>
                        <w:rFonts w:ascii="Cambria Math" w:eastAsia="Calibri" w:hAnsi="Cambria Math"/>
                        <w:i/>
                        <w:noProof/>
                        <w:color w:val="000000" w:themeColor="text1"/>
                        <w:sz w:val="22"/>
                        <w:szCs w:val="22"/>
                      </w:rPr>
                    </m:ctrlPr>
                  </m:sSubPr>
                  <m:e>
                    <m:r>
                      <w:rPr>
                        <w:rFonts w:ascii="Cambria Math" w:eastAsia="Calibri" w:hAnsi="Cambria Math"/>
                        <w:noProof/>
                        <w:color w:val="000000" w:themeColor="text1"/>
                        <w:sz w:val="22"/>
                        <w:szCs w:val="22"/>
                      </w:rPr>
                      <m:t>β</m:t>
                    </m:r>
                  </m:e>
                  <m:sub>
                    <m:r>
                      <w:rPr>
                        <w:rFonts w:ascii="Cambria Math" w:eastAsia="Calibri" w:hAnsi="Cambria Math"/>
                        <w:noProof/>
                        <w:color w:val="000000" w:themeColor="text1"/>
                        <w:sz w:val="22"/>
                        <w:szCs w:val="22"/>
                      </w:rPr>
                      <m:t>10</m:t>
                    </m:r>
                  </m:sub>
                </m:sSub>
                <m:r>
                  <w:rPr>
                    <w:rFonts w:ascii="Cambria Math" w:eastAsia="Calibri" w:hAnsi="Cambria Math"/>
                    <w:noProof/>
                    <w:color w:val="000000" w:themeColor="text1"/>
                    <w:sz w:val="22"/>
                    <w:szCs w:val="22"/>
                  </w:rPr>
                  <m:t>CHSHA</m:t>
                </m:r>
                <m:sSub>
                  <m:sSubPr>
                    <m:ctrlPr>
                      <w:rPr>
                        <w:rFonts w:ascii="Cambria Math" w:eastAsia="Calibri" w:hAnsi="Cambria Math"/>
                        <w:i/>
                        <w:noProof/>
                        <w:color w:val="000000" w:themeColor="text1"/>
                        <w:sz w:val="22"/>
                        <w:szCs w:val="22"/>
                      </w:rPr>
                    </m:ctrlPr>
                  </m:sSubPr>
                  <m:e>
                    <m:r>
                      <w:rPr>
                        <w:rFonts w:ascii="Cambria Math" w:eastAsia="Calibri" w:hAnsi="Cambria Math"/>
                        <w:noProof/>
                        <w:color w:val="000000" w:themeColor="text1"/>
                        <w:sz w:val="22"/>
                        <w:szCs w:val="22"/>
                      </w:rPr>
                      <m:t>R</m:t>
                    </m:r>
                  </m:e>
                  <m:sub>
                    <m:r>
                      <w:rPr>
                        <w:rFonts w:ascii="Cambria Math" w:eastAsia="Calibri" w:hAnsi="Cambria Math"/>
                        <w:noProof/>
                        <w:color w:val="000000" w:themeColor="text1"/>
                        <w:sz w:val="22"/>
                        <w:szCs w:val="22"/>
                      </w:rPr>
                      <m:t>i</m:t>
                    </m:r>
                    <m:r>
                      <w:rPr>
                        <w:rFonts w:ascii="Cambria Math" w:eastAsia="Calibri" w:hAnsi="Cambria Math"/>
                        <w:noProof/>
                        <w:color w:val="000000" w:themeColor="text1"/>
                        <w:sz w:val="22"/>
                        <w:szCs w:val="22"/>
                      </w:rPr>
                      <m:t>,</m:t>
                    </m:r>
                    <m:r>
                      <w:rPr>
                        <w:rFonts w:ascii="Cambria Math" w:eastAsia="Calibri" w:hAnsi="Cambria Math"/>
                        <w:noProof/>
                        <w:color w:val="000000" w:themeColor="text1"/>
                        <w:sz w:val="22"/>
                        <w:szCs w:val="22"/>
                      </w:rPr>
                      <m:t>t</m:t>
                    </m:r>
                  </m:sub>
                </m:sSub>
                <m:r>
                  <w:rPr>
                    <w:rFonts w:ascii="Cambria Math" w:eastAsia="Calibri" w:hAnsi="Cambria Math"/>
                    <w:noProof/>
                    <w:color w:val="000000" w:themeColor="text1"/>
                    <w:sz w:val="22"/>
                    <w:szCs w:val="22"/>
                  </w:rPr>
                  <m:t>+</m:t>
                </m:r>
                <m:nary>
                  <m:naryPr>
                    <m:chr m:val="∑"/>
                    <m:ctrlPr>
                      <w:rPr>
                        <w:rFonts w:ascii="Cambria Math" w:eastAsia="Calibri" w:hAnsi="Cambria Math"/>
                        <w:i/>
                        <w:noProof/>
                        <w:color w:val="000000" w:themeColor="text1"/>
                        <w:sz w:val="22"/>
                        <w:szCs w:val="22"/>
                      </w:rPr>
                    </m:ctrlPr>
                  </m:naryPr>
                  <m:sub>
                    <m:r>
                      <w:rPr>
                        <w:rFonts w:ascii="Cambria Math" w:eastAsia="Calibri" w:hAnsi="Cambria Math"/>
                        <w:noProof/>
                        <w:color w:val="000000" w:themeColor="text1"/>
                        <w:sz w:val="22"/>
                        <w:szCs w:val="22"/>
                      </w:rPr>
                      <m:t>m</m:t>
                    </m:r>
                    <m:r>
                      <w:rPr>
                        <w:rFonts w:ascii="Cambria Math" w:eastAsia="Calibri" w:hAnsi="Cambria Math"/>
                        <w:noProof/>
                        <w:color w:val="000000" w:themeColor="text1"/>
                        <w:sz w:val="22"/>
                        <w:szCs w:val="22"/>
                      </w:rPr>
                      <m:t>=1</m:t>
                    </m:r>
                  </m:sub>
                  <m:sup>
                    <m:r>
                      <w:rPr>
                        <w:rFonts w:ascii="Cambria Math" w:eastAsia="Calibri" w:hAnsi="Cambria Math"/>
                        <w:noProof/>
                        <w:color w:val="000000" w:themeColor="text1"/>
                        <w:sz w:val="22"/>
                        <w:szCs w:val="22"/>
                      </w:rPr>
                      <m:t>8</m:t>
                    </m:r>
                  </m:sup>
                  <m:e>
                    <m:r>
                      <w:rPr>
                        <w:rFonts w:ascii="Cambria Math" w:eastAsia="Calibri" w:hAnsi="Cambria Math"/>
                        <w:noProof/>
                        <w:color w:val="000000" w:themeColor="text1"/>
                        <w:sz w:val="22"/>
                        <w:szCs w:val="22"/>
                      </w:rPr>
                      <m:t>Industr</m:t>
                    </m:r>
                    <m:sSub>
                      <m:sSubPr>
                        <m:ctrlPr>
                          <w:rPr>
                            <w:rFonts w:ascii="Cambria Math" w:eastAsia="Calibri" w:hAnsi="Cambria Math"/>
                            <w:i/>
                            <w:noProof/>
                            <w:color w:val="000000" w:themeColor="text1"/>
                            <w:sz w:val="22"/>
                            <w:szCs w:val="22"/>
                          </w:rPr>
                        </m:ctrlPr>
                      </m:sSubPr>
                      <m:e>
                        <m:r>
                          <w:rPr>
                            <w:rFonts w:ascii="Cambria Math" w:eastAsia="Calibri" w:hAnsi="Cambria Math"/>
                            <w:noProof/>
                            <w:color w:val="000000" w:themeColor="text1"/>
                            <w:sz w:val="22"/>
                            <w:szCs w:val="22"/>
                          </w:rPr>
                          <m:t>y</m:t>
                        </m:r>
                      </m:e>
                      <m:sub>
                        <m:r>
                          <w:rPr>
                            <w:rFonts w:ascii="Cambria Math" w:eastAsia="Calibri" w:hAnsi="Cambria Math"/>
                            <w:noProof/>
                            <w:color w:val="000000" w:themeColor="text1"/>
                            <w:sz w:val="22"/>
                            <w:szCs w:val="22"/>
                          </w:rPr>
                          <m:t>i</m:t>
                        </m:r>
                        <m:r>
                          <w:rPr>
                            <w:rFonts w:ascii="Cambria Math" w:eastAsia="Calibri" w:hAnsi="Cambria Math"/>
                            <w:noProof/>
                            <w:color w:val="000000" w:themeColor="text1"/>
                            <w:sz w:val="22"/>
                            <w:szCs w:val="22"/>
                          </w:rPr>
                          <m:t>,</m:t>
                        </m:r>
                        <m:r>
                          <w:rPr>
                            <w:rFonts w:ascii="Cambria Math" w:eastAsia="Calibri" w:hAnsi="Cambria Math"/>
                            <w:noProof/>
                            <w:color w:val="000000" w:themeColor="text1"/>
                            <w:sz w:val="22"/>
                            <w:szCs w:val="22"/>
                          </w:rPr>
                          <m:t>m</m:t>
                        </m:r>
                      </m:sub>
                    </m:sSub>
                  </m:e>
                </m:nary>
                <m:r>
                  <w:rPr>
                    <w:rFonts w:ascii="Cambria Math" w:eastAsia="Calibri" w:hAnsi="Cambria Math"/>
                    <w:noProof/>
                    <w:color w:val="000000" w:themeColor="text1"/>
                    <w:sz w:val="22"/>
                    <w:szCs w:val="22"/>
                  </w:rPr>
                  <m:t>+</m:t>
                </m:r>
                <m:nary>
                  <m:naryPr>
                    <m:chr m:val="∑"/>
                    <m:ctrlPr>
                      <w:rPr>
                        <w:rFonts w:ascii="Cambria Math" w:eastAsia="Calibri" w:hAnsi="Cambria Math"/>
                        <w:i/>
                        <w:noProof/>
                        <w:color w:val="000000" w:themeColor="text1"/>
                        <w:sz w:val="22"/>
                        <w:szCs w:val="22"/>
                      </w:rPr>
                    </m:ctrlPr>
                  </m:naryPr>
                  <m:sub>
                    <m:r>
                      <w:rPr>
                        <w:rFonts w:ascii="Cambria Math" w:eastAsia="Calibri" w:hAnsi="Cambria Math"/>
                        <w:noProof/>
                        <w:color w:val="000000" w:themeColor="text1"/>
                        <w:sz w:val="22"/>
                        <w:szCs w:val="22"/>
                      </w:rPr>
                      <m:t>l</m:t>
                    </m:r>
                    <m:r>
                      <w:rPr>
                        <w:rFonts w:ascii="Cambria Math" w:eastAsia="Calibri" w:hAnsi="Cambria Math"/>
                        <w:noProof/>
                        <w:color w:val="000000" w:themeColor="text1"/>
                        <w:sz w:val="22"/>
                        <w:szCs w:val="22"/>
                      </w:rPr>
                      <m:t>=1</m:t>
                    </m:r>
                  </m:sub>
                  <m:sup>
                    <m:r>
                      <w:rPr>
                        <w:rFonts w:ascii="Cambria Math" w:eastAsia="Calibri" w:hAnsi="Cambria Math"/>
                        <w:noProof/>
                        <w:color w:val="000000" w:themeColor="text1"/>
                        <w:sz w:val="22"/>
                        <w:szCs w:val="22"/>
                      </w:rPr>
                      <m:t>10</m:t>
                    </m:r>
                  </m:sup>
                  <m:e>
                    <m:r>
                      <w:rPr>
                        <w:rFonts w:ascii="Cambria Math" w:eastAsia="Calibri" w:hAnsi="Cambria Math"/>
                        <w:noProof/>
                        <w:color w:val="000000" w:themeColor="text1"/>
                        <w:sz w:val="22"/>
                        <w:szCs w:val="22"/>
                      </w:rPr>
                      <m:t>yea</m:t>
                    </m:r>
                    <m:sSub>
                      <m:sSubPr>
                        <m:ctrlPr>
                          <w:rPr>
                            <w:rFonts w:ascii="Cambria Math" w:eastAsia="Calibri" w:hAnsi="Cambria Math"/>
                            <w:i/>
                            <w:noProof/>
                            <w:color w:val="000000" w:themeColor="text1"/>
                            <w:sz w:val="22"/>
                            <w:szCs w:val="22"/>
                          </w:rPr>
                        </m:ctrlPr>
                      </m:sSubPr>
                      <m:e>
                        <m:r>
                          <w:rPr>
                            <w:rFonts w:ascii="Cambria Math" w:eastAsia="Calibri" w:hAnsi="Cambria Math"/>
                            <w:noProof/>
                            <w:color w:val="000000" w:themeColor="text1"/>
                            <w:sz w:val="22"/>
                            <w:szCs w:val="22"/>
                          </w:rPr>
                          <m:t>r</m:t>
                        </m:r>
                      </m:e>
                      <m:sub>
                        <m:r>
                          <w:rPr>
                            <w:rFonts w:ascii="Cambria Math" w:eastAsia="Calibri" w:hAnsi="Cambria Math"/>
                            <w:noProof/>
                            <w:color w:val="000000" w:themeColor="text1"/>
                            <w:sz w:val="22"/>
                            <w:szCs w:val="22"/>
                          </w:rPr>
                          <m:t>i</m:t>
                        </m:r>
                        <m:r>
                          <w:rPr>
                            <w:rFonts w:ascii="Cambria Math" w:eastAsia="Calibri" w:hAnsi="Cambria Math"/>
                            <w:noProof/>
                            <w:color w:val="000000" w:themeColor="text1"/>
                            <w:sz w:val="22"/>
                            <w:szCs w:val="22"/>
                          </w:rPr>
                          <m:t>,</m:t>
                        </m:r>
                        <m:r>
                          <w:rPr>
                            <w:rFonts w:ascii="Cambria Math" w:eastAsia="Calibri" w:hAnsi="Cambria Math"/>
                            <w:noProof/>
                            <w:color w:val="000000" w:themeColor="text1"/>
                            <w:sz w:val="22"/>
                            <w:szCs w:val="22"/>
                          </w:rPr>
                          <m:t>l</m:t>
                        </m:r>
                      </m:sub>
                    </m:sSub>
                  </m:e>
                </m:nary>
                <m:r>
                  <w:rPr>
                    <w:rFonts w:ascii="Cambria Math" w:eastAsia="Calibri" w:hAnsi="Cambria Math"/>
                    <w:noProof/>
                    <w:color w:val="000000" w:themeColor="text1"/>
                    <w:sz w:val="22"/>
                    <w:szCs w:val="22"/>
                  </w:rPr>
                  <m:t>+</m:t>
                </m:r>
                <m:sSub>
                  <m:sSubPr>
                    <m:ctrlPr>
                      <w:rPr>
                        <w:rFonts w:ascii="Cambria Math" w:eastAsia="Calibri" w:hAnsi="Cambria Math"/>
                        <w:i/>
                        <w:noProof/>
                        <w:color w:val="000000" w:themeColor="text1"/>
                        <w:sz w:val="22"/>
                        <w:szCs w:val="22"/>
                      </w:rPr>
                    </m:ctrlPr>
                  </m:sSubPr>
                  <m:e>
                    <m:r>
                      <w:rPr>
                        <w:rFonts w:ascii="Cambria Math" w:eastAsia="Calibri" w:hAnsi="Cambria Math"/>
                        <w:noProof/>
                        <w:color w:val="000000" w:themeColor="text1"/>
                        <w:sz w:val="22"/>
                        <w:szCs w:val="22"/>
                      </w:rPr>
                      <m:t>ε</m:t>
                    </m:r>
                  </m:e>
                  <m:sub>
                    <m:r>
                      <w:rPr>
                        <w:rFonts w:ascii="Cambria Math" w:eastAsia="Calibri" w:hAnsi="Cambria Math"/>
                        <w:noProof/>
                        <w:color w:val="000000" w:themeColor="text1"/>
                        <w:sz w:val="22"/>
                        <w:szCs w:val="22"/>
                      </w:rPr>
                      <m:t>i</m:t>
                    </m:r>
                    <m:r>
                      <w:rPr>
                        <w:rFonts w:ascii="Cambria Math" w:eastAsia="Calibri" w:hAnsi="Cambria Math"/>
                        <w:noProof/>
                        <w:color w:val="000000" w:themeColor="text1"/>
                        <w:sz w:val="22"/>
                        <w:szCs w:val="22"/>
                      </w:rPr>
                      <m:t>,</m:t>
                    </m:r>
                    <m:r>
                      <w:rPr>
                        <w:rFonts w:ascii="Cambria Math" w:eastAsia="Calibri" w:hAnsi="Cambria Math"/>
                        <w:noProof/>
                        <w:color w:val="000000" w:themeColor="text1"/>
                        <w:sz w:val="22"/>
                        <w:szCs w:val="22"/>
                      </w:rPr>
                      <m:t>t</m:t>
                    </m:r>
                  </m:sub>
                </m:sSub>
              </m:oMath>
            </m:oMathPara>
          </w:p>
        </w:tc>
        <w:tc>
          <w:tcPr>
            <w:tcW w:w="1276" w:type="dxa"/>
            <w:shd w:val="clear" w:color="auto" w:fill="auto"/>
          </w:tcPr>
          <w:p w14:paraId="6838D15F" w14:textId="77777777" w:rsidR="00F17521" w:rsidRPr="00B051E5" w:rsidRDefault="00F17521" w:rsidP="000E4673">
            <w:pPr>
              <w:jc w:val="both"/>
              <w:rPr>
                <w:rFonts w:ascii="Garamond" w:eastAsia="Calibri" w:hAnsi="Garamond"/>
                <w:color w:val="000000" w:themeColor="text1"/>
                <w:sz w:val="22"/>
                <w:szCs w:val="22"/>
              </w:rPr>
            </w:pPr>
          </w:p>
          <w:p w14:paraId="66C50F90" w14:textId="77777777" w:rsidR="00F17521" w:rsidRPr="00B051E5" w:rsidRDefault="00F17521" w:rsidP="000E4673">
            <w:pPr>
              <w:jc w:val="both"/>
              <w:rPr>
                <w:rFonts w:ascii="Garamond" w:eastAsia="Calibri" w:hAnsi="Garamond"/>
                <w:color w:val="000000" w:themeColor="text1"/>
                <w:sz w:val="22"/>
                <w:szCs w:val="22"/>
              </w:rPr>
            </w:pPr>
          </w:p>
          <w:p w14:paraId="30F2F04A" w14:textId="77777777" w:rsidR="00F17521" w:rsidRPr="00B051E5" w:rsidRDefault="00F17521" w:rsidP="000E4673">
            <w:pPr>
              <w:jc w:val="both"/>
              <w:rPr>
                <w:rFonts w:ascii="Garamond" w:eastAsia="Calibri" w:hAnsi="Garamond"/>
                <w:color w:val="000000" w:themeColor="text1"/>
                <w:sz w:val="22"/>
                <w:szCs w:val="22"/>
              </w:rPr>
            </w:pPr>
          </w:p>
          <w:p w14:paraId="72F90CB7" w14:textId="77777777" w:rsidR="00F17521" w:rsidRPr="00B051E5" w:rsidRDefault="00F17521" w:rsidP="000E4673">
            <w:pPr>
              <w:jc w:val="both"/>
              <w:rPr>
                <w:rFonts w:ascii="Garamond" w:eastAsia="Calibri" w:hAnsi="Garamond"/>
                <w:color w:val="000000" w:themeColor="text1"/>
                <w:sz w:val="22"/>
                <w:szCs w:val="22"/>
              </w:rPr>
            </w:pPr>
            <w:r w:rsidRPr="00B051E5">
              <w:rPr>
                <w:rFonts w:ascii="Garamond" w:eastAsia="Calibri" w:hAnsi="Garamond"/>
                <w:color w:val="000000" w:themeColor="text1"/>
                <w:sz w:val="22"/>
                <w:szCs w:val="22"/>
              </w:rPr>
              <w:t>Equation 3</w:t>
            </w:r>
          </w:p>
        </w:tc>
      </w:tr>
    </w:tbl>
    <w:p w14:paraId="0C2E6266" w14:textId="77777777" w:rsidR="00F17521" w:rsidRPr="00B051E5" w:rsidRDefault="00F17521" w:rsidP="00D75008">
      <w:pPr>
        <w:spacing w:line="360" w:lineRule="auto"/>
        <w:jc w:val="both"/>
        <w:rPr>
          <w:rFonts w:ascii="Garamond" w:eastAsia="Calibri" w:hAnsi="Garamond"/>
          <w:b/>
          <w:bCs/>
          <w:color w:val="000000" w:themeColor="text1"/>
        </w:rPr>
      </w:pPr>
    </w:p>
    <w:tbl>
      <w:tblPr>
        <w:tblpPr w:leftFromText="180" w:rightFromText="180" w:vertAnchor="text" w:horzAnchor="margin" w:tblpX="-142" w:tblpYSpec="outside"/>
        <w:tblW w:w="10206" w:type="dxa"/>
        <w:tblLayout w:type="fixed"/>
        <w:tblLook w:val="04A0" w:firstRow="1" w:lastRow="0" w:firstColumn="1" w:lastColumn="0" w:noHBand="0" w:noVBand="1"/>
      </w:tblPr>
      <w:tblGrid>
        <w:gridCol w:w="1701"/>
        <w:gridCol w:w="7230"/>
        <w:gridCol w:w="1275"/>
      </w:tblGrid>
      <w:tr w:rsidR="00B051E5" w:rsidRPr="00B051E5" w14:paraId="4EE6CD39" w14:textId="77777777" w:rsidTr="0079339D">
        <w:trPr>
          <w:trHeight w:val="1276"/>
        </w:trPr>
        <w:tc>
          <w:tcPr>
            <w:tcW w:w="1701" w:type="dxa"/>
            <w:shd w:val="clear" w:color="auto" w:fill="auto"/>
          </w:tcPr>
          <w:p w14:paraId="6A81A0F1" w14:textId="2F0E579B" w:rsidR="00F17521" w:rsidRPr="00B051E5" w:rsidRDefault="00F17521" w:rsidP="0079339D">
            <w:pPr>
              <w:jc w:val="both"/>
              <w:rPr>
                <w:rFonts w:ascii="Garamond" w:eastAsia="Calibri" w:hAnsi="Garamond"/>
                <w:color w:val="000000" w:themeColor="text1"/>
                <w:sz w:val="22"/>
                <w:szCs w:val="22"/>
              </w:rPr>
            </w:pPr>
            <w:r w:rsidRPr="00B051E5">
              <w:rPr>
                <w:rFonts w:ascii="Garamond" w:eastAsia="Calibri" w:hAnsi="Garamond"/>
                <w:noProof/>
                <w:color w:val="000000" w:themeColor="text1"/>
                <w:position w:val="-14"/>
                <w:sz w:val="22"/>
                <w:szCs w:val="22"/>
              </w:rPr>
              <w:lastRenderedPageBreak/>
              <w:drawing>
                <wp:inline distT="0" distB="0" distL="0" distR="0" wp14:anchorId="48BEABAC" wp14:editId="55CCB728">
                  <wp:extent cx="829945" cy="240665"/>
                  <wp:effectExtent l="0" t="0" r="825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9945" cy="240665"/>
                          </a:xfrm>
                          <a:prstGeom prst="rect">
                            <a:avLst/>
                          </a:prstGeom>
                          <a:noFill/>
                          <a:ln>
                            <a:noFill/>
                          </a:ln>
                        </pic:spPr>
                      </pic:pic>
                    </a:graphicData>
                  </a:graphic>
                </wp:inline>
              </w:drawing>
            </w:r>
          </w:p>
        </w:tc>
        <w:tc>
          <w:tcPr>
            <w:tcW w:w="7230" w:type="dxa"/>
            <w:shd w:val="clear" w:color="auto" w:fill="auto"/>
          </w:tcPr>
          <w:p w14:paraId="0A083F1B" w14:textId="77777777" w:rsidR="00F17521" w:rsidRPr="00B051E5" w:rsidRDefault="00490386" w:rsidP="0079339D">
            <w:pPr>
              <w:rPr>
                <w:rFonts w:ascii="Garamond" w:eastAsia="Calibri" w:hAnsi="Garamond"/>
                <w:color w:val="000000" w:themeColor="text1"/>
                <w:sz w:val="22"/>
                <w:szCs w:val="22"/>
              </w:rPr>
            </w:pPr>
            <m:oMathPara>
              <m:oMath>
                <m:sSub>
                  <m:sSubPr>
                    <m:ctrlPr>
                      <w:rPr>
                        <w:rFonts w:ascii="Cambria Math" w:eastAsia="Calibri" w:hAnsi="Garamond"/>
                        <w:i/>
                        <w:noProof/>
                        <w:color w:val="000000" w:themeColor="text1"/>
                        <w:sz w:val="22"/>
                        <w:szCs w:val="22"/>
                      </w:rPr>
                    </m:ctrlPr>
                  </m:sSubPr>
                  <m:e>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0</m:t>
                        </m:r>
                      </m:sub>
                    </m:sSub>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1</m:t>
                    </m:r>
                  </m:sub>
                </m:sSub>
                <m:r>
                  <w:rPr>
                    <w:rFonts w:ascii="Cambria Math" w:eastAsia="Calibri" w:hAnsi="Garamond"/>
                    <w:noProof/>
                    <w:color w:val="000000" w:themeColor="text1"/>
                    <w:sz w:val="22"/>
                    <w:szCs w:val="22"/>
                  </w:rPr>
                  <m:t>PFLR</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D</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2</m:t>
                    </m:r>
                  </m:sub>
                </m:sSub>
                <m:r>
                  <w:rPr>
                    <w:rFonts w:ascii="Cambria Math" w:eastAsia="Calibri" w:hAnsi="Garamond"/>
                    <w:noProof/>
                    <w:color w:val="000000" w:themeColor="text1"/>
                    <w:sz w:val="22"/>
                    <w:szCs w:val="22"/>
                  </w:rPr>
                  <m:t>PNFLR</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D</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3</m:t>
                    </m:r>
                  </m:sub>
                </m:sSub>
                <m:r>
                  <w:rPr>
                    <w:rFonts w:ascii="Cambria Math" w:eastAsia="Calibri" w:hAnsi="Garamond"/>
                    <w:noProof/>
                    <w:color w:val="000000" w:themeColor="text1"/>
                    <w:sz w:val="22"/>
                    <w:szCs w:val="22"/>
                  </w:rPr>
                  <m:t>SIZ</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E</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4</m:t>
                    </m:r>
                  </m:sub>
                </m:sSub>
                <m:r>
                  <w:rPr>
                    <w:rFonts w:ascii="Cambria Math" w:eastAsia="Calibri" w:hAnsi="Garamond"/>
                    <w:noProof/>
                    <w:color w:val="000000" w:themeColor="text1"/>
                    <w:sz w:val="22"/>
                    <w:szCs w:val="22"/>
                  </w:rPr>
                  <m:t>LE</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V</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5</m:t>
                    </m:r>
                  </m:sub>
                </m:sSub>
                <m:r>
                  <w:rPr>
                    <w:rFonts w:ascii="Cambria Math" w:eastAsia="Calibri" w:hAnsi="Garamond"/>
                    <w:noProof/>
                    <w:color w:val="000000" w:themeColor="text1"/>
                    <w:sz w:val="22"/>
                    <w:szCs w:val="22"/>
                  </w:rPr>
                  <m:t>VO</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L</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oMath>
            </m:oMathPara>
          </w:p>
          <w:p w14:paraId="7969A474" w14:textId="77777777" w:rsidR="00F17521" w:rsidRPr="00B051E5" w:rsidRDefault="00490386" w:rsidP="0079339D">
            <w:pPr>
              <w:rPr>
                <w:rFonts w:ascii="Garamond" w:eastAsia="Calibri" w:hAnsi="Garamond"/>
                <w:color w:val="000000" w:themeColor="text1"/>
                <w:sz w:val="22"/>
                <w:szCs w:val="22"/>
              </w:rPr>
            </w:pPr>
            <m:oMathPara>
              <m:oMath>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6</m:t>
                    </m:r>
                  </m:sub>
                </m:sSub>
                <m:r>
                  <w:rPr>
                    <w:rFonts w:ascii="Cambria Math" w:eastAsia="Calibri" w:hAnsi="Garamond"/>
                    <w:noProof/>
                    <w:color w:val="000000" w:themeColor="text1"/>
                    <w:sz w:val="22"/>
                    <w:szCs w:val="22"/>
                  </w:rPr>
                  <m:t>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B</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7</m:t>
                    </m:r>
                  </m:sub>
                </m:sSub>
                <m:r>
                  <w:rPr>
                    <w:rFonts w:ascii="Cambria Math" w:eastAsia="Calibri" w:hAnsi="Garamond"/>
                    <w:noProof/>
                    <w:color w:val="000000" w:themeColor="text1"/>
                    <w:sz w:val="22"/>
                    <w:szCs w:val="22"/>
                  </w:rPr>
                  <m:t>VOLATILIT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Y</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8</m:t>
                    </m:r>
                  </m:sub>
                </m:sSub>
                <m:r>
                  <w:rPr>
                    <w:rFonts w:ascii="Cambria Math" w:eastAsia="Calibri" w:hAnsi="Garamond"/>
                    <w:noProof/>
                    <w:color w:val="000000" w:themeColor="text1"/>
                    <w:sz w:val="22"/>
                    <w:szCs w:val="22"/>
                  </w:rPr>
                  <m:t>RO</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A</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9</m:t>
                    </m:r>
                  </m:sub>
                </m:sSub>
                <m:r>
                  <w:rPr>
                    <w:rFonts w:ascii="Cambria Math" w:eastAsia="Calibri" w:hAnsi="Garamond"/>
                    <w:noProof/>
                    <w:color w:val="000000" w:themeColor="text1"/>
                    <w:sz w:val="22"/>
                    <w:szCs w:val="22"/>
                  </w:rPr>
                  <m:t>BSIZ</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E</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10</m:t>
                    </m:r>
                  </m:sub>
                </m:sSub>
                <m:r>
                  <w:rPr>
                    <w:rFonts w:ascii="Cambria Math" w:eastAsia="Calibri" w:hAnsi="Garamond"/>
                    <w:noProof/>
                    <w:color w:val="000000" w:themeColor="text1"/>
                    <w:sz w:val="22"/>
                    <w:szCs w:val="22"/>
                  </w:rPr>
                  <m:t>BIND</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P</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oMath>
            </m:oMathPara>
          </w:p>
          <w:p w14:paraId="64D6F870" w14:textId="77777777" w:rsidR="00F17521" w:rsidRPr="00B051E5" w:rsidRDefault="00490386" w:rsidP="0079339D">
            <w:pPr>
              <w:rPr>
                <w:rFonts w:ascii="Garamond" w:eastAsia="Calibri" w:hAnsi="Garamond"/>
                <w:color w:val="000000" w:themeColor="text1"/>
                <w:sz w:val="22"/>
                <w:szCs w:val="22"/>
              </w:rPr>
            </w:pPr>
            <m:oMathPara>
              <m:oMath>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β</m:t>
                    </m:r>
                  </m:e>
                  <m:sub>
                    <m:r>
                      <w:rPr>
                        <w:rFonts w:ascii="Cambria Math" w:eastAsia="Calibri" w:hAnsi="Garamond"/>
                        <w:noProof/>
                        <w:color w:val="000000" w:themeColor="text1"/>
                        <w:sz w:val="22"/>
                        <w:szCs w:val="22"/>
                      </w:rPr>
                      <m:t>10</m:t>
                    </m:r>
                  </m:sub>
                </m:sSub>
                <m:r>
                  <w:rPr>
                    <w:rFonts w:ascii="Cambria Math" w:eastAsia="Calibri" w:hAnsi="Garamond"/>
                    <w:noProof/>
                    <w:color w:val="000000" w:themeColor="text1"/>
                    <w:sz w:val="22"/>
                    <w:szCs w:val="22"/>
                  </w:rPr>
                  <m:t>CHSHA</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R</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r>
                  <w:rPr>
                    <w:rFonts w:ascii="Cambria Math" w:eastAsia="Calibri" w:hAnsi="Garamond"/>
                    <w:noProof/>
                    <w:color w:val="000000" w:themeColor="text1"/>
                    <w:sz w:val="22"/>
                    <w:szCs w:val="22"/>
                  </w:rPr>
                  <m:t>+</m:t>
                </m:r>
                <m:nary>
                  <m:naryPr>
                    <m:chr m:val="∑"/>
                    <m:ctrlPr>
                      <w:rPr>
                        <w:rFonts w:ascii="Cambria Math" w:eastAsia="Calibri" w:hAnsi="Garamond"/>
                        <w:i/>
                        <w:noProof/>
                        <w:color w:val="000000" w:themeColor="text1"/>
                        <w:sz w:val="22"/>
                        <w:szCs w:val="22"/>
                      </w:rPr>
                    </m:ctrlPr>
                  </m:naryPr>
                  <m:sub>
                    <m:r>
                      <w:rPr>
                        <w:rFonts w:ascii="Cambria Math" w:eastAsia="Calibri" w:hAnsi="Garamond"/>
                        <w:noProof/>
                        <w:color w:val="000000" w:themeColor="text1"/>
                        <w:sz w:val="22"/>
                        <w:szCs w:val="22"/>
                      </w:rPr>
                      <m:t>m</m:t>
                    </m:r>
                    <m:r>
                      <w:rPr>
                        <w:rFonts w:ascii="Cambria Math" w:eastAsia="Calibri" w:hAnsi="Garamond"/>
                        <w:noProof/>
                        <w:color w:val="000000" w:themeColor="text1"/>
                        <w:sz w:val="22"/>
                        <w:szCs w:val="22"/>
                      </w:rPr>
                      <m:t>=1</m:t>
                    </m:r>
                  </m:sub>
                  <m:sup>
                    <m:r>
                      <w:rPr>
                        <w:rFonts w:ascii="Cambria Math" w:eastAsia="Calibri" w:hAnsi="Garamond"/>
                        <w:noProof/>
                        <w:color w:val="000000" w:themeColor="text1"/>
                        <w:sz w:val="22"/>
                        <w:szCs w:val="22"/>
                      </w:rPr>
                      <m:t>8</m:t>
                    </m:r>
                  </m:sup>
                  <m:e>
                    <m:r>
                      <w:rPr>
                        <w:rFonts w:ascii="Cambria Math" w:eastAsia="Calibri" w:hAnsi="Garamond"/>
                        <w:noProof/>
                        <w:color w:val="000000" w:themeColor="text1"/>
                        <w:sz w:val="22"/>
                        <w:szCs w:val="22"/>
                      </w:rPr>
                      <m:t>Industr</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y</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m</m:t>
                        </m:r>
                      </m:sub>
                    </m:sSub>
                    <m:ctrlPr>
                      <w:rPr>
                        <w:rFonts w:ascii="Cambria Math" w:eastAsia="Calibri" w:hAnsi="Cambria Math"/>
                        <w:i/>
                        <w:noProof/>
                        <w:color w:val="000000" w:themeColor="text1"/>
                        <w:sz w:val="22"/>
                        <w:szCs w:val="22"/>
                      </w:rPr>
                    </m:ctrlPr>
                  </m:e>
                </m:nary>
                <m:r>
                  <w:rPr>
                    <w:rFonts w:ascii="Cambria Math" w:eastAsia="Calibri" w:hAnsi="Garamond"/>
                    <w:noProof/>
                    <w:color w:val="000000" w:themeColor="text1"/>
                    <w:sz w:val="22"/>
                    <w:szCs w:val="22"/>
                  </w:rPr>
                  <m:t>+</m:t>
                </m:r>
                <m:nary>
                  <m:naryPr>
                    <m:chr m:val="∑"/>
                    <m:ctrlPr>
                      <w:rPr>
                        <w:rFonts w:ascii="Cambria Math" w:eastAsia="Calibri" w:hAnsi="Garamond"/>
                        <w:i/>
                        <w:noProof/>
                        <w:color w:val="000000" w:themeColor="text1"/>
                        <w:sz w:val="22"/>
                        <w:szCs w:val="22"/>
                      </w:rPr>
                    </m:ctrlPr>
                  </m:naryPr>
                  <m:sub>
                    <m:r>
                      <w:rPr>
                        <w:rFonts w:ascii="Cambria Math" w:eastAsia="Calibri" w:hAnsi="Garamond"/>
                        <w:noProof/>
                        <w:color w:val="000000" w:themeColor="text1"/>
                        <w:sz w:val="22"/>
                        <w:szCs w:val="22"/>
                      </w:rPr>
                      <m:t>l</m:t>
                    </m:r>
                    <m:r>
                      <w:rPr>
                        <w:rFonts w:ascii="Cambria Math" w:eastAsia="Calibri" w:hAnsi="Garamond"/>
                        <w:noProof/>
                        <w:color w:val="000000" w:themeColor="text1"/>
                        <w:sz w:val="22"/>
                        <w:szCs w:val="22"/>
                      </w:rPr>
                      <m:t>=1</m:t>
                    </m:r>
                  </m:sub>
                  <m:sup>
                    <m:r>
                      <w:rPr>
                        <w:rFonts w:ascii="Cambria Math" w:eastAsia="Calibri" w:hAnsi="Garamond"/>
                        <w:noProof/>
                        <w:color w:val="000000" w:themeColor="text1"/>
                        <w:sz w:val="22"/>
                        <w:szCs w:val="22"/>
                      </w:rPr>
                      <m:t>10</m:t>
                    </m:r>
                  </m:sup>
                  <m:e>
                    <m:r>
                      <w:rPr>
                        <w:rFonts w:ascii="Cambria Math" w:eastAsia="Calibri" w:hAnsi="Garamond"/>
                        <w:noProof/>
                        <w:color w:val="000000" w:themeColor="text1"/>
                        <w:sz w:val="22"/>
                        <w:szCs w:val="22"/>
                      </w:rPr>
                      <m:t>yea</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r</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l</m:t>
                        </m:r>
                      </m:sub>
                    </m:sSub>
                    <m:ctrlPr>
                      <w:rPr>
                        <w:rFonts w:ascii="Cambria Math" w:eastAsia="Calibri" w:hAnsi="Cambria Math"/>
                        <w:i/>
                        <w:noProof/>
                        <w:color w:val="000000" w:themeColor="text1"/>
                        <w:sz w:val="22"/>
                        <w:szCs w:val="22"/>
                      </w:rPr>
                    </m:ctrlPr>
                  </m:e>
                </m:nary>
                <m:r>
                  <w:rPr>
                    <w:rFonts w:ascii="Cambria Math" w:eastAsia="Calibri" w:hAnsi="Garamond"/>
                    <w:noProof/>
                    <w:color w:val="000000" w:themeColor="text1"/>
                    <w:sz w:val="22"/>
                    <w:szCs w:val="22"/>
                  </w:rPr>
                  <m:t>+</m:t>
                </m:r>
                <m:sSub>
                  <m:sSubPr>
                    <m:ctrlPr>
                      <w:rPr>
                        <w:rFonts w:ascii="Cambria Math" w:eastAsia="Calibri" w:hAnsi="Garamond"/>
                        <w:i/>
                        <w:noProof/>
                        <w:color w:val="000000" w:themeColor="text1"/>
                        <w:sz w:val="22"/>
                        <w:szCs w:val="22"/>
                      </w:rPr>
                    </m:ctrlPr>
                  </m:sSubPr>
                  <m:e>
                    <m:r>
                      <w:rPr>
                        <w:rFonts w:ascii="Cambria Math" w:eastAsia="Calibri" w:hAnsi="Garamond"/>
                        <w:noProof/>
                        <w:color w:val="000000" w:themeColor="text1"/>
                        <w:sz w:val="22"/>
                        <w:szCs w:val="22"/>
                      </w:rPr>
                      <m:t>ε</m:t>
                    </m:r>
                  </m:e>
                  <m:sub>
                    <m:r>
                      <w:rPr>
                        <w:rFonts w:ascii="Cambria Math" w:eastAsia="Calibri" w:hAnsi="Garamond"/>
                        <w:noProof/>
                        <w:color w:val="000000" w:themeColor="text1"/>
                        <w:sz w:val="22"/>
                        <w:szCs w:val="22"/>
                      </w:rPr>
                      <m:t>i</m:t>
                    </m:r>
                    <m:r>
                      <w:rPr>
                        <w:rFonts w:ascii="Cambria Math" w:eastAsia="Calibri" w:hAnsi="Garamond"/>
                        <w:noProof/>
                        <w:color w:val="000000" w:themeColor="text1"/>
                        <w:sz w:val="22"/>
                        <w:szCs w:val="22"/>
                      </w:rPr>
                      <m:t>,</m:t>
                    </m:r>
                    <m:r>
                      <w:rPr>
                        <w:rFonts w:ascii="Cambria Math" w:eastAsia="Calibri" w:hAnsi="Garamond"/>
                        <w:noProof/>
                        <w:color w:val="000000" w:themeColor="text1"/>
                        <w:sz w:val="22"/>
                        <w:szCs w:val="22"/>
                      </w:rPr>
                      <m:t>t</m:t>
                    </m:r>
                  </m:sub>
                </m:sSub>
              </m:oMath>
            </m:oMathPara>
          </w:p>
        </w:tc>
        <w:tc>
          <w:tcPr>
            <w:tcW w:w="1275" w:type="dxa"/>
            <w:shd w:val="clear" w:color="auto" w:fill="auto"/>
          </w:tcPr>
          <w:p w14:paraId="2605DC19" w14:textId="77777777" w:rsidR="00F17521" w:rsidRPr="00B051E5" w:rsidRDefault="00F17521" w:rsidP="0079339D">
            <w:pPr>
              <w:jc w:val="both"/>
              <w:rPr>
                <w:rFonts w:ascii="Garamond" w:eastAsia="Calibri" w:hAnsi="Garamond"/>
                <w:color w:val="000000" w:themeColor="text1"/>
                <w:sz w:val="22"/>
                <w:szCs w:val="22"/>
              </w:rPr>
            </w:pPr>
          </w:p>
          <w:p w14:paraId="49D964C7" w14:textId="77777777" w:rsidR="00F17521" w:rsidRPr="00B051E5" w:rsidRDefault="00F17521" w:rsidP="0079339D">
            <w:pPr>
              <w:jc w:val="both"/>
              <w:rPr>
                <w:rFonts w:ascii="Garamond" w:eastAsia="Calibri" w:hAnsi="Garamond"/>
                <w:color w:val="000000" w:themeColor="text1"/>
                <w:sz w:val="22"/>
                <w:szCs w:val="22"/>
              </w:rPr>
            </w:pPr>
          </w:p>
          <w:p w14:paraId="33FBFAE3" w14:textId="77777777" w:rsidR="00F17521" w:rsidRPr="00B051E5" w:rsidRDefault="00F17521" w:rsidP="0079339D">
            <w:pPr>
              <w:jc w:val="both"/>
              <w:rPr>
                <w:rFonts w:ascii="Garamond" w:eastAsia="Calibri" w:hAnsi="Garamond"/>
                <w:color w:val="000000" w:themeColor="text1"/>
                <w:sz w:val="22"/>
                <w:szCs w:val="22"/>
              </w:rPr>
            </w:pPr>
          </w:p>
          <w:p w14:paraId="64D4B313" w14:textId="77777777" w:rsidR="00F17521" w:rsidRPr="00B051E5" w:rsidRDefault="00F17521" w:rsidP="0079339D">
            <w:pPr>
              <w:jc w:val="both"/>
              <w:rPr>
                <w:rFonts w:ascii="Garamond" w:eastAsia="Calibri" w:hAnsi="Garamond"/>
                <w:color w:val="000000" w:themeColor="text1"/>
                <w:sz w:val="22"/>
                <w:szCs w:val="22"/>
              </w:rPr>
            </w:pPr>
            <w:r w:rsidRPr="00B051E5">
              <w:rPr>
                <w:rFonts w:ascii="Garamond" w:eastAsia="Calibri" w:hAnsi="Garamond"/>
                <w:color w:val="000000" w:themeColor="text1"/>
                <w:sz w:val="22"/>
                <w:szCs w:val="22"/>
              </w:rPr>
              <w:t>Equation 4</w:t>
            </w:r>
          </w:p>
        </w:tc>
      </w:tr>
    </w:tbl>
    <w:p w14:paraId="43624978" w14:textId="5FB334FA" w:rsidR="00524315" w:rsidRPr="00B051E5" w:rsidRDefault="00820639" w:rsidP="00693F5C">
      <w:pPr>
        <w:spacing w:line="480" w:lineRule="auto"/>
        <w:ind w:firstLine="720"/>
        <w:jc w:val="both"/>
        <w:rPr>
          <w:rFonts w:ascii="Garamond" w:eastAsia="Calibri" w:hAnsi="Garamond"/>
          <w:bCs/>
          <w:i/>
          <w:iCs/>
          <w:color w:val="000000" w:themeColor="text1"/>
        </w:rPr>
      </w:pPr>
      <w:r w:rsidRPr="00B051E5">
        <w:rPr>
          <w:rFonts w:ascii="Garamond" w:eastAsia="Calibri" w:hAnsi="Garamond"/>
          <w:bCs/>
          <w:color w:val="000000" w:themeColor="text1"/>
        </w:rPr>
        <w:t xml:space="preserve">Following prior literature (e.g., Piotroski </w:t>
      </w:r>
      <w:r w:rsidR="003C09C7" w:rsidRPr="00B051E5">
        <w:rPr>
          <w:rFonts w:ascii="Garamond" w:eastAsia="Calibri" w:hAnsi="Garamond"/>
          <w:bCs/>
          <w:color w:val="000000" w:themeColor="text1"/>
        </w:rPr>
        <w:t xml:space="preserve">and </w:t>
      </w:r>
      <w:r w:rsidRPr="00B051E5">
        <w:rPr>
          <w:rFonts w:ascii="Garamond" w:eastAsia="Calibri" w:hAnsi="Garamond"/>
          <w:bCs/>
          <w:color w:val="000000" w:themeColor="text1"/>
        </w:rPr>
        <w:t xml:space="preserve"> Roulstone</w:t>
      </w:r>
      <w:r w:rsidR="00E05955" w:rsidRPr="00B051E5">
        <w:rPr>
          <w:rFonts w:ascii="Garamond" w:eastAsia="Calibri" w:hAnsi="Garamond"/>
          <w:bCs/>
          <w:color w:val="000000" w:themeColor="text1"/>
        </w:rPr>
        <w:t>,</w:t>
      </w:r>
      <w:r w:rsidRPr="00B051E5">
        <w:rPr>
          <w:rFonts w:ascii="Garamond" w:eastAsia="Calibri" w:hAnsi="Garamond"/>
          <w:bCs/>
          <w:color w:val="000000" w:themeColor="text1"/>
        </w:rPr>
        <w:t xml:space="preserve"> 2004</w:t>
      </w:r>
      <w:r w:rsidR="001879FD" w:rsidRPr="00B051E5">
        <w:rPr>
          <w:rFonts w:ascii="Garamond" w:eastAsia="Calibri" w:hAnsi="Garamond"/>
          <w:bCs/>
          <w:color w:val="000000" w:themeColor="text1"/>
        </w:rPr>
        <w:t xml:space="preserve">; Haggard </w:t>
      </w:r>
      <w:r w:rsidR="001879FD" w:rsidRPr="00B051E5">
        <w:rPr>
          <w:rFonts w:ascii="Garamond" w:eastAsia="Calibri" w:hAnsi="Garamond"/>
          <w:bCs/>
          <w:i/>
          <w:iCs/>
          <w:color w:val="000000" w:themeColor="text1"/>
        </w:rPr>
        <w:t>et al.</w:t>
      </w:r>
      <w:r w:rsidR="00E05955" w:rsidRPr="00B051E5">
        <w:rPr>
          <w:rFonts w:ascii="Garamond" w:eastAsia="Calibri" w:hAnsi="Garamond"/>
          <w:bCs/>
          <w:i/>
          <w:iCs/>
          <w:color w:val="000000" w:themeColor="text1"/>
        </w:rPr>
        <w:t>,</w:t>
      </w:r>
      <w:r w:rsidR="001879FD" w:rsidRPr="00B051E5">
        <w:rPr>
          <w:rFonts w:ascii="Garamond" w:eastAsia="Calibri" w:hAnsi="Garamond"/>
          <w:bCs/>
          <w:color w:val="000000" w:themeColor="text1"/>
        </w:rPr>
        <w:t xml:space="preserve"> 2008, Russell</w:t>
      </w:r>
      <w:r w:rsidR="00E05955" w:rsidRPr="00B051E5">
        <w:rPr>
          <w:rFonts w:ascii="Garamond" w:eastAsia="Calibri" w:hAnsi="Garamond"/>
          <w:bCs/>
          <w:color w:val="000000" w:themeColor="text1"/>
        </w:rPr>
        <w:t>,</w:t>
      </w:r>
      <w:r w:rsidR="001879FD" w:rsidRPr="00B051E5">
        <w:rPr>
          <w:rFonts w:ascii="Garamond" w:eastAsia="Calibri" w:hAnsi="Garamond"/>
          <w:bCs/>
          <w:color w:val="000000" w:themeColor="text1"/>
        </w:rPr>
        <w:t xml:space="preserve"> 2015</w:t>
      </w:r>
      <w:r w:rsidR="00EB0AAE" w:rsidRPr="00B051E5">
        <w:rPr>
          <w:rFonts w:ascii="Garamond" w:eastAsia="Calibri" w:hAnsi="Garamond"/>
          <w:bCs/>
          <w:color w:val="000000" w:themeColor="text1"/>
        </w:rPr>
        <w:t>; Tan</w:t>
      </w:r>
      <w:r w:rsidR="003C09C7" w:rsidRPr="00B051E5">
        <w:rPr>
          <w:rFonts w:ascii="Garamond" w:eastAsia="Calibri" w:hAnsi="Garamond"/>
          <w:bCs/>
          <w:color w:val="000000" w:themeColor="text1"/>
        </w:rPr>
        <w:t xml:space="preserve"> </w:t>
      </w:r>
      <w:r w:rsidR="003C09C7" w:rsidRPr="00B051E5">
        <w:rPr>
          <w:rFonts w:ascii="Garamond" w:eastAsia="Calibri" w:hAnsi="Garamond"/>
          <w:bCs/>
          <w:i/>
          <w:iCs/>
          <w:color w:val="000000" w:themeColor="text1"/>
        </w:rPr>
        <w:t>et al.</w:t>
      </w:r>
      <w:r w:rsidR="00E05955" w:rsidRPr="00B051E5">
        <w:rPr>
          <w:rFonts w:ascii="Garamond" w:eastAsia="Calibri" w:hAnsi="Garamond"/>
          <w:bCs/>
          <w:i/>
          <w:iCs/>
          <w:color w:val="000000" w:themeColor="text1"/>
        </w:rPr>
        <w:t>,</w:t>
      </w:r>
      <w:r w:rsidR="003C09C7" w:rsidRPr="00B051E5">
        <w:rPr>
          <w:rFonts w:ascii="Garamond" w:eastAsia="Calibri" w:hAnsi="Garamond"/>
          <w:bCs/>
          <w:color w:val="000000" w:themeColor="text1"/>
        </w:rPr>
        <w:t xml:space="preserve"> </w:t>
      </w:r>
      <w:r w:rsidR="00EB0AAE" w:rsidRPr="00B051E5">
        <w:rPr>
          <w:rFonts w:ascii="Garamond" w:eastAsia="Calibri" w:hAnsi="Garamond"/>
          <w:bCs/>
          <w:color w:val="000000" w:themeColor="text1"/>
        </w:rPr>
        <w:t>2017</w:t>
      </w:r>
      <w:r w:rsidRPr="00B051E5">
        <w:rPr>
          <w:rFonts w:ascii="Garamond" w:eastAsia="Calibri" w:hAnsi="Garamond"/>
          <w:bCs/>
          <w:color w:val="000000" w:themeColor="text1"/>
        </w:rPr>
        <w:t xml:space="preserve">), we also account for factors that have frequently been documented </w:t>
      </w:r>
      <w:r w:rsidR="00076467" w:rsidRPr="00B051E5">
        <w:rPr>
          <w:rFonts w:ascii="Garamond" w:eastAsia="Calibri" w:hAnsi="Garamond"/>
          <w:bCs/>
          <w:color w:val="000000" w:themeColor="text1"/>
        </w:rPr>
        <w:t>as</w:t>
      </w:r>
      <w:r w:rsidRPr="00B051E5">
        <w:rPr>
          <w:rFonts w:ascii="Garamond" w:eastAsia="Calibri" w:hAnsi="Garamond"/>
          <w:bCs/>
          <w:color w:val="000000" w:themeColor="text1"/>
        </w:rPr>
        <w:t xml:space="preserve"> influen</w:t>
      </w:r>
      <w:r w:rsidR="00076467" w:rsidRPr="00B051E5">
        <w:rPr>
          <w:rFonts w:ascii="Garamond" w:eastAsia="Calibri" w:hAnsi="Garamond"/>
          <w:bCs/>
          <w:color w:val="000000" w:themeColor="text1"/>
        </w:rPr>
        <w:t xml:space="preserve">tial on </w:t>
      </w:r>
      <w:r w:rsidRPr="00B051E5">
        <w:rPr>
          <w:rFonts w:ascii="Garamond" w:eastAsia="Calibri" w:hAnsi="Garamond"/>
          <w:bCs/>
          <w:color w:val="000000" w:themeColor="text1"/>
        </w:rPr>
        <w:t xml:space="preserve">stock price informativeness, </w:t>
      </w:r>
      <w:r w:rsidR="00076467" w:rsidRPr="00B051E5">
        <w:rPr>
          <w:rFonts w:ascii="Garamond" w:eastAsia="Calibri" w:hAnsi="Garamond"/>
          <w:bCs/>
          <w:color w:val="000000" w:themeColor="text1"/>
        </w:rPr>
        <w:t>namely</w:t>
      </w:r>
      <w:r w:rsidRPr="00B051E5">
        <w:rPr>
          <w:rFonts w:ascii="Garamond" w:eastAsia="Calibri" w:hAnsi="Garamond"/>
          <w:bCs/>
          <w:color w:val="000000" w:themeColor="text1"/>
        </w:rPr>
        <w:t>: firm size (</w:t>
      </w:r>
      <w:r w:rsidRPr="00B051E5">
        <w:rPr>
          <w:rFonts w:ascii="Garamond" w:eastAsia="Calibri" w:hAnsi="Garamond"/>
          <w:bCs/>
          <w:i/>
          <w:color w:val="000000" w:themeColor="text1"/>
        </w:rPr>
        <w:t>SIZE</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firm leverage (</w:t>
      </w:r>
      <w:r w:rsidRPr="00B051E5">
        <w:rPr>
          <w:rFonts w:ascii="Garamond" w:eastAsia="Calibri" w:hAnsi="Garamond"/>
          <w:bCs/>
          <w:i/>
          <w:color w:val="000000" w:themeColor="text1"/>
        </w:rPr>
        <w:t>LEV</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trading volume (</w:t>
      </w:r>
      <w:r w:rsidRPr="00B051E5">
        <w:rPr>
          <w:rFonts w:ascii="Garamond" w:eastAsia="Calibri" w:hAnsi="Garamond"/>
          <w:bCs/>
          <w:i/>
          <w:color w:val="000000" w:themeColor="text1"/>
        </w:rPr>
        <w:t>VOL</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 xml:space="preserve"> i,t</w:t>
      </w:r>
      <w:r w:rsidRPr="00B051E5">
        <w:rPr>
          <w:rFonts w:ascii="Garamond" w:eastAsia="Calibri" w:hAnsi="Garamond"/>
          <w:bCs/>
          <w:color w:val="000000" w:themeColor="text1"/>
        </w:rPr>
        <w:t>; the market to book ratio (</w:t>
      </w:r>
      <w:r w:rsidRPr="00B051E5">
        <w:rPr>
          <w:rFonts w:ascii="Garamond" w:eastAsia="Calibri" w:hAnsi="Garamond"/>
          <w:bCs/>
          <w:i/>
          <w:color w:val="000000" w:themeColor="text1"/>
        </w:rPr>
        <w:t>MTB</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stock return volatility (</w:t>
      </w:r>
      <w:r w:rsidRPr="00B051E5">
        <w:rPr>
          <w:rFonts w:ascii="Garamond" w:eastAsia="Calibri" w:hAnsi="Garamond"/>
          <w:bCs/>
          <w:i/>
          <w:color w:val="000000" w:themeColor="text1"/>
        </w:rPr>
        <w:t>VOLATILITY</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profitability (</w:t>
      </w:r>
      <w:r w:rsidRPr="00B051E5">
        <w:rPr>
          <w:rFonts w:ascii="Garamond" w:eastAsia="Calibri" w:hAnsi="Garamond"/>
          <w:bCs/>
          <w:i/>
          <w:color w:val="000000" w:themeColor="text1"/>
        </w:rPr>
        <w:t>ROA</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board size (</w:t>
      </w:r>
      <w:r w:rsidRPr="00B051E5">
        <w:rPr>
          <w:rFonts w:ascii="Garamond" w:eastAsia="Calibri" w:hAnsi="Garamond"/>
          <w:bCs/>
          <w:i/>
          <w:color w:val="000000" w:themeColor="text1"/>
        </w:rPr>
        <w:t>BSIZE</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board independence (</w:t>
      </w:r>
      <w:r w:rsidRPr="00B051E5">
        <w:rPr>
          <w:rFonts w:ascii="Garamond" w:eastAsia="Calibri" w:hAnsi="Garamond"/>
          <w:bCs/>
          <w:i/>
          <w:color w:val="000000" w:themeColor="text1"/>
        </w:rPr>
        <w:t>BINDP</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Pr="00B051E5">
        <w:rPr>
          <w:rFonts w:ascii="Garamond" w:eastAsia="Calibri" w:hAnsi="Garamond"/>
          <w:bCs/>
          <w:color w:val="000000" w:themeColor="text1"/>
        </w:rPr>
        <w:t xml:space="preserve">; </w:t>
      </w:r>
      <w:r w:rsidR="00E6414A" w:rsidRPr="00B051E5">
        <w:rPr>
          <w:rFonts w:ascii="Garamond" w:eastAsia="Calibri" w:hAnsi="Garamond"/>
          <w:bCs/>
          <w:color w:val="000000" w:themeColor="text1"/>
        </w:rPr>
        <w:t xml:space="preserve">and </w:t>
      </w:r>
      <w:r w:rsidRPr="00B051E5">
        <w:rPr>
          <w:rFonts w:ascii="Garamond" w:eastAsia="Calibri" w:hAnsi="Garamond"/>
          <w:bCs/>
          <w:color w:val="000000" w:themeColor="text1"/>
        </w:rPr>
        <w:t>insider ownership (</w:t>
      </w:r>
      <w:r w:rsidRPr="00B051E5">
        <w:rPr>
          <w:rFonts w:ascii="Garamond" w:eastAsia="Calibri" w:hAnsi="Garamond"/>
          <w:bCs/>
          <w:i/>
          <w:color w:val="000000" w:themeColor="text1"/>
        </w:rPr>
        <w:t>CHSHAR</w:t>
      </w:r>
      <w:r w:rsidRPr="00B051E5">
        <w:rPr>
          <w:rFonts w:ascii="Garamond" w:eastAsia="Calibri" w:hAnsi="Garamond"/>
          <w:bCs/>
          <w:color w:val="000000" w:themeColor="text1"/>
        </w:rPr>
        <w:t>)</w:t>
      </w:r>
      <w:r w:rsidRPr="00B051E5">
        <w:rPr>
          <w:rFonts w:ascii="Garamond" w:eastAsia="Calibri" w:hAnsi="Garamond"/>
          <w:bCs/>
          <w:i/>
          <w:color w:val="000000" w:themeColor="text1"/>
          <w:vertAlign w:val="subscript"/>
        </w:rPr>
        <w:t>i,t</w:t>
      </w:r>
      <w:r w:rsidR="00E6414A" w:rsidRPr="00B051E5">
        <w:rPr>
          <w:rFonts w:ascii="Garamond" w:eastAsia="Calibri" w:hAnsi="Garamond"/>
          <w:bCs/>
          <w:color w:val="000000" w:themeColor="text1"/>
        </w:rPr>
        <w:t>.</w:t>
      </w:r>
      <w:r w:rsidR="001879FD" w:rsidRPr="00B051E5">
        <w:rPr>
          <w:rFonts w:ascii="Garamond" w:eastAsia="Calibri" w:hAnsi="Garamond"/>
          <w:bCs/>
          <w:color w:val="000000" w:themeColor="text1"/>
        </w:rPr>
        <w:t xml:space="preserve"> Consistent with </w:t>
      </w:r>
      <w:r w:rsidR="00780B99" w:rsidRPr="00B051E5">
        <w:rPr>
          <w:rFonts w:ascii="Garamond" w:eastAsia="Calibri" w:hAnsi="Garamond"/>
          <w:bCs/>
          <w:color w:val="000000" w:themeColor="text1"/>
        </w:rPr>
        <w:t xml:space="preserve">the findings of the </w:t>
      </w:r>
      <w:r w:rsidR="00277E15" w:rsidRPr="00B051E5">
        <w:rPr>
          <w:rFonts w:ascii="Garamond" w:eastAsia="Calibri" w:hAnsi="Garamond"/>
          <w:bCs/>
          <w:color w:val="000000" w:themeColor="text1"/>
        </w:rPr>
        <w:t>above</w:t>
      </w:r>
      <w:r w:rsidR="00780B99" w:rsidRPr="00B051E5">
        <w:rPr>
          <w:rFonts w:ascii="Garamond" w:eastAsia="Calibri" w:hAnsi="Garamond"/>
          <w:bCs/>
          <w:color w:val="000000" w:themeColor="text1"/>
        </w:rPr>
        <w:t xml:space="preserve"> </w:t>
      </w:r>
      <w:r w:rsidR="00277E15" w:rsidRPr="00B051E5">
        <w:rPr>
          <w:rFonts w:ascii="Garamond" w:eastAsia="Calibri" w:hAnsi="Garamond"/>
          <w:bCs/>
          <w:color w:val="000000" w:themeColor="text1"/>
        </w:rPr>
        <w:t>papers</w:t>
      </w:r>
      <w:r w:rsidR="001879FD" w:rsidRPr="00B051E5">
        <w:rPr>
          <w:rFonts w:ascii="Garamond" w:eastAsia="Calibri" w:hAnsi="Garamond"/>
          <w:bCs/>
          <w:color w:val="000000" w:themeColor="text1"/>
        </w:rPr>
        <w:t xml:space="preserve">, we predict that </w:t>
      </w:r>
      <w:r w:rsidR="001879FD" w:rsidRPr="00B051E5">
        <w:rPr>
          <w:rFonts w:ascii="Garamond" w:eastAsia="Calibri" w:hAnsi="Garamond"/>
          <w:bCs/>
          <w:i/>
          <w:iCs/>
          <w:color w:val="000000" w:themeColor="text1"/>
        </w:rPr>
        <w:t xml:space="preserve">SIZE, LEVE, VOL, </w:t>
      </w:r>
      <w:r w:rsidR="00C36DDD" w:rsidRPr="00B051E5">
        <w:rPr>
          <w:rFonts w:ascii="Garamond" w:eastAsia="Calibri" w:hAnsi="Garamond"/>
          <w:bCs/>
          <w:color w:val="000000" w:themeColor="text1"/>
        </w:rPr>
        <w:t xml:space="preserve">and </w:t>
      </w:r>
      <w:r w:rsidR="001879FD" w:rsidRPr="00B051E5">
        <w:rPr>
          <w:rFonts w:ascii="Garamond" w:eastAsia="Calibri" w:hAnsi="Garamond"/>
          <w:bCs/>
          <w:i/>
          <w:iCs/>
          <w:color w:val="000000" w:themeColor="text1"/>
        </w:rPr>
        <w:t>ROA</w:t>
      </w:r>
      <w:r w:rsidR="001879FD" w:rsidRPr="00B051E5">
        <w:rPr>
          <w:rFonts w:ascii="Garamond" w:eastAsia="Calibri" w:hAnsi="Garamond"/>
          <w:bCs/>
          <w:color w:val="000000" w:themeColor="text1"/>
        </w:rPr>
        <w:t xml:space="preserve"> </w:t>
      </w:r>
      <w:r w:rsidR="00780B99" w:rsidRPr="00B051E5">
        <w:rPr>
          <w:rFonts w:ascii="Garamond" w:eastAsia="Calibri" w:hAnsi="Garamond"/>
          <w:bCs/>
          <w:color w:val="000000" w:themeColor="text1"/>
        </w:rPr>
        <w:t xml:space="preserve">has a </w:t>
      </w:r>
      <w:r w:rsidR="001879FD" w:rsidRPr="00B051E5">
        <w:rPr>
          <w:rFonts w:ascii="Garamond" w:eastAsia="Calibri" w:hAnsi="Garamond"/>
          <w:bCs/>
          <w:color w:val="000000" w:themeColor="text1"/>
        </w:rPr>
        <w:t>positive sign; whereas</w:t>
      </w:r>
      <w:r w:rsidR="00C36DDD" w:rsidRPr="00B051E5">
        <w:rPr>
          <w:rFonts w:ascii="Garamond" w:eastAsia="Calibri" w:hAnsi="Garamond"/>
          <w:bCs/>
          <w:color w:val="000000" w:themeColor="text1"/>
        </w:rPr>
        <w:t>,</w:t>
      </w:r>
      <w:r w:rsidR="001879FD" w:rsidRPr="00B051E5">
        <w:rPr>
          <w:rFonts w:ascii="Garamond" w:eastAsia="Calibri" w:hAnsi="Garamond"/>
          <w:bCs/>
          <w:color w:val="000000" w:themeColor="text1"/>
        </w:rPr>
        <w:t xml:space="preserve"> we expect to find </w:t>
      </w:r>
      <w:r w:rsidR="00780B99" w:rsidRPr="00B051E5">
        <w:rPr>
          <w:rFonts w:ascii="Garamond" w:eastAsia="Calibri" w:hAnsi="Garamond"/>
          <w:bCs/>
          <w:color w:val="000000" w:themeColor="text1"/>
        </w:rPr>
        <w:t xml:space="preserve">a </w:t>
      </w:r>
      <w:r w:rsidR="001879FD" w:rsidRPr="00B051E5">
        <w:rPr>
          <w:rFonts w:ascii="Garamond" w:eastAsia="Calibri" w:hAnsi="Garamond"/>
          <w:bCs/>
          <w:color w:val="000000" w:themeColor="text1"/>
        </w:rPr>
        <w:t xml:space="preserve">negative sign </w:t>
      </w:r>
      <w:r w:rsidR="00C36DDD" w:rsidRPr="00B051E5">
        <w:rPr>
          <w:rFonts w:ascii="Garamond" w:eastAsia="Calibri" w:hAnsi="Garamond"/>
          <w:bCs/>
          <w:color w:val="000000" w:themeColor="text1"/>
        </w:rPr>
        <w:t xml:space="preserve">for </w:t>
      </w:r>
      <w:r w:rsidR="001879FD" w:rsidRPr="00B051E5">
        <w:rPr>
          <w:rFonts w:ascii="Garamond" w:eastAsia="Calibri" w:hAnsi="Garamond"/>
          <w:bCs/>
          <w:i/>
          <w:iCs/>
          <w:color w:val="000000" w:themeColor="text1"/>
        </w:rPr>
        <w:t>MTB, VOLATILITY, BSIZE, BINDP</w:t>
      </w:r>
      <w:r w:rsidR="001879FD" w:rsidRPr="00B051E5">
        <w:rPr>
          <w:rFonts w:ascii="Garamond" w:eastAsia="Calibri" w:hAnsi="Garamond"/>
          <w:bCs/>
          <w:color w:val="000000" w:themeColor="text1"/>
        </w:rPr>
        <w:t xml:space="preserve">, and </w:t>
      </w:r>
      <w:r w:rsidR="001879FD" w:rsidRPr="00B051E5">
        <w:rPr>
          <w:rFonts w:ascii="Garamond" w:eastAsia="Calibri" w:hAnsi="Garamond"/>
          <w:bCs/>
          <w:i/>
          <w:iCs/>
          <w:color w:val="000000" w:themeColor="text1"/>
        </w:rPr>
        <w:t xml:space="preserve">CHSHAR. </w:t>
      </w:r>
    </w:p>
    <w:p w14:paraId="5E5D65A7" w14:textId="6A80841C" w:rsidR="00057887" w:rsidRPr="00B051E5" w:rsidRDefault="00820639" w:rsidP="00693F5C">
      <w:pPr>
        <w:spacing w:line="480" w:lineRule="auto"/>
        <w:ind w:firstLine="720"/>
        <w:jc w:val="both"/>
        <w:rPr>
          <w:rFonts w:ascii="Garamond" w:eastAsia="Calibri" w:hAnsi="Garamond"/>
          <w:bCs/>
          <w:color w:val="000000" w:themeColor="text1"/>
        </w:rPr>
      </w:pPr>
      <w:r w:rsidRPr="00B051E5">
        <w:rPr>
          <w:rFonts w:ascii="Garamond" w:eastAsia="Calibri" w:hAnsi="Garamond"/>
          <w:color w:val="000000" w:themeColor="text1"/>
        </w:rPr>
        <w:t xml:space="preserve">Based on the descriptive statistics </w:t>
      </w:r>
      <w:r w:rsidR="009D2DBF" w:rsidRPr="00B051E5">
        <w:rPr>
          <w:rFonts w:ascii="Garamond" w:eastAsia="Calibri" w:hAnsi="Garamond"/>
          <w:color w:val="000000" w:themeColor="text1"/>
        </w:rPr>
        <w:t xml:space="preserve">given in Table 1, we find that </w:t>
      </w:r>
      <w:r w:rsidRPr="00B051E5">
        <w:rPr>
          <w:rFonts w:ascii="Garamond" w:eastAsia="Calibri" w:hAnsi="Garamond"/>
          <w:color w:val="000000" w:themeColor="text1"/>
        </w:rPr>
        <w:t xml:space="preserve">the mean of </w:t>
      </w:r>
      <w:r w:rsidRPr="00B051E5">
        <w:rPr>
          <w:rFonts w:ascii="Garamond" w:eastAsia="Calibri" w:hAnsi="Garamond"/>
          <w:i/>
          <w:color w:val="000000" w:themeColor="text1"/>
        </w:rPr>
        <w:t>SYNCH</w:t>
      </w:r>
      <w:r w:rsidRPr="00B051E5">
        <w:rPr>
          <w:rFonts w:ascii="Garamond" w:eastAsia="Calibri" w:hAnsi="Garamond"/>
          <w:color w:val="000000" w:themeColor="text1"/>
        </w:rPr>
        <w:t>, our principal measure for stock informativeness</w:t>
      </w:r>
      <w:r w:rsidR="00780B99" w:rsidRPr="00B051E5">
        <w:rPr>
          <w:rFonts w:ascii="Garamond" w:eastAsia="Calibri" w:hAnsi="Garamond"/>
          <w:color w:val="000000" w:themeColor="text1"/>
        </w:rPr>
        <w:t xml:space="preserve"> is 0.18 (median 0.19) with a standard deviation of 1.19; it i</w:t>
      </w:r>
      <w:r w:rsidRPr="00B051E5">
        <w:rPr>
          <w:rFonts w:ascii="Garamond" w:eastAsia="Calibri" w:hAnsi="Garamond"/>
          <w:color w:val="000000" w:themeColor="text1"/>
        </w:rPr>
        <w:t xml:space="preserve">s calculated </w:t>
      </w:r>
      <w:r w:rsidR="00780B99" w:rsidRPr="00B051E5">
        <w:rPr>
          <w:rFonts w:ascii="Garamond" w:eastAsia="Calibri" w:hAnsi="Garamond"/>
          <w:color w:val="000000" w:themeColor="text1"/>
        </w:rPr>
        <w:t xml:space="preserve">on the basis of </w:t>
      </w:r>
      <w:r w:rsidRPr="00B051E5">
        <w:rPr>
          <w:rFonts w:ascii="Garamond" w:eastAsia="Calibri" w:hAnsi="Garamond"/>
          <w:color w:val="000000" w:themeColor="text1"/>
        </w:rPr>
        <w:t xml:space="preserve">the log transformation of R-squared shown in </w:t>
      </w:r>
      <w:r w:rsidR="003C7280" w:rsidRPr="00B051E5">
        <w:rPr>
          <w:rFonts w:ascii="Garamond" w:eastAsia="Calibri" w:hAnsi="Garamond"/>
          <w:color w:val="000000" w:themeColor="text1"/>
        </w:rPr>
        <w:t>Equation</w:t>
      </w:r>
      <w:r w:rsidRPr="00B051E5">
        <w:rPr>
          <w:rFonts w:ascii="Garamond" w:eastAsia="Calibri" w:hAnsi="Garamond"/>
          <w:color w:val="000000" w:themeColor="text1"/>
        </w:rPr>
        <w:t xml:space="preserve"> 2</w:t>
      </w:r>
      <w:r w:rsidR="009F2B8D" w:rsidRPr="00B051E5">
        <w:rPr>
          <w:rFonts w:ascii="Garamond" w:eastAsia="Calibri" w:hAnsi="Garamond"/>
          <w:color w:val="000000" w:themeColor="text1"/>
        </w:rPr>
        <w:t xml:space="preserve">. </w:t>
      </w:r>
      <w:r w:rsidRPr="00B051E5">
        <w:rPr>
          <w:rFonts w:ascii="Garamond" w:eastAsia="Calibri" w:hAnsi="Garamond"/>
          <w:color w:val="000000" w:themeColor="text1"/>
        </w:rPr>
        <w:t xml:space="preserve">From </w:t>
      </w:r>
      <w:r w:rsidR="00F43774" w:rsidRPr="00B051E5">
        <w:rPr>
          <w:rFonts w:ascii="Garamond" w:eastAsia="Calibri" w:hAnsi="Garamond"/>
          <w:color w:val="000000" w:themeColor="text1"/>
        </w:rPr>
        <w:t xml:space="preserve">Table 1 </w:t>
      </w:r>
      <w:r w:rsidRPr="00B051E5">
        <w:rPr>
          <w:rFonts w:ascii="Garamond" w:eastAsia="Calibri" w:hAnsi="Garamond"/>
          <w:color w:val="000000" w:themeColor="text1"/>
        </w:rPr>
        <w:t xml:space="preserve">and with regard to our risk disclosure variables, the results suggest that, during the </w:t>
      </w:r>
      <w:r w:rsidR="009F2B8D" w:rsidRPr="00B051E5">
        <w:rPr>
          <w:rFonts w:ascii="Garamond" w:eastAsia="Calibri" w:hAnsi="Garamond"/>
          <w:color w:val="000000" w:themeColor="text1"/>
        </w:rPr>
        <w:t>ten</w:t>
      </w:r>
      <w:r w:rsidRPr="00B051E5">
        <w:rPr>
          <w:rFonts w:ascii="Garamond" w:eastAsia="Calibri" w:hAnsi="Garamond"/>
          <w:color w:val="000000" w:themeColor="text1"/>
        </w:rPr>
        <w:t xml:space="preserve">-year period of this study, UK firms </w:t>
      </w:r>
      <w:r w:rsidR="003865BF" w:rsidRPr="00B051E5">
        <w:rPr>
          <w:rFonts w:ascii="Garamond" w:eastAsia="Calibri" w:hAnsi="Garamond"/>
          <w:color w:val="000000" w:themeColor="text1"/>
        </w:rPr>
        <w:t>revealed</w:t>
      </w:r>
      <w:r w:rsidRPr="00B051E5">
        <w:rPr>
          <w:rFonts w:ascii="Garamond" w:eastAsia="Calibri" w:hAnsi="Garamond"/>
          <w:color w:val="000000" w:themeColor="text1"/>
        </w:rPr>
        <w:t xml:space="preserve">, on average, 17% of all </w:t>
      </w:r>
      <w:r w:rsidR="00E92672" w:rsidRPr="00B051E5">
        <w:rPr>
          <w:rFonts w:ascii="Garamond" w:eastAsia="Calibri" w:hAnsi="Garamond"/>
          <w:color w:val="000000" w:themeColor="text1"/>
        </w:rPr>
        <w:t xml:space="preserve">the </w:t>
      </w:r>
      <w:r w:rsidRPr="00B051E5">
        <w:rPr>
          <w:rFonts w:ascii="Garamond" w:eastAsia="Calibri" w:hAnsi="Garamond"/>
          <w:color w:val="000000" w:themeColor="text1"/>
        </w:rPr>
        <w:t xml:space="preserve">narrative disclosures made by UK FTSE all-share firms </w:t>
      </w:r>
      <w:r w:rsidR="003865BF" w:rsidRPr="00B051E5">
        <w:rPr>
          <w:rFonts w:ascii="Garamond" w:eastAsia="Calibri" w:hAnsi="Garamond"/>
          <w:color w:val="000000" w:themeColor="text1"/>
        </w:rPr>
        <w:t>as (aggregate) risk disclosure</w:t>
      </w:r>
      <w:r w:rsidRPr="00B051E5">
        <w:rPr>
          <w:rFonts w:ascii="Garamond" w:eastAsia="Calibri" w:hAnsi="Garamond"/>
          <w:color w:val="000000" w:themeColor="text1"/>
        </w:rPr>
        <w:t xml:space="preserve">. </w:t>
      </w:r>
      <w:r w:rsidR="003865BF" w:rsidRPr="00B051E5">
        <w:rPr>
          <w:rFonts w:ascii="Garamond" w:eastAsia="Calibri" w:hAnsi="Garamond"/>
          <w:color w:val="000000" w:themeColor="text1"/>
        </w:rPr>
        <w:t>This result suggests that</w:t>
      </w:r>
      <w:r w:rsidR="00E92672" w:rsidRPr="00B051E5">
        <w:rPr>
          <w:rFonts w:ascii="Garamond" w:eastAsia="Calibri" w:hAnsi="Garamond"/>
          <w:color w:val="000000" w:themeColor="text1"/>
        </w:rPr>
        <w:t>,</w:t>
      </w:r>
      <w:r w:rsidR="003865BF" w:rsidRPr="00B051E5">
        <w:rPr>
          <w:rFonts w:ascii="Garamond" w:eastAsia="Calibri" w:hAnsi="Garamond"/>
          <w:color w:val="000000" w:themeColor="text1"/>
        </w:rPr>
        <w:t xml:space="preserve"> over that period of study, UK firms disclosed, on average, 3</w:t>
      </w:r>
      <w:r w:rsidR="00F10145" w:rsidRPr="00B051E5">
        <w:rPr>
          <w:rFonts w:ascii="Garamond" w:eastAsia="Calibri" w:hAnsi="Garamond"/>
          <w:color w:val="000000" w:themeColor="text1"/>
        </w:rPr>
        <w:t>04</w:t>
      </w:r>
      <w:r w:rsidR="003865BF" w:rsidRPr="00B051E5">
        <w:rPr>
          <w:rFonts w:ascii="Garamond" w:eastAsia="Calibri" w:hAnsi="Garamond"/>
          <w:color w:val="000000" w:themeColor="text1"/>
        </w:rPr>
        <w:t xml:space="preserve"> risk sentences (17% </w:t>
      </w:r>
      <w:r w:rsidR="00F10145" w:rsidRPr="00B051E5">
        <w:rPr>
          <w:rFonts w:ascii="Garamond" w:eastAsia="Calibri" w:hAnsi="Garamond"/>
          <w:color w:val="000000" w:themeColor="text1"/>
        </w:rPr>
        <w:t xml:space="preserve">* </w:t>
      </w:r>
      <w:r w:rsidR="00E92672" w:rsidRPr="00B051E5">
        <w:rPr>
          <w:rFonts w:ascii="Garamond" w:eastAsia="Calibri" w:hAnsi="Garamond"/>
          <w:color w:val="000000" w:themeColor="text1"/>
        </w:rPr>
        <w:t xml:space="preserve">of </w:t>
      </w:r>
      <w:r w:rsidR="00F10145" w:rsidRPr="00B051E5">
        <w:rPr>
          <w:rFonts w:ascii="Garamond" w:eastAsia="Calibri" w:hAnsi="Garamond"/>
          <w:color w:val="000000" w:themeColor="text1"/>
        </w:rPr>
        <w:t>the</w:t>
      </w:r>
      <w:r w:rsidR="003865BF" w:rsidRPr="00B051E5">
        <w:rPr>
          <w:rFonts w:ascii="Garamond" w:eastAsia="Calibri" w:hAnsi="Garamond"/>
          <w:color w:val="000000" w:themeColor="text1"/>
        </w:rPr>
        <w:t xml:space="preserve"> average length of </w:t>
      </w:r>
      <w:r w:rsidR="00E92672" w:rsidRPr="00B051E5">
        <w:rPr>
          <w:rFonts w:ascii="Garamond" w:eastAsia="Calibri" w:hAnsi="Garamond"/>
          <w:color w:val="000000" w:themeColor="text1"/>
        </w:rPr>
        <w:t xml:space="preserve">the </w:t>
      </w:r>
      <w:r w:rsidR="003865BF" w:rsidRPr="00B051E5">
        <w:rPr>
          <w:rFonts w:ascii="Garamond" w:eastAsia="Calibri" w:hAnsi="Garamond"/>
          <w:color w:val="000000" w:themeColor="text1"/>
        </w:rPr>
        <w:t>annual report (unreported)</w:t>
      </w:r>
      <w:r w:rsidR="00E92672" w:rsidRPr="00B051E5">
        <w:rPr>
          <w:rFonts w:ascii="Garamond" w:eastAsia="Calibri" w:hAnsi="Garamond"/>
          <w:color w:val="000000" w:themeColor="text1"/>
        </w:rPr>
        <w:t>,</w:t>
      </w:r>
      <w:r w:rsidR="003865BF" w:rsidRPr="00B051E5">
        <w:rPr>
          <w:rFonts w:ascii="Garamond" w:eastAsia="Calibri" w:hAnsi="Garamond"/>
          <w:color w:val="000000" w:themeColor="text1"/>
        </w:rPr>
        <w:t xml:space="preserve"> </w:t>
      </w:r>
      <w:r w:rsidR="00F10145" w:rsidRPr="00B051E5">
        <w:rPr>
          <w:rFonts w:ascii="Garamond" w:eastAsia="Calibri" w:hAnsi="Garamond"/>
          <w:color w:val="000000" w:themeColor="text1"/>
        </w:rPr>
        <w:t>1787</w:t>
      </w:r>
      <w:r w:rsidR="003865BF" w:rsidRPr="00B051E5">
        <w:rPr>
          <w:rFonts w:ascii="Garamond" w:eastAsia="Calibri" w:hAnsi="Garamond"/>
          <w:color w:val="000000" w:themeColor="text1"/>
        </w:rPr>
        <w:t xml:space="preserve">). </w:t>
      </w:r>
      <w:r w:rsidRPr="00B051E5">
        <w:rPr>
          <w:rFonts w:ascii="Garamond" w:eastAsia="Calibri" w:hAnsi="Garamond"/>
          <w:color w:val="000000" w:themeColor="text1"/>
        </w:rPr>
        <w:t xml:space="preserve">Among </w:t>
      </w:r>
      <w:r w:rsidR="00673E06" w:rsidRPr="00B051E5">
        <w:rPr>
          <w:rFonts w:ascii="Garamond" w:eastAsia="Calibri" w:hAnsi="Garamond"/>
          <w:color w:val="000000" w:themeColor="text1"/>
        </w:rPr>
        <w:t>these</w:t>
      </w:r>
      <w:r w:rsidRPr="00B051E5">
        <w:rPr>
          <w:rFonts w:ascii="Garamond" w:eastAsia="Calibri" w:hAnsi="Garamond"/>
          <w:color w:val="000000" w:themeColor="text1"/>
        </w:rPr>
        <w:t xml:space="preserve"> sentences, UK firms have a propensity to provide a lower proportion of risk sentences referring to the </w:t>
      </w:r>
      <w:r w:rsidR="00257523" w:rsidRPr="00B051E5">
        <w:rPr>
          <w:rFonts w:ascii="Garamond" w:eastAsia="Calibri" w:hAnsi="Garamond"/>
          <w:color w:val="000000" w:themeColor="text1"/>
        </w:rPr>
        <w:t>future (</w:t>
      </w:r>
      <w:r w:rsidR="00067E39" w:rsidRPr="00B051E5">
        <w:rPr>
          <w:rFonts w:ascii="Garamond" w:eastAsia="Calibri" w:hAnsi="Garamond"/>
          <w:color w:val="000000" w:themeColor="text1"/>
        </w:rPr>
        <w:t>21</w:t>
      </w:r>
      <w:r w:rsidRPr="00B051E5">
        <w:rPr>
          <w:rFonts w:ascii="Garamond" w:eastAsia="Calibri" w:hAnsi="Garamond"/>
          <w:color w:val="000000" w:themeColor="text1"/>
        </w:rPr>
        <w:t>% of the aggregate risk disclosure</w:t>
      </w:r>
      <w:r w:rsidR="00A008F8" w:rsidRPr="00B051E5">
        <w:rPr>
          <w:rFonts w:ascii="Garamond" w:eastAsia="Calibri" w:hAnsi="Garamond"/>
          <w:color w:val="000000" w:themeColor="text1"/>
        </w:rPr>
        <w:t xml:space="preserve"> </w:t>
      </w:r>
      <w:r w:rsidRPr="00B051E5">
        <w:rPr>
          <w:rFonts w:ascii="Garamond" w:eastAsia="Calibri" w:hAnsi="Garamond"/>
          <w:color w:val="000000" w:themeColor="text1"/>
        </w:rPr>
        <w:t>on average) relative to non-forward-looking risk information (</w:t>
      </w:r>
      <w:r w:rsidR="00596C2D" w:rsidRPr="00B051E5">
        <w:rPr>
          <w:rFonts w:ascii="Garamond" w:eastAsia="Calibri" w:hAnsi="Garamond"/>
          <w:color w:val="000000" w:themeColor="text1"/>
        </w:rPr>
        <w:t>79</w:t>
      </w:r>
      <w:r w:rsidRPr="00B051E5">
        <w:rPr>
          <w:rFonts w:ascii="Garamond" w:eastAsia="Calibri" w:hAnsi="Garamond"/>
          <w:color w:val="000000" w:themeColor="text1"/>
        </w:rPr>
        <w:t>% of the aggregate risk disclosure</w:t>
      </w:r>
      <w:r w:rsidR="00067E39" w:rsidRPr="00B051E5">
        <w:rPr>
          <w:rFonts w:ascii="Garamond" w:eastAsia="Calibri" w:hAnsi="Garamond"/>
          <w:color w:val="000000" w:themeColor="text1"/>
        </w:rPr>
        <w:t xml:space="preserve"> on average</w:t>
      </w:r>
      <w:r w:rsidRPr="00B051E5">
        <w:rPr>
          <w:rFonts w:ascii="Garamond" w:eastAsia="Calibri" w:hAnsi="Garamond"/>
          <w:color w:val="000000" w:themeColor="text1"/>
        </w:rPr>
        <w:t xml:space="preserve">). </w:t>
      </w:r>
    </w:p>
    <w:p w14:paraId="467F34EB" w14:textId="615027DB" w:rsidR="00F43774" w:rsidRPr="00B051E5" w:rsidRDefault="00F43774" w:rsidP="00F43774">
      <w:pPr>
        <w:spacing w:line="360" w:lineRule="auto"/>
        <w:ind w:firstLine="720"/>
        <w:jc w:val="center"/>
        <w:rPr>
          <w:rFonts w:ascii="Garamond" w:eastAsia="Calibri" w:hAnsi="Garamond"/>
          <w:b/>
          <w:color w:val="000000" w:themeColor="text1"/>
          <w:sz w:val="20"/>
          <w:szCs w:val="20"/>
        </w:rPr>
      </w:pPr>
      <w:r w:rsidRPr="00B051E5">
        <w:rPr>
          <w:rFonts w:ascii="Garamond" w:eastAsia="Calibri" w:hAnsi="Garamond"/>
          <w:b/>
          <w:color w:val="000000" w:themeColor="text1"/>
          <w:sz w:val="20"/>
          <w:szCs w:val="20"/>
        </w:rPr>
        <w:t>[Insert Table 1 about here]</w:t>
      </w:r>
    </w:p>
    <w:p w14:paraId="7D61215A" w14:textId="68F1F5F0" w:rsidR="00423A16" w:rsidRPr="00B051E5" w:rsidRDefault="00820639" w:rsidP="00693F5C">
      <w:pPr>
        <w:spacing w:line="480" w:lineRule="auto"/>
        <w:ind w:firstLine="720"/>
        <w:jc w:val="both"/>
        <w:rPr>
          <w:rFonts w:ascii="Garamond" w:eastAsia="Calibri" w:hAnsi="Garamond"/>
          <w:color w:val="000000" w:themeColor="text1"/>
        </w:rPr>
      </w:pPr>
      <w:r w:rsidRPr="00B051E5">
        <w:rPr>
          <w:rFonts w:ascii="Garamond" w:eastAsia="Calibri" w:hAnsi="Garamond"/>
          <w:color w:val="000000" w:themeColor="text1"/>
        </w:rPr>
        <w:t xml:space="preserve">Table 2 provides the associations between our main variables based on the Pearson correlation matrix. Considering principally the correlations between stock price informativeness as measured by </w:t>
      </w:r>
      <w:r w:rsidRPr="00B051E5">
        <w:rPr>
          <w:rFonts w:ascii="Garamond" w:eastAsia="Calibri" w:hAnsi="Garamond"/>
          <w:i/>
          <w:color w:val="000000" w:themeColor="text1"/>
        </w:rPr>
        <w:t>SYNCH</w:t>
      </w:r>
      <w:r w:rsidRPr="00B051E5">
        <w:rPr>
          <w:rFonts w:ascii="Garamond" w:eastAsia="Calibri" w:hAnsi="Garamond"/>
          <w:color w:val="000000" w:themeColor="text1"/>
        </w:rPr>
        <w:t xml:space="preserve"> and the risk information variables, we find that </w:t>
      </w:r>
      <w:r w:rsidRPr="00B051E5">
        <w:rPr>
          <w:rFonts w:ascii="Garamond" w:eastAsia="Calibri" w:hAnsi="Garamond"/>
          <w:i/>
          <w:color w:val="000000" w:themeColor="text1"/>
        </w:rPr>
        <w:t>SYNCH</w:t>
      </w:r>
      <w:r w:rsidRPr="00B051E5">
        <w:rPr>
          <w:rFonts w:ascii="Garamond" w:eastAsia="Calibri" w:hAnsi="Garamond"/>
          <w:color w:val="000000" w:themeColor="text1"/>
        </w:rPr>
        <w:t xml:space="preserve"> is likely to be </w:t>
      </w:r>
      <w:r w:rsidR="00E44858" w:rsidRPr="00B051E5">
        <w:rPr>
          <w:rFonts w:ascii="Garamond" w:eastAsia="Calibri" w:hAnsi="Garamond"/>
          <w:color w:val="000000" w:themeColor="text1"/>
        </w:rPr>
        <w:t xml:space="preserve">more </w:t>
      </w:r>
      <w:r w:rsidRPr="00B051E5">
        <w:rPr>
          <w:rFonts w:ascii="Garamond" w:eastAsia="Calibri" w:hAnsi="Garamond"/>
          <w:color w:val="000000" w:themeColor="text1"/>
        </w:rPr>
        <w:t>economically and statistically sensitive to the time orientation of risk disclosure (</w:t>
      </w:r>
      <w:r w:rsidRPr="00B051E5">
        <w:rPr>
          <w:rFonts w:ascii="Garamond" w:eastAsia="Calibri" w:hAnsi="Garamond"/>
          <w:bCs/>
          <w:i/>
          <w:color w:val="000000" w:themeColor="text1"/>
        </w:rPr>
        <w:t>PFLRD</w:t>
      </w:r>
      <w:r w:rsidRPr="00B051E5">
        <w:rPr>
          <w:rFonts w:ascii="Garamond" w:eastAsia="Calibri" w:hAnsi="Garamond"/>
          <w:bCs/>
          <w:color w:val="000000" w:themeColor="text1"/>
        </w:rPr>
        <w:t xml:space="preserve"> and </w:t>
      </w:r>
      <w:r w:rsidRPr="00B051E5">
        <w:rPr>
          <w:rFonts w:ascii="Garamond" w:eastAsia="Calibri" w:hAnsi="Garamond"/>
          <w:bCs/>
          <w:i/>
          <w:color w:val="000000" w:themeColor="text1"/>
        </w:rPr>
        <w:lastRenderedPageBreak/>
        <w:t>PNFLRD)</w:t>
      </w:r>
      <w:r w:rsidRPr="00B051E5">
        <w:rPr>
          <w:rFonts w:ascii="Garamond" w:eastAsia="Calibri" w:hAnsi="Garamond"/>
          <w:color w:val="000000" w:themeColor="text1"/>
        </w:rPr>
        <w:t xml:space="preserve"> than </w:t>
      </w:r>
      <w:r w:rsidR="00E44858" w:rsidRPr="00B051E5">
        <w:rPr>
          <w:rFonts w:ascii="Garamond" w:eastAsia="Calibri" w:hAnsi="Garamond"/>
          <w:color w:val="000000" w:themeColor="text1"/>
        </w:rPr>
        <w:t xml:space="preserve">to </w:t>
      </w:r>
      <w:r w:rsidRPr="00B051E5">
        <w:rPr>
          <w:rFonts w:ascii="Garamond" w:eastAsia="Calibri" w:hAnsi="Garamond"/>
          <w:color w:val="000000" w:themeColor="text1"/>
        </w:rPr>
        <w:t>the aggregate level of risk disclosure</w:t>
      </w:r>
      <w:r w:rsidRPr="00B051E5">
        <w:rPr>
          <w:rFonts w:ascii="Garamond" w:eastAsia="Calibri" w:hAnsi="Garamond"/>
          <w:bCs/>
          <w:i/>
          <w:color w:val="000000" w:themeColor="text1"/>
        </w:rPr>
        <w:t xml:space="preserve"> (PARD</w:t>
      </w:r>
      <w:r w:rsidRPr="00B051E5">
        <w:rPr>
          <w:rFonts w:ascii="Garamond" w:eastAsia="Calibri" w:hAnsi="Garamond"/>
          <w:bCs/>
          <w:color w:val="000000" w:themeColor="text1"/>
        </w:rPr>
        <w:t>)</w:t>
      </w:r>
      <w:r w:rsidRPr="00B051E5">
        <w:rPr>
          <w:rFonts w:ascii="Garamond" w:eastAsia="Calibri" w:hAnsi="Garamond"/>
          <w:color w:val="000000" w:themeColor="text1"/>
        </w:rPr>
        <w:t xml:space="preserve">. The results suggest that, while both aggregate and non-forward-looking risk information have negative relationships with stock price informativeness, the latter is statistically observable. </w:t>
      </w:r>
      <w:r w:rsidR="00B54D2C" w:rsidRPr="00B051E5">
        <w:rPr>
          <w:rFonts w:ascii="Garamond" w:eastAsia="Calibri" w:hAnsi="Garamond"/>
          <w:color w:val="000000" w:themeColor="text1"/>
        </w:rPr>
        <w:t>T</w:t>
      </w:r>
      <w:r w:rsidRPr="00B051E5">
        <w:rPr>
          <w:rFonts w:ascii="Garamond" w:eastAsia="Calibri" w:hAnsi="Garamond"/>
          <w:color w:val="000000" w:themeColor="text1"/>
        </w:rPr>
        <w:t>he following section discuss</w:t>
      </w:r>
      <w:r w:rsidR="00B54D2C" w:rsidRPr="00B051E5">
        <w:rPr>
          <w:rFonts w:ascii="Garamond" w:eastAsia="Calibri" w:hAnsi="Garamond"/>
          <w:color w:val="000000" w:themeColor="text1"/>
        </w:rPr>
        <w:t>es</w:t>
      </w:r>
      <w:r w:rsidRPr="00B051E5">
        <w:rPr>
          <w:rFonts w:ascii="Garamond" w:eastAsia="Calibri" w:hAnsi="Garamond"/>
          <w:color w:val="000000" w:themeColor="text1"/>
        </w:rPr>
        <w:t xml:space="preserve"> whether </w:t>
      </w:r>
      <w:r w:rsidR="00B54D2C" w:rsidRPr="00B051E5">
        <w:rPr>
          <w:rFonts w:ascii="Garamond" w:eastAsia="Calibri" w:hAnsi="Garamond"/>
          <w:color w:val="000000" w:themeColor="text1"/>
        </w:rPr>
        <w:t xml:space="preserve">these </w:t>
      </w:r>
      <w:r w:rsidRPr="00B051E5">
        <w:rPr>
          <w:rFonts w:ascii="Garamond" w:eastAsia="Calibri" w:hAnsi="Garamond"/>
          <w:color w:val="000000" w:themeColor="text1"/>
        </w:rPr>
        <w:t xml:space="preserve">associations continue to hold </w:t>
      </w:r>
      <w:r w:rsidR="00B54D2C" w:rsidRPr="00B051E5">
        <w:rPr>
          <w:rFonts w:ascii="Garamond" w:eastAsia="Calibri" w:hAnsi="Garamond"/>
          <w:color w:val="000000" w:themeColor="text1"/>
        </w:rPr>
        <w:t xml:space="preserve">after considering </w:t>
      </w:r>
      <w:r w:rsidR="004E79F9" w:rsidRPr="00B051E5">
        <w:rPr>
          <w:rFonts w:ascii="Garamond" w:eastAsia="Calibri" w:hAnsi="Garamond"/>
          <w:color w:val="000000" w:themeColor="text1"/>
        </w:rPr>
        <w:t>other factors</w:t>
      </w:r>
      <w:r w:rsidR="00B54D2C" w:rsidRPr="00B051E5">
        <w:rPr>
          <w:rFonts w:ascii="Garamond" w:eastAsia="Calibri" w:hAnsi="Garamond"/>
          <w:color w:val="000000" w:themeColor="text1"/>
        </w:rPr>
        <w:t>,</w:t>
      </w:r>
      <w:r w:rsidR="004E79F9" w:rsidRPr="00B051E5">
        <w:rPr>
          <w:rFonts w:ascii="Garamond" w:eastAsia="Calibri" w:hAnsi="Garamond"/>
          <w:color w:val="000000" w:themeColor="text1"/>
        </w:rPr>
        <w:t xml:space="preserve"> </w:t>
      </w:r>
      <w:r w:rsidR="004C14BB" w:rsidRPr="00B051E5">
        <w:rPr>
          <w:rFonts w:ascii="Garamond" w:eastAsia="Calibri" w:hAnsi="Garamond"/>
          <w:color w:val="000000" w:themeColor="text1"/>
        </w:rPr>
        <w:t>shown in</w:t>
      </w:r>
      <w:r w:rsidR="00BA49B9" w:rsidRPr="00B051E5">
        <w:rPr>
          <w:rFonts w:ascii="Garamond" w:eastAsia="Calibri" w:hAnsi="Garamond"/>
          <w:color w:val="000000" w:themeColor="text1"/>
        </w:rPr>
        <w:t xml:space="preserve"> </w:t>
      </w:r>
      <w:r w:rsidR="003C7280" w:rsidRPr="00B051E5">
        <w:rPr>
          <w:rFonts w:ascii="Garamond" w:eastAsia="Calibri" w:hAnsi="Garamond"/>
          <w:color w:val="000000" w:themeColor="text1"/>
        </w:rPr>
        <w:t>Equation</w:t>
      </w:r>
      <w:r w:rsidR="004E79F9" w:rsidRPr="00B051E5">
        <w:rPr>
          <w:rFonts w:ascii="Garamond" w:eastAsia="Calibri" w:hAnsi="Garamond"/>
          <w:color w:val="000000" w:themeColor="text1"/>
        </w:rPr>
        <w:t xml:space="preserve"> </w:t>
      </w:r>
      <w:r w:rsidR="00BA49B9" w:rsidRPr="00B051E5">
        <w:rPr>
          <w:rFonts w:ascii="Garamond" w:eastAsia="Calibri" w:hAnsi="Garamond"/>
          <w:color w:val="000000" w:themeColor="text1"/>
        </w:rPr>
        <w:t xml:space="preserve">3 and </w:t>
      </w:r>
      <w:r w:rsidR="003C7280" w:rsidRPr="00B051E5">
        <w:rPr>
          <w:rFonts w:ascii="Garamond" w:eastAsia="Calibri" w:hAnsi="Garamond"/>
          <w:color w:val="000000" w:themeColor="text1"/>
        </w:rPr>
        <w:t>Equation</w:t>
      </w:r>
      <w:r w:rsidR="004E79F9" w:rsidRPr="00B051E5">
        <w:rPr>
          <w:rFonts w:ascii="Garamond" w:eastAsia="Calibri" w:hAnsi="Garamond"/>
          <w:color w:val="000000" w:themeColor="text1"/>
        </w:rPr>
        <w:t xml:space="preserve"> </w:t>
      </w:r>
      <w:r w:rsidR="00BA49B9" w:rsidRPr="00B051E5">
        <w:rPr>
          <w:rFonts w:ascii="Garamond" w:eastAsia="Calibri" w:hAnsi="Garamond"/>
          <w:color w:val="000000" w:themeColor="text1"/>
        </w:rPr>
        <w:t>4</w:t>
      </w:r>
      <w:r w:rsidRPr="00B051E5">
        <w:rPr>
          <w:rFonts w:ascii="Garamond" w:eastAsia="Calibri" w:hAnsi="Garamond"/>
          <w:color w:val="000000" w:themeColor="text1"/>
        </w:rPr>
        <w:t xml:space="preserve">. </w:t>
      </w:r>
      <w:r w:rsidR="004E79F9" w:rsidRPr="00B051E5">
        <w:rPr>
          <w:rFonts w:ascii="Garamond" w:eastAsia="Calibri" w:hAnsi="Garamond"/>
          <w:color w:val="000000" w:themeColor="text1"/>
        </w:rPr>
        <w:t xml:space="preserve"> </w:t>
      </w:r>
    </w:p>
    <w:p w14:paraId="11D4FEA7" w14:textId="2574D6D3" w:rsidR="00291745" w:rsidRPr="00B051E5" w:rsidRDefault="00820639">
      <w:pPr>
        <w:spacing w:line="360" w:lineRule="auto"/>
        <w:ind w:firstLine="720"/>
        <w:jc w:val="center"/>
        <w:rPr>
          <w:rFonts w:ascii="Garamond" w:eastAsia="Calibri" w:hAnsi="Garamond"/>
          <w:b/>
          <w:bCs/>
          <w:color w:val="000000" w:themeColor="text1"/>
        </w:rPr>
      </w:pPr>
      <w:r w:rsidRPr="00B051E5">
        <w:rPr>
          <w:rFonts w:ascii="Garamond" w:eastAsia="Calibri" w:hAnsi="Garamond"/>
          <w:b/>
          <w:color w:val="000000" w:themeColor="text1"/>
          <w:sz w:val="20"/>
          <w:szCs w:val="20"/>
        </w:rPr>
        <w:t>[Insert Table 2 about here]</w:t>
      </w:r>
    </w:p>
    <w:p w14:paraId="67904B29" w14:textId="7A97BBF1" w:rsidR="00820639" w:rsidRPr="00B051E5" w:rsidRDefault="00446F2B"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t>6</w:t>
      </w:r>
      <w:r w:rsidR="00615576" w:rsidRPr="00B051E5">
        <w:rPr>
          <w:rFonts w:ascii="Garamond" w:eastAsia="Calibri" w:hAnsi="Garamond"/>
          <w:b/>
          <w:bCs/>
          <w:color w:val="000000" w:themeColor="text1"/>
          <w:sz w:val="24"/>
          <w:szCs w:val="24"/>
        </w:rPr>
        <w:t xml:space="preserve">. </w:t>
      </w:r>
      <w:r w:rsidR="00820639" w:rsidRPr="00B051E5">
        <w:rPr>
          <w:rFonts w:ascii="Garamond" w:eastAsia="Calibri" w:hAnsi="Garamond"/>
          <w:b/>
          <w:bCs/>
          <w:color w:val="000000" w:themeColor="text1"/>
          <w:sz w:val="24"/>
          <w:szCs w:val="24"/>
        </w:rPr>
        <w:t xml:space="preserve">Empirical </w:t>
      </w:r>
      <w:r w:rsidRPr="00B051E5">
        <w:rPr>
          <w:rFonts w:ascii="Garamond" w:eastAsia="Calibri" w:hAnsi="Garamond"/>
          <w:b/>
          <w:bCs/>
          <w:color w:val="000000" w:themeColor="text1"/>
          <w:sz w:val="24"/>
          <w:szCs w:val="24"/>
        </w:rPr>
        <w:t>findings</w:t>
      </w:r>
    </w:p>
    <w:p w14:paraId="25A05DCE" w14:textId="48230402" w:rsidR="00820639" w:rsidRPr="00B051E5" w:rsidRDefault="002211D7" w:rsidP="00D75008">
      <w:pPr>
        <w:spacing w:line="360" w:lineRule="auto"/>
        <w:jc w:val="both"/>
        <w:rPr>
          <w:rFonts w:ascii="Garamond" w:eastAsia="Calibri" w:hAnsi="Garamond"/>
          <w:i/>
          <w:iCs/>
          <w:color w:val="000000" w:themeColor="text1"/>
        </w:rPr>
      </w:pPr>
      <w:r w:rsidRPr="00B051E5">
        <w:rPr>
          <w:rFonts w:ascii="Garamond" w:eastAsia="Calibri" w:hAnsi="Garamond"/>
          <w:i/>
          <w:iCs/>
          <w:color w:val="000000" w:themeColor="text1"/>
        </w:rPr>
        <w:t>6</w:t>
      </w:r>
      <w:r w:rsidR="00615576" w:rsidRPr="00B051E5">
        <w:rPr>
          <w:rFonts w:ascii="Garamond" w:eastAsia="Calibri" w:hAnsi="Garamond"/>
          <w:i/>
          <w:iCs/>
          <w:color w:val="000000" w:themeColor="text1"/>
        </w:rPr>
        <w:t xml:space="preserve">.1 </w:t>
      </w:r>
      <w:r w:rsidR="00820639" w:rsidRPr="00B051E5">
        <w:rPr>
          <w:rFonts w:ascii="Garamond" w:eastAsia="Calibri" w:hAnsi="Garamond"/>
          <w:i/>
          <w:iCs/>
          <w:color w:val="000000" w:themeColor="text1"/>
        </w:rPr>
        <w:t xml:space="preserve">Regression results </w:t>
      </w:r>
    </w:p>
    <w:p w14:paraId="143B6F9F" w14:textId="54A39269" w:rsidR="00820639" w:rsidRPr="00B051E5" w:rsidRDefault="00820639" w:rsidP="00693F5C">
      <w:pPr>
        <w:spacing w:line="480" w:lineRule="auto"/>
        <w:jc w:val="both"/>
        <w:rPr>
          <w:rFonts w:ascii="Garamond" w:eastAsia="Calibri" w:hAnsi="Garamond"/>
          <w:bCs/>
          <w:color w:val="000000" w:themeColor="text1"/>
        </w:rPr>
      </w:pPr>
      <w:r w:rsidRPr="00B051E5">
        <w:rPr>
          <w:rFonts w:ascii="Garamond" w:eastAsia="Calibri" w:hAnsi="Garamond"/>
          <w:bCs/>
          <w:color w:val="000000" w:themeColor="text1"/>
        </w:rPr>
        <w:t xml:space="preserve">Table 3 presents the results of pooled regressions of </w:t>
      </w:r>
      <w:r w:rsidRPr="00B051E5">
        <w:rPr>
          <w:rFonts w:ascii="Garamond" w:eastAsia="Calibri" w:hAnsi="Garamond"/>
          <w:bCs/>
          <w:i/>
          <w:color w:val="000000" w:themeColor="text1"/>
        </w:rPr>
        <w:t>SYNCH</w:t>
      </w:r>
      <w:r w:rsidRPr="00B051E5">
        <w:rPr>
          <w:rFonts w:ascii="Garamond" w:eastAsia="Calibri" w:hAnsi="Garamond"/>
          <w:bCs/>
          <w:color w:val="000000" w:themeColor="text1"/>
        </w:rPr>
        <w:t xml:space="preserve"> on the risk-related information (aggregate risk disclosure, Model 1) and on the time orientation of aggregate risk information (forward- or non-forward-looking risk disclosure, Models 2</w:t>
      </w:r>
      <w:r w:rsidR="00F75A6B" w:rsidRPr="00B051E5">
        <w:rPr>
          <w:rFonts w:ascii="Garamond" w:eastAsia="Calibri" w:hAnsi="Garamond"/>
          <w:bCs/>
          <w:color w:val="000000" w:themeColor="text1"/>
        </w:rPr>
        <w:t xml:space="preserve"> and </w:t>
      </w:r>
      <w:r w:rsidRPr="00B051E5">
        <w:rPr>
          <w:rFonts w:ascii="Garamond" w:eastAsia="Calibri" w:hAnsi="Garamond"/>
          <w:bCs/>
          <w:color w:val="000000" w:themeColor="text1"/>
        </w:rPr>
        <w:t xml:space="preserve">3). </w:t>
      </w:r>
      <w:r w:rsidR="0070107B" w:rsidRPr="00B051E5">
        <w:rPr>
          <w:rFonts w:ascii="Garamond" w:eastAsia="Calibri" w:hAnsi="Garamond"/>
          <w:bCs/>
          <w:color w:val="000000" w:themeColor="text1"/>
        </w:rPr>
        <w:t>W</w:t>
      </w:r>
      <w:r w:rsidR="00F75A6B" w:rsidRPr="00B051E5">
        <w:rPr>
          <w:rFonts w:ascii="Garamond" w:eastAsia="Calibri" w:hAnsi="Garamond"/>
          <w:bCs/>
          <w:color w:val="000000" w:themeColor="text1"/>
        </w:rPr>
        <w:t xml:space="preserve">e </w:t>
      </w:r>
      <w:r w:rsidR="0070107B" w:rsidRPr="00B051E5">
        <w:rPr>
          <w:rFonts w:ascii="Garamond" w:eastAsia="Calibri" w:hAnsi="Garamond"/>
          <w:bCs/>
          <w:color w:val="000000" w:themeColor="text1"/>
        </w:rPr>
        <w:t xml:space="preserve">now </w:t>
      </w:r>
      <w:r w:rsidR="00F75A6B" w:rsidRPr="00B051E5">
        <w:rPr>
          <w:rFonts w:ascii="Garamond" w:eastAsia="Calibri" w:hAnsi="Garamond"/>
          <w:bCs/>
          <w:color w:val="000000" w:themeColor="text1"/>
        </w:rPr>
        <w:t xml:space="preserve">introduce </w:t>
      </w:r>
      <w:r w:rsidR="00734F23" w:rsidRPr="00B051E5">
        <w:rPr>
          <w:rFonts w:ascii="Garamond" w:eastAsia="Calibri" w:hAnsi="Garamond"/>
          <w:bCs/>
          <w:color w:val="000000" w:themeColor="text1"/>
        </w:rPr>
        <w:t>Model 4</w:t>
      </w:r>
      <w:r w:rsidR="00F75A6B" w:rsidRPr="00B051E5">
        <w:rPr>
          <w:rFonts w:ascii="Garamond" w:eastAsia="Calibri" w:hAnsi="Garamond"/>
          <w:bCs/>
          <w:color w:val="000000" w:themeColor="text1"/>
        </w:rPr>
        <w:t xml:space="preserve">, as a robustness check, </w:t>
      </w:r>
      <w:r w:rsidR="0070107B" w:rsidRPr="00B051E5">
        <w:rPr>
          <w:rFonts w:ascii="Garamond" w:eastAsia="Calibri" w:hAnsi="Garamond"/>
          <w:bCs/>
          <w:color w:val="000000" w:themeColor="text1"/>
        </w:rPr>
        <w:t>since</w:t>
      </w:r>
      <w:r w:rsidR="003069BD" w:rsidRPr="00B051E5">
        <w:rPr>
          <w:rFonts w:ascii="Garamond" w:eastAsia="Calibri" w:hAnsi="Garamond"/>
          <w:bCs/>
          <w:color w:val="000000" w:themeColor="text1"/>
        </w:rPr>
        <w:t xml:space="preserve"> </w:t>
      </w:r>
      <w:r w:rsidR="00F75A6B" w:rsidRPr="00B051E5">
        <w:rPr>
          <w:rFonts w:ascii="Garamond" w:eastAsia="Calibri" w:hAnsi="Garamond"/>
          <w:bCs/>
          <w:color w:val="000000" w:themeColor="text1"/>
        </w:rPr>
        <w:t xml:space="preserve">we use two other proxies </w:t>
      </w:r>
      <w:r w:rsidR="0070107B" w:rsidRPr="00B051E5">
        <w:rPr>
          <w:rFonts w:ascii="Garamond" w:eastAsia="Calibri" w:hAnsi="Garamond"/>
          <w:bCs/>
          <w:color w:val="000000" w:themeColor="text1"/>
        </w:rPr>
        <w:t>for</w:t>
      </w:r>
      <w:r w:rsidR="00F75A6B" w:rsidRPr="00B051E5">
        <w:rPr>
          <w:rFonts w:ascii="Garamond" w:eastAsia="Calibri" w:hAnsi="Garamond"/>
          <w:bCs/>
          <w:color w:val="000000" w:themeColor="text1"/>
        </w:rPr>
        <w:t xml:space="preserve"> forward-looking</w:t>
      </w:r>
      <w:r w:rsidR="00CF64CB" w:rsidRPr="00B051E5">
        <w:rPr>
          <w:rFonts w:ascii="Garamond" w:eastAsia="Calibri" w:hAnsi="Garamond"/>
          <w:bCs/>
          <w:color w:val="000000" w:themeColor="text1"/>
        </w:rPr>
        <w:t xml:space="preserve"> </w:t>
      </w:r>
      <w:r w:rsidR="00F75A6B" w:rsidRPr="00B051E5">
        <w:rPr>
          <w:rFonts w:ascii="Garamond" w:eastAsia="Calibri" w:hAnsi="Garamond"/>
          <w:bCs/>
          <w:color w:val="000000" w:themeColor="text1"/>
        </w:rPr>
        <w:t>and non-forward-looking risk disclosure</w:t>
      </w:r>
      <w:r w:rsidR="00CF64CB" w:rsidRPr="00B051E5">
        <w:rPr>
          <w:rFonts w:ascii="Garamond" w:eastAsia="Calibri" w:hAnsi="Garamond"/>
          <w:bCs/>
          <w:color w:val="000000" w:themeColor="text1"/>
        </w:rPr>
        <w:t>).</w:t>
      </w:r>
      <w:r w:rsidR="001F48B8" w:rsidRPr="00B051E5">
        <w:rPr>
          <w:rFonts w:ascii="Garamond" w:eastAsia="Calibri" w:hAnsi="Garamond"/>
          <w:bCs/>
          <w:color w:val="000000" w:themeColor="text1"/>
        </w:rPr>
        <w:t xml:space="preserve"> </w:t>
      </w:r>
    </w:p>
    <w:p w14:paraId="4735DAB0" w14:textId="77777777" w:rsidR="00820639" w:rsidRPr="00B051E5" w:rsidRDefault="00820639" w:rsidP="00D75008">
      <w:pPr>
        <w:spacing w:line="360" w:lineRule="auto"/>
        <w:ind w:firstLine="720"/>
        <w:jc w:val="center"/>
        <w:rPr>
          <w:rFonts w:ascii="Garamond" w:eastAsia="Calibri" w:hAnsi="Garamond"/>
          <w:b/>
          <w:color w:val="000000" w:themeColor="text1"/>
          <w:sz w:val="20"/>
          <w:szCs w:val="20"/>
        </w:rPr>
      </w:pPr>
      <w:r w:rsidRPr="00B051E5">
        <w:rPr>
          <w:rFonts w:ascii="Garamond" w:eastAsia="Calibri" w:hAnsi="Garamond"/>
          <w:b/>
          <w:color w:val="000000" w:themeColor="text1"/>
          <w:sz w:val="20"/>
          <w:szCs w:val="20"/>
        </w:rPr>
        <w:t>[Insert Table 3 about here]</w:t>
      </w:r>
    </w:p>
    <w:p w14:paraId="5B880746" w14:textId="0AECEBBC" w:rsidR="001D3D30" w:rsidRPr="00B051E5" w:rsidRDefault="001D3D30" w:rsidP="000C0153">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Model 1 of Table 2 suggests that aggregate risk disclosure has no significant impact on stock prices at any conventional level. The non-significant coefficient on aggregate risk disclosure indicates that, at the aggregate level, risk information has no economic effect on market participants and, therefore, the stock price movements are independent of any changes in risk information at this level. Our result is consistent with the null argument, in which risk information is likely to be boilerplate if the market reacts non-significantly to it (Kravet and Muslu, 2013; Elshandidy and Zeng, 2022). </w:t>
      </w:r>
    </w:p>
    <w:p w14:paraId="3130EDB3" w14:textId="7588494B" w:rsidR="001D3D30" w:rsidRPr="00B051E5" w:rsidRDefault="001D3D30" w:rsidP="001D3D30">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Model 2 of Table 2 shows a positive and significant association between forward-looking risk information and stock price synchronicity (t-statistic 2.993 at 1%), suggesting that this information carries economic signals. Specifically, a one standard deviation (0.07) increase in the proportion of forward-looking disclosure (PFLRD) is associated with a 1.248 (coefficient of PFLRD * standard deviation of SYNCH =1.049*1.19) increase in the synchronicity (SYNCH), suggesting that the market already includes such information in its movements. The economically </w:t>
      </w:r>
      <w:r w:rsidRPr="00B051E5">
        <w:rPr>
          <w:rFonts w:ascii="Garamond" w:eastAsia="Calibri" w:hAnsi="Garamond"/>
          <w:bCs/>
          <w:color w:val="000000" w:themeColor="text1"/>
        </w:rPr>
        <w:lastRenderedPageBreak/>
        <w:t xml:space="preserve">significant coefficient on forward-looking information indicates that the market is likely to consider this information, and it suggests that this information is not boilerplate. The direction (positive) of this relationship suggests that this kind of information is likely to be related to common factors in the market and, therefore, investors can rely on either source (Haggard et al., 2008, Russell, 2015; Tan et al., 2017). This result supports the convergence argument since the disclosed forward-looking information reveals information already known to the market. It may be argued that managers are reluctant to provide future information since it may cause legal actions if their predictions turn out to be inaccurate or untrue (e.g., Asay and Hales, 2015; Bonsall et al., 2016). This result suggests while forward-looking information is directly linked to valuation models, such information is associated with a high level of uncertainty and is largely unverifiable because the current regulations under IFRS and UK GAAP give very little guidance on the content and the form of such information. </w:t>
      </w:r>
    </w:p>
    <w:p w14:paraId="3401F196" w14:textId="77777777" w:rsidR="00BA5F23" w:rsidRPr="00B051E5" w:rsidRDefault="00820639" w:rsidP="00693F5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When we introduce the non-forward-looking information in Model 3 of the same table, we find that the market continues to react significantly but negatively to th</w:t>
      </w:r>
      <w:r w:rsidR="00DB40FB" w:rsidRPr="00B051E5">
        <w:rPr>
          <w:rFonts w:ascii="Garamond" w:eastAsia="Calibri" w:hAnsi="Garamond"/>
          <w:bCs/>
          <w:color w:val="000000" w:themeColor="text1"/>
        </w:rPr>
        <w:t>is</w:t>
      </w:r>
      <w:r w:rsidRPr="00B051E5">
        <w:rPr>
          <w:rFonts w:ascii="Garamond" w:eastAsia="Calibri" w:hAnsi="Garamond"/>
          <w:bCs/>
          <w:color w:val="000000" w:themeColor="text1"/>
        </w:rPr>
        <w:t xml:space="preserve"> information (</w:t>
      </w:r>
      <w:r w:rsidRPr="00B051E5">
        <w:rPr>
          <w:rFonts w:ascii="Garamond" w:eastAsia="Calibri" w:hAnsi="Garamond"/>
          <w:bCs/>
          <w:i/>
          <w:color w:val="000000" w:themeColor="text1"/>
        </w:rPr>
        <w:t>t-statistic</w:t>
      </w:r>
      <w:r w:rsidRPr="00B051E5">
        <w:rPr>
          <w:rFonts w:ascii="Garamond" w:eastAsia="Calibri" w:hAnsi="Garamond"/>
          <w:bCs/>
          <w:color w:val="000000" w:themeColor="text1"/>
        </w:rPr>
        <w:t xml:space="preserve"> -</w:t>
      </w:r>
      <w:r w:rsidR="007C640F" w:rsidRPr="00B051E5">
        <w:rPr>
          <w:rFonts w:ascii="Garamond" w:eastAsia="Calibri" w:hAnsi="Garamond"/>
          <w:bCs/>
          <w:color w:val="000000" w:themeColor="text1"/>
        </w:rPr>
        <w:t>1</w:t>
      </w:r>
      <w:r w:rsidR="007573F7" w:rsidRPr="00B051E5">
        <w:rPr>
          <w:rFonts w:ascii="Garamond" w:eastAsia="Calibri" w:hAnsi="Garamond"/>
          <w:bCs/>
          <w:color w:val="000000" w:themeColor="text1"/>
        </w:rPr>
        <w:t>.</w:t>
      </w:r>
      <w:r w:rsidR="007C640F" w:rsidRPr="00B051E5">
        <w:rPr>
          <w:rFonts w:ascii="Garamond" w:eastAsia="Calibri" w:hAnsi="Garamond"/>
          <w:bCs/>
          <w:color w:val="000000" w:themeColor="text1"/>
        </w:rPr>
        <w:t>049</w:t>
      </w:r>
      <w:r w:rsidRPr="00B051E5">
        <w:rPr>
          <w:rFonts w:ascii="Garamond" w:eastAsia="Calibri" w:hAnsi="Garamond"/>
          <w:bCs/>
          <w:color w:val="000000" w:themeColor="text1"/>
        </w:rPr>
        <w:t xml:space="preserve"> at 1%), suggesting that this information is firm-specific and that the market is likely to incorporate it significantly into i</w:t>
      </w:r>
      <w:r w:rsidR="00683FA3" w:rsidRPr="00B051E5">
        <w:rPr>
          <w:rFonts w:ascii="Garamond" w:eastAsia="Calibri" w:hAnsi="Garamond"/>
          <w:bCs/>
          <w:color w:val="000000" w:themeColor="text1"/>
        </w:rPr>
        <w:t>ts movements. Specifically, a</w:t>
      </w:r>
      <w:r w:rsidR="00DB40FB" w:rsidRPr="00B051E5">
        <w:rPr>
          <w:rFonts w:ascii="Garamond" w:eastAsia="Calibri" w:hAnsi="Garamond"/>
          <w:bCs/>
          <w:color w:val="000000" w:themeColor="text1"/>
        </w:rPr>
        <w:t>n increase</w:t>
      </w:r>
      <w:r w:rsidR="00683FA3" w:rsidRPr="00B051E5">
        <w:rPr>
          <w:rFonts w:ascii="Garamond" w:eastAsia="Calibri" w:hAnsi="Garamond"/>
          <w:bCs/>
          <w:color w:val="000000" w:themeColor="text1"/>
        </w:rPr>
        <w:t xml:space="preserve"> </w:t>
      </w:r>
      <w:r w:rsidR="00DB40FB" w:rsidRPr="00B051E5">
        <w:rPr>
          <w:rFonts w:ascii="Garamond" w:eastAsia="Calibri" w:hAnsi="Garamond"/>
          <w:bCs/>
          <w:color w:val="000000" w:themeColor="text1"/>
        </w:rPr>
        <w:t xml:space="preserve">of </w:t>
      </w:r>
      <w:r w:rsidR="00683FA3" w:rsidRPr="00B051E5">
        <w:rPr>
          <w:rFonts w:ascii="Garamond" w:eastAsia="Calibri" w:hAnsi="Garamond"/>
          <w:bCs/>
          <w:color w:val="000000" w:themeColor="text1"/>
        </w:rPr>
        <w:t>one standard deviation (0.</w:t>
      </w:r>
      <w:r w:rsidR="007573F7" w:rsidRPr="00B051E5">
        <w:rPr>
          <w:rFonts w:ascii="Garamond" w:eastAsia="Calibri" w:hAnsi="Garamond"/>
          <w:bCs/>
          <w:color w:val="000000" w:themeColor="text1"/>
        </w:rPr>
        <w:t>07</w:t>
      </w:r>
      <w:r w:rsidR="00683FA3" w:rsidRPr="00B051E5">
        <w:rPr>
          <w:rFonts w:ascii="Garamond" w:eastAsia="Calibri" w:hAnsi="Garamond"/>
          <w:bCs/>
          <w:color w:val="000000" w:themeColor="text1"/>
        </w:rPr>
        <w:t xml:space="preserve">) </w:t>
      </w:r>
      <w:r w:rsidRPr="00B051E5">
        <w:rPr>
          <w:rFonts w:ascii="Garamond" w:eastAsia="Calibri" w:hAnsi="Garamond"/>
          <w:bCs/>
          <w:color w:val="000000" w:themeColor="text1"/>
        </w:rPr>
        <w:t>in the proportion of non-forward-looking risk disclosure (</w:t>
      </w:r>
      <w:r w:rsidRPr="00B051E5">
        <w:rPr>
          <w:rFonts w:ascii="Garamond" w:eastAsia="Calibri" w:hAnsi="Garamond"/>
          <w:bCs/>
          <w:i/>
          <w:color w:val="000000" w:themeColor="text1"/>
        </w:rPr>
        <w:t>PNFLRD</w:t>
      </w:r>
      <w:r w:rsidRPr="00B051E5">
        <w:rPr>
          <w:rFonts w:ascii="Garamond" w:eastAsia="Calibri" w:hAnsi="Garamond"/>
          <w:bCs/>
          <w:color w:val="000000" w:themeColor="text1"/>
        </w:rPr>
        <w:t xml:space="preserve">) is </w:t>
      </w:r>
      <w:r w:rsidR="00683FA3" w:rsidRPr="00B051E5">
        <w:rPr>
          <w:rFonts w:ascii="Garamond" w:eastAsia="Calibri" w:hAnsi="Garamond"/>
          <w:bCs/>
          <w:color w:val="000000" w:themeColor="text1"/>
        </w:rPr>
        <w:t>related to a -</w:t>
      </w:r>
      <w:r w:rsidR="007573F7" w:rsidRPr="00B051E5">
        <w:rPr>
          <w:rFonts w:ascii="Garamond" w:eastAsia="Calibri" w:hAnsi="Garamond"/>
          <w:bCs/>
          <w:color w:val="000000" w:themeColor="text1"/>
        </w:rPr>
        <w:t>1</w:t>
      </w:r>
      <w:r w:rsidR="00683FA3" w:rsidRPr="00B051E5">
        <w:rPr>
          <w:rFonts w:ascii="Garamond" w:eastAsia="Calibri" w:hAnsi="Garamond"/>
          <w:bCs/>
          <w:color w:val="000000" w:themeColor="text1"/>
        </w:rPr>
        <w:t>.</w:t>
      </w:r>
      <w:r w:rsidR="007C640F" w:rsidRPr="00B051E5">
        <w:rPr>
          <w:rFonts w:ascii="Garamond" w:eastAsia="Calibri" w:hAnsi="Garamond"/>
          <w:bCs/>
          <w:color w:val="000000" w:themeColor="text1"/>
        </w:rPr>
        <w:t>248</w:t>
      </w:r>
      <w:r w:rsidR="007573F7" w:rsidRPr="00B051E5">
        <w:rPr>
          <w:rFonts w:ascii="Garamond" w:eastAsia="Calibri" w:hAnsi="Garamond"/>
          <w:bCs/>
          <w:color w:val="000000" w:themeColor="text1"/>
        </w:rPr>
        <w:t xml:space="preserve"> </w:t>
      </w:r>
      <w:r w:rsidR="00683FA3" w:rsidRPr="00B051E5">
        <w:rPr>
          <w:rFonts w:ascii="Garamond" w:eastAsia="Calibri" w:hAnsi="Garamond"/>
          <w:bCs/>
          <w:color w:val="000000" w:themeColor="text1"/>
        </w:rPr>
        <w:t>(=-</w:t>
      </w:r>
      <w:r w:rsidR="007C640F" w:rsidRPr="00B051E5">
        <w:rPr>
          <w:rFonts w:ascii="Garamond" w:eastAsia="Calibri" w:hAnsi="Garamond"/>
          <w:bCs/>
          <w:color w:val="000000" w:themeColor="text1"/>
        </w:rPr>
        <w:t>1</w:t>
      </w:r>
      <w:r w:rsidR="00683FA3" w:rsidRPr="00B051E5">
        <w:rPr>
          <w:rFonts w:ascii="Garamond" w:eastAsia="Calibri" w:hAnsi="Garamond"/>
          <w:bCs/>
          <w:color w:val="000000" w:themeColor="text1"/>
        </w:rPr>
        <w:t>.</w:t>
      </w:r>
      <w:r w:rsidR="007C640F" w:rsidRPr="00B051E5">
        <w:rPr>
          <w:rFonts w:ascii="Garamond" w:eastAsia="Calibri" w:hAnsi="Garamond"/>
          <w:bCs/>
          <w:color w:val="000000" w:themeColor="text1"/>
        </w:rPr>
        <w:t>049</w:t>
      </w:r>
      <w:r w:rsidR="00683FA3" w:rsidRPr="00B051E5">
        <w:rPr>
          <w:rFonts w:ascii="Garamond" w:eastAsia="Calibri" w:hAnsi="Garamond"/>
          <w:bCs/>
          <w:color w:val="000000" w:themeColor="text1"/>
        </w:rPr>
        <w:t>*1.</w:t>
      </w:r>
      <w:r w:rsidR="007573F7" w:rsidRPr="00B051E5">
        <w:rPr>
          <w:rFonts w:ascii="Garamond" w:eastAsia="Calibri" w:hAnsi="Garamond"/>
          <w:bCs/>
          <w:color w:val="000000" w:themeColor="text1"/>
        </w:rPr>
        <w:t>19</w:t>
      </w:r>
      <w:r w:rsidRPr="00B051E5">
        <w:rPr>
          <w:rFonts w:ascii="Garamond" w:eastAsia="Calibri" w:hAnsi="Garamond"/>
          <w:bCs/>
          <w:color w:val="000000" w:themeColor="text1"/>
        </w:rPr>
        <w:t>) lower Synchronicity (</w:t>
      </w:r>
      <w:r w:rsidRPr="00B051E5">
        <w:rPr>
          <w:rFonts w:ascii="Garamond" w:eastAsia="Calibri" w:hAnsi="Garamond"/>
          <w:bCs/>
          <w:i/>
          <w:color w:val="000000" w:themeColor="text1"/>
        </w:rPr>
        <w:t>SYNCH</w:t>
      </w:r>
      <w:r w:rsidRPr="00B051E5">
        <w:rPr>
          <w:rFonts w:ascii="Garamond" w:eastAsia="Calibri" w:hAnsi="Garamond"/>
          <w:bCs/>
          <w:color w:val="000000" w:themeColor="text1"/>
        </w:rPr>
        <w:t>).</w:t>
      </w:r>
      <w:r w:rsidR="00DB40FB"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Our finding is consistent with </w:t>
      </w:r>
      <w:r w:rsidR="00DB40FB" w:rsidRPr="00B051E5">
        <w:rPr>
          <w:rFonts w:ascii="Garamond" w:eastAsia="Calibri" w:hAnsi="Garamond"/>
          <w:bCs/>
          <w:color w:val="000000" w:themeColor="text1"/>
        </w:rPr>
        <w:t xml:space="preserve">the argument of </w:t>
      </w:r>
      <w:r w:rsidRPr="00B051E5">
        <w:rPr>
          <w:rFonts w:ascii="Garamond" w:eastAsia="Calibri" w:hAnsi="Garamond"/>
          <w:bCs/>
          <w:color w:val="000000" w:themeColor="text1"/>
        </w:rPr>
        <w:t xml:space="preserve">Asay and Hales (2015) that forward-looking information </w:t>
      </w:r>
      <w:r w:rsidR="00F26B79" w:rsidRPr="00B051E5">
        <w:rPr>
          <w:rFonts w:ascii="Garamond" w:eastAsia="Calibri" w:hAnsi="Garamond"/>
          <w:bCs/>
          <w:color w:val="000000" w:themeColor="text1"/>
        </w:rPr>
        <w:t>may</w:t>
      </w:r>
      <w:r w:rsidR="00DB40FB"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naturally induce a greater degree of </w:t>
      </w:r>
      <w:r w:rsidR="00042712" w:rsidRPr="00B051E5">
        <w:rPr>
          <w:rFonts w:ascii="Garamond" w:eastAsia="Calibri" w:hAnsi="Garamond"/>
          <w:bCs/>
          <w:color w:val="000000" w:themeColor="text1"/>
        </w:rPr>
        <w:t>caution</w:t>
      </w:r>
      <w:r w:rsidRPr="00B051E5">
        <w:rPr>
          <w:rFonts w:ascii="Garamond" w:eastAsia="Calibri" w:hAnsi="Garamond"/>
          <w:bCs/>
          <w:color w:val="000000" w:themeColor="text1"/>
        </w:rPr>
        <w:t xml:space="preserve"> among investors than if </w:t>
      </w:r>
      <w:r w:rsidR="00DB40FB" w:rsidRPr="00B051E5">
        <w:rPr>
          <w:rFonts w:ascii="Garamond" w:eastAsia="Calibri" w:hAnsi="Garamond"/>
          <w:bCs/>
          <w:color w:val="000000" w:themeColor="text1"/>
        </w:rPr>
        <w:t xml:space="preserve">the </w:t>
      </w:r>
      <w:r w:rsidRPr="00B051E5">
        <w:rPr>
          <w:rFonts w:ascii="Garamond" w:eastAsia="Calibri" w:hAnsi="Garamond"/>
          <w:bCs/>
          <w:color w:val="000000" w:themeColor="text1"/>
        </w:rPr>
        <w:t xml:space="preserve">disclosure contains backward information. Asay and Hales (2015) relied on two experiments and show that nonprofessional investors are largely credulous </w:t>
      </w:r>
      <w:r w:rsidR="00DB40FB" w:rsidRPr="00B051E5">
        <w:rPr>
          <w:rFonts w:ascii="Garamond" w:eastAsia="Calibri" w:hAnsi="Garamond"/>
          <w:bCs/>
          <w:color w:val="000000" w:themeColor="text1"/>
        </w:rPr>
        <w:t xml:space="preserve">towards </w:t>
      </w:r>
      <w:r w:rsidRPr="00B051E5">
        <w:rPr>
          <w:rFonts w:ascii="Garamond" w:eastAsia="Calibri" w:hAnsi="Garamond"/>
          <w:bCs/>
          <w:color w:val="000000" w:themeColor="text1"/>
        </w:rPr>
        <w:t>forward-looking information when surrounding cautionary language is omitted. Consistent with th</w:t>
      </w:r>
      <w:r w:rsidR="00DB40FB" w:rsidRPr="00B051E5">
        <w:rPr>
          <w:rFonts w:ascii="Garamond" w:eastAsia="Calibri" w:hAnsi="Garamond"/>
          <w:bCs/>
          <w:color w:val="000000" w:themeColor="text1"/>
        </w:rPr>
        <w:t>is</w:t>
      </w:r>
      <w:r w:rsidRPr="00B051E5">
        <w:rPr>
          <w:rFonts w:ascii="Garamond" w:eastAsia="Calibri" w:hAnsi="Garamond"/>
          <w:bCs/>
          <w:color w:val="000000" w:themeColor="text1"/>
        </w:rPr>
        <w:t xml:space="preserve"> view, UK investors are likely to rely on this information in lieu of relying on inexpensive signals that can result in greater market co-movement. This finding confirms that this kind of risk information is informative and it is therefore consistent with </w:t>
      </w:r>
      <w:r w:rsidRPr="00B051E5">
        <w:rPr>
          <w:rFonts w:ascii="Garamond" w:eastAsia="Calibri" w:hAnsi="Garamond"/>
          <w:bCs/>
          <w:i/>
          <w:color w:val="000000" w:themeColor="text1"/>
        </w:rPr>
        <w:t>the divergence argument</w:t>
      </w:r>
      <w:r w:rsidRPr="00B051E5">
        <w:rPr>
          <w:rFonts w:ascii="Garamond" w:eastAsia="Calibri" w:hAnsi="Garamond"/>
          <w:bCs/>
          <w:color w:val="000000" w:themeColor="text1"/>
        </w:rPr>
        <w:t xml:space="preserve">, since the disclosed future risk information is likely to reveal unknown information to the market. </w:t>
      </w:r>
      <w:r w:rsidRPr="00B051E5">
        <w:rPr>
          <w:rFonts w:ascii="Garamond" w:eastAsia="Calibri" w:hAnsi="Garamond"/>
          <w:bCs/>
          <w:color w:val="000000" w:themeColor="text1"/>
        </w:rPr>
        <w:lastRenderedPageBreak/>
        <w:t>Our finding stresses the differences in information content between non-forward-looking information and the aggregate level of risk information, as shown previously under Model 1. It also differs from that of forward-looking risk information</w:t>
      </w:r>
      <w:r w:rsidR="00032BA5" w:rsidRPr="00B051E5">
        <w:rPr>
          <w:rFonts w:ascii="Garamond" w:eastAsia="Calibri" w:hAnsi="Garamond"/>
          <w:bCs/>
          <w:color w:val="000000" w:themeColor="text1"/>
        </w:rPr>
        <w:t>,</w:t>
      </w:r>
      <w:r w:rsidRPr="00B051E5">
        <w:rPr>
          <w:rFonts w:ascii="Garamond" w:eastAsia="Calibri" w:hAnsi="Garamond"/>
          <w:bCs/>
          <w:color w:val="000000" w:themeColor="text1"/>
        </w:rPr>
        <w:t xml:space="preserve"> as shown previously under Model 2.</w:t>
      </w:r>
    </w:p>
    <w:p w14:paraId="499DC6CE" w14:textId="62D80912" w:rsidR="00820639" w:rsidRPr="00B051E5" w:rsidRDefault="00820639" w:rsidP="00693F5C">
      <w:pPr>
        <w:spacing w:line="480" w:lineRule="auto"/>
        <w:ind w:firstLine="720"/>
        <w:jc w:val="both"/>
        <w:rPr>
          <w:rFonts w:ascii="Garamond" w:eastAsia="Calibri" w:hAnsi="Garamond"/>
          <w:bCs/>
          <w:strike/>
          <w:color w:val="000000" w:themeColor="text1"/>
        </w:rPr>
      </w:pPr>
      <w:r w:rsidRPr="00B051E5">
        <w:rPr>
          <w:rFonts w:ascii="Garamond" w:eastAsia="Calibri" w:hAnsi="Garamond"/>
          <w:bCs/>
          <w:color w:val="000000" w:themeColor="text1"/>
        </w:rPr>
        <w:t xml:space="preserve">Model </w:t>
      </w:r>
      <w:r w:rsidR="003D20C4" w:rsidRPr="00B051E5">
        <w:rPr>
          <w:rFonts w:ascii="Garamond" w:eastAsia="Calibri" w:hAnsi="Garamond"/>
          <w:bCs/>
          <w:color w:val="000000" w:themeColor="text1"/>
        </w:rPr>
        <w:t xml:space="preserve">4 </w:t>
      </w:r>
      <w:r w:rsidRPr="00B051E5">
        <w:rPr>
          <w:rFonts w:ascii="Garamond" w:eastAsia="Calibri" w:hAnsi="Garamond"/>
          <w:bCs/>
          <w:color w:val="000000" w:themeColor="text1"/>
        </w:rPr>
        <w:t>of Table 3 suggests there is a substantial influence of stock price informativeness in the same directions as previously observed, that is</w:t>
      </w:r>
      <w:r w:rsidR="00032BA5" w:rsidRPr="00B051E5">
        <w:rPr>
          <w:rFonts w:ascii="Garamond" w:eastAsia="Calibri" w:hAnsi="Garamond"/>
          <w:bCs/>
          <w:color w:val="000000" w:themeColor="text1"/>
        </w:rPr>
        <w:t>,</w:t>
      </w:r>
      <w:r w:rsidRPr="00B051E5">
        <w:rPr>
          <w:rFonts w:ascii="Garamond" w:eastAsia="Calibri" w:hAnsi="Garamond"/>
          <w:bCs/>
          <w:color w:val="000000" w:themeColor="text1"/>
        </w:rPr>
        <w:t xml:space="preserve"> negative for backward-looking and positive for future risk information with </w:t>
      </w:r>
      <w:r w:rsidRPr="00B051E5">
        <w:rPr>
          <w:rFonts w:ascii="Garamond" w:eastAsia="Calibri" w:hAnsi="Garamond"/>
          <w:bCs/>
          <w:i/>
          <w:color w:val="000000" w:themeColor="text1"/>
        </w:rPr>
        <w:t xml:space="preserve">t-statistics </w:t>
      </w:r>
      <w:r w:rsidRPr="00B051E5">
        <w:rPr>
          <w:rFonts w:ascii="Garamond" w:eastAsia="Calibri" w:hAnsi="Garamond"/>
          <w:bCs/>
          <w:color w:val="000000" w:themeColor="text1"/>
        </w:rPr>
        <w:t>of -</w:t>
      </w:r>
      <w:r w:rsidR="00F32F83" w:rsidRPr="00B051E5">
        <w:rPr>
          <w:rFonts w:ascii="Garamond" w:eastAsia="Calibri" w:hAnsi="Garamond"/>
          <w:bCs/>
          <w:color w:val="000000" w:themeColor="text1"/>
        </w:rPr>
        <w:t>1</w:t>
      </w:r>
      <w:r w:rsidR="003B1432" w:rsidRPr="00B051E5">
        <w:rPr>
          <w:rFonts w:ascii="Garamond" w:eastAsia="Calibri" w:hAnsi="Garamond"/>
          <w:bCs/>
          <w:color w:val="000000" w:themeColor="text1"/>
        </w:rPr>
        <w:t>.</w:t>
      </w:r>
      <w:r w:rsidR="00F32F83" w:rsidRPr="00B051E5">
        <w:rPr>
          <w:rFonts w:ascii="Garamond" w:eastAsia="Calibri" w:hAnsi="Garamond"/>
          <w:bCs/>
          <w:color w:val="000000" w:themeColor="text1"/>
        </w:rPr>
        <w:t>897</w:t>
      </w:r>
      <w:r w:rsidRPr="00B051E5">
        <w:rPr>
          <w:rFonts w:ascii="Garamond" w:eastAsia="Calibri" w:hAnsi="Garamond"/>
          <w:bCs/>
          <w:color w:val="000000" w:themeColor="text1"/>
        </w:rPr>
        <w:t xml:space="preserve"> and +</w:t>
      </w:r>
      <w:r w:rsidR="003B1432" w:rsidRPr="00B051E5">
        <w:rPr>
          <w:rFonts w:ascii="Garamond" w:eastAsia="Calibri" w:hAnsi="Garamond"/>
          <w:bCs/>
          <w:color w:val="000000" w:themeColor="text1"/>
        </w:rPr>
        <w:t>2.</w:t>
      </w:r>
      <w:r w:rsidR="00F32F83" w:rsidRPr="00B051E5">
        <w:rPr>
          <w:rFonts w:ascii="Garamond" w:eastAsia="Calibri" w:hAnsi="Garamond"/>
          <w:bCs/>
          <w:color w:val="000000" w:themeColor="text1"/>
        </w:rPr>
        <w:t>170</w:t>
      </w:r>
      <w:r w:rsidR="003B1432" w:rsidRPr="00B051E5">
        <w:rPr>
          <w:rFonts w:ascii="Garamond" w:eastAsia="Calibri" w:hAnsi="Garamond"/>
          <w:bCs/>
          <w:color w:val="000000" w:themeColor="text1"/>
        </w:rPr>
        <w:t xml:space="preserve"> at</w:t>
      </w:r>
      <w:r w:rsidRPr="00B051E5">
        <w:rPr>
          <w:rFonts w:ascii="Garamond" w:eastAsia="Calibri" w:hAnsi="Garamond"/>
          <w:bCs/>
          <w:color w:val="000000" w:themeColor="text1"/>
        </w:rPr>
        <w:t xml:space="preserve"> 1</w:t>
      </w:r>
      <w:r w:rsidR="00F32F83" w:rsidRPr="00B051E5">
        <w:rPr>
          <w:rFonts w:ascii="Garamond" w:eastAsia="Calibri" w:hAnsi="Garamond"/>
          <w:bCs/>
          <w:color w:val="000000" w:themeColor="text1"/>
        </w:rPr>
        <w:t>0</w:t>
      </w:r>
      <w:r w:rsidRPr="00B051E5">
        <w:rPr>
          <w:rFonts w:ascii="Garamond" w:eastAsia="Calibri" w:hAnsi="Garamond"/>
          <w:bCs/>
          <w:color w:val="000000" w:themeColor="text1"/>
        </w:rPr>
        <w:t>%</w:t>
      </w:r>
      <w:r w:rsidR="00F32F83" w:rsidRPr="00B051E5">
        <w:rPr>
          <w:rFonts w:ascii="Garamond" w:eastAsia="Calibri" w:hAnsi="Garamond"/>
          <w:bCs/>
          <w:color w:val="000000" w:themeColor="text1"/>
        </w:rPr>
        <w:t xml:space="preserve"> and 5%</w:t>
      </w:r>
      <w:r w:rsidRPr="00B051E5">
        <w:rPr>
          <w:rFonts w:ascii="Garamond" w:eastAsia="Calibri" w:hAnsi="Garamond"/>
          <w:bCs/>
          <w:color w:val="000000" w:themeColor="text1"/>
        </w:rPr>
        <w:t xml:space="preserve">, respectively. </w:t>
      </w:r>
    </w:p>
    <w:p w14:paraId="43D5227B" w14:textId="4A6BE05F" w:rsidR="00820639" w:rsidRPr="00B051E5" w:rsidRDefault="00820639" w:rsidP="00693F5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Our findings have theoretical and practical implications. The theoretical implications </w:t>
      </w:r>
      <w:r w:rsidR="003C71EC" w:rsidRPr="00B051E5">
        <w:rPr>
          <w:rFonts w:ascii="Garamond" w:eastAsia="Calibri" w:hAnsi="Garamond"/>
          <w:bCs/>
          <w:color w:val="000000" w:themeColor="text1"/>
        </w:rPr>
        <w:t>are as follows.</w:t>
      </w:r>
      <w:r w:rsidRPr="00B051E5">
        <w:rPr>
          <w:rFonts w:ascii="Garamond" w:eastAsia="Calibri" w:hAnsi="Garamond"/>
          <w:bCs/>
          <w:color w:val="000000" w:themeColor="text1"/>
        </w:rPr>
        <w:t xml:space="preserve"> Distinguishing between the aggregate level of risk disclosure and its content based on its time orientation is essential for observing the impact of such disclosure on the market. Future studies therefore </w:t>
      </w:r>
      <w:r w:rsidR="00F26B79" w:rsidRPr="00B051E5">
        <w:rPr>
          <w:rFonts w:ascii="Garamond" w:eastAsia="Calibri" w:hAnsi="Garamond"/>
          <w:bCs/>
          <w:color w:val="000000" w:themeColor="text1"/>
        </w:rPr>
        <w:t>may</w:t>
      </w:r>
      <w:r w:rsidR="003C71EC"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follow </w:t>
      </w:r>
      <w:r w:rsidR="003C71EC" w:rsidRPr="00B051E5">
        <w:rPr>
          <w:rFonts w:ascii="Garamond" w:eastAsia="Calibri" w:hAnsi="Garamond"/>
          <w:bCs/>
          <w:color w:val="000000" w:themeColor="text1"/>
        </w:rPr>
        <w:t xml:space="preserve">our </w:t>
      </w:r>
      <w:r w:rsidRPr="00B051E5">
        <w:rPr>
          <w:rFonts w:ascii="Garamond" w:eastAsia="Calibri" w:hAnsi="Garamond"/>
          <w:bCs/>
          <w:color w:val="000000" w:themeColor="text1"/>
        </w:rPr>
        <w:t xml:space="preserve">approach to observe the usefulness of risk information, </w:t>
      </w:r>
      <w:r w:rsidR="003C71EC" w:rsidRPr="00B051E5">
        <w:rPr>
          <w:rFonts w:ascii="Garamond" w:eastAsia="Calibri" w:hAnsi="Garamond"/>
          <w:bCs/>
          <w:color w:val="000000" w:themeColor="text1"/>
        </w:rPr>
        <w:t xml:space="preserve">in </w:t>
      </w:r>
      <w:r w:rsidRPr="00B051E5">
        <w:rPr>
          <w:rFonts w:ascii="Garamond" w:eastAsia="Calibri" w:hAnsi="Garamond"/>
          <w:bCs/>
          <w:color w:val="000000" w:themeColor="text1"/>
        </w:rPr>
        <w:t xml:space="preserve">particular, or disclosure practices more generally. The practical implications </w:t>
      </w:r>
      <w:r w:rsidR="003C71EC" w:rsidRPr="00B051E5">
        <w:rPr>
          <w:rFonts w:ascii="Garamond" w:eastAsia="Calibri" w:hAnsi="Garamond"/>
          <w:bCs/>
          <w:color w:val="000000" w:themeColor="text1"/>
        </w:rPr>
        <w:t>are these</w:t>
      </w:r>
      <w:r w:rsidRPr="00B051E5">
        <w:rPr>
          <w:rFonts w:ascii="Garamond" w:eastAsia="Calibri" w:hAnsi="Garamond"/>
          <w:bCs/>
          <w:color w:val="000000" w:themeColor="text1"/>
        </w:rPr>
        <w:t xml:space="preserve">: </w:t>
      </w:r>
      <w:r w:rsidR="003C71EC" w:rsidRPr="00B051E5">
        <w:rPr>
          <w:rFonts w:ascii="Garamond" w:eastAsia="Calibri" w:hAnsi="Garamond"/>
          <w:bCs/>
          <w:color w:val="000000" w:themeColor="text1"/>
        </w:rPr>
        <w:t>f</w:t>
      </w:r>
      <w:r w:rsidRPr="00B051E5">
        <w:rPr>
          <w:rFonts w:ascii="Garamond" w:eastAsia="Calibri" w:hAnsi="Garamond"/>
          <w:bCs/>
          <w:color w:val="000000" w:themeColor="text1"/>
        </w:rPr>
        <w:t xml:space="preserve">irst, the findings should be of interest to regulators </w:t>
      </w:r>
      <w:r w:rsidR="00257523" w:rsidRPr="00B051E5">
        <w:rPr>
          <w:rFonts w:ascii="Garamond" w:eastAsia="Calibri" w:hAnsi="Garamond"/>
          <w:bCs/>
          <w:color w:val="000000" w:themeColor="text1"/>
        </w:rPr>
        <w:t>because they</w:t>
      </w:r>
      <w:r w:rsidRPr="00B051E5">
        <w:rPr>
          <w:rFonts w:ascii="Garamond" w:eastAsia="Calibri" w:hAnsi="Garamond"/>
          <w:bCs/>
          <w:color w:val="000000" w:themeColor="text1"/>
        </w:rPr>
        <w:t xml:space="preserve"> signal the usefulness to investors of increasing the non-forward-looking information in the narrative sections of annual reports, and such a conclusion is against the regulatory claim which posits that forward-looking risk information is useful </w:t>
      </w:r>
      <w:r w:rsidRPr="00B051E5">
        <w:rPr>
          <w:rFonts w:ascii="Garamond" w:eastAsia="Calibri" w:hAnsi="Garamond"/>
          <w:bCs/>
          <w:i/>
          <w:color w:val="000000" w:themeColor="text1"/>
        </w:rPr>
        <w:t xml:space="preserve">per se </w:t>
      </w:r>
      <w:r w:rsidRPr="00B051E5">
        <w:rPr>
          <w:rFonts w:ascii="Garamond" w:eastAsia="Calibri" w:hAnsi="Garamond"/>
          <w:bCs/>
          <w:color w:val="000000" w:themeColor="text1"/>
        </w:rPr>
        <w:t>(e.g.</w:t>
      </w:r>
      <w:r w:rsidR="00646910" w:rsidRPr="00B051E5">
        <w:rPr>
          <w:rFonts w:ascii="Garamond" w:eastAsia="Calibri" w:hAnsi="Garamond"/>
          <w:bCs/>
          <w:color w:val="000000" w:themeColor="text1"/>
        </w:rPr>
        <w:t>,</w:t>
      </w:r>
      <w:r w:rsidRPr="00B051E5">
        <w:rPr>
          <w:rFonts w:ascii="Garamond" w:eastAsia="Calibri" w:hAnsi="Garamond"/>
          <w:bCs/>
          <w:color w:val="000000" w:themeColor="text1"/>
        </w:rPr>
        <w:t xml:space="preserve"> ICAEW</w:t>
      </w:r>
      <w:r w:rsidR="00E05955" w:rsidRPr="00B051E5">
        <w:rPr>
          <w:rFonts w:ascii="Garamond" w:eastAsia="Calibri" w:hAnsi="Garamond"/>
          <w:bCs/>
          <w:color w:val="000000" w:themeColor="text1"/>
        </w:rPr>
        <w:t>,</w:t>
      </w:r>
      <w:r w:rsidR="00EA7E33" w:rsidRPr="00B051E5">
        <w:rPr>
          <w:rFonts w:ascii="Garamond" w:eastAsia="Calibri" w:hAnsi="Garamond"/>
          <w:bCs/>
          <w:color w:val="000000" w:themeColor="text1"/>
        </w:rPr>
        <w:t xml:space="preserve"> </w:t>
      </w:r>
      <w:r w:rsidRPr="00B051E5">
        <w:rPr>
          <w:rFonts w:ascii="Garamond" w:eastAsia="Calibri" w:hAnsi="Garamond"/>
          <w:bCs/>
          <w:color w:val="000000" w:themeColor="text1"/>
        </w:rPr>
        <w:t>2011). Second, our results shed light on the current debate o</w:t>
      </w:r>
      <w:r w:rsidR="00C577E9" w:rsidRPr="00B051E5">
        <w:rPr>
          <w:rFonts w:ascii="Garamond" w:eastAsia="Calibri" w:hAnsi="Garamond"/>
          <w:bCs/>
          <w:color w:val="000000" w:themeColor="text1"/>
        </w:rPr>
        <w:t>ver th</w:t>
      </w:r>
      <w:r w:rsidR="00F32F83" w:rsidRPr="00B051E5">
        <w:rPr>
          <w:rFonts w:ascii="Garamond" w:eastAsia="Calibri" w:hAnsi="Garamond"/>
          <w:bCs/>
          <w:color w:val="000000" w:themeColor="text1"/>
        </w:rPr>
        <w:t xml:space="preserve">e </w:t>
      </w:r>
      <w:r w:rsidR="00C577E9" w:rsidRPr="00B051E5">
        <w:rPr>
          <w:rFonts w:ascii="Garamond" w:eastAsia="Calibri" w:hAnsi="Garamond"/>
          <w:bCs/>
          <w:color w:val="000000" w:themeColor="text1"/>
        </w:rPr>
        <w:t>credibility of</w:t>
      </w:r>
      <w:r w:rsidRPr="00B051E5">
        <w:rPr>
          <w:rFonts w:ascii="Garamond" w:eastAsia="Calibri" w:hAnsi="Garamond"/>
          <w:bCs/>
          <w:color w:val="000000" w:themeColor="text1"/>
        </w:rPr>
        <w:t xml:space="preserve"> the </w:t>
      </w:r>
      <w:r w:rsidR="00C577E9" w:rsidRPr="00B051E5">
        <w:rPr>
          <w:rFonts w:ascii="Garamond" w:eastAsia="Calibri" w:hAnsi="Garamond"/>
          <w:bCs/>
          <w:color w:val="000000" w:themeColor="text1"/>
        </w:rPr>
        <w:t xml:space="preserve">information conveyed in </w:t>
      </w:r>
      <w:r w:rsidRPr="00B051E5">
        <w:rPr>
          <w:rFonts w:ascii="Garamond" w:eastAsia="Calibri" w:hAnsi="Garamond"/>
          <w:bCs/>
          <w:color w:val="000000" w:themeColor="text1"/>
        </w:rPr>
        <w:t xml:space="preserve">narrative sections of annual reports to investors. Our evidence shows that investors react to the revealed information and that the information has an impact that is economically and statistically observable. Third, our findings show that investors incorporate backward risk information in their decisions, </w:t>
      </w:r>
      <w:r w:rsidR="00C577E9" w:rsidRPr="00B051E5">
        <w:rPr>
          <w:rFonts w:ascii="Garamond" w:eastAsia="Calibri" w:hAnsi="Garamond"/>
          <w:bCs/>
          <w:color w:val="000000" w:themeColor="text1"/>
        </w:rPr>
        <w:t>because</w:t>
      </w:r>
      <w:r w:rsidRPr="00B051E5">
        <w:rPr>
          <w:rFonts w:ascii="Garamond" w:eastAsia="Calibri" w:hAnsi="Garamond"/>
          <w:bCs/>
          <w:color w:val="000000" w:themeColor="text1"/>
        </w:rPr>
        <w:t xml:space="preserve"> this information reflects the specific nature of the firm and has the power to indicate and predict the future. The future-oriented risk information also appears to affect investors significantly</w:t>
      </w:r>
      <w:r w:rsidR="00FC0D04" w:rsidRPr="00B051E5">
        <w:rPr>
          <w:rFonts w:ascii="Garamond" w:eastAsia="Calibri" w:hAnsi="Garamond"/>
          <w:bCs/>
          <w:color w:val="000000" w:themeColor="text1"/>
        </w:rPr>
        <w:t>, in view of i</w:t>
      </w:r>
      <w:r w:rsidRPr="00B051E5">
        <w:rPr>
          <w:rFonts w:ascii="Garamond" w:eastAsia="Calibri" w:hAnsi="Garamond"/>
          <w:bCs/>
          <w:color w:val="000000" w:themeColor="text1"/>
        </w:rPr>
        <w:t>ts confirmatory impact. However, investors can replace this information, partially or totally, with other information derived from common factors.</w:t>
      </w:r>
    </w:p>
    <w:p w14:paraId="6298A79E" w14:textId="4FC24611" w:rsidR="00F32F83" w:rsidRPr="00B051E5" w:rsidRDefault="00820639" w:rsidP="00693F5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Turning to our control variables, we find that a firm’s size (</w:t>
      </w:r>
      <w:r w:rsidRPr="00B051E5">
        <w:rPr>
          <w:rFonts w:ascii="Garamond" w:eastAsia="Calibri" w:hAnsi="Garamond"/>
          <w:bCs/>
          <w:i/>
          <w:color w:val="000000" w:themeColor="text1"/>
        </w:rPr>
        <w:t>SIZE</w:t>
      </w:r>
      <w:r w:rsidR="005C43DF" w:rsidRPr="00B051E5">
        <w:rPr>
          <w:rFonts w:ascii="Garamond" w:eastAsia="Calibri" w:hAnsi="Garamond"/>
          <w:bCs/>
          <w:color w:val="000000" w:themeColor="text1"/>
        </w:rPr>
        <w:t xml:space="preserve">) </w:t>
      </w:r>
      <w:r w:rsidRPr="00B051E5">
        <w:rPr>
          <w:rFonts w:ascii="Garamond" w:eastAsia="Calibri" w:hAnsi="Garamond"/>
          <w:bCs/>
          <w:color w:val="000000" w:themeColor="text1"/>
        </w:rPr>
        <w:t>and trading volume (</w:t>
      </w:r>
      <w:r w:rsidRPr="00B051E5">
        <w:rPr>
          <w:rFonts w:ascii="Garamond" w:eastAsia="Calibri" w:hAnsi="Garamond"/>
          <w:bCs/>
          <w:i/>
          <w:color w:val="000000" w:themeColor="text1"/>
        </w:rPr>
        <w:t>VOL</w:t>
      </w:r>
      <w:r w:rsidRPr="00B051E5">
        <w:rPr>
          <w:rFonts w:ascii="Garamond" w:eastAsia="Calibri" w:hAnsi="Garamond"/>
          <w:bCs/>
          <w:color w:val="000000" w:themeColor="text1"/>
        </w:rPr>
        <w:t xml:space="preserve">) are significantly and positively associated with stock price informativeness. Further, we find that ownership </w:t>
      </w:r>
      <w:r w:rsidR="00B44758" w:rsidRPr="00B051E5">
        <w:rPr>
          <w:rFonts w:ascii="Garamond" w:eastAsia="Calibri" w:hAnsi="Garamond"/>
          <w:bCs/>
          <w:color w:val="000000" w:themeColor="text1"/>
        </w:rPr>
        <w:t>structure (</w:t>
      </w:r>
      <w:r w:rsidRPr="00B051E5">
        <w:rPr>
          <w:rFonts w:ascii="Garamond" w:eastAsia="Calibri" w:hAnsi="Garamond"/>
          <w:bCs/>
          <w:i/>
          <w:iCs/>
          <w:color w:val="000000" w:themeColor="text1"/>
        </w:rPr>
        <w:t>CHSHAR</w:t>
      </w:r>
      <w:r w:rsidR="00B44758" w:rsidRPr="00B051E5">
        <w:rPr>
          <w:rFonts w:ascii="Garamond" w:eastAsia="Calibri" w:hAnsi="Garamond"/>
          <w:bCs/>
          <w:color w:val="000000" w:themeColor="text1"/>
        </w:rPr>
        <w:t>) is</w:t>
      </w:r>
      <w:r w:rsidRPr="00B051E5">
        <w:rPr>
          <w:rFonts w:ascii="Garamond" w:eastAsia="Calibri" w:hAnsi="Garamond"/>
          <w:bCs/>
          <w:color w:val="000000" w:themeColor="text1"/>
        </w:rPr>
        <w:t xml:space="preserve"> significantly and negatively associated with stock price </w:t>
      </w:r>
      <w:r w:rsidRPr="00B051E5">
        <w:rPr>
          <w:rFonts w:ascii="Garamond" w:eastAsia="Calibri" w:hAnsi="Garamond"/>
          <w:bCs/>
          <w:color w:val="000000" w:themeColor="text1"/>
        </w:rPr>
        <w:lastRenderedPageBreak/>
        <w:t>informativeness. Our findings on these variables are consistent with prior literature (e.g.</w:t>
      </w:r>
      <w:r w:rsidR="00DE1927" w:rsidRPr="00B051E5">
        <w:rPr>
          <w:rFonts w:ascii="Garamond" w:eastAsia="Calibri" w:hAnsi="Garamond"/>
          <w:bCs/>
          <w:color w:val="000000" w:themeColor="text1"/>
        </w:rPr>
        <w:t>, Ding</w:t>
      </w:r>
      <w:r w:rsidR="00EA7E33" w:rsidRPr="00B051E5">
        <w:rPr>
          <w:rFonts w:ascii="Garamond" w:eastAsia="Calibri" w:hAnsi="Garamond"/>
          <w:bCs/>
          <w:color w:val="000000" w:themeColor="text1"/>
        </w:rPr>
        <w:t xml:space="preserve"> </w:t>
      </w:r>
      <w:r w:rsidR="00EA7E33" w:rsidRPr="00B051E5">
        <w:rPr>
          <w:rFonts w:ascii="Garamond" w:eastAsia="Calibri" w:hAnsi="Garamond"/>
          <w:bCs/>
          <w:i/>
          <w:iCs/>
          <w:color w:val="000000" w:themeColor="text1"/>
        </w:rPr>
        <w:t>et al.</w:t>
      </w:r>
      <w:r w:rsidR="00E05955" w:rsidRPr="00B051E5">
        <w:rPr>
          <w:rFonts w:ascii="Garamond" w:eastAsia="Calibri" w:hAnsi="Garamond"/>
          <w:bCs/>
          <w:i/>
          <w:iCs/>
          <w:color w:val="000000" w:themeColor="text1"/>
        </w:rPr>
        <w:t>,</w:t>
      </w:r>
      <w:r w:rsidRPr="00B051E5">
        <w:rPr>
          <w:rFonts w:ascii="Garamond" w:eastAsia="Calibri" w:hAnsi="Garamond"/>
          <w:bCs/>
          <w:color w:val="000000" w:themeColor="text1"/>
        </w:rPr>
        <w:t xml:space="preserve"> 2013).</w:t>
      </w:r>
    </w:p>
    <w:p w14:paraId="1563378F" w14:textId="0EF7835F" w:rsidR="00D84281" w:rsidRPr="00B051E5" w:rsidRDefault="002211D7" w:rsidP="00D75008">
      <w:pPr>
        <w:spacing w:line="360" w:lineRule="auto"/>
        <w:jc w:val="both"/>
        <w:rPr>
          <w:rFonts w:ascii="Garamond" w:eastAsia="Calibri" w:hAnsi="Garamond"/>
          <w:i/>
          <w:iCs/>
          <w:color w:val="000000" w:themeColor="text1"/>
        </w:rPr>
      </w:pPr>
      <w:r w:rsidRPr="00B051E5">
        <w:rPr>
          <w:rFonts w:ascii="Garamond" w:eastAsia="Calibri" w:hAnsi="Garamond"/>
          <w:i/>
          <w:iCs/>
          <w:color w:val="000000" w:themeColor="text1"/>
        </w:rPr>
        <w:t>6</w:t>
      </w:r>
      <w:r w:rsidR="00615576" w:rsidRPr="00B051E5">
        <w:rPr>
          <w:rFonts w:ascii="Garamond" w:eastAsia="Calibri" w:hAnsi="Garamond"/>
          <w:i/>
          <w:iCs/>
          <w:color w:val="000000" w:themeColor="text1"/>
        </w:rPr>
        <w:t xml:space="preserve">.2 </w:t>
      </w:r>
      <w:r w:rsidR="007C1B49" w:rsidRPr="00B051E5">
        <w:rPr>
          <w:rFonts w:ascii="Garamond" w:eastAsia="Calibri" w:hAnsi="Garamond"/>
          <w:i/>
          <w:iCs/>
          <w:color w:val="000000" w:themeColor="text1"/>
        </w:rPr>
        <w:t>Further analysis and r</w:t>
      </w:r>
      <w:r w:rsidR="00820639" w:rsidRPr="00B051E5">
        <w:rPr>
          <w:rFonts w:ascii="Garamond" w:eastAsia="Calibri" w:hAnsi="Garamond"/>
          <w:i/>
          <w:iCs/>
          <w:color w:val="000000" w:themeColor="text1"/>
        </w:rPr>
        <w:t>obustness checks</w:t>
      </w:r>
    </w:p>
    <w:p w14:paraId="647A39B1" w14:textId="43A43842" w:rsidR="00A57677" w:rsidRPr="00B051E5" w:rsidRDefault="002211D7" w:rsidP="00A57677">
      <w:pPr>
        <w:spacing w:line="360" w:lineRule="auto"/>
        <w:rPr>
          <w:rFonts w:ascii="Garamond" w:eastAsia="Calibri" w:hAnsi="Garamond"/>
          <w:bCs/>
          <w:i/>
          <w:color w:val="000000" w:themeColor="text1"/>
        </w:rPr>
      </w:pPr>
      <w:r w:rsidRPr="00B051E5">
        <w:rPr>
          <w:rFonts w:ascii="Garamond" w:eastAsia="Calibri" w:hAnsi="Garamond"/>
          <w:bCs/>
          <w:i/>
          <w:color w:val="000000" w:themeColor="text1"/>
        </w:rPr>
        <w:t>6</w:t>
      </w:r>
      <w:r w:rsidR="00615576" w:rsidRPr="00B051E5">
        <w:rPr>
          <w:rFonts w:ascii="Garamond" w:eastAsia="Calibri" w:hAnsi="Garamond"/>
          <w:bCs/>
          <w:i/>
          <w:color w:val="000000" w:themeColor="text1"/>
        </w:rPr>
        <w:t xml:space="preserve">.2.1 </w:t>
      </w:r>
      <w:r w:rsidR="00A57677" w:rsidRPr="00B051E5">
        <w:rPr>
          <w:rFonts w:ascii="Garamond" w:eastAsia="Calibri" w:hAnsi="Garamond"/>
          <w:bCs/>
          <w:i/>
          <w:color w:val="000000" w:themeColor="text1"/>
        </w:rPr>
        <w:t>System GMM estimations</w:t>
      </w:r>
    </w:p>
    <w:p w14:paraId="40041990" w14:textId="39E61D35" w:rsidR="00A57677" w:rsidRPr="00B051E5" w:rsidRDefault="00A57677" w:rsidP="000C0153">
      <w:pPr>
        <w:autoSpaceDE w:val="0"/>
        <w:autoSpaceDN w:val="0"/>
        <w:adjustRightInd w:val="0"/>
        <w:spacing w:line="480" w:lineRule="auto"/>
        <w:jc w:val="both"/>
        <w:rPr>
          <w:rFonts w:ascii="Garamond" w:eastAsia="Calibri" w:hAnsi="Garamond"/>
          <w:bCs/>
          <w:color w:val="000000" w:themeColor="text1"/>
        </w:rPr>
      </w:pPr>
      <w:r w:rsidRPr="00B051E5">
        <w:rPr>
          <w:rFonts w:ascii="Garamond" w:eastAsia="Calibri" w:hAnsi="Garamond"/>
          <w:bCs/>
          <w:color w:val="000000" w:themeColor="text1"/>
        </w:rPr>
        <w:t>To account for the endogeneity problem associated with the OLS analysis, we use a system GMM to estimate whether firms’ stock prices may incorporate aggregate risk disclosure levels differently depending on their time orientation.</w:t>
      </w:r>
      <w:r w:rsidRPr="00B051E5">
        <w:rPr>
          <w:rStyle w:val="FootnoteReference"/>
          <w:rFonts w:ascii="Garamond" w:eastAsia="Calibri" w:hAnsi="Garamond"/>
          <w:bCs/>
          <w:color w:val="000000" w:themeColor="text1"/>
        </w:rPr>
        <w:footnoteReference w:id="3"/>
      </w:r>
      <w:r w:rsidRPr="00B051E5">
        <w:rPr>
          <w:rFonts w:ascii="Garamond" w:eastAsia="Calibri" w:hAnsi="Garamond"/>
          <w:bCs/>
          <w:color w:val="000000" w:themeColor="text1"/>
        </w:rPr>
        <w:t xml:space="preserve"> System GMM addresses endogeneity by using both lagged levels as well as lagged differences (Blundell and Bond, 1998; Deng and Liu, 2022). The GMM model integrates the lagged values of the dependent variable (Stock price synchronicity) as an independent variable. It uses instruments in both levels and first differences. We use only the second lag of the endogenous variables as instruments because, unlike the second lag, the first lag is expected to be autocorrelated with the error term (Roodman, 2009; Kasbar et al., 2022).</w:t>
      </w:r>
    </w:p>
    <w:p w14:paraId="7855701E" w14:textId="7F1088EF" w:rsidR="00A57677" w:rsidRPr="00B051E5" w:rsidRDefault="00A57677" w:rsidP="00A57677">
      <w:pPr>
        <w:spacing w:line="360" w:lineRule="auto"/>
        <w:ind w:firstLine="720"/>
        <w:jc w:val="center"/>
        <w:rPr>
          <w:rFonts w:ascii="Garamond" w:eastAsia="Calibri" w:hAnsi="Garamond"/>
          <w:b/>
          <w:color w:val="000000" w:themeColor="text1"/>
          <w:sz w:val="20"/>
          <w:szCs w:val="20"/>
        </w:rPr>
      </w:pPr>
      <w:r w:rsidRPr="00B051E5">
        <w:rPr>
          <w:rFonts w:ascii="Garamond" w:eastAsia="Calibri" w:hAnsi="Garamond"/>
          <w:b/>
          <w:color w:val="000000" w:themeColor="text1"/>
          <w:sz w:val="20"/>
          <w:szCs w:val="20"/>
        </w:rPr>
        <w:t>[Insert Table 4]</w:t>
      </w:r>
    </w:p>
    <w:p w14:paraId="68167D3D" w14:textId="0E0F18AB" w:rsidR="00A37A75" w:rsidRPr="00B051E5" w:rsidRDefault="00A57677" w:rsidP="001D7732">
      <w:pPr>
        <w:spacing w:line="480" w:lineRule="auto"/>
        <w:ind w:firstLine="720"/>
        <w:jc w:val="both"/>
        <w:rPr>
          <w:rFonts w:ascii="Garamond" w:eastAsia="Calibri" w:hAnsi="Garamond"/>
          <w:b/>
          <w:color w:val="000000" w:themeColor="text1"/>
          <w:sz w:val="20"/>
          <w:szCs w:val="20"/>
        </w:rPr>
      </w:pPr>
      <w:r w:rsidRPr="00B051E5">
        <w:rPr>
          <w:rFonts w:ascii="Garamond" w:eastAsia="Calibri" w:hAnsi="Garamond"/>
          <w:bCs/>
          <w:color w:val="000000" w:themeColor="text1"/>
        </w:rPr>
        <w:t xml:space="preserve">We use the Hansen test to check whether the lagged variables are valid as instruments, and the Arellano and Bond test, where the null hypothesis is the absence of autocorrelation of the second-order errors AR (2). Table 3 shows that our instrument variables set is valid (Hansen test) and we accept the absence of an AR (2) effect. Overall, our results are consistent with the baseline findings of Table </w:t>
      </w:r>
      <w:r w:rsidR="0075577D" w:rsidRPr="00B051E5">
        <w:rPr>
          <w:rFonts w:ascii="Garamond" w:eastAsia="Calibri" w:hAnsi="Garamond"/>
          <w:bCs/>
          <w:color w:val="000000" w:themeColor="text1"/>
        </w:rPr>
        <w:t>3</w:t>
      </w:r>
      <w:r w:rsidRPr="00B051E5">
        <w:rPr>
          <w:rFonts w:ascii="Garamond" w:eastAsia="Calibri" w:hAnsi="Garamond"/>
          <w:bCs/>
          <w:color w:val="000000" w:themeColor="text1"/>
        </w:rPr>
        <w:t xml:space="preserve">. </w:t>
      </w:r>
    </w:p>
    <w:p w14:paraId="23ADCB07" w14:textId="77777777" w:rsidR="00526FA9" w:rsidRPr="00B051E5" w:rsidRDefault="00526FA9" w:rsidP="00526FA9">
      <w:pPr>
        <w:spacing w:line="360" w:lineRule="auto"/>
        <w:rPr>
          <w:rFonts w:ascii="Garamond" w:eastAsia="Calibri" w:hAnsi="Garamond"/>
          <w:b/>
          <w:color w:val="000000" w:themeColor="text1"/>
          <w:sz w:val="20"/>
          <w:szCs w:val="20"/>
        </w:rPr>
      </w:pPr>
    </w:p>
    <w:p w14:paraId="0ED492FF" w14:textId="7431FFAE" w:rsidR="008A5DD9" w:rsidRPr="00B051E5" w:rsidRDefault="002211D7" w:rsidP="00D75008">
      <w:pPr>
        <w:spacing w:line="360" w:lineRule="auto"/>
        <w:jc w:val="both"/>
        <w:rPr>
          <w:rFonts w:ascii="Garamond" w:eastAsia="Calibri" w:hAnsi="Garamond"/>
          <w:i/>
          <w:iCs/>
          <w:color w:val="000000" w:themeColor="text1"/>
        </w:rPr>
      </w:pPr>
      <w:r w:rsidRPr="00B051E5">
        <w:rPr>
          <w:rFonts w:ascii="Garamond" w:eastAsia="Calibri" w:hAnsi="Garamond"/>
          <w:i/>
          <w:iCs/>
          <w:color w:val="000000" w:themeColor="text1"/>
        </w:rPr>
        <w:t>6</w:t>
      </w:r>
      <w:r w:rsidR="00615576" w:rsidRPr="00B051E5">
        <w:rPr>
          <w:rFonts w:ascii="Garamond" w:eastAsia="Calibri" w:hAnsi="Garamond"/>
          <w:i/>
          <w:iCs/>
          <w:color w:val="000000" w:themeColor="text1"/>
        </w:rPr>
        <w:t xml:space="preserve">.2.2 </w:t>
      </w:r>
      <w:r w:rsidR="007C1B49" w:rsidRPr="00B051E5">
        <w:rPr>
          <w:rFonts w:ascii="Garamond" w:eastAsia="Calibri" w:hAnsi="Garamond"/>
          <w:i/>
          <w:iCs/>
          <w:color w:val="000000" w:themeColor="text1"/>
        </w:rPr>
        <w:t>Strongly</w:t>
      </w:r>
      <w:r w:rsidR="008A5DD9" w:rsidRPr="00B051E5">
        <w:rPr>
          <w:rFonts w:ascii="Garamond" w:eastAsia="Calibri" w:hAnsi="Garamond"/>
          <w:i/>
          <w:iCs/>
          <w:color w:val="000000" w:themeColor="text1"/>
        </w:rPr>
        <w:t xml:space="preserve"> versus weakly governed firms</w:t>
      </w:r>
    </w:p>
    <w:p w14:paraId="0C180A4B" w14:textId="02F8320A" w:rsidR="008A5DD9" w:rsidRPr="00B051E5" w:rsidRDefault="008A5DD9" w:rsidP="00693F5C">
      <w:pPr>
        <w:spacing w:line="480" w:lineRule="auto"/>
        <w:jc w:val="both"/>
        <w:rPr>
          <w:rFonts w:ascii="Garamond" w:eastAsia="Calibri" w:hAnsi="Garamond"/>
          <w:bCs/>
          <w:color w:val="000000" w:themeColor="text1"/>
        </w:rPr>
      </w:pPr>
      <w:bookmarkStart w:id="4" w:name="_Hlk48577854"/>
      <w:r w:rsidRPr="00B051E5">
        <w:rPr>
          <w:rFonts w:ascii="Garamond" w:eastAsia="Calibri" w:hAnsi="Garamond"/>
          <w:bCs/>
          <w:color w:val="000000" w:themeColor="text1"/>
        </w:rPr>
        <w:t xml:space="preserve">This sub-section explores the extent to which the observed impact of aggregate, forward-, and non-forward-looking risk disclosure on stock price informativeness is conditional upon firms’ strength of corporate governance. </w:t>
      </w:r>
      <w:r w:rsidR="003E062C" w:rsidRPr="00B051E5">
        <w:rPr>
          <w:rFonts w:ascii="Garamond" w:eastAsia="Calibri" w:hAnsi="Garamond"/>
          <w:bCs/>
          <w:color w:val="000000" w:themeColor="text1"/>
        </w:rPr>
        <w:t xml:space="preserve">Our motive to account for governance overall effect is supported by relevant prior research’s findings. </w:t>
      </w:r>
      <w:r w:rsidRPr="00B051E5">
        <w:rPr>
          <w:rFonts w:ascii="Garamond" w:eastAsia="Calibri" w:hAnsi="Garamond"/>
          <w:bCs/>
          <w:color w:val="000000" w:themeColor="text1"/>
        </w:rPr>
        <w:t>Some empirical papers (Ding</w:t>
      </w:r>
      <w:r w:rsidR="00EA7E33" w:rsidRPr="00B051E5">
        <w:rPr>
          <w:rFonts w:ascii="Garamond" w:eastAsia="Calibri" w:hAnsi="Garamond"/>
          <w:bCs/>
          <w:color w:val="000000" w:themeColor="text1"/>
        </w:rPr>
        <w:t xml:space="preserve"> et al.</w:t>
      </w:r>
      <w:r w:rsidR="00E05955" w:rsidRPr="00B051E5">
        <w:rPr>
          <w:rFonts w:ascii="Garamond" w:eastAsia="Calibri" w:hAnsi="Garamond"/>
          <w:bCs/>
          <w:color w:val="000000" w:themeColor="text1"/>
        </w:rPr>
        <w:t>,</w:t>
      </w:r>
      <w:r w:rsidRPr="00B051E5">
        <w:rPr>
          <w:rFonts w:ascii="Garamond" w:eastAsia="Calibri" w:hAnsi="Garamond"/>
          <w:bCs/>
          <w:i/>
          <w:iCs/>
          <w:color w:val="000000" w:themeColor="text1"/>
        </w:rPr>
        <w:t xml:space="preserve"> </w:t>
      </w:r>
      <w:r w:rsidRPr="00B051E5">
        <w:rPr>
          <w:rFonts w:ascii="Garamond" w:eastAsia="Calibri" w:hAnsi="Garamond"/>
          <w:bCs/>
          <w:color w:val="000000" w:themeColor="text1"/>
        </w:rPr>
        <w:t xml:space="preserve">2013) find </w:t>
      </w:r>
      <w:r w:rsidRPr="00B051E5">
        <w:rPr>
          <w:rFonts w:ascii="Garamond" w:eastAsia="Calibri" w:hAnsi="Garamond"/>
          <w:bCs/>
          <w:color w:val="000000" w:themeColor="text1"/>
        </w:rPr>
        <w:lastRenderedPageBreak/>
        <w:t xml:space="preserve">evidence that stock price informativeness is significantly determined by governance factors, suggesting that a firm’s strength of governance improves its stock informativeness. Furthermore, prior literature on corporate disclosure (Elshandidy </w:t>
      </w:r>
      <w:r w:rsidR="00EA7E33" w:rsidRPr="00B051E5">
        <w:rPr>
          <w:rFonts w:ascii="Garamond" w:eastAsia="Calibri" w:hAnsi="Garamond"/>
          <w:bCs/>
          <w:color w:val="000000" w:themeColor="text1"/>
        </w:rPr>
        <w:t>and</w:t>
      </w:r>
      <w:r w:rsidRPr="00B051E5">
        <w:rPr>
          <w:rFonts w:ascii="Garamond" w:eastAsia="Calibri" w:hAnsi="Garamond"/>
          <w:bCs/>
          <w:color w:val="000000" w:themeColor="text1"/>
        </w:rPr>
        <w:t xml:space="preserve"> Neri</w:t>
      </w:r>
      <w:r w:rsidR="00E05955" w:rsidRPr="00B051E5">
        <w:rPr>
          <w:rFonts w:ascii="Garamond" w:eastAsia="Calibri" w:hAnsi="Garamond"/>
          <w:bCs/>
          <w:color w:val="000000" w:themeColor="text1"/>
        </w:rPr>
        <w:t>,</w:t>
      </w:r>
      <w:r w:rsidR="00EA7E33"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2015) argues that firms’ strength of governance significantly influences firms’ decisions on the amount of disclosure </w:t>
      </w:r>
      <w:r w:rsidR="00492483" w:rsidRPr="00B051E5">
        <w:rPr>
          <w:rFonts w:ascii="Garamond" w:eastAsia="Calibri" w:hAnsi="Garamond"/>
          <w:bCs/>
          <w:color w:val="000000" w:themeColor="text1"/>
        </w:rPr>
        <w:t xml:space="preserve">to </w:t>
      </w:r>
      <w:r w:rsidRPr="00B051E5">
        <w:rPr>
          <w:rFonts w:ascii="Garamond" w:eastAsia="Calibri" w:hAnsi="Garamond"/>
          <w:bCs/>
          <w:color w:val="000000" w:themeColor="text1"/>
        </w:rPr>
        <w:t>release</w:t>
      </w:r>
      <w:r w:rsidR="00492483"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in the narrative sections of </w:t>
      </w:r>
      <w:r w:rsidR="00492483" w:rsidRPr="00B051E5">
        <w:rPr>
          <w:rFonts w:ascii="Garamond" w:eastAsia="Calibri" w:hAnsi="Garamond"/>
          <w:bCs/>
          <w:color w:val="000000" w:themeColor="text1"/>
        </w:rPr>
        <w:t xml:space="preserve">their </w:t>
      </w:r>
      <w:r w:rsidR="00350451" w:rsidRPr="00B051E5">
        <w:rPr>
          <w:rFonts w:ascii="Garamond" w:eastAsia="Calibri" w:hAnsi="Garamond"/>
          <w:bCs/>
          <w:color w:val="000000" w:themeColor="text1"/>
        </w:rPr>
        <w:t>a</w:t>
      </w:r>
      <w:r w:rsidR="00492483" w:rsidRPr="00B051E5">
        <w:rPr>
          <w:rFonts w:ascii="Garamond" w:eastAsia="Calibri" w:hAnsi="Garamond"/>
          <w:bCs/>
          <w:color w:val="000000" w:themeColor="text1"/>
        </w:rPr>
        <w:t xml:space="preserve">nnual </w:t>
      </w:r>
      <w:r w:rsidRPr="00B051E5">
        <w:rPr>
          <w:rFonts w:ascii="Garamond" w:eastAsia="Calibri" w:hAnsi="Garamond"/>
          <w:bCs/>
          <w:color w:val="000000" w:themeColor="text1"/>
        </w:rPr>
        <w:t xml:space="preserve">reports. Concerning risk disclosure, for example, Elshandidy and Neri (2015) find </w:t>
      </w:r>
      <w:r w:rsidR="00492483" w:rsidRPr="00B051E5">
        <w:rPr>
          <w:rFonts w:ascii="Garamond" w:eastAsia="Calibri" w:hAnsi="Garamond"/>
          <w:bCs/>
          <w:color w:val="000000" w:themeColor="text1"/>
        </w:rPr>
        <w:t xml:space="preserve">that </w:t>
      </w:r>
      <w:r w:rsidRPr="00B051E5">
        <w:rPr>
          <w:rFonts w:ascii="Garamond" w:eastAsia="Calibri" w:hAnsi="Garamond"/>
          <w:bCs/>
          <w:color w:val="000000" w:themeColor="text1"/>
        </w:rPr>
        <w:t xml:space="preserve">strongly governed firms have higher incentives to make more risk disclosure, and </w:t>
      </w:r>
      <w:r w:rsidR="00673E06" w:rsidRPr="00B051E5">
        <w:rPr>
          <w:rFonts w:ascii="Garamond" w:eastAsia="Calibri" w:hAnsi="Garamond"/>
          <w:bCs/>
          <w:color w:val="000000" w:themeColor="text1"/>
        </w:rPr>
        <w:t>these</w:t>
      </w:r>
      <w:r w:rsidRPr="00B051E5">
        <w:rPr>
          <w:rFonts w:ascii="Garamond" w:eastAsia="Calibri" w:hAnsi="Garamond"/>
          <w:bCs/>
          <w:color w:val="000000" w:themeColor="text1"/>
        </w:rPr>
        <w:t xml:space="preserve"> firms’ disclosures </w:t>
      </w:r>
      <w:r w:rsidR="00492483" w:rsidRPr="00B051E5">
        <w:rPr>
          <w:rFonts w:ascii="Garamond" w:eastAsia="Calibri" w:hAnsi="Garamond"/>
          <w:bCs/>
          <w:color w:val="000000" w:themeColor="text1"/>
        </w:rPr>
        <w:t>ar</w:t>
      </w:r>
      <w:r w:rsidRPr="00B051E5">
        <w:rPr>
          <w:rFonts w:ascii="Garamond" w:eastAsia="Calibri" w:hAnsi="Garamond"/>
          <w:bCs/>
          <w:color w:val="000000" w:themeColor="text1"/>
        </w:rPr>
        <w:t>e likely to impact on market liquidity</w:t>
      </w:r>
      <w:r w:rsidR="00350451"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They also find that the impact of risk disclosure practices on market liquidity was subject </w:t>
      </w:r>
      <w:r w:rsidR="00492483" w:rsidRPr="00B051E5">
        <w:rPr>
          <w:rFonts w:ascii="Garamond" w:eastAsia="Calibri" w:hAnsi="Garamond"/>
          <w:bCs/>
          <w:color w:val="000000" w:themeColor="text1"/>
        </w:rPr>
        <w:t xml:space="preserve">to </w:t>
      </w:r>
      <w:r w:rsidRPr="00B051E5">
        <w:rPr>
          <w:rFonts w:ascii="Garamond" w:eastAsia="Calibri" w:hAnsi="Garamond"/>
          <w:bCs/>
          <w:color w:val="000000" w:themeColor="text1"/>
        </w:rPr>
        <w:t>the strength of corporate governance. The extant evidence leads us to expect different patterns of risk disclosure effects on stock price informativeness. We conjecture, therefore, that risk information w</w:t>
      </w:r>
      <w:r w:rsidR="00E90475" w:rsidRPr="00B051E5">
        <w:rPr>
          <w:rFonts w:ascii="Garamond" w:eastAsia="Calibri" w:hAnsi="Garamond"/>
          <w:bCs/>
          <w:color w:val="000000" w:themeColor="text1"/>
        </w:rPr>
        <w:t xml:space="preserve">ill </w:t>
      </w:r>
      <w:r w:rsidRPr="00B051E5">
        <w:rPr>
          <w:rFonts w:ascii="Garamond" w:eastAsia="Calibri" w:hAnsi="Garamond"/>
          <w:bCs/>
          <w:color w:val="000000" w:themeColor="text1"/>
        </w:rPr>
        <w:t xml:space="preserve">be more informative for strongly governed firms than for weakly governed firms. To find out, we relied on </w:t>
      </w:r>
      <w:r w:rsidR="00E90475" w:rsidRPr="00B051E5">
        <w:rPr>
          <w:rFonts w:ascii="Garamond" w:eastAsia="Calibri" w:hAnsi="Garamond"/>
          <w:bCs/>
          <w:color w:val="000000" w:themeColor="text1"/>
        </w:rPr>
        <w:t xml:space="preserve">the </w:t>
      </w:r>
      <w:r w:rsidRPr="00B051E5">
        <w:rPr>
          <w:rFonts w:ascii="Garamond" w:eastAsia="Calibri" w:hAnsi="Garamond"/>
          <w:bCs/>
          <w:color w:val="000000" w:themeColor="text1"/>
        </w:rPr>
        <w:t xml:space="preserve">governance score provided by Datastream to score the independency of </w:t>
      </w:r>
      <w:r w:rsidR="00E90475" w:rsidRPr="00B051E5">
        <w:rPr>
          <w:rFonts w:ascii="Garamond" w:eastAsia="Calibri" w:hAnsi="Garamond"/>
          <w:bCs/>
          <w:color w:val="000000" w:themeColor="text1"/>
        </w:rPr>
        <w:t xml:space="preserve">the </w:t>
      </w:r>
      <w:r w:rsidRPr="00B051E5">
        <w:rPr>
          <w:rFonts w:ascii="Garamond" w:eastAsia="Calibri" w:hAnsi="Garamond"/>
          <w:bCs/>
          <w:color w:val="000000" w:themeColor="text1"/>
        </w:rPr>
        <w:t>board of directors.</w:t>
      </w:r>
      <w:r w:rsidR="007C3EA0" w:rsidRPr="00B051E5">
        <w:rPr>
          <w:rStyle w:val="FootnoteReference"/>
          <w:rFonts w:ascii="Garamond" w:eastAsia="Calibri" w:hAnsi="Garamond"/>
          <w:bCs/>
          <w:color w:val="000000" w:themeColor="text1"/>
        </w:rPr>
        <w:footnoteReference w:id="4"/>
      </w:r>
      <w:r w:rsidRPr="00B051E5">
        <w:rPr>
          <w:rFonts w:ascii="Garamond" w:eastAsia="Calibri" w:hAnsi="Garamond"/>
          <w:bCs/>
          <w:color w:val="000000" w:themeColor="text1"/>
        </w:rPr>
        <w:t xml:space="preserve"> We distinguish between strongly and weakly governed firms on the basis of whether the total score of a firm is above or below the median score.</w:t>
      </w:r>
    </w:p>
    <w:p w14:paraId="114FA7EE" w14:textId="310EBDD4" w:rsidR="008A5DD9" w:rsidRPr="00B051E5" w:rsidRDefault="008A5DD9" w:rsidP="00693F5C">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For aggregate risk information, our results, shown under Models 1</w:t>
      </w:r>
      <w:r w:rsidR="00815467"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and 2 of Table </w:t>
      </w:r>
      <w:r w:rsidR="004B46FC" w:rsidRPr="00B051E5">
        <w:rPr>
          <w:rFonts w:ascii="Garamond" w:eastAsia="Calibri" w:hAnsi="Garamond"/>
          <w:bCs/>
          <w:color w:val="000000" w:themeColor="text1"/>
        </w:rPr>
        <w:t>5</w:t>
      </w:r>
      <w:r w:rsidRPr="00B051E5">
        <w:rPr>
          <w:rFonts w:ascii="Garamond" w:eastAsia="Calibri" w:hAnsi="Garamond"/>
          <w:bCs/>
          <w:color w:val="000000" w:themeColor="text1"/>
        </w:rPr>
        <w:t xml:space="preserve">, suggest that investors cannot incorporate the aggregate risk disclosure from either strongly or weakly governed firms (this information is positively related to the market movements even though it lacks statistical significance at any conventional level). When we combine forward- </w:t>
      </w:r>
      <w:r w:rsidR="00E90475" w:rsidRPr="00B051E5">
        <w:rPr>
          <w:rFonts w:ascii="Garamond" w:eastAsia="Calibri" w:hAnsi="Garamond"/>
          <w:bCs/>
          <w:color w:val="000000" w:themeColor="text1"/>
        </w:rPr>
        <w:t>with</w:t>
      </w:r>
      <w:r w:rsidRPr="00B051E5">
        <w:rPr>
          <w:rFonts w:ascii="Garamond" w:eastAsia="Calibri" w:hAnsi="Garamond"/>
          <w:bCs/>
          <w:color w:val="000000" w:themeColor="text1"/>
        </w:rPr>
        <w:t xml:space="preserve"> non-forward-looking risk information, we observe that the market is likely to significantly incorporate the non-forward-looking </w:t>
      </w:r>
      <w:r w:rsidR="004A0792" w:rsidRPr="00B051E5">
        <w:rPr>
          <w:rFonts w:ascii="Garamond" w:eastAsia="Calibri" w:hAnsi="Garamond"/>
          <w:bCs/>
          <w:color w:val="000000" w:themeColor="text1"/>
        </w:rPr>
        <w:t>(</w:t>
      </w:r>
      <w:r w:rsidR="004A0792" w:rsidRPr="00B051E5">
        <w:rPr>
          <w:rFonts w:ascii="Garamond" w:eastAsia="Calibri" w:hAnsi="Garamond"/>
          <w:bCs/>
          <w:i/>
          <w:color w:val="000000" w:themeColor="text1"/>
        </w:rPr>
        <w:t>t-statistics</w:t>
      </w:r>
      <w:r w:rsidR="004A0792" w:rsidRPr="00B051E5">
        <w:rPr>
          <w:rFonts w:ascii="Garamond" w:eastAsia="Calibri" w:hAnsi="Garamond"/>
          <w:bCs/>
          <w:color w:val="000000" w:themeColor="text1"/>
        </w:rPr>
        <w:t xml:space="preserve"> -2.044 at 5%) rather than </w:t>
      </w:r>
      <w:r w:rsidRPr="00B051E5">
        <w:rPr>
          <w:rFonts w:ascii="Garamond" w:eastAsia="Calibri" w:hAnsi="Garamond"/>
          <w:bCs/>
          <w:color w:val="000000" w:themeColor="text1"/>
        </w:rPr>
        <w:t xml:space="preserve">forward-looking </w:t>
      </w:r>
      <w:r w:rsidR="004A0792" w:rsidRPr="00B051E5">
        <w:rPr>
          <w:rFonts w:ascii="Garamond" w:eastAsia="Calibri" w:hAnsi="Garamond"/>
          <w:bCs/>
          <w:color w:val="000000" w:themeColor="text1"/>
        </w:rPr>
        <w:t>(</w:t>
      </w:r>
      <w:r w:rsidR="004A0792" w:rsidRPr="00B051E5">
        <w:rPr>
          <w:rFonts w:ascii="Garamond" w:eastAsia="Calibri" w:hAnsi="Garamond"/>
          <w:bCs/>
          <w:i/>
          <w:color w:val="000000" w:themeColor="text1"/>
        </w:rPr>
        <w:t xml:space="preserve">t-statistics </w:t>
      </w:r>
      <w:r w:rsidR="004A0792" w:rsidRPr="00B051E5">
        <w:rPr>
          <w:rFonts w:ascii="Garamond" w:eastAsia="Calibri" w:hAnsi="Garamond"/>
          <w:bCs/>
          <w:color w:val="000000" w:themeColor="text1"/>
        </w:rPr>
        <w:t xml:space="preserve">1.724 at 10%) </w:t>
      </w:r>
      <w:r w:rsidRPr="00B051E5">
        <w:rPr>
          <w:rFonts w:ascii="Garamond" w:eastAsia="Calibri" w:hAnsi="Garamond"/>
          <w:bCs/>
          <w:color w:val="000000" w:themeColor="text1"/>
        </w:rPr>
        <w:t xml:space="preserve">risk information of strongly governed firms into its stock prices. </w:t>
      </w:r>
    </w:p>
    <w:p w14:paraId="1FBAF84B" w14:textId="77777777" w:rsidR="00363108" w:rsidRPr="00B051E5" w:rsidRDefault="00363108" w:rsidP="00A12589">
      <w:pPr>
        <w:ind w:firstLine="720"/>
        <w:jc w:val="both"/>
        <w:rPr>
          <w:rFonts w:ascii="Garamond" w:eastAsia="Calibri" w:hAnsi="Garamond"/>
          <w:bCs/>
          <w:color w:val="000000" w:themeColor="text1"/>
        </w:rPr>
      </w:pPr>
    </w:p>
    <w:p w14:paraId="2B3A7ED8" w14:textId="2A1AD877" w:rsidR="00363108" w:rsidRPr="00B051E5" w:rsidRDefault="008A5DD9" w:rsidP="000C0153">
      <w:pPr>
        <w:ind w:firstLine="720"/>
        <w:jc w:val="center"/>
        <w:rPr>
          <w:rFonts w:ascii="Garamond" w:eastAsia="Calibri" w:hAnsi="Garamond"/>
          <w:b/>
          <w:strike/>
          <w:color w:val="000000" w:themeColor="text1"/>
          <w:sz w:val="20"/>
          <w:szCs w:val="20"/>
        </w:rPr>
      </w:pPr>
      <w:r w:rsidRPr="00B051E5">
        <w:rPr>
          <w:rFonts w:ascii="Garamond" w:eastAsia="Calibri" w:hAnsi="Garamond"/>
          <w:b/>
          <w:color w:val="000000" w:themeColor="text1"/>
          <w:sz w:val="20"/>
          <w:szCs w:val="20"/>
        </w:rPr>
        <w:t xml:space="preserve"> [Insert Table </w:t>
      </w:r>
      <w:r w:rsidR="004B46FC" w:rsidRPr="00B051E5">
        <w:rPr>
          <w:rFonts w:ascii="Garamond" w:eastAsia="Calibri" w:hAnsi="Garamond"/>
          <w:b/>
          <w:color w:val="000000" w:themeColor="text1"/>
          <w:sz w:val="20"/>
          <w:szCs w:val="20"/>
        </w:rPr>
        <w:t xml:space="preserve">5 </w:t>
      </w:r>
      <w:r w:rsidRPr="00B051E5">
        <w:rPr>
          <w:rFonts w:ascii="Garamond" w:eastAsia="Calibri" w:hAnsi="Garamond"/>
          <w:b/>
          <w:color w:val="000000" w:themeColor="text1"/>
          <w:sz w:val="20"/>
          <w:szCs w:val="20"/>
        </w:rPr>
        <w:t>about here]</w:t>
      </w:r>
    </w:p>
    <w:p w14:paraId="39B94726" w14:textId="77777777" w:rsidR="00951F49" w:rsidRPr="00B051E5" w:rsidRDefault="00951F49" w:rsidP="000C0153">
      <w:pPr>
        <w:spacing w:line="480" w:lineRule="auto"/>
        <w:rPr>
          <w:rFonts w:ascii="Garamond" w:eastAsia="Calibri" w:hAnsi="Garamond"/>
          <w:b/>
          <w:strike/>
          <w:color w:val="000000" w:themeColor="text1"/>
          <w:sz w:val="20"/>
          <w:szCs w:val="20"/>
        </w:rPr>
      </w:pPr>
    </w:p>
    <w:bookmarkEnd w:id="4"/>
    <w:p w14:paraId="17334A99" w14:textId="4EFFD00D" w:rsidR="00257523" w:rsidRPr="00B051E5" w:rsidRDefault="002211D7" w:rsidP="00693F5C">
      <w:pPr>
        <w:spacing w:line="480" w:lineRule="auto"/>
        <w:jc w:val="both"/>
        <w:rPr>
          <w:rFonts w:ascii="Garamond" w:eastAsia="Calibri" w:hAnsi="Garamond"/>
          <w:i/>
          <w:iCs/>
          <w:color w:val="000000" w:themeColor="text1"/>
        </w:rPr>
      </w:pPr>
      <w:r w:rsidRPr="00B051E5">
        <w:rPr>
          <w:rFonts w:ascii="Garamond" w:eastAsia="Calibri" w:hAnsi="Garamond"/>
          <w:i/>
          <w:iCs/>
          <w:color w:val="000000" w:themeColor="text1"/>
        </w:rPr>
        <w:lastRenderedPageBreak/>
        <w:t>6</w:t>
      </w:r>
      <w:r w:rsidR="00615576" w:rsidRPr="00B051E5">
        <w:rPr>
          <w:rFonts w:ascii="Garamond" w:eastAsia="Calibri" w:hAnsi="Garamond"/>
          <w:i/>
          <w:iCs/>
          <w:color w:val="000000" w:themeColor="text1"/>
        </w:rPr>
        <w:t xml:space="preserve">.2.3 </w:t>
      </w:r>
      <w:r w:rsidR="008A5DD9" w:rsidRPr="00B051E5">
        <w:rPr>
          <w:rFonts w:ascii="Garamond" w:eastAsia="Calibri" w:hAnsi="Garamond"/>
          <w:i/>
          <w:iCs/>
          <w:color w:val="000000" w:themeColor="text1"/>
        </w:rPr>
        <w:t xml:space="preserve">The effect of </w:t>
      </w:r>
      <w:r w:rsidR="002E684A" w:rsidRPr="00B051E5">
        <w:rPr>
          <w:rFonts w:ascii="Garamond" w:eastAsia="Calibri" w:hAnsi="Garamond"/>
          <w:i/>
          <w:iCs/>
          <w:color w:val="000000" w:themeColor="text1"/>
        </w:rPr>
        <w:t xml:space="preserve">the </w:t>
      </w:r>
      <w:r w:rsidR="008A5DD9" w:rsidRPr="00B051E5">
        <w:rPr>
          <w:rFonts w:ascii="Garamond" w:eastAsia="Calibri" w:hAnsi="Garamond"/>
          <w:i/>
          <w:iCs/>
          <w:color w:val="000000" w:themeColor="text1"/>
        </w:rPr>
        <w:t xml:space="preserve">global financial crisis on stock price informativeness for risk </w:t>
      </w:r>
      <w:r w:rsidR="00257523" w:rsidRPr="00B051E5">
        <w:rPr>
          <w:rFonts w:ascii="Garamond" w:eastAsia="Calibri" w:hAnsi="Garamond"/>
          <w:i/>
          <w:iCs/>
          <w:color w:val="000000" w:themeColor="text1"/>
        </w:rPr>
        <w:t xml:space="preserve">disclosure </w:t>
      </w:r>
    </w:p>
    <w:p w14:paraId="67AAAEEE" w14:textId="77777777" w:rsidR="00683E92" w:rsidRPr="00B051E5" w:rsidRDefault="00257523" w:rsidP="000C0153">
      <w:pPr>
        <w:spacing w:line="480" w:lineRule="auto"/>
        <w:jc w:val="both"/>
        <w:rPr>
          <w:rFonts w:ascii="Garamond" w:eastAsia="Calibri" w:hAnsi="Garamond"/>
          <w:bCs/>
          <w:color w:val="000000" w:themeColor="text1"/>
        </w:rPr>
      </w:pPr>
      <w:bookmarkStart w:id="5" w:name="_Hlk48578937"/>
      <w:r w:rsidRPr="00B051E5">
        <w:rPr>
          <w:rFonts w:ascii="Garamond" w:eastAsia="Calibri" w:hAnsi="Garamond"/>
          <w:color w:val="000000" w:themeColor="text1"/>
        </w:rPr>
        <w:t>Our</w:t>
      </w:r>
      <w:r w:rsidR="008A5DD9" w:rsidRPr="00B051E5">
        <w:rPr>
          <w:rFonts w:ascii="Garamond" w:eastAsia="Calibri" w:hAnsi="Garamond"/>
          <w:bCs/>
          <w:color w:val="000000" w:themeColor="text1"/>
        </w:rPr>
        <w:t xml:space="preserve"> sample period </w:t>
      </w:r>
      <w:r w:rsidR="002E684A" w:rsidRPr="00B051E5">
        <w:rPr>
          <w:rFonts w:ascii="Garamond" w:eastAsia="Calibri" w:hAnsi="Garamond"/>
          <w:bCs/>
          <w:color w:val="000000" w:themeColor="text1"/>
        </w:rPr>
        <w:t>encomp</w:t>
      </w:r>
      <w:r w:rsidR="008A5DD9" w:rsidRPr="00B051E5">
        <w:rPr>
          <w:rFonts w:ascii="Garamond" w:eastAsia="Calibri" w:hAnsi="Garamond"/>
          <w:bCs/>
          <w:color w:val="000000" w:themeColor="text1"/>
        </w:rPr>
        <w:t>asses the global financial crisis of 2008-2009,</w:t>
      </w:r>
      <w:r w:rsidR="002E684A" w:rsidRPr="00B051E5">
        <w:rPr>
          <w:rFonts w:ascii="Garamond" w:eastAsia="Calibri" w:hAnsi="Garamond"/>
          <w:bCs/>
          <w:color w:val="000000" w:themeColor="text1"/>
        </w:rPr>
        <w:t xml:space="preserve"> and </w:t>
      </w:r>
      <w:r w:rsidR="008A5DD9" w:rsidRPr="00B051E5">
        <w:rPr>
          <w:rFonts w:ascii="Garamond" w:eastAsia="Calibri" w:hAnsi="Garamond"/>
          <w:bCs/>
          <w:color w:val="000000" w:themeColor="text1"/>
        </w:rPr>
        <w:t>we expect that firms are likely to behave differently during these extreme circumstances (e.g.</w:t>
      </w:r>
      <w:r w:rsidR="00646910" w:rsidRPr="00B051E5">
        <w:rPr>
          <w:rFonts w:ascii="Garamond" w:eastAsia="Calibri" w:hAnsi="Garamond"/>
          <w:bCs/>
          <w:color w:val="000000" w:themeColor="text1"/>
        </w:rPr>
        <w:t>,</w:t>
      </w:r>
      <w:r w:rsidR="008A5DD9" w:rsidRPr="00B051E5">
        <w:rPr>
          <w:rFonts w:ascii="Garamond" w:eastAsia="Calibri" w:hAnsi="Garamond"/>
          <w:bCs/>
          <w:color w:val="000000" w:themeColor="text1"/>
        </w:rPr>
        <w:t xml:space="preserve"> Elshandidy </w:t>
      </w:r>
      <w:r w:rsidR="002846EE" w:rsidRPr="00B051E5">
        <w:rPr>
          <w:rFonts w:ascii="Garamond" w:eastAsia="Calibri" w:hAnsi="Garamond"/>
          <w:bCs/>
          <w:color w:val="000000" w:themeColor="text1"/>
        </w:rPr>
        <w:t>and</w:t>
      </w:r>
      <w:r w:rsidR="008A5DD9" w:rsidRPr="00B051E5">
        <w:rPr>
          <w:rFonts w:ascii="Garamond" w:eastAsia="Calibri" w:hAnsi="Garamond"/>
          <w:bCs/>
          <w:color w:val="000000" w:themeColor="text1"/>
        </w:rPr>
        <w:t xml:space="preserve"> Neri</w:t>
      </w:r>
      <w:r w:rsidR="00E05955" w:rsidRPr="00B051E5">
        <w:rPr>
          <w:rFonts w:ascii="Garamond" w:eastAsia="Calibri" w:hAnsi="Garamond"/>
          <w:bCs/>
          <w:color w:val="000000" w:themeColor="text1"/>
        </w:rPr>
        <w:t>,</w:t>
      </w:r>
      <w:r w:rsidR="002846EE" w:rsidRPr="00B051E5">
        <w:rPr>
          <w:rFonts w:ascii="Garamond" w:eastAsia="Calibri" w:hAnsi="Garamond"/>
          <w:bCs/>
          <w:color w:val="000000" w:themeColor="text1"/>
        </w:rPr>
        <w:t xml:space="preserve"> </w:t>
      </w:r>
      <w:r w:rsidR="008A5DD9" w:rsidRPr="00B051E5">
        <w:rPr>
          <w:rFonts w:ascii="Garamond" w:eastAsia="Calibri" w:hAnsi="Garamond"/>
          <w:bCs/>
          <w:color w:val="000000" w:themeColor="text1"/>
        </w:rPr>
        <w:t>2015</w:t>
      </w:r>
      <w:r w:rsidR="008A5DD9" w:rsidRPr="00B051E5">
        <w:rPr>
          <w:rFonts w:ascii="Garamond" w:hAnsi="Garamond" w:cs="Arial"/>
          <w:color w:val="000000" w:themeColor="text1"/>
          <w:shd w:val="clear" w:color="auto" w:fill="FFFFFF"/>
        </w:rPr>
        <w:t xml:space="preserve">). </w:t>
      </w:r>
      <w:bookmarkStart w:id="6" w:name="_Hlk48579008"/>
      <w:bookmarkEnd w:id="5"/>
      <w:r w:rsidR="00683E92" w:rsidRPr="00B051E5">
        <w:rPr>
          <w:rFonts w:ascii="Garamond" w:hAnsi="Garamond" w:cs="Arial"/>
          <w:color w:val="000000" w:themeColor="text1"/>
          <w:shd w:val="clear" w:color="auto" w:fill="FFFFFF"/>
        </w:rPr>
        <w:t xml:space="preserve">For example, during the crisis period, Krause et al. (2017) find that, while there is a significant increase in the quantity of forward-looking disclosure, the observed quality of this disclosure is significantly in decline. </w:t>
      </w:r>
    </w:p>
    <w:p w14:paraId="1A05CA90" w14:textId="77777777" w:rsidR="00683E92" w:rsidRPr="00B051E5" w:rsidRDefault="00683E92" w:rsidP="000C0153">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Panels A and B of Table 6 suggest that there are variations on our paper’s main variables over our sample period. Panel A shows that there are some fluctuations in the percentage of aggregate risk disclosure over the ten-year period. It shows that, on average, UK firms tended regularly to reveal risk information and that the amount of disclosure was a minimum of 17%, on average, and a maximum of 18.7%, on average, of the narrative sections of their annual reports. The same panel shows also that there was a sudden drop of forward-looking risk disclosure in 2006 (an average of 15% from aggregate risk information) and then there was a steady increase in forward-looking risk disclosure (reaching to 19%, on average, from aggregate risk disclosure in 2014). Contrary to this, non-forward-looking risk disclosure which peaked in 2006 with an average of about 85% of aggregated risk information. Then there was a steady decrease in this type of risk information during the study period, reaching around 81%, on average, of aggregate risk disclosure. Collectively, the amount of risk disclosure and its time orientation seem to be persistent over time, for once managers start to reveal such information, investors and other users will expect to find the same type of information year on year. Maintaining this level of disclosure is something that managers will try to achieve to meet investors’ expectations. Panel A of Table 6 suggests that there were variations in the extent to which firms’ stock prices synchronized, on average, both market and industry information relative to firm specific risk information and its time orientation over the sample period. The average drops significantly from 2005 to 2006, and then builds up again during the following three years - 2007, 2008, 2009 – until a sharp decline in 2010 and 2011, with short recovery during 2012 and 2013 and a final decline. </w:t>
      </w:r>
    </w:p>
    <w:p w14:paraId="6B38B194" w14:textId="77777777" w:rsidR="00683E92" w:rsidRPr="00B051E5" w:rsidRDefault="00683E92" w:rsidP="000C0153">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lastRenderedPageBreak/>
        <w:t xml:space="preserve">Panel B of Table 6 shows that there are significant differences on stock price informativeness, aggregate risk disclosure, forward-looking risk disclosure, and non-forward-looking risk disclosure between the crisis period (2008 and 2009) and the non-crisis periods (2005-2007 and 2010-2014). Altogether, the changes in stock price informativeness suggest that a firm’s stock price is significantly more closely aligned with market and industry factors during a crisis period relative to other periods (2005-2007 &amp;2010-2014); a limited role, therefore, is expected for firm-specific factors (risk disclosure and its time orientation) to play in explaining the variations in firms’ stock prices. However, to examine such conjectures empirically, we provide the following discussion of this section.  </w:t>
      </w:r>
    </w:p>
    <w:p w14:paraId="43D9B319" w14:textId="37F2A407" w:rsidR="00683E92" w:rsidRPr="00B051E5" w:rsidRDefault="00683E92" w:rsidP="00683E92">
      <w:pPr>
        <w:spacing w:line="360" w:lineRule="auto"/>
        <w:ind w:firstLine="720"/>
        <w:jc w:val="center"/>
        <w:rPr>
          <w:rFonts w:ascii="Garamond" w:eastAsia="Calibri" w:hAnsi="Garamond"/>
          <w:b/>
          <w:color w:val="000000" w:themeColor="text1"/>
          <w:sz w:val="20"/>
          <w:szCs w:val="20"/>
        </w:rPr>
      </w:pPr>
      <w:r w:rsidRPr="00B051E5">
        <w:rPr>
          <w:rFonts w:ascii="Garamond" w:eastAsia="Calibri" w:hAnsi="Garamond"/>
          <w:b/>
          <w:color w:val="000000" w:themeColor="text1"/>
          <w:sz w:val="20"/>
          <w:szCs w:val="20"/>
        </w:rPr>
        <w:t>[Insert Table 6 about here]</w:t>
      </w:r>
    </w:p>
    <w:p w14:paraId="67F2A3F9" w14:textId="540FBB22" w:rsidR="00917C54" w:rsidRPr="00B051E5" w:rsidRDefault="008A5DD9" w:rsidP="00683E92">
      <w:pPr>
        <w:spacing w:line="480" w:lineRule="auto"/>
        <w:ind w:firstLine="720"/>
        <w:jc w:val="both"/>
        <w:rPr>
          <w:rFonts w:ascii="Garamond" w:eastAsia="Calibri" w:hAnsi="Garamond"/>
          <w:bCs/>
          <w:color w:val="000000" w:themeColor="text1"/>
        </w:rPr>
      </w:pPr>
      <w:r w:rsidRPr="00B051E5">
        <w:rPr>
          <w:rFonts w:ascii="Garamond" w:eastAsia="Calibri" w:hAnsi="Garamond"/>
          <w:bCs/>
          <w:color w:val="000000" w:themeColor="text1"/>
        </w:rPr>
        <w:t xml:space="preserve">In Table </w:t>
      </w:r>
      <w:r w:rsidR="00683E92" w:rsidRPr="00B051E5">
        <w:rPr>
          <w:rFonts w:ascii="Garamond" w:eastAsia="Calibri" w:hAnsi="Garamond"/>
          <w:bCs/>
          <w:color w:val="000000" w:themeColor="text1"/>
        </w:rPr>
        <w:t>7</w:t>
      </w:r>
      <w:r w:rsidRPr="00B051E5">
        <w:rPr>
          <w:rFonts w:ascii="Garamond" w:eastAsia="Calibri" w:hAnsi="Garamond"/>
          <w:bCs/>
          <w:color w:val="000000" w:themeColor="text1"/>
        </w:rPr>
        <w:t>, we run our main analyses in three different periods. First, prior crisis period that includes the years of 2005, 2006, and 2007. Second, the crisis period that contains the years of 2008 and 2009. Finally, the post crisis period that includes the years of 2010, 2011, 2012, 2013, and 2014. For the prior crisis period, under Models 1, 2, 3, and 4, we observe the same pattern (as in Tables 3) of associations between stock price informativeness and aggregate risk disclosure (Model 1</w:t>
      </w:r>
      <w:r w:rsidR="00037C21" w:rsidRPr="00B051E5">
        <w:rPr>
          <w:rFonts w:ascii="Garamond" w:eastAsia="Calibri" w:hAnsi="Garamond"/>
          <w:bCs/>
          <w:color w:val="000000" w:themeColor="text1"/>
        </w:rPr>
        <w:t xml:space="preserve">; coefficient of -0.864 is not significant with </w:t>
      </w:r>
      <w:r w:rsidR="00037C21" w:rsidRPr="00B051E5">
        <w:rPr>
          <w:rFonts w:ascii="Garamond" w:eastAsia="Calibri" w:hAnsi="Garamond"/>
          <w:bCs/>
          <w:i/>
          <w:iCs/>
          <w:color w:val="000000" w:themeColor="text1"/>
        </w:rPr>
        <w:t>t-statistic</w:t>
      </w:r>
      <w:r w:rsidR="00037C21" w:rsidRPr="00B051E5">
        <w:rPr>
          <w:rFonts w:ascii="Garamond" w:eastAsia="Calibri" w:hAnsi="Garamond"/>
          <w:bCs/>
          <w:color w:val="000000" w:themeColor="text1"/>
        </w:rPr>
        <w:t xml:space="preserve"> of -0.602</w:t>
      </w:r>
      <w:r w:rsidRPr="00B051E5">
        <w:rPr>
          <w:rFonts w:ascii="Garamond" w:eastAsia="Calibri" w:hAnsi="Garamond"/>
          <w:bCs/>
          <w:color w:val="000000" w:themeColor="text1"/>
        </w:rPr>
        <w:t>), Forward-looking risk disclosure (Model 2</w:t>
      </w:r>
      <w:r w:rsidR="00037C21" w:rsidRPr="00B051E5">
        <w:rPr>
          <w:rFonts w:ascii="Garamond" w:eastAsia="Calibri" w:hAnsi="Garamond"/>
          <w:bCs/>
          <w:color w:val="000000" w:themeColor="text1"/>
        </w:rPr>
        <w:t xml:space="preserve">; coefficient of 2.525 is significant with </w:t>
      </w:r>
      <w:r w:rsidR="00037C21" w:rsidRPr="00B051E5">
        <w:rPr>
          <w:rFonts w:ascii="Garamond" w:eastAsia="Calibri" w:hAnsi="Garamond"/>
          <w:bCs/>
          <w:i/>
          <w:iCs/>
          <w:color w:val="000000" w:themeColor="text1"/>
        </w:rPr>
        <w:t xml:space="preserve">t-statistic </w:t>
      </w:r>
      <w:r w:rsidR="00037C21" w:rsidRPr="00B051E5">
        <w:rPr>
          <w:rFonts w:ascii="Garamond" w:eastAsia="Calibri" w:hAnsi="Garamond"/>
          <w:bCs/>
          <w:color w:val="000000" w:themeColor="text1"/>
        </w:rPr>
        <w:t xml:space="preserve">of 4.879 at 1% </w:t>
      </w:r>
      <w:r w:rsidRPr="00B051E5">
        <w:rPr>
          <w:rFonts w:ascii="Garamond" w:eastAsia="Calibri" w:hAnsi="Garamond"/>
          <w:bCs/>
          <w:color w:val="000000" w:themeColor="text1"/>
        </w:rPr>
        <w:t>), non-forward-looking risk disclosure (Model 3</w:t>
      </w:r>
      <w:r w:rsidR="00037C21" w:rsidRPr="00B051E5">
        <w:rPr>
          <w:rFonts w:ascii="Garamond" w:eastAsia="Calibri" w:hAnsi="Garamond"/>
          <w:bCs/>
          <w:color w:val="000000" w:themeColor="text1"/>
        </w:rPr>
        <w:t xml:space="preserve">; coefficient of -2.525 is significant with </w:t>
      </w:r>
      <w:r w:rsidR="00037C21" w:rsidRPr="00B051E5">
        <w:rPr>
          <w:rFonts w:ascii="Garamond" w:eastAsia="Calibri" w:hAnsi="Garamond"/>
          <w:bCs/>
          <w:i/>
          <w:iCs/>
          <w:color w:val="000000" w:themeColor="text1"/>
        </w:rPr>
        <w:t>t-statistic</w:t>
      </w:r>
      <w:r w:rsidR="00037C21" w:rsidRPr="00B051E5">
        <w:rPr>
          <w:rFonts w:ascii="Garamond" w:eastAsia="Calibri" w:hAnsi="Garamond"/>
          <w:bCs/>
          <w:color w:val="000000" w:themeColor="text1"/>
        </w:rPr>
        <w:t xml:space="preserve"> of -4.879 at 1%</w:t>
      </w:r>
      <w:r w:rsidRPr="00B051E5">
        <w:rPr>
          <w:rFonts w:ascii="Garamond" w:eastAsia="Calibri" w:hAnsi="Garamond"/>
          <w:bCs/>
          <w:color w:val="000000" w:themeColor="text1"/>
        </w:rPr>
        <w:t>), and both forward</w:t>
      </w:r>
      <w:r w:rsidR="00C4798D" w:rsidRPr="00B051E5">
        <w:rPr>
          <w:rFonts w:ascii="Garamond" w:eastAsia="Calibri" w:hAnsi="Garamond"/>
          <w:bCs/>
          <w:color w:val="000000" w:themeColor="text1"/>
        </w:rPr>
        <w:t>-</w:t>
      </w:r>
      <w:r w:rsidRPr="00B051E5">
        <w:rPr>
          <w:rFonts w:ascii="Garamond" w:eastAsia="Calibri" w:hAnsi="Garamond"/>
          <w:bCs/>
          <w:color w:val="000000" w:themeColor="text1"/>
        </w:rPr>
        <w:t xml:space="preserve"> and non-forward</w:t>
      </w:r>
      <w:r w:rsidR="00C4798D" w:rsidRPr="00B051E5">
        <w:rPr>
          <w:rFonts w:ascii="Garamond" w:eastAsia="Calibri" w:hAnsi="Garamond"/>
          <w:bCs/>
          <w:color w:val="000000" w:themeColor="text1"/>
        </w:rPr>
        <w:t>-</w:t>
      </w:r>
      <w:r w:rsidRPr="00B051E5">
        <w:rPr>
          <w:rFonts w:ascii="Garamond" w:eastAsia="Calibri" w:hAnsi="Garamond"/>
          <w:bCs/>
          <w:color w:val="000000" w:themeColor="text1"/>
        </w:rPr>
        <w:t>looking risk disclosure (Model 4</w:t>
      </w:r>
      <w:r w:rsidR="00037C21" w:rsidRPr="00B051E5">
        <w:rPr>
          <w:rFonts w:ascii="Garamond" w:eastAsia="Calibri" w:hAnsi="Garamond"/>
          <w:bCs/>
          <w:color w:val="000000" w:themeColor="text1"/>
        </w:rPr>
        <w:t>;</w:t>
      </w:r>
      <w:r w:rsidR="006B5856" w:rsidRPr="00B051E5">
        <w:rPr>
          <w:rFonts w:ascii="Garamond" w:eastAsia="Calibri" w:hAnsi="Garamond"/>
          <w:bCs/>
          <w:color w:val="000000" w:themeColor="text1"/>
        </w:rPr>
        <w:t xml:space="preserve"> coefficient of 11.068 is significant with </w:t>
      </w:r>
      <w:r w:rsidR="006B5856" w:rsidRPr="00B051E5">
        <w:rPr>
          <w:rFonts w:ascii="Garamond" w:eastAsia="Calibri" w:hAnsi="Garamond"/>
          <w:bCs/>
          <w:i/>
          <w:iCs/>
          <w:color w:val="000000" w:themeColor="text1"/>
        </w:rPr>
        <w:t>t-statistic</w:t>
      </w:r>
      <w:r w:rsidR="006B5856" w:rsidRPr="00B051E5">
        <w:rPr>
          <w:rFonts w:ascii="Garamond" w:eastAsia="Calibri" w:hAnsi="Garamond"/>
          <w:bCs/>
          <w:color w:val="000000" w:themeColor="text1"/>
        </w:rPr>
        <w:t xml:space="preserve"> of 3.853 at 1% and  coefficient of -3.674 is significant with </w:t>
      </w:r>
      <w:r w:rsidR="006B5856" w:rsidRPr="00B051E5">
        <w:rPr>
          <w:rFonts w:ascii="Garamond" w:eastAsia="Calibri" w:hAnsi="Garamond"/>
          <w:bCs/>
          <w:i/>
          <w:iCs/>
          <w:color w:val="000000" w:themeColor="text1"/>
        </w:rPr>
        <w:t xml:space="preserve">t-statistic </w:t>
      </w:r>
      <w:r w:rsidR="006B5856" w:rsidRPr="00B051E5">
        <w:rPr>
          <w:rFonts w:ascii="Garamond" w:eastAsia="Calibri" w:hAnsi="Garamond"/>
          <w:bCs/>
          <w:color w:val="000000" w:themeColor="text1"/>
        </w:rPr>
        <w:t>of -2.424 at 5%, respectively</w:t>
      </w:r>
      <w:r w:rsidRPr="00B051E5">
        <w:rPr>
          <w:rFonts w:ascii="Garamond" w:eastAsia="Calibri" w:hAnsi="Garamond"/>
          <w:bCs/>
          <w:color w:val="000000" w:themeColor="text1"/>
        </w:rPr>
        <w:t xml:space="preserve">). The </w:t>
      </w:r>
      <w:r w:rsidR="006B5856" w:rsidRPr="00B051E5">
        <w:rPr>
          <w:rFonts w:ascii="Garamond" w:eastAsia="Calibri" w:hAnsi="Garamond"/>
          <w:bCs/>
          <w:color w:val="000000" w:themeColor="text1"/>
        </w:rPr>
        <w:t xml:space="preserve">overall </w:t>
      </w:r>
      <w:r w:rsidRPr="00B051E5">
        <w:rPr>
          <w:rFonts w:ascii="Garamond" w:eastAsia="Calibri" w:hAnsi="Garamond"/>
          <w:bCs/>
          <w:color w:val="000000" w:themeColor="text1"/>
        </w:rPr>
        <w:t xml:space="preserve">results </w:t>
      </w:r>
      <w:r w:rsidR="00257523" w:rsidRPr="00B051E5">
        <w:rPr>
          <w:rFonts w:ascii="Garamond" w:eastAsia="Calibri" w:hAnsi="Garamond"/>
          <w:bCs/>
          <w:color w:val="000000" w:themeColor="text1"/>
        </w:rPr>
        <w:t>suggest that</w:t>
      </w:r>
      <w:r w:rsidR="005C2D4B" w:rsidRPr="00B051E5">
        <w:rPr>
          <w:rFonts w:ascii="Garamond" w:eastAsia="Calibri" w:hAnsi="Garamond"/>
          <w:bCs/>
          <w:color w:val="000000" w:themeColor="text1"/>
        </w:rPr>
        <w:t xml:space="preserve"> </w:t>
      </w:r>
      <w:r w:rsidR="006B5856" w:rsidRPr="00B051E5">
        <w:rPr>
          <w:rFonts w:ascii="Garamond" w:eastAsia="Calibri" w:hAnsi="Garamond"/>
          <w:bCs/>
          <w:color w:val="000000" w:themeColor="text1"/>
        </w:rPr>
        <w:t xml:space="preserve">aggregate </w:t>
      </w:r>
      <w:r w:rsidRPr="00B051E5">
        <w:rPr>
          <w:rFonts w:ascii="Garamond" w:eastAsia="Calibri" w:hAnsi="Garamond"/>
          <w:bCs/>
          <w:color w:val="000000" w:themeColor="text1"/>
        </w:rPr>
        <w:t>risk disclosure is non-significant in influencing stock price informativeness, while non-forward-looking risk information is more informative (</w:t>
      </w:r>
      <w:r w:rsidR="005C2D4B" w:rsidRPr="00B051E5">
        <w:rPr>
          <w:rFonts w:ascii="Garamond" w:eastAsia="Calibri" w:hAnsi="Garamond"/>
          <w:bCs/>
          <w:color w:val="000000" w:themeColor="text1"/>
        </w:rPr>
        <w:t xml:space="preserve">by </w:t>
      </w:r>
      <w:r w:rsidRPr="00B051E5">
        <w:rPr>
          <w:rFonts w:ascii="Garamond" w:eastAsia="Calibri" w:hAnsi="Garamond"/>
          <w:bCs/>
          <w:color w:val="000000" w:themeColor="text1"/>
        </w:rPr>
        <w:t>being firm-specific) than forward-looking risk disclosure (</w:t>
      </w:r>
      <w:r w:rsidR="005C2D4B" w:rsidRPr="00B051E5">
        <w:rPr>
          <w:rFonts w:ascii="Garamond" w:eastAsia="Calibri" w:hAnsi="Garamond"/>
          <w:bCs/>
          <w:color w:val="000000" w:themeColor="text1"/>
        </w:rPr>
        <w:t xml:space="preserve">which is </w:t>
      </w:r>
      <w:r w:rsidRPr="00B051E5">
        <w:rPr>
          <w:rFonts w:ascii="Garamond" w:eastAsia="Calibri" w:hAnsi="Garamond"/>
          <w:bCs/>
          <w:color w:val="000000" w:themeColor="text1"/>
        </w:rPr>
        <w:t xml:space="preserve">more </w:t>
      </w:r>
      <w:r w:rsidR="005C2D4B" w:rsidRPr="00B051E5">
        <w:rPr>
          <w:rFonts w:ascii="Garamond" w:eastAsia="Calibri" w:hAnsi="Garamond"/>
          <w:bCs/>
          <w:color w:val="000000" w:themeColor="text1"/>
        </w:rPr>
        <w:t xml:space="preserve">closely </w:t>
      </w:r>
      <w:r w:rsidRPr="00B051E5">
        <w:rPr>
          <w:rFonts w:ascii="Garamond" w:eastAsia="Calibri" w:hAnsi="Garamond"/>
          <w:bCs/>
          <w:color w:val="000000" w:themeColor="text1"/>
        </w:rPr>
        <w:t xml:space="preserve">related to wider factors of market and industry). For the period during the crisis (from Models 7-10), and the period after the crisis (Models 11-14), our results suggest that during and after the global crisis the level of aggregate disclosure and its time orientation </w:t>
      </w:r>
      <w:r w:rsidR="000A19FE" w:rsidRPr="00B051E5">
        <w:rPr>
          <w:rFonts w:ascii="Garamond" w:eastAsia="Calibri" w:hAnsi="Garamond"/>
          <w:bCs/>
          <w:color w:val="000000" w:themeColor="text1"/>
        </w:rPr>
        <w:t xml:space="preserve">are </w:t>
      </w:r>
      <w:r w:rsidRPr="00B051E5">
        <w:rPr>
          <w:rFonts w:ascii="Garamond" w:eastAsia="Calibri" w:hAnsi="Garamond"/>
          <w:bCs/>
          <w:color w:val="000000" w:themeColor="text1"/>
        </w:rPr>
        <w:t>not informative.</w:t>
      </w:r>
      <w:r w:rsidR="00D04D17" w:rsidRPr="00B051E5">
        <w:rPr>
          <w:rFonts w:ascii="Garamond" w:eastAsia="Calibri" w:hAnsi="Garamond"/>
          <w:bCs/>
          <w:color w:val="000000" w:themeColor="text1"/>
        </w:rPr>
        <w:t xml:space="preserve"> </w:t>
      </w:r>
      <w:r w:rsidR="00F24677" w:rsidRPr="00B051E5">
        <w:rPr>
          <w:rFonts w:ascii="Garamond" w:eastAsia="Calibri" w:hAnsi="Garamond"/>
          <w:bCs/>
          <w:color w:val="000000" w:themeColor="text1"/>
        </w:rPr>
        <w:lastRenderedPageBreak/>
        <w:t xml:space="preserve">Collectively, our results show that market does not incorporate risk information and its time orientation in periods of uncertainties as closer attention has been given to market and industry wider factors. </w:t>
      </w:r>
      <w:r w:rsidRPr="00B051E5">
        <w:rPr>
          <w:rFonts w:ascii="Garamond" w:eastAsia="Calibri" w:hAnsi="Garamond"/>
          <w:bCs/>
          <w:color w:val="000000" w:themeColor="text1"/>
        </w:rPr>
        <w:t xml:space="preserve">  </w:t>
      </w:r>
    </w:p>
    <w:p w14:paraId="3DB43D8D" w14:textId="46DD71FE" w:rsidR="00683E92" w:rsidRPr="00B051E5" w:rsidRDefault="00917C54" w:rsidP="00F642A5">
      <w:pPr>
        <w:spacing w:line="360" w:lineRule="auto"/>
        <w:ind w:firstLine="720"/>
        <w:jc w:val="center"/>
        <w:rPr>
          <w:rFonts w:ascii="Garamond" w:eastAsia="Calibri" w:hAnsi="Garamond"/>
          <w:b/>
          <w:color w:val="000000" w:themeColor="text1"/>
          <w:sz w:val="20"/>
          <w:szCs w:val="20"/>
        </w:rPr>
      </w:pPr>
      <w:r w:rsidRPr="00B051E5">
        <w:rPr>
          <w:rFonts w:ascii="Garamond" w:eastAsia="Calibri" w:hAnsi="Garamond"/>
          <w:b/>
          <w:color w:val="000000" w:themeColor="text1"/>
          <w:sz w:val="20"/>
          <w:szCs w:val="20"/>
        </w:rPr>
        <w:t xml:space="preserve">[Insert Table </w:t>
      </w:r>
      <w:r w:rsidR="00683E92" w:rsidRPr="00B051E5">
        <w:rPr>
          <w:rFonts w:ascii="Garamond" w:eastAsia="Calibri" w:hAnsi="Garamond"/>
          <w:b/>
          <w:color w:val="000000" w:themeColor="text1"/>
          <w:sz w:val="20"/>
          <w:szCs w:val="20"/>
        </w:rPr>
        <w:t>7</w:t>
      </w:r>
      <w:r w:rsidRPr="00B051E5">
        <w:rPr>
          <w:rFonts w:ascii="Garamond" w:eastAsia="Calibri" w:hAnsi="Garamond"/>
          <w:b/>
          <w:color w:val="000000" w:themeColor="text1"/>
          <w:sz w:val="20"/>
          <w:szCs w:val="20"/>
        </w:rPr>
        <w:t xml:space="preserve"> about here]</w:t>
      </w:r>
    </w:p>
    <w:bookmarkEnd w:id="6"/>
    <w:p w14:paraId="361A8F22" w14:textId="0F2A34C3" w:rsidR="00820639" w:rsidRPr="00B051E5" w:rsidRDefault="00446F2B"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t>7</w:t>
      </w:r>
      <w:r w:rsidR="00615576" w:rsidRPr="00B051E5">
        <w:rPr>
          <w:rFonts w:ascii="Garamond" w:eastAsia="Calibri" w:hAnsi="Garamond"/>
          <w:b/>
          <w:bCs/>
          <w:color w:val="000000" w:themeColor="text1"/>
          <w:sz w:val="24"/>
          <w:szCs w:val="24"/>
        </w:rPr>
        <w:t xml:space="preserve">. </w:t>
      </w:r>
      <w:r w:rsidR="00820639" w:rsidRPr="00B051E5">
        <w:rPr>
          <w:rFonts w:ascii="Garamond" w:eastAsia="Calibri" w:hAnsi="Garamond"/>
          <w:b/>
          <w:bCs/>
          <w:color w:val="000000" w:themeColor="text1"/>
          <w:sz w:val="24"/>
          <w:szCs w:val="24"/>
        </w:rPr>
        <w:t>Concluding remarks</w:t>
      </w:r>
    </w:p>
    <w:p w14:paraId="5E82C20B" w14:textId="6305496B" w:rsidR="00820639" w:rsidRPr="00B051E5" w:rsidRDefault="00820639" w:rsidP="00693F5C">
      <w:pPr>
        <w:spacing w:line="480" w:lineRule="auto"/>
        <w:jc w:val="both"/>
        <w:rPr>
          <w:rFonts w:ascii="Garamond" w:eastAsia="Calibri" w:hAnsi="Garamond"/>
          <w:bCs/>
          <w:color w:val="000000" w:themeColor="text1"/>
        </w:rPr>
      </w:pPr>
      <w:r w:rsidRPr="00B051E5">
        <w:rPr>
          <w:rFonts w:ascii="Garamond" w:eastAsia="Calibri" w:hAnsi="Garamond"/>
          <w:bCs/>
          <w:color w:val="000000" w:themeColor="text1"/>
        </w:rPr>
        <w:t xml:space="preserve">Over </w:t>
      </w:r>
      <w:r w:rsidR="00E94BDF" w:rsidRPr="00B051E5">
        <w:rPr>
          <w:rFonts w:ascii="Garamond" w:eastAsia="Calibri" w:hAnsi="Garamond"/>
          <w:bCs/>
          <w:color w:val="000000" w:themeColor="text1"/>
        </w:rPr>
        <w:t xml:space="preserve"> the sample period, </w:t>
      </w:r>
      <w:r w:rsidR="006300F6" w:rsidRPr="00B051E5">
        <w:rPr>
          <w:rFonts w:ascii="Garamond" w:eastAsia="Calibri" w:hAnsi="Garamond"/>
          <w:bCs/>
          <w:color w:val="000000" w:themeColor="text1"/>
        </w:rPr>
        <w:t>o</w:t>
      </w:r>
      <w:r w:rsidRPr="00B051E5">
        <w:rPr>
          <w:rFonts w:ascii="Garamond" w:eastAsia="Calibri" w:hAnsi="Garamond"/>
          <w:bCs/>
          <w:color w:val="000000" w:themeColor="text1"/>
        </w:rPr>
        <w:t xml:space="preserve">ur empirical results suggest that non-forward-looking risk information is significantly and negatively associated with </w:t>
      </w:r>
      <w:r w:rsidR="0060345F" w:rsidRPr="00B051E5">
        <w:rPr>
          <w:rFonts w:ascii="Garamond" w:eastAsia="Calibri" w:hAnsi="Garamond"/>
          <w:bCs/>
          <w:color w:val="000000" w:themeColor="text1"/>
        </w:rPr>
        <w:t xml:space="preserve">the co-movements of </w:t>
      </w:r>
      <w:r w:rsidRPr="00B051E5">
        <w:rPr>
          <w:rFonts w:ascii="Garamond" w:eastAsia="Calibri" w:hAnsi="Garamond"/>
          <w:bCs/>
          <w:color w:val="000000" w:themeColor="text1"/>
        </w:rPr>
        <w:t>stock prices, suggesting that this information is firm-specific</w:t>
      </w:r>
      <w:r w:rsidR="00AD1D2A" w:rsidRPr="00B051E5">
        <w:rPr>
          <w:rFonts w:ascii="Garamond" w:eastAsia="Calibri" w:hAnsi="Garamond"/>
          <w:bCs/>
          <w:color w:val="000000" w:themeColor="text1"/>
        </w:rPr>
        <w:t xml:space="preserve"> </w:t>
      </w:r>
      <w:r w:rsidRPr="00B051E5">
        <w:rPr>
          <w:rFonts w:ascii="Garamond" w:eastAsia="Calibri" w:hAnsi="Garamond"/>
          <w:bCs/>
          <w:color w:val="000000" w:themeColor="text1"/>
        </w:rPr>
        <w:t xml:space="preserve">and such information is </w:t>
      </w:r>
      <w:r w:rsidR="00257523" w:rsidRPr="00B051E5">
        <w:rPr>
          <w:rFonts w:ascii="Garamond" w:eastAsia="Calibri" w:hAnsi="Garamond"/>
          <w:bCs/>
          <w:color w:val="000000" w:themeColor="text1"/>
        </w:rPr>
        <w:t>difficult to</w:t>
      </w:r>
      <w:r w:rsidRPr="00B051E5">
        <w:rPr>
          <w:rFonts w:ascii="Garamond" w:eastAsia="Calibri" w:hAnsi="Garamond"/>
          <w:bCs/>
          <w:color w:val="000000" w:themeColor="text1"/>
        </w:rPr>
        <w:t xml:space="preserve"> anticipate or replace with market-wide factors. </w:t>
      </w:r>
      <w:r w:rsidR="00AD1D2A" w:rsidRPr="00B051E5">
        <w:rPr>
          <w:rFonts w:ascii="Garamond" w:eastAsia="Calibri" w:hAnsi="Garamond"/>
          <w:bCs/>
          <w:color w:val="000000" w:themeColor="text1"/>
        </w:rPr>
        <w:t xml:space="preserve">However, we find </w:t>
      </w:r>
      <w:r w:rsidR="00E94BDF" w:rsidRPr="00B051E5">
        <w:rPr>
          <w:rFonts w:ascii="Garamond" w:eastAsia="Calibri" w:hAnsi="Garamond"/>
          <w:bCs/>
          <w:color w:val="000000" w:themeColor="text1"/>
        </w:rPr>
        <w:t>forward-looking risk information is significantly and positively associated with synchronicity, suggesting that this information is not firm-specific and can be replaced and anticipated by market- and</w:t>
      </w:r>
      <w:r w:rsidR="00F642A5" w:rsidRPr="00B051E5">
        <w:rPr>
          <w:rFonts w:ascii="Garamond" w:eastAsia="Calibri" w:hAnsi="Garamond"/>
          <w:bCs/>
          <w:color w:val="000000" w:themeColor="text1"/>
        </w:rPr>
        <w:t xml:space="preserve"> </w:t>
      </w:r>
      <w:r w:rsidR="00E94BDF" w:rsidRPr="00B051E5">
        <w:rPr>
          <w:rFonts w:ascii="Garamond" w:eastAsia="Calibri" w:hAnsi="Garamond"/>
          <w:bCs/>
          <w:color w:val="000000" w:themeColor="text1"/>
        </w:rPr>
        <w:t>industry-</w:t>
      </w:r>
      <w:r w:rsidR="00927B03" w:rsidRPr="00B051E5">
        <w:rPr>
          <w:rFonts w:ascii="Garamond" w:eastAsia="Calibri" w:hAnsi="Garamond"/>
          <w:bCs/>
          <w:color w:val="000000" w:themeColor="text1"/>
        </w:rPr>
        <w:t xml:space="preserve">wide factors. </w:t>
      </w:r>
      <w:r w:rsidRPr="00B051E5">
        <w:rPr>
          <w:rFonts w:ascii="Garamond" w:eastAsia="Calibri" w:hAnsi="Garamond"/>
          <w:bCs/>
          <w:color w:val="000000" w:themeColor="text1"/>
        </w:rPr>
        <w:t xml:space="preserve">These results are likely to have theoretical and practical implications </w:t>
      </w:r>
      <w:r w:rsidR="0060345F" w:rsidRPr="00B051E5">
        <w:rPr>
          <w:rFonts w:ascii="Garamond" w:eastAsia="Calibri" w:hAnsi="Garamond"/>
          <w:bCs/>
          <w:color w:val="000000" w:themeColor="text1"/>
        </w:rPr>
        <w:t>in that</w:t>
      </w:r>
      <w:r w:rsidRPr="00B051E5">
        <w:rPr>
          <w:rFonts w:ascii="Garamond" w:eastAsia="Calibri" w:hAnsi="Garamond"/>
          <w:bCs/>
          <w:color w:val="000000" w:themeColor="text1"/>
        </w:rPr>
        <w:t xml:space="preserve"> they </w:t>
      </w:r>
      <w:r w:rsidR="0060345F" w:rsidRPr="00B051E5">
        <w:rPr>
          <w:rFonts w:ascii="Garamond" w:eastAsia="Calibri" w:hAnsi="Garamond"/>
          <w:bCs/>
          <w:color w:val="000000" w:themeColor="text1"/>
        </w:rPr>
        <w:t xml:space="preserve">reveal </w:t>
      </w:r>
      <w:r w:rsidRPr="00B051E5">
        <w:rPr>
          <w:rFonts w:ascii="Garamond" w:eastAsia="Calibri" w:hAnsi="Garamond"/>
          <w:bCs/>
          <w:color w:val="000000" w:themeColor="text1"/>
        </w:rPr>
        <w:t>the importance of considering the content rather than the level of aggregate risk information and they also add more insights to the debate on the informativeness of the narrative sections of annual reports.</w:t>
      </w:r>
    </w:p>
    <w:p w14:paraId="5315BB72" w14:textId="182EE17F" w:rsidR="001023B9" w:rsidRPr="00B051E5" w:rsidRDefault="00B65970" w:rsidP="000C0153">
      <w:pPr>
        <w:spacing w:line="480" w:lineRule="auto"/>
        <w:ind w:firstLine="720"/>
        <w:jc w:val="both"/>
        <w:rPr>
          <w:rFonts w:ascii="Garamond" w:hAnsi="Garamond"/>
          <w:bCs/>
          <w:color w:val="000000" w:themeColor="text1"/>
        </w:rPr>
      </w:pPr>
      <w:r w:rsidRPr="00B051E5">
        <w:rPr>
          <w:rFonts w:ascii="Garamond" w:eastAsia="Calibri" w:hAnsi="Garamond"/>
          <w:bCs/>
          <w:color w:val="000000" w:themeColor="text1"/>
        </w:rPr>
        <w:t xml:space="preserve">Our paper has some limitations that can be covered by </w:t>
      </w:r>
      <w:r w:rsidR="00F642A5" w:rsidRPr="00B051E5">
        <w:rPr>
          <w:rFonts w:ascii="Garamond" w:eastAsia="Calibri" w:hAnsi="Garamond"/>
          <w:bCs/>
          <w:color w:val="000000" w:themeColor="text1"/>
        </w:rPr>
        <w:t>future</w:t>
      </w:r>
      <w:r w:rsidRPr="00B051E5">
        <w:rPr>
          <w:rFonts w:ascii="Garamond" w:eastAsia="Calibri" w:hAnsi="Garamond"/>
          <w:bCs/>
          <w:color w:val="000000" w:themeColor="text1"/>
        </w:rPr>
        <w:t xml:space="preserve"> research. </w:t>
      </w:r>
      <w:r w:rsidR="00820639" w:rsidRPr="00B051E5">
        <w:rPr>
          <w:rFonts w:ascii="Garamond" w:eastAsia="Calibri" w:hAnsi="Garamond"/>
          <w:bCs/>
          <w:color w:val="000000" w:themeColor="text1"/>
        </w:rPr>
        <w:t xml:space="preserve">Our paper looks distinctively at the time orientation of the levels of risk disclosure; further research </w:t>
      </w:r>
      <w:r w:rsidR="00F26B79" w:rsidRPr="00B051E5">
        <w:rPr>
          <w:rFonts w:ascii="Garamond" w:eastAsia="Calibri" w:hAnsi="Garamond"/>
          <w:bCs/>
          <w:color w:val="000000" w:themeColor="text1"/>
        </w:rPr>
        <w:t>may</w:t>
      </w:r>
      <w:r w:rsidR="0060345F" w:rsidRPr="00B051E5">
        <w:rPr>
          <w:rFonts w:ascii="Garamond" w:eastAsia="Calibri" w:hAnsi="Garamond"/>
          <w:bCs/>
          <w:color w:val="000000" w:themeColor="text1"/>
        </w:rPr>
        <w:t xml:space="preserve"> </w:t>
      </w:r>
      <w:r w:rsidR="00820639" w:rsidRPr="00B051E5">
        <w:rPr>
          <w:rFonts w:ascii="Garamond" w:eastAsia="Calibri" w:hAnsi="Garamond"/>
          <w:bCs/>
          <w:color w:val="000000" w:themeColor="text1"/>
        </w:rPr>
        <w:t xml:space="preserve">usefully look at the tone of the aggregate levels of risk disclosure. The tone </w:t>
      </w:r>
      <w:r w:rsidR="00F26B79" w:rsidRPr="00B051E5">
        <w:rPr>
          <w:rFonts w:ascii="Garamond" w:eastAsia="Calibri" w:hAnsi="Garamond"/>
          <w:bCs/>
          <w:color w:val="000000" w:themeColor="text1"/>
        </w:rPr>
        <w:t>may</w:t>
      </w:r>
      <w:r w:rsidR="0060345F" w:rsidRPr="00B051E5">
        <w:rPr>
          <w:rFonts w:ascii="Garamond" w:eastAsia="Calibri" w:hAnsi="Garamond"/>
          <w:bCs/>
          <w:color w:val="000000" w:themeColor="text1"/>
        </w:rPr>
        <w:t xml:space="preserve"> </w:t>
      </w:r>
      <w:r w:rsidR="00820639" w:rsidRPr="00B051E5">
        <w:rPr>
          <w:rFonts w:ascii="Garamond" w:eastAsia="Calibri" w:hAnsi="Garamond"/>
          <w:bCs/>
          <w:color w:val="000000" w:themeColor="text1"/>
        </w:rPr>
        <w:t>reflect different patterns of informativeness subject to whether the revealed information convey</w:t>
      </w:r>
      <w:r w:rsidR="008021DF" w:rsidRPr="00B051E5">
        <w:rPr>
          <w:rFonts w:ascii="Garamond" w:eastAsia="Calibri" w:hAnsi="Garamond"/>
          <w:bCs/>
          <w:color w:val="000000" w:themeColor="text1"/>
        </w:rPr>
        <w:t>s</w:t>
      </w:r>
      <w:r w:rsidR="00820639" w:rsidRPr="00B051E5">
        <w:rPr>
          <w:rFonts w:ascii="Garamond" w:eastAsia="Calibri" w:hAnsi="Garamond"/>
          <w:bCs/>
          <w:color w:val="000000" w:themeColor="text1"/>
        </w:rPr>
        <w:t xml:space="preserve"> good or bad news. Muc</w:t>
      </w:r>
      <w:r w:rsidR="008021DF" w:rsidRPr="00B051E5">
        <w:rPr>
          <w:rFonts w:ascii="Garamond" w:eastAsia="Calibri" w:hAnsi="Garamond"/>
          <w:bCs/>
          <w:color w:val="000000" w:themeColor="text1"/>
        </w:rPr>
        <w:t>h attention has been given recently</w:t>
      </w:r>
      <w:r w:rsidR="00820639" w:rsidRPr="00B051E5">
        <w:rPr>
          <w:rFonts w:ascii="Garamond" w:eastAsia="Calibri" w:hAnsi="Garamond"/>
          <w:bCs/>
          <w:color w:val="000000" w:themeColor="text1"/>
        </w:rPr>
        <w:t xml:space="preserve"> to this area of research </w:t>
      </w:r>
      <w:r w:rsidR="0060345F" w:rsidRPr="00B051E5">
        <w:rPr>
          <w:rFonts w:ascii="Garamond" w:eastAsia="Calibri" w:hAnsi="Garamond"/>
          <w:bCs/>
          <w:color w:val="000000" w:themeColor="text1"/>
        </w:rPr>
        <w:t>following</w:t>
      </w:r>
      <w:r w:rsidR="00820639" w:rsidRPr="00B051E5">
        <w:rPr>
          <w:rFonts w:ascii="Garamond" w:eastAsia="Calibri" w:hAnsi="Garamond"/>
          <w:bCs/>
          <w:color w:val="000000" w:themeColor="text1"/>
        </w:rPr>
        <w:t xml:space="preserve"> the seminal work of Loughran and McDonald (2011). Further research </w:t>
      </w:r>
      <w:r w:rsidR="00F26B79" w:rsidRPr="00B051E5">
        <w:rPr>
          <w:rFonts w:ascii="Garamond" w:eastAsia="Calibri" w:hAnsi="Garamond"/>
          <w:bCs/>
          <w:color w:val="000000" w:themeColor="text1"/>
        </w:rPr>
        <w:t>may</w:t>
      </w:r>
      <w:r w:rsidR="0060345F" w:rsidRPr="00B051E5">
        <w:rPr>
          <w:rFonts w:ascii="Garamond" w:eastAsia="Calibri" w:hAnsi="Garamond"/>
          <w:bCs/>
          <w:color w:val="000000" w:themeColor="text1"/>
        </w:rPr>
        <w:t xml:space="preserve"> </w:t>
      </w:r>
      <w:r w:rsidR="00820639" w:rsidRPr="00B051E5">
        <w:rPr>
          <w:rFonts w:ascii="Garamond" w:eastAsia="Calibri" w:hAnsi="Garamond"/>
          <w:bCs/>
          <w:color w:val="000000" w:themeColor="text1"/>
        </w:rPr>
        <w:t>also look at more attributes of forward-looking risk information which together can indicate the quality (e.g.</w:t>
      </w:r>
      <w:r w:rsidR="00693F5C" w:rsidRPr="00B051E5">
        <w:rPr>
          <w:rFonts w:ascii="Garamond" w:eastAsia="Calibri" w:hAnsi="Garamond"/>
          <w:bCs/>
          <w:color w:val="000000" w:themeColor="text1"/>
        </w:rPr>
        <w:t>,</w:t>
      </w:r>
      <w:r w:rsidR="00EA7E33" w:rsidRPr="00B051E5">
        <w:rPr>
          <w:rFonts w:ascii="Garamond" w:eastAsia="Calibri" w:hAnsi="Garamond"/>
          <w:bCs/>
          <w:color w:val="000000" w:themeColor="text1"/>
        </w:rPr>
        <w:t xml:space="preserve"> </w:t>
      </w:r>
      <w:r w:rsidR="00820639" w:rsidRPr="00B051E5">
        <w:rPr>
          <w:rFonts w:ascii="Garamond" w:eastAsia="Calibri" w:hAnsi="Garamond"/>
          <w:bCs/>
          <w:color w:val="000000" w:themeColor="text1"/>
        </w:rPr>
        <w:t xml:space="preserve">Beretta </w:t>
      </w:r>
      <w:r w:rsidR="000421FB" w:rsidRPr="00B051E5">
        <w:rPr>
          <w:rFonts w:ascii="Garamond" w:eastAsia="Calibri" w:hAnsi="Garamond"/>
          <w:bCs/>
          <w:color w:val="000000" w:themeColor="text1"/>
        </w:rPr>
        <w:t>and Bozzolan</w:t>
      </w:r>
      <w:r w:rsidR="008223C1" w:rsidRPr="00B051E5">
        <w:rPr>
          <w:rFonts w:ascii="Garamond" w:eastAsia="Calibri" w:hAnsi="Garamond"/>
          <w:bCs/>
          <w:color w:val="000000" w:themeColor="text1"/>
        </w:rPr>
        <w:t>,</w:t>
      </w:r>
      <w:r w:rsidR="00EA7E33" w:rsidRPr="00B051E5">
        <w:rPr>
          <w:rFonts w:ascii="Garamond" w:eastAsia="Calibri" w:hAnsi="Garamond"/>
          <w:bCs/>
          <w:color w:val="000000" w:themeColor="text1"/>
        </w:rPr>
        <w:t xml:space="preserve"> </w:t>
      </w:r>
      <w:r w:rsidR="00820639" w:rsidRPr="00B051E5">
        <w:rPr>
          <w:rFonts w:ascii="Garamond" w:eastAsia="Calibri" w:hAnsi="Garamond"/>
          <w:bCs/>
          <w:color w:val="000000" w:themeColor="text1"/>
        </w:rPr>
        <w:t>2008</w:t>
      </w:r>
      <w:r w:rsidR="001877E6" w:rsidRPr="00B051E5">
        <w:rPr>
          <w:rFonts w:ascii="Garamond" w:eastAsia="Calibri" w:hAnsi="Garamond"/>
          <w:bCs/>
          <w:color w:val="000000" w:themeColor="text1"/>
        </w:rPr>
        <w:t>)</w:t>
      </w:r>
      <w:r w:rsidR="00820639" w:rsidRPr="00B051E5">
        <w:rPr>
          <w:rFonts w:ascii="Garamond" w:eastAsia="Calibri" w:hAnsi="Garamond"/>
          <w:bCs/>
          <w:color w:val="000000" w:themeColor="text1"/>
        </w:rPr>
        <w:t xml:space="preserve"> and/or the tone of such inform</w:t>
      </w:r>
      <w:r w:rsidR="008021DF" w:rsidRPr="00B051E5">
        <w:rPr>
          <w:rFonts w:ascii="Garamond" w:eastAsia="Calibri" w:hAnsi="Garamond"/>
          <w:bCs/>
          <w:color w:val="000000" w:themeColor="text1"/>
        </w:rPr>
        <w:t>ation (e.g., Li, 2010). Finally</w:t>
      </w:r>
      <w:r w:rsidR="00820639" w:rsidRPr="00B051E5">
        <w:rPr>
          <w:rFonts w:ascii="Garamond" w:eastAsia="Calibri" w:hAnsi="Garamond"/>
          <w:bCs/>
          <w:color w:val="000000" w:themeColor="text1"/>
        </w:rPr>
        <w:t>, the current evidence l</w:t>
      </w:r>
      <w:r w:rsidR="002D2528" w:rsidRPr="00B051E5">
        <w:rPr>
          <w:rFonts w:ascii="Garamond" w:eastAsia="Calibri" w:hAnsi="Garamond"/>
          <w:bCs/>
          <w:color w:val="000000" w:themeColor="text1"/>
        </w:rPr>
        <w:t>ar</w:t>
      </w:r>
      <w:r w:rsidR="00820639" w:rsidRPr="00B051E5">
        <w:rPr>
          <w:rFonts w:ascii="Garamond" w:eastAsia="Calibri" w:hAnsi="Garamond"/>
          <w:bCs/>
          <w:color w:val="000000" w:themeColor="text1"/>
        </w:rPr>
        <w:t>g</w:t>
      </w:r>
      <w:r w:rsidR="002D2528" w:rsidRPr="00B051E5">
        <w:rPr>
          <w:rFonts w:ascii="Garamond" w:eastAsia="Calibri" w:hAnsi="Garamond"/>
          <w:bCs/>
          <w:color w:val="000000" w:themeColor="text1"/>
        </w:rPr>
        <w:t>ely</w:t>
      </w:r>
      <w:r w:rsidR="00820639" w:rsidRPr="00B051E5">
        <w:rPr>
          <w:rFonts w:ascii="Garamond" w:eastAsia="Calibri" w:hAnsi="Garamond"/>
          <w:bCs/>
          <w:color w:val="000000" w:themeColor="text1"/>
        </w:rPr>
        <w:t xml:space="preserve"> concern</w:t>
      </w:r>
      <w:r w:rsidR="00625ADE" w:rsidRPr="00B051E5">
        <w:rPr>
          <w:rFonts w:ascii="Garamond" w:eastAsia="Calibri" w:hAnsi="Garamond"/>
          <w:bCs/>
          <w:color w:val="000000" w:themeColor="text1"/>
        </w:rPr>
        <w:t>s</w:t>
      </w:r>
      <w:r w:rsidR="00820639" w:rsidRPr="00B051E5">
        <w:rPr>
          <w:rFonts w:ascii="Garamond" w:eastAsia="Calibri" w:hAnsi="Garamond"/>
          <w:bCs/>
          <w:color w:val="000000" w:themeColor="text1"/>
        </w:rPr>
        <w:t xml:space="preserve"> the equity </w:t>
      </w:r>
      <w:r w:rsidR="002D2528" w:rsidRPr="00B051E5">
        <w:rPr>
          <w:rFonts w:ascii="Garamond" w:eastAsia="Calibri" w:hAnsi="Garamond"/>
          <w:bCs/>
          <w:color w:val="000000" w:themeColor="text1"/>
        </w:rPr>
        <w:t>market</w:t>
      </w:r>
      <w:r w:rsidR="00820639" w:rsidRPr="00B051E5">
        <w:rPr>
          <w:rFonts w:ascii="Garamond" w:eastAsia="Calibri" w:hAnsi="Garamond"/>
          <w:bCs/>
          <w:color w:val="000000" w:themeColor="text1"/>
        </w:rPr>
        <w:t xml:space="preserve">; more research is needed to explore the informativeness of risk information and its content in </w:t>
      </w:r>
      <w:r w:rsidR="00625ADE" w:rsidRPr="00B051E5">
        <w:rPr>
          <w:rFonts w:ascii="Garamond" w:eastAsia="Calibri" w:hAnsi="Garamond"/>
          <w:bCs/>
          <w:color w:val="000000" w:themeColor="text1"/>
        </w:rPr>
        <w:t xml:space="preserve">the </w:t>
      </w:r>
      <w:r w:rsidR="00820639" w:rsidRPr="00B051E5">
        <w:rPr>
          <w:rFonts w:ascii="Garamond" w:eastAsia="Calibri" w:hAnsi="Garamond"/>
          <w:bCs/>
          <w:color w:val="000000" w:themeColor="text1"/>
        </w:rPr>
        <w:t xml:space="preserve">debt </w:t>
      </w:r>
      <w:r w:rsidR="002D2528" w:rsidRPr="00B051E5">
        <w:rPr>
          <w:rFonts w:ascii="Garamond" w:eastAsia="Calibri" w:hAnsi="Garamond"/>
          <w:bCs/>
          <w:color w:val="000000" w:themeColor="text1"/>
        </w:rPr>
        <w:t>market</w:t>
      </w:r>
      <w:r w:rsidR="00AA19D9" w:rsidRPr="00B051E5">
        <w:rPr>
          <w:rFonts w:ascii="Garamond" w:eastAsia="Calibri" w:hAnsi="Garamond"/>
          <w:bCs/>
          <w:color w:val="000000" w:themeColor="text1"/>
        </w:rPr>
        <w:t xml:space="preserve"> (</w:t>
      </w:r>
      <w:r w:rsidR="00646910" w:rsidRPr="00B051E5">
        <w:rPr>
          <w:rFonts w:ascii="Garamond" w:eastAsia="Calibri" w:hAnsi="Garamond"/>
          <w:bCs/>
          <w:color w:val="000000" w:themeColor="text1"/>
        </w:rPr>
        <w:t>e.g.,</w:t>
      </w:r>
      <w:r w:rsidR="002B1E7F" w:rsidRPr="00B051E5">
        <w:rPr>
          <w:rFonts w:ascii="Garamond" w:hAnsi="Garamond"/>
          <w:color w:val="000000" w:themeColor="text1"/>
        </w:rPr>
        <w:t xml:space="preserve"> </w:t>
      </w:r>
      <w:r w:rsidR="00D22835" w:rsidRPr="00B051E5">
        <w:rPr>
          <w:rFonts w:ascii="Garamond" w:hAnsi="Garamond"/>
          <w:bCs/>
          <w:color w:val="000000" w:themeColor="text1"/>
        </w:rPr>
        <w:t>Elamer et al.</w:t>
      </w:r>
      <w:r w:rsidR="00E05955" w:rsidRPr="00B051E5">
        <w:rPr>
          <w:rFonts w:ascii="Garamond" w:hAnsi="Garamond"/>
          <w:bCs/>
          <w:color w:val="000000" w:themeColor="text1"/>
        </w:rPr>
        <w:t>,</w:t>
      </w:r>
      <w:r w:rsidR="00EA7E33" w:rsidRPr="00B051E5">
        <w:rPr>
          <w:rFonts w:ascii="Garamond" w:hAnsi="Garamond"/>
          <w:bCs/>
          <w:color w:val="000000" w:themeColor="text1"/>
        </w:rPr>
        <w:t xml:space="preserve"> </w:t>
      </w:r>
      <w:r w:rsidR="00D22835" w:rsidRPr="00B051E5">
        <w:rPr>
          <w:rFonts w:ascii="Garamond" w:hAnsi="Garamond"/>
          <w:bCs/>
          <w:color w:val="000000" w:themeColor="text1"/>
        </w:rPr>
        <w:t>202</w:t>
      </w:r>
      <w:r w:rsidR="00F327CD" w:rsidRPr="00B051E5">
        <w:rPr>
          <w:rFonts w:ascii="Garamond" w:hAnsi="Garamond"/>
          <w:bCs/>
          <w:color w:val="000000" w:themeColor="text1"/>
        </w:rPr>
        <w:t>1</w:t>
      </w:r>
      <w:r w:rsidR="00AA19D9" w:rsidRPr="00B051E5">
        <w:rPr>
          <w:rFonts w:ascii="Garamond" w:hAnsi="Garamond"/>
          <w:bCs/>
          <w:color w:val="000000" w:themeColor="text1"/>
        </w:rPr>
        <w:t>).</w:t>
      </w:r>
    </w:p>
    <w:p w14:paraId="5FDD8CD0" w14:textId="77777777" w:rsidR="000609A6" w:rsidRPr="00B051E5" w:rsidRDefault="000609A6">
      <w:pPr>
        <w:spacing w:after="160" w:line="259" w:lineRule="auto"/>
        <w:rPr>
          <w:rFonts w:ascii="Garamond" w:eastAsia="Calibri" w:hAnsi="Garamond"/>
          <w:b/>
          <w:bCs/>
          <w:color w:val="000000" w:themeColor="text1"/>
          <w:lang w:eastAsia="en-US"/>
        </w:rPr>
      </w:pPr>
      <w:r w:rsidRPr="00B051E5">
        <w:rPr>
          <w:rFonts w:ascii="Garamond" w:eastAsia="Calibri" w:hAnsi="Garamond"/>
          <w:b/>
          <w:bCs/>
          <w:color w:val="000000" w:themeColor="text1"/>
        </w:rPr>
        <w:br w:type="page"/>
      </w:r>
    </w:p>
    <w:p w14:paraId="6FCA35D0" w14:textId="3DCF96EB" w:rsidR="0079339D" w:rsidRPr="00B051E5" w:rsidRDefault="0079339D"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lastRenderedPageBreak/>
        <w:t xml:space="preserve">References </w:t>
      </w:r>
    </w:p>
    <w:p w14:paraId="3FDE0F8D" w14:textId="77777777" w:rsidR="00E34E8B" w:rsidRPr="00B051E5" w:rsidRDefault="00E34E8B" w:rsidP="0079339D">
      <w:pPr>
        <w:ind w:hanging="720"/>
        <w:jc w:val="both"/>
        <w:rPr>
          <w:rFonts w:ascii="Garamond" w:eastAsia="SimSun" w:hAnsi="Garamond"/>
          <w:color w:val="000000" w:themeColor="text1"/>
          <w:lang w:val="en-US" w:eastAsia="zh-CN"/>
        </w:rPr>
      </w:pPr>
      <w:r w:rsidRPr="00B051E5">
        <w:rPr>
          <w:rFonts w:ascii="Garamond" w:eastAsia="SimSun" w:hAnsi="Garamond"/>
          <w:color w:val="000000" w:themeColor="text1"/>
          <w:lang w:val="en-US" w:eastAsia="zh-CN"/>
        </w:rPr>
        <w:t xml:space="preserve">Abraham, S., &amp; Cox, P. (2007). Analysing the determinants of narrative risk information in UK FTSE 100 annual reports. </w:t>
      </w:r>
      <w:r w:rsidRPr="00B051E5">
        <w:rPr>
          <w:rFonts w:ascii="Garamond" w:eastAsia="SimSun" w:hAnsi="Garamond"/>
          <w:i/>
          <w:iCs/>
          <w:color w:val="000000" w:themeColor="text1"/>
          <w:lang w:val="en-US" w:eastAsia="zh-CN"/>
        </w:rPr>
        <w:t>The British Accounting Review</w:t>
      </w:r>
      <w:r w:rsidRPr="00B051E5">
        <w:rPr>
          <w:rFonts w:ascii="Garamond" w:eastAsia="SimSun" w:hAnsi="Garamond"/>
          <w:color w:val="000000" w:themeColor="text1"/>
          <w:lang w:val="en-US" w:eastAsia="zh-CN"/>
        </w:rPr>
        <w:t>, 39(3), 227–248.</w:t>
      </w:r>
    </w:p>
    <w:p w14:paraId="27D84AAD" w14:textId="77777777" w:rsidR="00E34E8B" w:rsidRPr="00B051E5" w:rsidRDefault="00E34E8B" w:rsidP="0079339D">
      <w:pPr>
        <w:ind w:hanging="720"/>
        <w:jc w:val="both"/>
        <w:rPr>
          <w:rFonts w:ascii="Garamond" w:eastAsia="Calibri" w:hAnsi="Garamond"/>
          <w:bCs/>
          <w:iCs/>
          <w:color w:val="000000" w:themeColor="text1"/>
        </w:rPr>
      </w:pPr>
      <w:r w:rsidRPr="00B051E5">
        <w:rPr>
          <w:rFonts w:ascii="Garamond" w:eastAsia="Calibri" w:hAnsi="Garamond"/>
          <w:bCs/>
          <w:iCs/>
          <w:color w:val="000000" w:themeColor="text1"/>
        </w:rPr>
        <w:t>Ashbaugh-Skaife, H., Gassen, J., &amp; LaFond, R. (2006). Does stock price synchronicity represent firm-specific information? The international evidence. (Working Paper, MIT).</w:t>
      </w:r>
    </w:p>
    <w:p w14:paraId="6A3D8089" w14:textId="77777777" w:rsidR="0031754E" w:rsidRPr="00B051E5" w:rsidRDefault="00E34E8B" w:rsidP="0031754E">
      <w:pPr>
        <w:ind w:hanging="720"/>
        <w:jc w:val="both"/>
        <w:rPr>
          <w:rFonts w:ascii="Garamond" w:eastAsia="Calibri" w:hAnsi="Garamond"/>
          <w:color w:val="000000" w:themeColor="text1"/>
        </w:rPr>
      </w:pPr>
      <w:r w:rsidRPr="00B051E5">
        <w:rPr>
          <w:rFonts w:ascii="Garamond" w:eastAsia="Calibri" w:hAnsi="Garamond"/>
          <w:color w:val="000000" w:themeColor="text1"/>
        </w:rPr>
        <w:t>Asay, S., &amp; Hales, J. (2015). Building a safe harbor for whom? A look at cautionary disclaimers and investors' reactions to forward-looking statements. (Working Paper, The University of Iowa).</w:t>
      </w:r>
    </w:p>
    <w:p w14:paraId="2B0C47A3" w14:textId="5478E98D" w:rsidR="0031754E" w:rsidRPr="00B051E5" w:rsidRDefault="0031754E" w:rsidP="0031754E">
      <w:pPr>
        <w:ind w:hanging="720"/>
        <w:jc w:val="both"/>
        <w:rPr>
          <w:rFonts w:ascii="Garamond" w:eastAsia="Calibri" w:hAnsi="Garamond"/>
          <w:color w:val="000000" w:themeColor="text1"/>
        </w:rPr>
      </w:pPr>
      <w:r w:rsidRPr="00B051E5">
        <w:rPr>
          <w:rFonts w:ascii="Garamond" w:hAnsi="Garamond" w:cs="Arial"/>
          <w:color w:val="000000" w:themeColor="text1"/>
          <w:shd w:val="clear" w:color="auto" w:fill="FFFFFF"/>
        </w:rPr>
        <w:t>Barron, O. E., Kile, C. O., &amp; O'KEEFE, T. B. (1999). MD&amp;A quality as measured by the SEC and analysts' earnings forecasts. </w:t>
      </w:r>
      <w:r w:rsidRPr="00B051E5">
        <w:rPr>
          <w:rFonts w:ascii="Garamond" w:hAnsi="Garamond" w:cs="Arial"/>
          <w:i/>
          <w:iCs/>
          <w:color w:val="000000" w:themeColor="text1"/>
          <w:shd w:val="clear" w:color="auto" w:fill="FFFFFF"/>
        </w:rPr>
        <w:t>Contemporary Accounting Research</w:t>
      </w:r>
      <w:r w:rsidRPr="00B051E5">
        <w:rPr>
          <w:rFonts w:ascii="Garamond" w:hAnsi="Garamond" w:cs="Arial"/>
          <w:color w:val="000000" w:themeColor="text1"/>
          <w:shd w:val="clear" w:color="auto" w:fill="FFFFFF"/>
        </w:rPr>
        <w:t>, </w:t>
      </w:r>
      <w:r w:rsidRPr="00B051E5">
        <w:rPr>
          <w:rFonts w:ascii="Garamond" w:hAnsi="Garamond" w:cs="Arial"/>
          <w:i/>
          <w:iCs/>
          <w:color w:val="000000" w:themeColor="text1"/>
          <w:shd w:val="clear" w:color="auto" w:fill="FFFFFF"/>
        </w:rPr>
        <w:t>16</w:t>
      </w:r>
      <w:r w:rsidRPr="00B051E5">
        <w:rPr>
          <w:rFonts w:ascii="Garamond" w:hAnsi="Garamond" w:cs="Arial"/>
          <w:color w:val="000000" w:themeColor="text1"/>
          <w:shd w:val="clear" w:color="auto" w:fill="FFFFFF"/>
        </w:rPr>
        <w:t>(1), 75-109.</w:t>
      </w:r>
    </w:p>
    <w:p w14:paraId="4C6A4FFE" w14:textId="77777777" w:rsidR="00E34E8B" w:rsidRPr="00B051E5" w:rsidRDefault="00E34E8B" w:rsidP="00E34E8B">
      <w:pPr>
        <w:ind w:hanging="720"/>
        <w:jc w:val="both"/>
        <w:rPr>
          <w:rFonts w:ascii="Garamond" w:eastAsia="Calibri" w:hAnsi="Garamond"/>
          <w:color w:val="000000" w:themeColor="text1"/>
        </w:rPr>
      </w:pPr>
      <w:r w:rsidRPr="00B051E5">
        <w:rPr>
          <w:rFonts w:ascii="Garamond" w:hAnsi="Garamond"/>
          <w:color w:val="000000" w:themeColor="text1"/>
          <w:kern w:val="16"/>
        </w:rPr>
        <w:t xml:space="preserve">Beretta, S., &amp; Bozzolan, S. (2004). A framework for the analysis of firm risk communication. </w:t>
      </w:r>
      <w:r w:rsidRPr="00B051E5">
        <w:rPr>
          <w:rFonts w:ascii="Garamond" w:hAnsi="Garamond"/>
          <w:i/>
          <w:iCs/>
          <w:color w:val="000000" w:themeColor="text1"/>
          <w:kern w:val="16"/>
        </w:rPr>
        <w:t>The International Journal of Accounting</w:t>
      </w:r>
      <w:r w:rsidRPr="00B051E5">
        <w:rPr>
          <w:rFonts w:ascii="Garamond" w:hAnsi="Garamond"/>
          <w:color w:val="000000" w:themeColor="text1"/>
          <w:kern w:val="16"/>
        </w:rPr>
        <w:t>, 39(3), 265-288.</w:t>
      </w:r>
    </w:p>
    <w:p w14:paraId="1B635848" w14:textId="77777777" w:rsidR="00FD0597" w:rsidRPr="00B051E5" w:rsidRDefault="00E34E8B" w:rsidP="00FD0597">
      <w:pPr>
        <w:ind w:hanging="720"/>
        <w:jc w:val="both"/>
        <w:rPr>
          <w:rFonts w:ascii="Garamond" w:hAnsi="Garamond"/>
          <w:color w:val="000000" w:themeColor="text1"/>
          <w:kern w:val="16"/>
        </w:rPr>
      </w:pPr>
      <w:r w:rsidRPr="00B051E5">
        <w:rPr>
          <w:rFonts w:ascii="Garamond" w:hAnsi="Garamond"/>
          <w:color w:val="000000" w:themeColor="text1"/>
          <w:kern w:val="16"/>
        </w:rPr>
        <w:t>Beretta, S., &amp; Bozzolan, S. (2008). Quality versus quantity: the case of forward-looking disclosure</w:t>
      </w:r>
      <w:r w:rsidRPr="00B051E5">
        <w:rPr>
          <w:rFonts w:ascii="Garamond" w:hAnsi="Garamond"/>
          <w:i/>
          <w:iCs/>
          <w:color w:val="000000" w:themeColor="text1"/>
          <w:kern w:val="16"/>
        </w:rPr>
        <w:t>. Journal of Accounting, Auditing and Finance</w:t>
      </w:r>
      <w:r w:rsidRPr="00B051E5">
        <w:rPr>
          <w:rFonts w:ascii="Garamond" w:hAnsi="Garamond"/>
          <w:color w:val="000000" w:themeColor="text1"/>
          <w:kern w:val="16"/>
        </w:rPr>
        <w:t>, 23(3), 333-376.</w:t>
      </w:r>
    </w:p>
    <w:p w14:paraId="10A9851B" w14:textId="4D3E885D" w:rsidR="00FD0597" w:rsidRPr="00B051E5" w:rsidRDefault="00FD0597" w:rsidP="00FD0597">
      <w:pPr>
        <w:ind w:hanging="720"/>
        <w:jc w:val="both"/>
        <w:rPr>
          <w:rFonts w:ascii="Garamond" w:hAnsi="Garamond"/>
          <w:color w:val="000000" w:themeColor="text1"/>
          <w:kern w:val="16"/>
        </w:rPr>
      </w:pPr>
      <w:r w:rsidRPr="00B051E5">
        <w:rPr>
          <w:rFonts w:ascii="Garamond" w:hAnsi="Garamond" w:cs="Arial"/>
          <w:color w:val="000000" w:themeColor="text1"/>
          <w:shd w:val="clear" w:color="auto" w:fill="FFFFFF"/>
        </w:rPr>
        <w:t>Berns, J., Bick, P., Flugum, R., &amp; Houston, R. (2022). Do changes in MD&amp;A section tone predict investment behavior?. </w:t>
      </w:r>
      <w:r w:rsidRPr="00B051E5">
        <w:rPr>
          <w:rFonts w:ascii="Garamond" w:hAnsi="Garamond" w:cs="Arial"/>
          <w:i/>
          <w:iCs/>
          <w:color w:val="000000" w:themeColor="text1"/>
          <w:shd w:val="clear" w:color="auto" w:fill="FFFFFF"/>
        </w:rPr>
        <w:t>Financial Review</w:t>
      </w:r>
      <w:r w:rsidRPr="00B051E5">
        <w:rPr>
          <w:rFonts w:ascii="Garamond" w:hAnsi="Garamond" w:cs="Arial"/>
          <w:color w:val="000000" w:themeColor="text1"/>
          <w:shd w:val="clear" w:color="auto" w:fill="FFFFFF"/>
        </w:rPr>
        <w:t>, </w:t>
      </w:r>
      <w:r w:rsidRPr="00B051E5">
        <w:rPr>
          <w:rFonts w:ascii="Garamond" w:hAnsi="Garamond" w:cs="Arial"/>
          <w:i/>
          <w:iCs/>
          <w:color w:val="000000" w:themeColor="text1"/>
          <w:shd w:val="clear" w:color="auto" w:fill="FFFFFF"/>
        </w:rPr>
        <w:t>57</w:t>
      </w:r>
      <w:r w:rsidRPr="00B051E5">
        <w:rPr>
          <w:rFonts w:ascii="Garamond" w:hAnsi="Garamond" w:cs="Arial"/>
          <w:color w:val="000000" w:themeColor="text1"/>
          <w:shd w:val="clear" w:color="auto" w:fill="FFFFFF"/>
        </w:rPr>
        <w:t>(1), 129-153.</w:t>
      </w:r>
    </w:p>
    <w:p w14:paraId="02F26BE5" w14:textId="77777777" w:rsidR="00E34E8B" w:rsidRPr="00B051E5" w:rsidRDefault="00E34E8B" w:rsidP="00187884">
      <w:pPr>
        <w:ind w:hanging="720"/>
        <w:jc w:val="both"/>
        <w:rPr>
          <w:rFonts w:ascii="Garamond" w:hAnsi="Garamond"/>
          <w:color w:val="000000" w:themeColor="text1"/>
          <w:kern w:val="16"/>
        </w:rPr>
      </w:pPr>
      <w:r w:rsidRPr="00B051E5">
        <w:rPr>
          <w:rFonts w:ascii="Garamond" w:hAnsi="Garamond"/>
          <w:color w:val="000000" w:themeColor="text1"/>
          <w:kern w:val="16"/>
        </w:rPr>
        <w:t>Bonsall, S., Bozanic, Z., &amp; Merkley, K. (2016). Managers’ use of forward and non-forward-looking narratives in earnings press releases. (Working paper, The Ohio State University).</w:t>
      </w:r>
    </w:p>
    <w:p w14:paraId="0C0BAC2B" w14:textId="17B7A7D4" w:rsidR="00E34E8B" w:rsidRPr="00B051E5" w:rsidRDefault="00E34E8B" w:rsidP="004B46FC">
      <w:pPr>
        <w:autoSpaceDE w:val="0"/>
        <w:autoSpaceDN w:val="0"/>
        <w:adjustRightInd w:val="0"/>
        <w:ind w:hanging="720"/>
        <w:jc w:val="both"/>
        <w:rPr>
          <w:rFonts w:ascii="Garamond" w:eastAsia="SimSun" w:hAnsi="Garamond"/>
          <w:color w:val="000000" w:themeColor="text1"/>
          <w:lang w:val="en-US" w:eastAsia="zh-CN"/>
        </w:rPr>
      </w:pPr>
      <w:r w:rsidRPr="00B051E5">
        <w:rPr>
          <w:rFonts w:ascii="Garamond" w:eastAsia="SimSun" w:hAnsi="Garamond"/>
          <w:color w:val="000000" w:themeColor="text1"/>
          <w:lang w:val="en-US" w:eastAsia="zh-CN"/>
        </w:rPr>
        <w:t xml:space="preserve">Campbell, J. L., Chen, H., Dhaliwal, D. S., Lu, H., &amp; Steele, L. B. (2014). The information content of mandatory risk factor disclosure in corporate filings. </w:t>
      </w:r>
      <w:r w:rsidRPr="00B051E5">
        <w:rPr>
          <w:rFonts w:ascii="Garamond" w:eastAsia="SimSun" w:hAnsi="Garamond"/>
          <w:i/>
          <w:iCs/>
          <w:color w:val="000000" w:themeColor="text1"/>
          <w:lang w:val="en-US" w:eastAsia="zh-CN"/>
        </w:rPr>
        <w:t>Review of Accounting Studies</w:t>
      </w:r>
      <w:r w:rsidRPr="00B051E5">
        <w:rPr>
          <w:rFonts w:ascii="Garamond" w:eastAsia="SimSun" w:hAnsi="Garamond"/>
          <w:color w:val="000000" w:themeColor="text1"/>
          <w:lang w:val="en-US" w:eastAsia="zh-CN"/>
        </w:rPr>
        <w:t>,</w:t>
      </w:r>
      <w:r w:rsidR="008223C1" w:rsidRPr="00B051E5">
        <w:rPr>
          <w:rFonts w:ascii="Garamond" w:eastAsia="SimSun" w:hAnsi="Garamond"/>
          <w:color w:val="000000" w:themeColor="text1"/>
          <w:lang w:val="en-US" w:eastAsia="zh-CN"/>
        </w:rPr>
        <w:t xml:space="preserve"> </w:t>
      </w:r>
      <w:r w:rsidRPr="00B051E5">
        <w:rPr>
          <w:rFonts w:ascii="Garamond" w:eastAsia="SimSun" w:hAnsi="Garamond"/>
          <w:color w:val="000000" w:themeColor="text1"/>
          <w:lang w:val="en-US" w:eastAsia="zh-CN"/>
        </w:rPr>
        <w:t xml:space="preserve">19(1), 396-455. </w:t>
      </w:r>
    </w:p>
    <w:p w14:paraId="30665C80" w14:textId="77777777" w:rsidR="00E34E8B" w:rsidRPr="00B051E5" w:rsidRDefault="00E34E8B" w:rsidP="004B46FC">
      <w:pPr>
        <w:autoSpaceDE w:val="0"/>
        <w:autoSpaceDN w:val="0"/>
        <w:adjustRightInd w:val="0"/>
        <w:ind w:hanging="720"/>
        <w:jc w:val="both"/>
        <w:rPr>
          <w:rFonts w:ascii="Garamond" w:hAnsi="Garamond"/>
          <w:color w:val="000000" w:themeColor="text1"/>
        </w:rPr>
      </w:pPr>
      <w:r w:rsidRPr="00B051E5">
        <w:rPr>
          <w:rFonts w:ascii="Garamond" w:hAnsi="Garamond"/>
          <w:color w:val="000000" w:themeColor="text1"/>
        </w:rPr>
        <w:t xml:space="preserve">Dasgupta, S., Gan, J., &amp; Gao, N. (2010). Transparency, price informativeness, and stock return synchronicity: Theory and evidence. </w:t>
      </w:r>
      <w:r w:rsidRPr="00B051E5">
        <w:rPr>
          <w:rFonts w:ascii="Garamond" w:hAnsi="Garamond"/>
          <w:i/>
          <w:iCs/>
          <w:color w:val="000000" w:themeColor="text1"/>
        </w:rPr>
        <w:t>Journal of Financial and Quantitative Analysis</w:t>
      </w:r>
      <w:r w:rsidRPr="00B051E5">
        <w:rPr>
          <w:rFonts w:ascii="Garamond" w:hAnsi="Garamond"/>
          <w:color w:val="000000" w:themeColor="text1"/>
        </w:rPr>
        <w:t>, 45(5), 1189-1220.</w:t>
      </w:r>
    </w:p>
    <w:p w14:paraId="2D2D7C79" w14:textId="77777777" w:rsidR="00E34E8B" w:rsidRPr="00B051E5" w:rsidRDefault="00E34E8B" w:rsidP="00E34E8B">
      <w:pPr>
        <w:autoSpaceDE w:val="0"/>
        <w:autoSpaceDN w:val="0"/>
        <w:adjustRightInd w:val="0"/>
        <w:ind w:hanging="720"/>
        <w:jc w:val="both"/>
        <w:rPr>
          <w:rFonts w:ascii="Garamond" w:hAnsi="Garamond"/>
          <w:color w:val="000000" w:themeColor="text1"/>
          <w:kern w:val="16"/>
        </w:rPr>
      </w:pPr>
      <w:r w:rsidRPr="00B051E5">
        <w:rPr>
          <w:rFonts w:ascii="Garamond" w:hAnsi="Garamond"/>
          <w:color w:val="000000" w:themeColor="text1"/>
          <w:kern w:val="16"/>
        </w:rPr>
        <w:t>Ding, R., Hou, W., Kuo, J., &amp; Lee, E. (2013). </w:t>
      </w:r>
      <w:hyperlink r:id="rId13" w:history="1">
        <w:r w:rsidRPr="00B051E5">
          <w:rPr>
            <w:rFonts w:ascii="Garamond" w:hAnsi="Garamond"/>
            <w:color w:val="000000" w:themeColor="text1"/>
            <w:kern w:val="16"/>
          </w:rPr>
          <w:t>Fund ownership and stock price informativeness of Chinese listed firms.</w:t>
        </w:r>
      </w:hyperlink>
      <w:r w:rsidRPr="00B051E5">
        <w:rPr>
          <w:rFonts w:ascii="Garamond" w:hAnsi="Garamond"/>
          <w:color w:val="000000" w:themeColor="text1"/>
          <w:kern w:val="16"/>
        </w:rPr>
        <w:t xml:space="preserve"> </w:t>
      </w:r>
      <w:r w:rsidRPr="00B051E5">
        <w:rPr>
          <w:rFonts w:ascii="Garamond" w:hAnsi="Garamond"/>
          <w:i/>
          <w:color w:val="000000" w:themeColor="text1"/>
          <w:kern w:val="16"/>
        </w:rPr>
        <w:t>Journal of Multinational Financial Management</w:t>
      </w:r>
      <w:r w:rsidRPr="00B051E5">
        <w:rPr>
          <w:rFonts w:ascii="Garamond" w:hAnsi="Garamond"/>
          <w:color w:val="000000" w:themeColor="text1"/>
          <w:kern w:val="16"/>
        </w:rPr>
        <w:t>, </w:t>
      </w:r>
      <w:r w:rsidRPr="00B051E5">
        <w:rPr>
          <w:rFonts w:ascii="Garamond" w:hAnsi="Garamond"/>
          <w:i/>
          <w:color w:val="000000" w:themeColor="text1"/>
          <w:kern w:val="16"/>
        </w:rPr>
        <w:t>23</w:t>
      </w:r>
      <w:r w:rsidRPr="00B051E5">
        <w:rPr>
          <w:rFonts w:ascii="Garamond" w:hAnsi="Garamond"/>
          <w:color w:val="000000" w:themeColor="text1"/>
          <w:kern w:val="16"/>
        </w:rPr>
        <w:t>(3), 166-185.</w:t>
      </w:r>
    </w:p>
    <w:p w14:paraId="0E84AB3E" w14:textId="77777777" w:rsidR="0081426B" w:rsidRPr="00B051E5" w:rsidRDefault="00E34E8B" w:rsidP="0081426B">
      <w:pPr>
        <w:ind w:hanging="720"/>
        <w:jc w:val="both"/>
        <w:rPr>
          <w:rFonts w:ascii="Garamond" w:hAnsi="Garamond"/>
          <w:color w:val="000000" w:themeColor="text1"/>
          <w:kern w:val="16"/>
        </w:rPr>
      </w:pPr>
      <w:r w:rsidRPr="00B051E5">
        <w:rPr>
          <w:rFonts w:ascii="Garamond" w:hAnsi="Garamond"/>
          <w:color w:val="000000" w:themeColor="text1"/>
          <w:kern w:val="16"/>
        </w:rPr>
        <w:t xml:space="preserve">Dobler, M. (2008). Incentives for risk reporting- a discretionary disclosure and cheap talk approach. </w:t>
      </w:r>
      <w:r w:rsidRPr="00B051E5">
        <w:rPr>
          <w:rFonts w:ascii="Garamond" w:hAnsi="Garamond"/>
          <w:i/>
          <w:color w:val="000000" w:themeColor="text1"/>
          <w:kern w:val="16"/>
        </w:rPr>
        <w:t xml:space="preserve">The International Journal of Accounting, </w:t>
      </w:r>
      <w:r w:rsidRPr="00B051E5">
        <w:rPr>
          <w:rFonts w:ascii="Garamond" w:hAnsi="Garamond"/>
          <w:i/>
          <w:iCs/>
          <w:color w:val="000000" w:themeColor="text1"/>
          <w:kern w:val="16"/>
        </w:rPr>
        <w:t>43</w:t>
      </w:r>
      <w:r w:rsidRPr="00B051E5">
        <w:rPr>
          <w:rFonts w:ascii="Garamond" w:hAnsi="Garamond"/>
          <w:iCs/>
          <w:color w:val="000000" w:themeColor="text1"/>
          <w:kern w:val="16"/>
        </w:rPr>
        <w:t>(2), 184</w:t>
      </w:r>
      <w:r w:rsidRPr="00B051E5">
        <w:rPr>
          <w:rFonts w:ascii="Garamond" w:eastAsia="SimSun" w:hAnsi="Garamond"/>
          <w:color w:val="000000" w:themeColor="text1"/>
          <w:kern w:val="16"/>
          <w:lang w:eastAsia="zh-CN"/>
        </w:rPr>
        <w:t>-</w:t>
      </w:r>
      <w:r w:rsidRPr="00B051E5">
        <w:rPr>
          <w:rFonts w:ascii="Garamond" w:hAnsi="Garamond"/>
          <w:color w:val="000000" w:themeColor="text1"/>
          <w:kern w:val="16"/>
        </w:rPr>
        <w:t>206.</w:t>
      </w:r>
    </w:p>
    <w:p w14:paraId="61D64B3C" w14:textId="77777777" w:rsidR="00F327CD" w:rsidRPr="00B051E5" w:rsidRDefault="0081426B" w:rsidP="00F327CD">
      <w:pPr>
        <w:ind w:hanging="720"/>
        <w:jc w:val="both"/>
        <w:rPr>
          <w:rFonts w:ascii="Garamond" w:hAnsi="Garamond" w:cs="Arial"/>
          <w:color w:val="000000" w:themeColor="text1"/>
          <w:shd w:val="clear" w:color="auto" w:fill="FFFFFF"/>
        </w:rPr>
      </w:pPr>
      <w:r w:rsidRPr="00B051E5">
        <w:rPr>
          <w:rFonts w:ascii="Garamond" w:hAnsi="Garamond" w:cs="Arial"/>
          <w:color w:val="000000" w:themeColor="text1"/>
          <w:shd w:val="clear" w:color="auto" w:fill="FFFFFF"/>
        </w:rPr>
        <w:t>Elamer, A. A., Ntim, C. G., Abdou, H. A., Zalata, A. M., &amp; Elmagrhi, M. (2019). The impact of multi-layer governance on bank risk disclosure in emerging markets: The case of Middle East and North Africa. </w:t>
      </w:r>
      <w:r w:rsidRPr="00B051E5">
        <w:rPr>
          <w:rFonts w:ascii="Garamond" w:hAnsi="Garamond" w:cs="Arial"/>
          <w:i/>
          <w:iCs/>
          <w:color w:val="000000" w:themeColor="text1"/>
          <w:shd w:val="clear" w:color="auto" w:fill="FFFFFF"/>
        </w:rPr>
        <w:t xml:space="preserve">Accounting Forum, </w:t>
      </w:r>
      <w:r w:rsidRPr="00B051E5">
        <w:rPr>
          <w:rFonts w:ascii="Garamond" w:hAnsi="Garamond" w:cs="Arial"/>
          <w:color w:val="000000" w:themeColor="text1"/>
          <w:shd w:val="clear" w:color="auto" w:fill="FFFFFF"/>
        </w:rPr>
        <w:t>43(2), 246-281.</w:t>
      </w:r>
    </w:p>
    <w:p w14:paraId="05FAEB23" w14:textId="63D745A4" w:rsidR="00F327CD" w:rsidRPr="00B051E5" w:rsidRDefault="00F327CD" w:rsidP="00F327CD">
      <w:pPr>
        <w:ind w:hanging="720"/>
        <w:jc w:val="both"/>
        <w:rPr>
          <w:rFonts w:ascii="Garamond" w:hAnsi="Garamond" w:cs="Arial"/>
          <w:color w:val="000000" w:themeColor="text1"/>
          <w:shd w:val="clear" w:color="auto" w:fill="FFFFFF"/>
        </w:rPr>
      </w:pPr>
      <w:r w:rsidRPr="00B051E5">
        <w:rPr>
          <w:rFonts w:ascii="Garamond" w:hAnsi="Garamond" w:cs="Arial"/>
          <w:color w:val="000000" w:themeColor="text1"/>
          <w:shd w:val="clear" w:color="auto" w:fill="FFFFFF"/>
        </w:rPr>
        <w:t>Elamer, A. A., Ntim, C. G., &amp; Abdou, H. A. (2020</w:t>
      </w:r>
      <w:r w:rsidR="00124601" w:rsidRPr="00B051E5">
        <w:rPr>
          <w:rFonts w:ascii="Garamond" w:hAnsi="Garamond" w:cs="Arial"/>
          <w:color w:val="000000" w:themeColor="text1"/>
          <w:shd w:val="clear" w:color="auto" w:fill="FFFFFF"/>
        </w:rPr>
        <w:t>a</w:t>
      </w:r>
      <w:r w:rsidRPr="00B051E5">
        <w:rPr>
          <w:rFonts w:ascii="Garamond" w:hAnsi="Garamond" w:cs="Arial"/>
          <w:color w:val="000000" w:themeColor="text1"/>
          <w:shd w:val="clear" w:color="auto" w:fill="FFFFFF"/>
        </w:rPr>
        <w:t>). Islamic governance, national governance, and bank risk management and disclosure in MENA countries. </w:t>
      </w:r>
      <w:r w:rsidRPr="00B051E5">
        <w:rPr>
          <w:rFonts w:ascii="Garamond" w:hAnsi="Garamond" w:cs="Arial"/>
          <w:i/>
          <w:iCs/>
          <w:color w:val="000000" w:themeColor="text1"/>
          <w:shd w:val="clear" w:color="auto" w:fill="FFFFFF"/>
        </w:rPr>
        <w:t>Business &amp; Society</w:t>
      </w:r>
      <w:r w:rsidRPr="00B051E5">
        <w:rPr>
          <w:rFonts w:ascii="Garamond" w:hAnsi="Garamond" w:cs="Arial"/>
          <w:color w:val="000000" w:themeColor="text1"/>
          <w:shd w:val="clear" w:color="auto" w:fill="FFFFFF"/>
        </w:rPr>
        <w:t>, </w:t>
      </w:r>
      <w:r w:rsidRPr="00B051E5">
        <w:rPr>
          <w:rFonts w:ascii="Garamond" w:hAnsi="Garamond" w:cs="Arial"/>
          <w:i/>
          <w:iCs/>
          <w:color w:val="000000" w:themeColor="text1"/>
          <w:shd w:val="clear" w:color="auto" w:fill="FFFFFF"/>
        </w:rPr>
        <w:t>59</w:t>
      </w:r>
      <w:r w:rsidRPr="00B051E5">
        <w:rPr>
          <w:rFonts w:ascii="Garamond" w:hAnsi="Garamond" w:cs="Arial"/>
          <w:color w:val="000000" w:themeColor="text1"/>
          <w:shd w:val="clear" w:color="auto" w:fill="FFFFFF"/>
        </w:rPr>
        <w:t>(5), 914-955.</w:t>
      </w:r>
    </w:p>
    <w:p w14:paraId="1CDE852F" w14:textId="54978F6D" w:rsidR="0081426B" w:rsidRPr="00B051E5" w:rsidRDefault="00F327CD" w:rsidP="00F327CD">
      <w:pPr>
        <w:ind w:hanging="720"/>
        <w:jc w:val="both"/>
        <w:rPr>
          <w:rFonts w:ascii="Garamond" w:hAnsi="Garamond" w:cs="Arial"/>
          <w:color w:val="000000" w:themeColor="text1"/>
          <w:shd w:val="clear" w:color="auto" w:fill="FFFFFF"/>
        </w:rPr>
      </w:pPr>
      <w:r w:rsidRPr="00B051E5">
        <w:rPr>
          <w:rFonts w:ascii="Garamond" w:hAnsi="Garamond" w:cs="Arial"/>
          <w:color w:val="000000" w:themeColor="text1"/>
        </w:rPr>
        <w:t>Elamer, A. A., Ntim, C. G., Abdou, H. A., &amp; Pyke, C. (2020</w:t>
      </w:r>
      <w:r w:rsidR="00124601" w:rsidRPr="00B051E5">
        <w:rPr>
          <w:rFonts w:ascii="Garamond" w:hAnsi="Garamond" w:cs="Arial"/>
          <w:color w:val="000000" w:themeColor="text1"/>
        </w:rPr>
        <w:t>b</w:t>
      </w:r>
      <w:r w:rsidRPr="00B051E5">
        <w:rPr>
          <w:rFonts w:ascii="Garamond" w:hAnsi="Garamond" w:cs="Arial"/>
          <w:color w:val="000000" w:themeColor="text1"/>
        </w:rPr>
        <w:t>). Sharia supervisory boards, governance structures and operational risk disclosures: Evidence from Islamic banks in MENA countries. </w:t>
      </w:r>
      <w:r w:rsidRPr="00B051E5">
        <w:rPr>
          <w:rFonts w:ascii="Garamond" w:hAnsi="Garamond" w:cs="Arial"/>
          <w:i/>
          <w:iCs/>
          <w:color w:val="000000" w:themeColor="text1"/>
        </w:rPr>
        <w:t>Global Finance Journal</w:t>
      </w:r>
      <w:r w:rsidRPr="00B051E5">
        <w:rPr>
          <w:rFonts w:ascii="Garamond" w:hAnsi="Garamond" w:cs="Arial"/>
          <w:color w:val="000000" w:themeColor="text1"/>
        </w:rPr>
        <w:t>, </w:t>
      </w:r>
      <w:r w:rsidRPr="00B051E5">
        <w:rPr>
          <w:rFonts w:ascii="Garamond" w:hAnsi="Garamond" w:cs="Arial"/>
          <w:i/>
          <w:iCs/>
          <w:color w:val="000000" w:themeColor="text1"/>
        </w:rPr>
        <w:t>46</w:t>
      </w:r>
      <w:r w:rsidRPr="00B051E5">
        <w:rPr>
          <w:rFonts w:ascii="Garamond" w:hAnsi="Garamond" w:cs="Arial"/>
          <w:color w:val="000000" w:themeColor="text1"/>
        </w:rPr>
        <w:t>, 100488.</w:t>
      </w:r>
    </w:p>
    <w:p w14:paraId="213E1C33" w14:textId="37DDC39D" w:rsidR="00F327CD" w:rsidRPr="00B051E5" w:rsidRDefault="00F327CD" w:rsidP="00523DB2">
      <w:pPr>
        <w:ind w:hanging="720"/>
        <w:jc w:val="both"/>
        <w:rPr>
          <w:rFonts w:ascii="Garamond" w:hAnsi="Garamond"/>
          <w:color w:val="000000" w:themeColor="text1"/>
          <w:kern w:val="16"/>
        </w:rPr>
      </w:pPr>
      <w:r w:rsidRPr="00B051E5">
        <w:rPr>
          <w:rFonts w:ascii="Garamond" w:hAnsi="Garamond"/>
          <w:color w:val="000000" w:themeColor="text1"/>
          <w:kern w:val="16"/>
        </w:rPr>
        <w:t>Elamer, A. A., Ntim, C. G., Abdou, H. A., Owusu, A., Elmagrhi, M., &amp; Ibrahim, A. E. A. (2021). Are bank risk disclosures informative? Evidence from debt markets. Int</w:t>
      </w:r>
      <w:r w:rsidRPr="00B051E5">
        <w:rPr>
          <w:rFonts w:ascii="Garamond" w:hAnsi="Garamond"/>
          <w:i/>
          <w:iCs/>
          <w:color w:val="000000" w:themeColor="text1"/>
          <w:kern w:val="16"/>
        </w:rPr>
        <w:t>ernational Journal of Finance &amp; Economics, 26</w:t>
      </w:r>
      <w:r w:rsidRPr="00B051E5">
        <w:rPr>
          <w:rFonts w:ascii="Garamond" w:hAnsi="Garamond"/>
          <w:color w:val="000000" w:themeColor="text1"/>
          <w:kern w:val="16"/>
        </w:rPr>
        <w:t>(1), 1270-1298.</w:t>
      </w:r>
    </w:p>
    <w:p w14:paraId="40FC9793" w14:textId="77777777" w:rsidR="00E34E8B" w:rsidRPr="00B051E5" w:rsidRDefault="00E34E8B" w:rsidP="00E34E8B">
      <w:pPr>
        <w:ind w:hanging="720"/>
        <w:jc w:val="both"/>
        <w:rPr>
          <w:rFonts w:ascii="Garamond" w:eastAsia="Calibri" w:hAnsi="Garamond"/>
          <w:color w:val="000000" w:themeColor="text1"/>
        </w:rPr>
      </w:pPr>
      <w:r w:rsidRPr="00B051E5">
        <w:rPr>
          <w:rFonts w:ascii="Garamond" w:eastAsia="Calibri" w:hAnsi="Garamond"/>
          <w:color w:val="000000" w:themeColor="text1"/>
        </w:rPr>
        <w:t>Elshandidy, T., Fraser, I.,</w:t>
      </w:r>
      <w:r w:rsidRPr="00B051E5">
        <w:rPr>
          <w:rFonts w:ascii="Garamond" w:eastAsia="Calibri" w:hAnsi="Garamond"/>
          <w:bCs/>
          <w:color w:val="000000" w:themeColor="text1"/>
        </w:rPr>
        <w:t xml:space="preserve"> &amp;</w:t>
      </w:r>
      <w:r w:rsidRPr="00B051E5">
        <w:rPr>
          <w:rFonts w:ascii="Garamond" w:eastAsia="Calibri" w:hAnsi="Garamond"/>
          <w:color w:val="000000" w:themeColor="text1"/>
        </w:rPr>
        <w:t xml:space="preserve"> Hussainey, K. (2015). What drives mandatory and voluntary risk reporting variations across Germany, UK, and US? </w:t>
      </w:r>
      <w:r w:rsidRPr="00B051E5">
        <w:rPr>
          <w:rFonts w:ascii="Garamond" w:eastAsia="Calibri" w:hAnsi="Garamond"/>
          <w:i/>
          <w:iCs/>
          <w:color w:val="000000" w:themeColor="text1"/>
        </w:rPr>
        <w:t>The British Accounting Review</w:t>
      </w:r>
      <w:r w:rsidRPr="00B051E5">
        <w:rPr>
          <w:rFonts w:ascii="Garamond" w:eastAsia="Calibri" w:hAnsi="Garamond"/>
          <w:color w:val="000000" w:themeColor="text1"/>
        </w:rPr>
        <w:t xml:space="preserve">, </w:t>
      </w:r>
      <w:r w:rsidRPr="00B051E5">
        <w:rPr>
          <w:rFonts w:ascii="Garamond" w:eastAsia="Calibri" w:hAnsi="Garamond"/>
          <w:i/>
          <w:color w:val="000000" w:themeColor="text1"/>
        </w:rPr>
        <w:t>47</w:t>
      </w:r>
      <w:r w:rsidRPr="00B051E5">
        <w:rPr>
          <w:rFonts w:ascii="Garamond" w:eastAsia="Calibri" w:hAnsi="Garamond"/>
          <w:color w:val="000000" w:themeColor="text1"/>
        </w:rPr>
        <w:t>(4), 376-394.</w:t>
      </w:r>
    </w:p>
    <w:p w14:paraId="494CC5BA" w14:textId="7D1B317E" w:rsidR="00E34E8B" w:rsidRPr="00B051E5" w:rsidRDefault="00E34E8B" w:rsidP="00E34E8B">
      <w:pPr>
        <w:ind w:hanging="720"/>
        <w:jc w:val="both"/>
        <w:rPr>
          <w:rFonts w:ascii="Garamond" w:eastAsia="Calibri" w:hAnsi="Garamond"/>
          <w:color w:val="000000" w:themeColor="text1"/>
        </w:rPr>
      </w:pPr>
      <w:r w:rsidRPr="00B051E5">
        <w:rPr>
          <w:rFonts w:ascii="Garamond" w:eastAsia="Calibri" w:hAnsi="Garamond"/>
          <w:color w:val="000000" w:themeColor="text1"/>
        </w:rPr>
        <w:t xml:space="preserve">Elshandidy, T., &amp; Neri, L. (2015). Corporate governance, risk reporting practices, and market liquidity: comparative evidence from the UK and Italy. </w:t>
      </w:r>
      <w:r w:rsidRPr="00B051E5">
        <w:rPr>
          <w:rFonts w:ascii="Garamond" w:eastAsia="Calibri" w:hAnsi="Garamond"/>
          <w:i/>
          <w:iCs/>
          <w:color w:val="000000" w:themeColor="text1"/>
        </w:rPr>
        <w:t>Corporate Governance: An International Review</w:t>
      </w:r>
      <w:r w:rsidRPr="00B051E5">
        <w:rPr>
          <w:rFonts w:ascii="Garamond" w:eastAsia="Calibri" w:hAnsi="Garamond"/>
          <w:color w:val="000000" w:themeColor="text1"/>
        </w:rPr>
        <w:t xml:space="preserve">, </w:t>
      </w:r>
      <w:r w:rsidRPr="00B051E5">
        <w:rPr>
          <w:rFonts w:ascii="Garamond" w:eastAsia="Calibri" w:hAnsi="Garamond"/>
          <w:i/>
          <w:color w:val="000000" w:themeColor="text1"/>
        </w:rPr>
        <w:t>23</w:t>
      </w:r>
      <w:r w:rsidRPr="00B051E5">
        <w:rPr>
          <w:rFonts w:ascii="Garamond" w:eastAsia="Calibri" w:hAnsi="Garamond"/>
          <w:color w:val="000000" w:themeColor="text1"/>
        </w:rPr>
        <w:t xml:space="preserve">(4), 331-356. </w:t>
      </w:r>
    </w:p>
    <w:p w14:paraId="214A5461" w14:textId="3DCE5553" w:rsidR="00E34E8B" w:rsidRPr="00B051E5" w:rsidRDefault="00E34E8B" w:rsidP="00E34E8B">
      <w:pPr>
        <w:ind w:hanging="720"/>
        <w:jc w:val="both"/>
        <w:rPr>
          <w:rFonts w:ascii="Garamond" w:eastAsia="Calibri" w:hAnsi="Garamond"/>
          <w:color w:val="000000" w:themeColor="text1"/>
        </w:rPr>
      </w:pPr>
      <w:r w:rsidRPr="00B051E5">
        <w:rPr>
          <w:rFonts w:ascii="Garamond" w:eastAsia="Calibri" w:hAnsi="Garamond"/>
          <w:color w:val="000000" w:themeColor="text1"/>
        </w:rPr>
        <w:t>Elshandidy, T., Shrives, P. J., Bamber, M., &amp; Abraham, S. (2018). Risk reporting: A review of the literature and implications for future research</w:t>
      </w:r>
      <w:r w:rsidRPr="00B051E5">
        <w:rPr>
          <w:rFonts w:ascii="Garamond" w:eastAsia="Calibri" w:hAnsi="Garamond"/>
          <w:i/>
          <w:iCs/>
          <w:color w:val="000000" w:themeColor="text1"/>
        </w:rPr>
        <w:t>. Journal of Accounting Literature</w:t>
      </w:r>
      <w:r w:rsidRPr="00B051E5">
        <w:rPr>
          <w:rFonts w:ascii="Garamond" w:eastAsia="Calibri" w:hAnsi="Garamond"/>
          <w:color w:val="000000" w:themeColor="text1"/>
        </w:rPr>
        <w:t>, 40, 54-82.</w:t>
      </w:r>
    </w:p>
    <w:p w14:paraId="2FAC1AA9" w14:textId="454809AB" w:rsidR="0081426B" w:rsidRPr="00B051E5" w:rsidRDefault="0081426B" w:rsidP="0081426B">
      <w:pPr>
        <w:ind w:hanging="720"/>
        <w:jc w:val="both"/>
        <w:rPr>
          <w:rFonts w:ascii="Garamond" w:hAnsi="Garamond"/>
          <w:color w:val="000000" w:themeColor="text1"/>
          <w:kern w:val="16"/>
        </w:rPr>
      </w:pPr>
      <w:r w:rsidRPr="00B051E5">
        <w:rPr>
          <w:rFonts w:ascii="Garamond" w:hAnsi="Garamond" w:cs="Arial"/>
          <w:color w:val="000000" w:themeColor="text1"/>
          <w:shd w:val="clear" w:color="auto" w:fill="FFFFFF"/>
        </w:rPr>
        <w:t>Elshandidy, T., &amp; Zeng, C. (2022). The value relevance of risk-related disclosure: Does the tone of disclosure matter?. </w:t>
      </w:r>
      <w:r w:rsidRPr="00B051E5">
        <w:rPr>
          <w:rFonts w:ascii="Garamond" w:hAnsi="Garamond" w:cs="Arial"/>
          <w:i/>
          <w:iCs/>
          <w:color w:val="000000" w:themeColor="text1"/>
          <w:shd w:val="clear" w:color="auto" w:fill="FFFFFF"/>
        </w:rPr>
        <w:t>Borsa Istanbul Review</w:t>
      </w:r>
      <w:r w:rsidRPr="00B051E5">
        <w:rPr>
          <w:rFonts w:ascii="Garamond" w:hAnsi="Garamond" w:cs="Arial"/>
          <w:color w:val="000000" w:themeColor="text1"/>
          <w:shd w:val="clear" w:color="auto" w:fill="FFFFFF"/>
        </w:rPr>
        <w:t>, </w:t>
      </w:r>
      <w:r w:rsidRPr="00B051E5">
        <w:rPr>
          <w:rFonts w:ascii="Garamond" w:hAnsi="Garamond" w:cs="Arial"/>
          <w:i/>
          <w:iCs/>
          <w:color w:val="000000" w:themeColor="text1"/>
          <w:shd w:val="clear" w:color="auto" w:fill="FFFFFF"/>
        </w:rPr>
        <w:t>22</w:t>
      </w:r>
      <w:r w:rsidRPr="00B051E5">
        <w:rPr>
          <w:rFonts w:ascii="Garamond" w:hAnsi="Garamond" w:cs="Arial"/>
          <w:color w:val="000000" w:themeColor="text1"/>
          <w:shd w:val="clear" w:color="auto" w:fill="FFFFFF"/>
        </w:rPr>
        <w:t>(3), 498-514.</w:t>
      </w:r>
    </w:p>
    <w:p w14:paraId="28C8EC9D" w14:textId="0B2EE007" w:rsidR="00F149B4" w:rsidRPr="00B051E5" w:rsidRDefault="00F149B4" w:rsidP="00D75008">
      <w:pPr>
        <w:ind w:hanging="720"/>
        <w:jc w:val="both"/>
        <w:rPr>
          <w:rFonts w:ascii="Garamond" w:eastAsia="Calibri" w:hAnsi="Garamond"/>
          <w:color w:val="000000" w:themeColor="text1"/>
        </w:rPr>
      </w:pPr>
      <w:r w:rsidRPr="00B051E5">
        <w:rPr>
          <w:rFonts w:ascii="Garamond" w:eastAsia="Calibri" w:hAnsi="Garamond"/>
          <w:color w:val="000000" w:themeColor="text1"/>
        </w:rPr>
        <w:t>FRC. (2010</w:t>
      </w:r>
      <w:r w:rsidR="00330EBB" w:rsidRPr="00B051E5">
        <w:rPr>
          <w:rFonts w:ascii="Garamond" w:eastAsia="Calibri" w:hAnsi="Garamond"/>
          <w:color w:val="000000" w:themeColor="text1"/>
        </w:rPr>
        <w:t xml:space="preserve">), </w:t>
      </w:r>
      <w:r w:rsidRPr="00B051E5">
        <w:rPr>
          <w:rFonts w:ascii="Garamond" w:eastAsia="Calibri" w:hAnsi="Garamond"/>
          <w:i/>
          <w:color w:val="000000" w:themeColor="text1"/>
        </w:rPr>
        <w:t>The UK approach to corporate governance</w:t>
      </w:r>
      <w:r w:rsidR="00330EBB" w:rsidRPr="00B051E5">
        <w:rPr>
          <w:rFonts w:ascii="Garamond" w:eastAsia="Calibri" w:hAnsi="Garamond"/>
          <w:color w:val="000000" w:themeColor="text1"/>
        </w:rPr>
        <w:t xml:space="preserve">, </w:t>
      </w:r>
      <w:r w:rsidRPr="00B051E5">
        <w:rPr>
          <w:rFonts w:ascii="Garamond" w:eastAsia="Calibri" w:hAnsi="Garamond"/>
          <w:color w:val="000000" w:themeColor="text1"/>
        </w:rPr>
        <w:t>London: Financial Reporting Council.</w:t>
      </w:r>
    </w:p>
    <w:p w14:paraId="3896F576" w14:textId="77777777" w:rsidR="00E34E8B" w:rsidRPr="00B051E5" w:rsidRDefault="00E34E8B" w:rsidP="00E34E8B">
      <w:pPr>
        <w:autoSpaceDE w:val="0"/>
        <w:autoSpaceDN w:val="0"/>
        <w:adjustRightInd w:val="0"/>
        <w:ind w:hanging="720"/>
        <w:jc w:val="both"/>
        <w:rPr>
          <w:rFonts w:ascii="Garamond" w:hAnsi="Garamond"/>
          <w:color w:val="000000" w:themeColor="text1"/>
          <w:kern w:val="16"/>
        </w:rPr>
      </w:pPr>
      <w:r w:rsidRPr="00B051E5">
        <w:rPr>
          <w:rFonts w:ascii="Garamond" w:hAnsi="Garamond"/>
          <w:color w:val="000000" w:themeColor="text1"/>
          <w:kern w:val="16"/>
        </w:rPr>
        <w:t>Haggard, K.S., Martin, X.,</w:t>
      </w:r>
      <w:r w:rsidRPr="00B051E5">
        <w:rPr>
          <w:rFonts w:ascii="Garamond" w:eastAsia="Calibri" w:hAnsi="Garamond"/>
          <w:color w:val="000000" w:themeColor="text1"/>
        </w:rPr>
        <w:t xml:space="preserve"> &amp; Pereira</w:t>
      </w:r>
      <w:r w:rsidRPr="00B051E5">
        <w:rPr>
          <w:rFonts w:ascii="Garamond" w:hAnsi="Garamond"/>
          <w:color w:val="000000" w:themeColor="text1"/>
          <w:kern w:val="16"/>
        </w:rPr>
        <w:t xml:space="preserve">, R. (2008). Does voluntary disclosure improve stock price informativeness? </w:t>
      </w:r>
      <w:r w:rsidRPr="00B051E5">
        <w:rPr>
          <w:rFonts w:ascii="Garamond" w:hAnsi="Garamond"/>
          <w:i/>
          <w:color w:val="000000" w:themeColor="text1"/>
          <w:kern w:val="16"/>
        </w:rPr>
        <w:t>Financial Management</w:t>
      </w:r>
      <w:r w:rsidRPr="00B051E5">
        <w:rPr>
          <w:rFonts w:ascii="Garamond" w:hAnsi="Garamond"/>
          <w:color w:val="000000" w:themeColor="text1"/>
          <w:kern w:val="16"/>
        </w:rPr>
        <w:t xml:space="preserve">, </w:t>
      </w:r>
      <w:r w:rsidRPr="00B051E5">
        <w:rPr>
          <w:rFonts w:ascii="Garamond" w:hAnsi="Garamond"/>
          <w:i/>
          <w:color w:val="000000" w:themeColor="text1"/>
          <w:kern w:val="16"/>
        </w:rPr>
        <w:t>37</w:t>
      </w:r>
      <w:r w:rsidRPr="00B051E5">
        <w:rPr>
          <w:rFonts w:ascii="Garamond" w:hAnsi="Garamond"/>
          <w:color w:val="000000" w:themeColor="text1"/>
          <w:kern w:val="16"/>
        </w:rPr>
        <w:t>(4), 747-768.</w:t>
      </w:r>
    </w:p>
    <w:p w14:paraId="33EB9D7D" w14:textId="71739085" w:rsidR="00F149B4" w:rsidRPr="00B051E5" w:rsidRDefault="00DC0B5B" w:rsidP="00D75008">
      <w:pPr>
        <w:autoSpaceDE w:val="0"/>
        <w:autoSpaceDN w:val="0"/>
        <w:adjustRightInd w:val="0"/>
        <w:ind w:hanging="720"/>
        <w:jc w:val="both"/>
        <w:rPr>
          <w:rFonts w:ascii="Garamond" w:hAnsi="Garamond"/>
          <w:color w:val="000000" w:themeColor="text1"/>
          <w:kern w:val="16"/>
        </w:rPr>
      </w:pPr>
      <w:r w:rsidRPr="00B051E5">
        <w:rPr>
          <w:rFonts w:ascii="Garamond" w:hAnsi="Garamond"/>
          <w:color w:val="000000" w:themeColor="text1"/>
          <w:kern w:val="16"/>
        </w:rPr>
        <w:t xml:space="preserve">Hassanein, A., </w:t>
      </w:r>
      <w:r w:rsidR="00E34E8B" w:rsidRPr="00B051E5">
        <w:rPr>
          <w:rFonts w:ascii="Garamond" w:eastAsia="Calibri" w:hAnsi="Garamond"/>
          <w:bCs/>
          <w:color w:val="000000" w:themeColor="text1"/>
        </w:rPr>
        <w:t>&amp;</w:t>
      </w:r>
      <w:r w:rsidR="00EE13E7" w:rsidRPr="00B051E5" w:rsidDel="00330EBB">
        <w:rPr>
          <w:rFonts w:ascii="Garamond" w:hAnsi="Garamond"/>
          <w:color w:val="000000" w:themeColor="text1"/>
          <w:kern w:val="16"/>
        </w:rPr>
        <w:t xml:space="preserve"> </w:t>
      </w:r>
      <w:r w:rsidR="00EE13E7" w:rsidRPr="00B051E5">
        <w:rPr>
          <w:rFonts w:ascii="Garamond" w:hAnsi="Garamond"/>
          <w:color w:val="000000" w:themeColor="text1"/>
          <w:kern w:val="16"/>
        </w:rPr>
        <w:t>Hussainey</w:t>
      </w:r>
      <w:r w:rsidRPr="00B051E5">
        <w:rPr>
          <w:rFonts w:ascii="Garamond" w:hAnsi="Garamond"/>
          <w:color w:val="000000" w:themeColor="text1"/>
          <w:kern w:val="16"/>
        </w:rPr>
        <w:t>, K. (2015</w:t>
      </w:r>
      <w:r w:rsidR="00330EBB" w:rsidRPr="00B051E5">
        <w:rPr>
          <w:rFonts w:ascii="Garamond" w:hAnsi="Garamond"/>
          <w:color w:val="000000" w:themeColor="text1"/>
          <w:kern w:val="16"/>
        </w:rPr>
        <w:t>)</w:t>
      </w:r>
      <w:r w:rsidR="00E34E8B" w:rsidRPr="00B051E5">
        <w:rPr>
          <w:rFonts w:ascii="Garamond" w:hAnsi="Garamond"/>
          <w:color w:val="000000" w:themeColor="text1"/>
          <w:kern w:val="16"/>
        </w:rPr>
        <w:t xml:space="preserve">. </w:t>
      </w:r>
      <w:r w:rsidRPr="00B051E5">
        <w:rPr>
          <w:rFonts w:ascii="Garamond" w:hAnsi="Garamond"/>
          <w:color w:val="000000" w:themeColor="text1"/>
          <w:kern w:val="16"/>
        </w:rPr>
        <w:t>Is forward-looking financial disclosure really informative? Evidence from UK narrative statements</w:t>
      </w:r>
      <w:r w:rsidR="00E34E8B" w:rsidRPr="00B051E5">
        <w:rPr>
          <w:rFonts w:ascii="Garamond" w:eastAsia="SimSun" w:hAnsi="Garamond"/>
          <w:color w:val="000000" w:themeColor="text1"/>
          <w:lang w:val="en-US" w:eastAsia="zh-CN"/>
        </w:rPr>
        <w:t xml:space="preserve">. </w:t>
      </w:r>
      <w:r w:rsidRPr="00B051E5">
        <w:rPr>
          <w:rFonts w:ascii="Garamond" w:hAnsi="Garamond"/>
          <w:i/>
          <w:iCs/>
          <w:color w:val="000000" w:themeColor="text1"/>
          <w:kern w:val="16"/>
        </w:rPr>
        <w:t>International Review of Financial Analysis</w:t>
      </w:r>
      <w:r w:rsidRPr="00B051E5">
        <w:rPr>
          <w:rFonts w:ascii="Garamond" w:hAnsi="Garamond"/>
          <w:color w:val="000000" w:themeColor="text1"/>
          <w:kern w:val="16"/>
        </w:rPr>
        <w:t xml:space="preserve">, </w:t>
      </w:r>
      <w:r w:rsidRPr="00B051E5">
        <w:rPr>
          <w:rFonts w:ascii="Garamond" w:hAnsi="Garamond"/>
          <w:i/>
          <w:iCs/>
          <w:color w:val="000000" w:themeColor="text1"/>
          <w:kern w:val="16"/>
        </w:rPr>
        <w:t>41</w:t>
      </w:r>
      <w:r w:rsidRPr="00B051E5">
        <w:rPr>
          <w:rFonts w:ascii="Garamond" w:hAnsi="Garamond"/>
          <w:color w:val="000000" w:themeColor="text1"/>
          <w:kern w:val="16"/>
        </w:rPr>
        <w:t>, 52-61.</w:t>
      </w:r>
    </w:p>
    <w:p w14:paraId="4103FF61" w14:textId="0D3C06B4" w:rsidR="00F149B4" w:rsidRPr="00B051E5" w:rsidRDefault="00F149B4" w:rsidP="004E0886">
      <w:pPr>
        <w:ind w:hanging="720"/>
        <w:jc w:val="both"/>
        <w:rPr>
          <w:rFonts w:ascii="Garamond" w:eastAsia="Calibri" w:hAnsi="Garamond"/>
          <w:color w:val="000000" w:themeColor="text1"/>
        </w:rPr>
      </w:pPr>
      <w:r w:rsidRPr="00B051E5">
        <w:rPr>
          <w:rFonts w:ascii="Garamond" w:eastAsia="Calibri" w:hAnsi="Garamond"/>
          <w:color w:val="000000" w:themeColor="text1"/>
        </w:rPr>
        <w:lastRenderedPageBreak/>
        <w:t>ICAEW (2011</w:t>
      </w:r>
      <w:r w:rsidR="00330EBB" w:rsidRPr="00B051E5">
        <w:rPr>
          <w:rFonts w:ascii="Garamond" w:eastAsia="Calibri" w:hAnsi="Garamond"/>
          <w:color w:val="000000" w:themeColor="text1"/>
        </w:rPr>
        <w:t>),</w:t>
      </w:r>
      <w:r w:rsidR="00330EBB" w:rsidRPr="00B051E5">
        <w:rPr>
          <w:rFonts w:ascii="Garamond" w:eastAsia="Calibri" w:hAnsi="Garamond"/>
          <w:i/>
          <w:color w:val="000000" w:themeColor="text1"/>
        </w:rPr>
        <w:t xml:space="preserve"> </w:t>
      </w:r>
      <w:r w:rsidRPr="00B051E5">
        <w:rPr>
          <w:rFonts w:ascii="Garamond" w:eastAsia="Calibri" w:hAnsi="Garamond"/>
          <w:bCs/>
          <w:i/>
          <w:color w:val="000000" w:themeColor="text1"/>
        </w:rPr>
        <w:t>Reporting business risks: Meeting expectations.</w:t>
      </w:r>
      <w:r w:rsidRPr="00B051E5">
        <w:rPr>
          <w:rFonts w:ascii="Garamond" w:eastAsia="Calibri" w:hAnsi="Garamond"/>
          <w:color w:val="000000" w:themeColor="text1"/>
        </w:rPr>
        <w:t xml:space="preserve"> London: Institute of Chartered Accountants in England and Wales.</w:t>
      </w:r>
    </w:p>
    <w:p w14:paraId="7330485B" w14:textId="77777777" w:rsidR="00E34E8B" w:rsidRPr="00B051E5" w:rsidRDefault="00E34E8B" w:rsidP="00E34E8B">
      <w:pPr>
        <w:ind w:hanging="720"/>
        <w:jc w:val="both"/>
        <w:rPr>
          <w:rFonts w:ascii="Garamond" w:eastAsia="Calibri" w:hAnsi="Garamond"/>
          <w:color w:val="000000" w:themeColor="text1"/>
        </w:rPr>
      </w:pPr>
      <w:r w:rsidRPr="00B051E5">
        <w:rPr>
          <w:rFonts w:ascii="Garamond" w:eastAsia="Calibri" w:hAnsi="Garamond"/>
          <w:color w:val="000000" w:themeColor="text1"/>
        </w:rPr>
        <w:t xml:space="preserve">Jin, L., &amp; Myers., S.C. (2006). </w:t>
      </w:r>
      <w:r w:rsidRPr="00B051E5">
        <w:rPr>
          <w:rFonts w:ascii="Garamond" w:eastAsia="Calibri" w:hAnsi="Garamond"/>
          <w:i/>
          <w:iCs/>
          <w:color w:val="000000" w:themeColor="text1"/>
        </w:rPr>
        <w:t>R</w:t>
      </w:r>
      <w:r w:rsidRPr="00B051E5">
        <w:rPr>
          <w:rFonts w:ascii="Garamond" w:eastAsia="Calibri" w:hAnsi="Garamond"/>
          <w:color w:val="000000" w:themeColor="text1"/>
          <w:vertAlign w:val="superscript"/>
        </w:rPr>
        <w:t>2</w:t>
      </w:r>
      <w:r w:rsidRPr="00B051E5">
        <w:rPr>
          <w:rFonts w:ascii="Garamond" w:eastAsia="Calibri" w:hAnsi="Garamond"/>
          <w:color w:val="000000" w:themeColor="text1"/>
        </w:rPr>
        <w:t xml:space="preserve"> around the world: New theory and new tests. </w:t>
      </w:r>
      <w:r w:rsidRPr="00B051E5">
        <w:rPr>
          <w:rFonts w:ascii="Garamond" w:eastAsia="Calibri" w:hAnsi="Garamond"/>
          <w:i/>
          <w:iCs/>
          <w:color w:val="000000" w:themeColor="text1"/>
        </w:rPr>
        <w:t xml:space="preserve">Journal of Financial Economics </w:t>
      </w:r>
      <w:r w:rsidRPr="00B051E5">
        <w:rPr>
          <w:rFonts w:ascii="Garamond" w:eastAsia="Calibri" w:hAnsi="Garamond"/>
          <w:i/>
          <w:color w:val="000000" w:themeColor="text1"/>
        </w:rPr>
        <w:t>79</w:t>
      </w:r>
      <w:r w:rsidRPr="00B051E5">
        <w:rPr>
          <w:rFonts w:ascii="Garamond" w:eastAsia="Calibri" w:hAnsi="Garamond"/>
          <w:color w:val="000000" w:themeColor="text1"/>
        </w:rPr>
        <w:t>(2), 257-292.</w:t>
      </w:r>
    </w:p>
    <w:p w14:paraId="1B362783" w14:textId="77777777" w:rsidR="00E34E8B" w:rsidRPr="00B051E5" w:rsidRDefault="00E34E8B" w:rsidP="00E34E8B">
      <w:pPr>
        <w:ind w:hanging="720"/>
        <w:jc w:val="both"/>
        <w:rPr>
          <w:rFonts w:ascii="Garamond" w:eastAsia="Calibri" w:hAnsi="Garamond"/>
          <w:color w:val="000000" w:themeColor="text1"/>
        </w:rPr>
      </w:pPr>
      <w:r w:rsidRPr="00B051E5">
        <w:rPr>
          <w:rFonts w:ascii="Garamond" w:eastAsia="Calibri" w:hAnsi="Garamond"/>
          <w:color w:val="000000" w:themeColor="text1"/>
        </w:rPr>
        <w:t>Kothari, S. P., Li, X., &amp; Short, J. E. (2009). The effect of disclosures by management, analysts, and business press on cost of capital, return volatility, and analyst forecasts: A study using content analysis. </w:t>
      </w:r>
      <w:r w:rsidRPr="00B051E5">
        <w:rPr>
          <w:rFonts w:ascii="Garamond" w:eastAsia="Calibri" w:hAnsi="Garamond"/>
          <w:i/>
          <w:iCs/>
          <w:color w:val="000000" w:themeColor="text1"/>
        </w:rPr>
        <w:t>The Accounting Review</w:t>
      </w:r>
      <w:r w:rsidRPr="00B051E5">
        <w:rPr>
          <w:rFonts w:ascii="Garamond" w:eastAsia="Calibri" w:hAnsi="Garamond"/>
          <w:color w:val="000000" w:themeColor="text1"/>
        </w:rPr>
        <w:t>,</w:t>
      </w:r>
      <w:r w:rsidRPr="00B051E5">
        <w:rPr>
          <w:rFonts w:ascii="Garamond" w:eastAsia="Calibri" w:hAnsi="Garamond"/>
          <w:i/>
          <w:iCs/>
          <w:color w:val="000000" w:themeColor="text1"/>
        </w:rPr>
        <w:t xml:space="preserve"> 84</w:t>
      </w:r>
      <w:r w:rsidRPr="00B051E5">
        <w:rPr>
          <w:rFonts w:ascii="Garamond" w:eastAsia="Calibri" w:hAnsi="Garamond"/>
          <w:color w:val="000000" w:themeColor="text1"/>
        </w:rPr>
        <w:t>(5), 1639-1670.</w:t>
      </w:r>
    </w:p>
    <w:p w14:paraId="0CC9EFD7" w14:textId="3CE3BD72" w:rsidR="00E34E8B" w:rsidRPr="00B051E5" w:rsidRDefault="00E34E8B" w:rsidP="00E34E8B">
      <w:pPr>
        <w:ind w:hanging="720"/>
        <w:jc w:val="both"/>
        <w:rPr>
          <w:rFonts w:ascii="Garamond" w:eastAsia="Calibri" w:hAnsi="Garamond"/>
          <w:bCs/>
          <w:color w:val="000000" w:themeColor="text1"/>
        </w:rPr>
      </w:pPr>
      <w:r w:rsidRPr="00B051E5">
        <w:rPr>
          <w:rFonts w:ascii="Garamond" w:eastAsia="Calibri" w:hAnsi="Garamond"/>
          <w:bCs/>
          <w:color w:val="000000" w:themeColor="text1"/>
        </w:rPr>
        <w:t>Kravet, T., &amp; Muslu, V. (2013). Textual risk disclosures and investors’ risk perceptions. </w:t>
      </w:r>
      <w:r w:rsidRPr="00B051E5">
        <w:rPr>
          <w:rFonts w:ascii="Garamond" w:eastAsia="Calibri" w:hAnsi="Garamond"/>
          <w:bCs/>
          <w:i/>
          <w:iCs/>
          <w:color w:val="000000" w:themeColor="text1"/>
        </w:rPr>
        <w:t>Review of Accounting Studies</w:t>
      </w:r>
      <w:r w:rsidRPr="00B051E5">
        <w:rPr>
          <w:rFonts w:ascii="Garamond" w:eastAsia="Calibri" w:hAnsi="Garamond"/>
          <w:bCs/>
          <w:color w:val="000000" w:themeColor="text1"/>
        </w:rPr>
        <w:t>, </w:t>
      </w:r>
      <w:r w:rsidRPr="00B051E5">
        <w:rPr>
          <w:rFonts w:ascii="Garamond" w:eastAsia="Calibri" w:hAnsi="Garamond"/>
          <w:bCs/>
          <w:i/>
          <w:iCs/>
          <w:color w:val="000000" w:themeColor="text1"/>
        </w:rPr>
        <w:t>18</w:t>
      </w:r>
      <w:r w:rsidRPr="00B051E5">
        <w:rPr>
          <w:rFonts w:ascii="Garamond" w:eastAsia="Calibri" w:hAnsi="Garamond"/>
          <w:bCs/>
          <w:color w:val="000000" w:themeColor="text1"/>
        </w:rPr>
        <w:t>(4), 1088-1122.</w:t>
      </w:r>
    </w:p>
    <w:p w14:paraId="07E79E53" w14:textId="747B8E9A" w:rsidR="00E34E8B" w:rsidRPr="00B051E5" w:rsidRDefault="00E34E8B" w:rsidP="00E34E8B">
      <w:pPr>
        <w:ind w:hanging="720"/>
        <w:jc w:val="both"/>
        <w:rPr>
          <w:rFonts w:ascii="Garamond" w:eastAsia="Calibri" w:hAnsi="Garamond"/>
          <w:bCs/>
          <w:color w:val="000000" w:themeColor="text1"/>
        </w:rPr>
      </w:pPr>
      <w:r w:rsidRPr="00B051E5">
        <w:rPr>
          <w:rFonts w:ascii="Garamond" w:eastAsia="Calibri" w:hAnsi="Garamond"/>
          <w:color w:val="000000" w:themeColor="text1"/>
        </w:rPr>
        <w:t>Krause, J., Sellhorn, T., &amp; Ahmed, K. (2017). Extreme uncertainty and forward</w:t>
      </w:r>
      <w:r w:rsidRPr="00B051E5">
        <w:rPr>
          <w:rFonts w:ascii="Cambria Math" w:eastAsia="Calibri" w:hAnsi="Cambria Math" w:cs="Cambria Math"/>
          <w:color w:val="000000" w:themeColor="text1"/>
        </w:rPr>
        <w:t>‐</w:t>
      </w:r>
      <w:r w:rsidRPr="00B051E5">
        <w:rPr>
          <w:rFonts w:ascii="Garamond" w:eastAsia="Calibri" w:hAnsi="Garamond"/>
          <w:color w:val="000000" w:themeColor="text1"/>
        </w:rPr>
        <w:t xml:space="preserve">looking disclosure properties. </w:t>
      </w:r>
      <w:r w:rsidRPr="00B051E5">
        <w:rPr>
          <w:rFonts w:ascii="Garamond" w:eastAsia="Calibri" w:hAnsi="Garamond"/>
          <w:i/>
          <w:iCs/>
          <w:color w:val="000000" w:themeColor="text1"/>
        </w:rPr>
        <w:t>Abacus</w:t>
      </w:r>
      <w:r w:rsidRPr="00B051E5">
        <w:rPr>
          <w:rFonts w:ascii="Garamond" w:eastAsia="Calibri" w:hAnsi="Garamond"/>
          <w:color w:val="000000" w:themeColor="text1"/>
        </w:rPr>
        <w:t xml:space="preserve">, </w:t>
      </w:r>
      <w:r w:rsidRPr="00B051E5">
        <w:rPr>
          <w:rFonts w:ascii="Garamond" w:eastAsia="Calibri" w:hAnsi="Garamond"/>
          <w:i/>
          <w:iCs/>
          <w:color w:val="000000" w:themeColor="text1"/>
        </w:rPr>
        <w:t>53</w:t>
      </w:r>
      <w:r w:rsidRPr="00B051E5">
        <w:rPr>
          <w:rFonts w:ascii="Garamond" w:eastAsia="Calibri" w:hAnsi="Garamond"/>
          <w:color w:val="000000" w:themeColor="text1"/>
        </w:rPr>
        <w:t>(2), 240-272</w:t>
      </w:r>
      <w:r w:rsidRPr="00B051E5">
        <w:rPr>
          <w:rFonts w:ascii="Garamond" w:eastAsia="Calibri" w:hAnsi="Garamond"/>
          <w:bCs/>
          <w:color w:val="000000" w:themeColor="text1"/>
        </w:rPr>
        <w:t>.</w:t>
      </w:r>
    </w:p>
    <w:p w14:paraId="36BC954C" w14:textId="77777777" w:rsidR="00523DB2" w:rsidRPr="00B051E5" w:rsidRDefault="00523DB2" w:rsidP="00523DB2">
      <w:pPr>
        <w:autoSpaceDE w:val="0"/>
        <w:autoSpaceDN w:val="0"/>
        <w:adjustRightInd w:val="0"/>
        <w:ind w:hanging="720"/>
        <w:jc w:val="both"/>
        <w:rPr>
          <w:rFonts w:ascii="Garamond" w:eastAsia="Calibri" w:hAnsi="Garamond"/>
          <w:iCs/>
          <w:color w:val="000000" w:themeColor="text1"/>
        </w:rPr>
      </w:pPr>
      <w:r w:rsidRPr="00B051E5">
        <w:rPr>
          <w:rFonts w:ascii="Garamond" w:eastAsia="Calibri" w:hAnsi="Garamond"/>
          <w:iCs/>
          <w:color w:val="000000" w:themeColor="text1"/>
        </w:rPr>
        <w:t>Li, F. (2010). The information content of forward</w:t>
      </w:r>
      <w:r w:rsidRPr="00B051E5">
        <w:rPr>
          <w:rFonts w:ascii="Cambria Math" w:eastAsia="Calibri" w:hAnsi="Cambria Math" w:cs="Cambria Math"/>
          <w:iCs/>
          <w:color w:val="000000" w:themeColor="text1"/>
        </w:rPr>
        <w:t>‐</w:t>
      </w:r>
      <w:r w:rsidRPr="00B051E5">
        <w:rPr>
          <w:rFonts w:ascii="Garamond" w:eastAsia="Calibri" w:hAnsi="Garamond"/>
          <w:iCs/>
          <w:color w:val="000000" w:themeColor="text1"/>
        </w:rPr>
        <w:t>looking statements in corporate filings</w:t>
      </w:r>
      <w:r w:rsidRPr="00B051E5">
        <w:rPr>
          <w:rFonts w:ascii="Garamond" w:eastAsia="Calibri" w:hAnsi="Garamond" w:cs="Garamond"/>
          <w:iCs/>
          <w:color w:val="000000" w:themeColor="text1"/>
        </w:rPr>
        <w:t>—</w:t>
      </w:r>
      <w:r w:rsidRPr="00B051E5">
        <w:rPr>
          <w:rFonts w:ascii="Garamond" w:eastAsia="Calibri" w:hAnsi="Garamond"/>
          <w:iCs/>
          <w:color w:val="000000" w:themeColor="text1"/>
        </w:rPr>
        <w:t>A na</w:t>
      </w:r>
      <w:r w:rsidRPr="00B051E5">
        <w:rPr>
          <w:rFonts w:ascii="Garamond" w:eastAsia="Calibri" w:hAnsi="Garamond" w:cs="Garamond"/>
          <w:iCs/>
          <w:color w:val="000000" w:themeColor="text1"/>
        </w:rPr>
        <w:t>ï</w:t>
      </w:r>
      <w:r w:rsidRPr="00B051E5">
        <w:rPr>
          <w:rFonts w:ascii="Garamond" w:eastAsia="Calibri" w:hAnsi="Garamond"/>
          <w:iCs/>
          <w:color w:val="000000" w:themeColor="text1"/>
        </w:rPr>
        <w:t>ve Bayesian machine learning approach. </w:t>
      </w:r>
      <w:r w:rsidRPr="00B051E5">
        <w:rPr>
          <w:rFonts w:ascii="Garamond" w:eastAsia="Calibri" w:hAnsi="Garamond"/>
          <w:i/>
          <w:iCs/>
          <w:color w:val="000000" w:themeColor="text1"/>
        </w:rPr>
        <w:t>Journal of Accounting Research</w:t>
      </w:r>
      <w:r w:rsidRPr="00B051E5">
        <w:rPr>
          <w:rFonts w:ascii="Garamond" w:eastAsia="Calibri" w:hAnsi="Garamond"/>
          <w:iCs/>
          <w:color w:val="000000" w:themeColor="text1"/>
        </w:rPr>
        <w:t>, </w:t>
      </w:r>
      <w:r w:rsidRPr="00B051E5">
        <w:rPr>
          <w:rFonts w:ascii="Garamond" w:eastAsia="Calibri" w:hAnsi="Garamond"/>
          <w:i/>
          <w:iCs/>
          <w:color w:val="000000" w:themeColor="text1"/>
        </w:rPr>
        <w:t>48</w:t>
      </w:r>
      <w:r w:rsidRPr="00B051E5">
        <w:rPr>
          <w:rFonts w:ascii="Garamond" w:eastAsia="Calibri" w:hAnsi="Garamond"/>
          <w:iCs/>
          <w:color w:val="000000" w:themeColor="text1"/>
        </w:rPr>
        <w:t>(5), 1049-1102.</w:t>
      </w:r>
    </w:p>
    <w:p w14:paraId="1C8EA890" w14:textId="77777777" w:rsidR="00523DB2" w:rsidRPr="00B051E5" w:rsidRDefault="00523DB2" w:rsidP="00523DB2">
      <w:pPr>
        <w:autoSpaceDE w:val="0"/>
        <w:autoSpaceDN w:val="0"/>
        <w:adjustRightInd w:val="0"/>
        <w:ind w:hanging="720"/>
        <w:jc w:val="both"/>
        <w:rPr>
          <w:rFonts w:ascii="Garamond" w:hAnsi="Garamond"/>
          <w:color w:val="000000" w:themeColor="text1"/>
          <w:kern w:val="16"/>
        </w:rPr>
      </w:pPr>
      <w:r w:rsidRPr="00B051E5">
        <w:rPr>
          <w:rFonts w:ascii="Garamond" w:hAnsi="Garamond"/>
          <w:color w:val="000000" w:themeColor="text1"/>
          <w:kern w:val="16"/>
        </w:rPr>
        <w:t xml:space="preserve">Linsley, P., &amp; Shrives, P. (2006). Risk reporting: A study of risk disclosure in the annual reports of UK companies. </w:t>
      </w:r>
      <w:r w:rsidRPr="00B051E5">
        <w:rPr>
          <w:rFonts w:ascii="Garamond" w:eastAsia="Calibri" w:hAnsi="Garamond"/>
          <w:bCs/>
          <w:i/>
          <w:color w:val="000000" w:themeColor="text1"/>
          <w:lang w:val="en-US"/>
        </w:rPr>
        <w:t>The</w:t>
      </w:r>
      <w:r w:rsidRPr="00B051E5">
        <w:rPr>
          <w:rFonts w:ascii="Garamond" w:hAnsi="Garamond"/>
          <w:i/>
          <w:color w:val="000000" w:themeColor="text1"/>
          <w:kern w:val="16"/>
        </w:rPr>
        <w:t xml:space="preserve"> British Accounting Review, </w:t>
      </w:r>
      <w:r w:rsidRPr="00B051E5">
        <w:rPr>
          <w:rFonts w:ascii="Garamond" w:hAnsi="Garamond"/>
          <w:i/>
          <w:iCs/>
          <w:color w:val="000000" w:themeColor="text1"/>
          <w:kern w:val="16"/>
        </w:rPr>
        <w:t>38</w:t>
      </w:r>
      <w:r w:rsidRPr="00B051E5">
        <w:rPr>
          <w:rFonts w:ascii="Garamond" w:hAnsi="Garamond"/>
          <w:iCs/>
          <w:color w:val="000000" w:themeColor="text1"/>
          <w:kern w:val="16"/>
        </w:rPr>
        <w:t>(4),</w:t>
      </w:r>
      <w:r w:rsidRPr="00B051E5">
        <w:rPr>
          <w:rFonts w:ascii="Garamond" w:hAnsi="Garamond"/>
          <w:color w:val="000000" w:themeColor="text1"/>
          <w:kern w:val="16"/>
        </w:rPr>
        <w:t xml:space="preserve"> 387-404.  </w:t>
      </w:r>
    </w:p>
    <w:p w14:paraId="266970F9" w14:textId="797246A7" w:rsidR="00523DB2" w:rsidRPr="00B051E5" w:rsidRDefault="00523DB2" w:rsidP="00523DB2">
      <w:pPr>
        <w:autoSpaceDE w:val="0"/>
        <w:autoSpaceDN w:val="0"/>
        <w:adjustRightInd w:val="0"/>
        <w:ind w:hanging="720"/>
        <w:jc w:val="both"/>
        <w:rPr>
          <w:rFonts w:ascii="Garamond" w:eastAsia="Calibri" w:hAnsi="Garamond"/>
          <w:color w:val="000000" w:themeColor="text1"/>
        </w:rPr>
      </w:pPr>
      <w:r w:rsidRPr="00B051E5">
        <w:rPr>
          <w:rFonts w:ascii="Garamond" w:eastAsia="Calibri" w:hAnsi="Garamond"/>
          <w:color w:val="000000" w:themeColor="text1"/>
        </w:rPr>
        <w:t>Loughran, T., &amp; McDonald, B. (2011). When is a liability not a liability? Textual analysis, dictionaries, and 10</w:t>
      </w:r>
      <w:r w:rsidRPr="00B051E5">
        <w:rPr>
          <w:rFonts w:ascii="Cambria Math" w:eastAsia="Calibri" w:hAnsi="Cambria Math" w:cs="Cambria Math"/>
          <w:color w:val="000000" w:themeColor="text1"/>
        </w:rPr>
        <w:t>‐</w:t>
      </w:r>
      <w:r w:rsidRPr="00B051E5">
        <w:rPr>
          <w:rFonts w:ascii="Garamond" w:eastAsia="Calibri" w:hAnsi="Garamond"/>
          <w:color w:val="000000" w:themeColor="text1"/>
        </w:rPr>
        <w:t>Ks. </w:t>
      </w:r>
      <w:r w:rsidRPr="00B051E5">
        <w:rPr>
          <w:rFonts w:ascii="Garamond" w:eastAsia="Calibri" w:hAnsi="Garamond"/>
          <w:i/>
          <w:iCs/>
          <w:color w:val="000000" w:themeColor="text1"/>
        </w:rPr>
        <w:t>The Journal of Finance</w:t>
      </w:r>
      <w:r w:rsidRPr="00B051E5">
        <w:rPr>
          <w:rFonts w:ascii="Garamond" w:eastAsia="Calibri" w:hAnsi="Garamond"/>
          <w:color w:val="000000" w:themeColor="text1"/>
        </w:rPr>
        <w:t>, </w:t>
      </w:r>
      <w:r w:rsidRPr="00B051E5">
        <w:rPr>
          <w:rFonts w:ascii="Garamond" w:eastAsia="Calibri" w:hAnsi="Garamond"/>
          <w:i/>
          <w:iCs/>
          <w:color w:val="000000" w:themeColor="text1"/>
        </w:rPr>
        <w:t>66</w:t>
      </w:r>
      <w:r w:rsidRPr="00B051E5">
        <w:rPr>
          <w:rFonts w:ascii="Garamond" w:eastAsia="Calibri" w:hAnsi="Garamond"/>
          <w:color w:val="000000" w:themeColor="text1"/>
        </w:rPr>
        <w:t>(1), 35-65.</w:t>
      </w:r>
    </w:p>
    <w:p w14:paraId="361FC3F8" w14:textId="6FD9B4C4" w:rsidR="00523DB2" w:rsidRPr="00B051E5" w:rsidRDefault="00523DB2" w:rsidP="00523DB2">
      <w:pPr>
        <w:autoSpaceDE w:val="0"/>
        <w:autoSpaceDN w:val="0"/>
        <w:adjustRightInd w:val="0"/>
        <w:ind w:hanging="720"/>
        <w:jc w:val="both"/>
        <w:rPr>
          <w:rFonts w:ascii="Garamond" w:eastAsia="Calibri" w:hAnsi="Garamond"/>
          <w:color w:val="000000" w:themeColor="text1"/>
        </w:rPr>
      </w:pPr>
      <w:r w:rsidRPr="00B051E5">
        <w:rPr>
          <w:rFonts w:ascii="Garamond" w:eastAsia="Calibri" w:hAnsi="Garamond"/>
          <w:color w:val="000000" w:themeColor="text1"/>
        </w:rPr>
        <w:t xml:space="preserve">Loughran, T., &amp; McDonald, B. (2015). The use of word lists in textual analysis. </w:t>
      </w:r>
      <w:r w:rsidRPr="00B051E5">
        <w:rPr>
          <w:rFonts w:ascii="Garamond" w:eastAsia="Calibri" w:hAnsi="Garamond"/>
          <w:i/>
          <w:color w:val="000000" w:themeColor="text1"/>
        </w:rPr>
        <w:t>Journal of Behavioral Finance,</w:t>
      </w:r>
      <w:r w:rsidRPr="00B051E5">
        <w:rPr>
          <w:rFonts w:ascii="Garamond" w:eastAsia="Calibri" w:hAnsi="Garamond"/>
          <w:color w:val="000000" w:themeColor="text1"/>
        </w:rPr>
        <w:t xml:space="preserve"> </w:t>
      </w:r>
      <w:r w:rsidRPr="00B051E5">
        <w:rPr>
          <w:rFonts w:ascii="Garamond" w:eastAsia="Calibri" w:hAnsi="Garamond"/>
          <w:i/>
          <w:color w:val="000000" w:themeColor="text1"/>
        </w:rPr>
        <w:t>16</w:t>
      </w:r>
      <w:r w:rsidRPr="00B051E5">
        <w:rPr>
          <w:rFonts w:ascii="Garamond" w:eastAsia="Calibri" w:hAnsi="Garamond"/>
          <w:color w:val="000000" w:themeColor="text1"/>
        </w:rPr>
        <w:t>(1), 1-11.</w:t>
      </w:r>
    </w:p>
    <w:p w14:paraId="7A900D74" w14:textId="591E9763" w:rsidR="0031754E" w:rsidRPr="00B051E5" w:rsidRDefault="0031754E" w:rsidP="0031754E">
      <w:pPr>
        <w:autoSpaceDE w:val="0"/>
        <w:autoSpaceDN w:val="0"/>
        <w:adjustRightInd w:val="0"/>
        <w:ind w:hanging="720"/>
        <w:jc w:val="both"/>
        <w:rPr>
          <w:rFonts w:ascii="Garamond" w:eastAsia="Calibri" w:hAnsi="Garamond"/>
          <w:color w:val="000000" w:themeColor="text1"/>
        </w:rPr>
      </w:pPr>
      <w:r w:rsidRPr="00B051E5">
        <w:rPr>
          <w:rFonts w:ascii="Garamond" w:eastAsia="Calibri" w:hAnsi="Garamond"/>
          <w:color w:val="000000" w:themeColor="text1"/>
        </w:rPr>
        <w:t xml:space="preserve">Mayew, W. J., Sethuraman, M., &amp; Venkatachalam, M. (2015). MD&amp;A Disclosure and the Firm's Ability to Continue as a Going Concern. </w:t>
      </w:r>
      <w:r w:rsidRPr="00B051E5">
        <w:rPr>
          <w:rFonts w:ascii="Garamond" w:eastAsia="Calibri" w:hAnsi="Garamond"/>
          <w:i/>
          <w:iCs/>
          <w:color w:val="000000" w:themeColor="text1"/>
        </w:rPr>
        <w:t>The Accounting Review, 90</w:t>
      </w:r>
      <w:r w:rsidRPr="00B051E5">
        <w:rPr>
          <w:rFonts w:ascii="Garamond" w:eastAsia="Calibri" w:hAnsi="Garamond"/>
          <w:color w:val="000000" w:themeColor="text1"/>
        </w:rPr>
        <w:t>(4), 1621-1651.</w:t>
      </w:r>
    </w:p>
    <w:p w14:paraId="33DC2BA1" w14:textId="77777777" w:rsidR="00F327CD" w:rsidRPr="00B051E5" w:rsidRDefault="00523DB2" w:rsidP="00F327CD">
      <w:pPr>
        <w:ind w:hanging="720"/>
        <w:jc w:val="both"/>
        <w:rPr>
          <w:rFonts w:ascii="Garamond" w:hAnsi="Garamond"/>
          <w:color w:val="000000" w:themeColor="text1"/>
          <w:kern w:val="16"/>
        </w:rPr>
      </w:pPr>
      <w:r w:rsidRPr="00B051E5">
        <w:rPr>
          <w:rFonts w:ascii="Garamond" w:hAnsi="Garamond"/>
          <w:bCs/>
          <w:color w:val="000000" w:themeColor="text1"/>
          <w:kern w:val="16"/>
        </w:rPr>
        <w:t>Miihkinen, A. (2012)</w:t>
      </w:r>
      <w:r w:rsidRPr="00B051E5">
        <w:rPr>
          <w:rFonts w:ascii="Garamond" w:hAnsi="Garamond"/>
          <w:color w:val="000000" w:themeColor="text1"/>
          <w:kern w:val="16"/>
          <w:lang w:eastAsia="ko-KR"/>
        </w:rPr>
        <w:t>.</w:t>
      </w:r>
      <w:r w:rsidRPr="00B051E5">
        <w:rPr>
          <w:rFonts w:ascii="Garamond" w:hAnsi="Garamond"/>
          <w:bCs/>
          <w:color w:val="000000" w:themeColor="text1"/>
          <w:kern w:val="16"/>
        </w:rPr>
        <w:t xml:space="preserve"> What drives the quality of firm risk disclosure? </w:t>
      </w:r>
      <w:r w:rsidRPr="00B051E5">
        <w:rPr>
          <w:rFonts w:ascii="Garamond" w:hAnsi="Garamond"/>
          <w:bCs/>
          <w:i/>
          <w:iCs/>
          <w:color w:val="000000" w:themeColor="text1"/>
          <w:kern w:val="16"/>
        </w:rPr>
        <w:t xml:space="preserve">The International Journal of Accounting, </w:t>
      </w:r>
      <w:r w:rsidRPr="00B051E5">
        <w:rPr>
          <w:rFonts w:ascii="Garamond" w:hAnsi="Garamond"/>
          <w:i/>
          <w:color w:val="000000" w:themeColor="text1"/>
          <w:kern w:val="16"/>
        </w:rPr>
        <w:t>47</w:t>
      </w:r>
      <w:r w:rsidRPr="00B051E5">
        <w:rPr>
          <w:rFonts w:ascii="Garamond" w:hAnsi="Garamond"/>
          <w:color w:val="000000" w:themeColor="text1"/>
          <w:kern w:val="16"/>
        </w:rPr>
        <w:t>(4), 437–468.</w:t>
      </w:r>
    </w:p>
    <w:p w14:paraId="01F000FE" w14:textId="62FD4133" w:rsidR="00523DB2" w:rsidRPr="00B051E5" w:rsidRDefault="00523DB2" w:rsidP="00523DB2">
      <w:pPr>
        <w:ind w:hanging="720"/>
        <w:jc w:val="both"/>
        <w:rPr>
          <w:rFonts w:ascii="Garamond" w:eastAsia="Calibri" w:hAnsi="Garamond"/>
          <w:color w:val="000000" w:themeColor="text1"/>
          <w:lang w:val="en-US"/>
        </w:rPr>
      </w:pPr>
      <w:r w:rsidRPr="00B051E5">
        <w:rPr>
          <w:rFonts w:ascii="Garamond" w:eastAsia="Calibri" w:hAnsi="Garamond"/>
          <w:color w:val="000000" w:themeColor="text1"/>
          <w:lang w:val="en-US"/>
        </w:rPr>
        <w:t>Morck, R., Yeung, B., &amp; Yu, W. (2000). The information content of stock markets: why do emerging markets have synchronous stock price movements? </w:t>
      </w:r>
      <w:r w:rsidRPr="00B051E5">
        <w:rPr>
          <w:rFonts w:ascii="Garamond" w:eastAsia="Calibri" w:hAnsi="Garamond"/>
          <w:i/>
          <w:color w:val="000000" w:themeColor="text1"/>
          <w:lang w:val="en-US"/>
        </w:rPr>
        <w:t>Journal of Financial Economics</w:t>
      </w:r>
      <w:r w:rsidRPr="00B051E5">
        <w:rPr>
          <w:rFonts w:ascii="Garamond" w:eastAsia="Calibri" w:hAnsi="Garamond"/>
          <w:color w:val="000000" w:themeColor="text1"/>
          <w:lang w:val="en-US"/>
        </w:rPr>
        <w:t>, </w:t>
      </w:r>
      <w:r w:rsidRPr="00B051E5">
        <w:rPr>
          <w:rFonts w:ascii="Garamond" w:eastAsia="Calibri" w:hAnsi="Garamond"/>
          <w:i/>
          <w:color w:val="000000" w:themeColor="text1"/>
          <w:lang w:val="en-US"/>
        </w:rPr>
        <w:t>58(</w:t>
      </w:r>
      <w:r w:rsidRPr="00B051E5">
        <w:rPr>
          <w:rFonts w:ascii="Garamond" w:eastAsia="Calibri" w:hAnsi="Garamond"/>
          <w:color w:val="000000" w:themeColor="text1"/>
          <w:lang w:val="en-US"/>
        </w:rPr>
        <w:t>1), 215-260.</w:t>
      </w:r>
    </w:p>
    <w:p w14:paraId="3093AE9A" w14:textId="77777777" w:rsidR="00F327CD" w:rsidRPr="00B051E5" w:rsidRDefault="00F327CD" w:rsidP="00F327CD">
      <w:pPr>
        <w:ind w:hanging="720"/>
        <w:jc w:val="both"/>
        <w:rPr>
          <w:rFonts w:ascii="Garamond" w:hAnsi="Garamond"/>
          <w:strike/>
          <w:color w:val="000000" w:themeColor="text1"/>
          <w:kern w:val="16"/>
        </w:rPr>
      </w:pPr>
      <w:r w:rsidRPr="00B051E5">
        <w:rPr>
          <w:rFonts w:ascii="Garamond" w:eastAsia="Calibri" w:hAnsi="Garamond" w:cstheme="majorBidi"/>
          <w:color w:val="000000" w:themeColor="text1"/>
          <w:lang w:val="en-US"/>
        </w:rPr>
        <w:t xml:space="preserve">Moumen, N., </w:t>
      </w:r>
      <w:r w:rsidRPr="00B051E5">
        <w:rPr>
          <w:rFonts w:ascii="Garamond" w:eastAsia="Calibri" w:hAnsi="Garamond" w:cstheme="majorBidi"/>
          <w:color w:val="000000" w:themeColor="text1"/>
          <w:sz w:val="22"/>
          <w:szCs w:val="22"/>
          <w:lang w:val="en-US"/>
        </w:rPr>
        <w:t xml:space="preserve">Othman, H. B., &amp; Hussainey, K. (2015). The value relevance of risk disclosure in annual reports: Evidence from MENA emerging markets. </w:t>
      </w:r>
      <w:r w:rsidRPr="00B051E5">
        <w:rPr>
          <w:rFonts w:ascii="Garamond" w:eastAsia="Calibri" w:hAnsi="Garamond" w:cstheme="majorBidi"/>
          <w:i/>
          <w:iCs/>
          <w:color w:val="000000" w:themeColor="text1"/>
          <w:sz w:val="22"/>
          <w:szCs w:val="22"/>
          <w:lang w:val="en-US"/>
        </w:rPr>
        <w:t>Research in International Business and Finance</w:t>
      </w:r>
      <w:r w:rsidRPr="00B051E5">
        <w:rPr>
          <w:rFonts w:ascii="Garamond" w:eastAsia="Calibri" w:hAnsi="Garamond" w:cstheme="majorBidi"/>
          <w:color w:val="000000" w:themeColor="text1"/>
          <w:sz w:val="22"/>
          <w:szCs w:val="22"/>
          <w:lang w:val="en-US"/>
        </w:rPr>
        <w:t>, 34, 177-204.</w:t>
      </w:r>
    </w:p>
    <w:p w14:paraId="28BB32AC" w14:textId="77777777" w:rsidR="00F327CD" w:rsidRPr="00B051E5" w:rsidRDefault="00F327CD" w:rsidP="00523DB2">
      <w:pPr>
        <w:ind w:hanging="720"/>
        <w:jc w:val="both"/>
        <w:rPr>
          <w:rFonts w:ascii="Garamond" w:eastAsia="Calibri" w:hAnsi="Garamond"/>
          <w:color w:val="000000" w:themeColor="text1"/>
          <w:lang w:val="en-US"/>
        </w:rPr>
      </w:pPr>
    </w:p>
    <w:p w14:paraId="1F927B3E" w14:textId="77777777" w:rsidR="00523DB2" w:rsidRPr="00B051E5" w:rsidRDefault="00523DB2" w:rsidP="00523DB2">
      <w:pPr>
        <w:ind w:hanging="720"/>
        <w:jc w:val="both"/>
        <w:rPr>
          <w:rFonts w:ascii="Garamond" w:hAnsi="Garamond"/>
          <w:iCs/>
          <w:color w:val="000000" w:themeColor="text1"/>
          <w:kern w:val="16"/>
        </w:rPr>
      </w:pPr>
      <w:r w:rsidRPr="00B051E5">
        <w:rPr>
          <w:rFonts w:ascii="Garamond" w:hAnsi="Garamond"/>
          <w:iCs/>
          <w:color w:val="000000" w:themeColor="text1"/>
          <w:kern w:val="16"/>
        </w:rPr>
        <w:t xml:space="preserve">Muslu, V., Radhakrishnan, S., Subramanyam, K. R., &amp; Lim, D. (2014). Forward-looking MD&amp;A disclosures and the information environment. </w:t>
      </w:r>
      <w:r w:rsidRPr="00B051E5">
        <w:rPr>
          <w:rFonts w:ascii="Garamond" w:hAnsi="Garamond"/>
          <w:i/>
          <w:iCs/>
          <w:color w:val="000000" w:themeColor="text1"/>
          <w:kern w:val="16"/>
        </w:rPr>
        <w:t>Management Science</w:t>
      </w:r>
      <w:r w:rsidRPr="00B051E5">
        <w:rPr>
          <w:rFonts w:ascii="Garamond" w:hAnsi="Garamond"/>
          <w:iCs/>
          <w:color w:val="000000" w:themeColor="text1"/>
          <w:kern w:val="16"/>
        </w:rPr>
        <w:t>, </w:t>
      </w:r>
      <w:r w:rsidRPr="00B051E5">
        <w:rPr>
          <w:rFonts w:ascii="Garamond" w:hAnsi="Garamond"/>
          <w:i/>
          <w:iCs/>
          <w:color w:val="000000" w:themeColor="text1"/>
          <w:kern w:val="16"/>
        </w:rPr>
        <w:t>61</w:t>
      </w:r>
      <w:r w:rsidRPr="00B051E5">
        <w:rPr>
          <w:rFonts w:ascii="Garamond" w:hAnsi="Garamond"/>
          <w:iCs/>
          <w:color w:val="000000" w:themeColor="text1"/>
          <w:kern w:val="16"/>
        </w:rPr>
        <w:t>(5), 931-948.</w:t>
      </w:r>
    </w:p>
    <w:p w14:paraId="38322C0C" w14:textId="5CDE8741" w:rsidR="00523DB2" w:rsidRPr="00B051E5" w:rsidRDefault="00523DB2" w:rsidP="00523DB2">
      <w:pPr>
        <w:ind w:hanging="720"/>
        <w:jc w:val="both"/>
        <w:rPr>
          <w:rFonts w:eastAsia="Calibri"/>
          <w:color w:val="000000" w:themeColor="text1"/>
        </w:rPr>
      </w:pPr>
      <w:r w:rsidRPr="00B051E5">
        <w:rPr>
          <w:rFonts w:ascii="Garamond" w:eastAsia="Calibri" w:hAnsi="Garamond"/>
          <w:color w:val="000000" w:themeColor="text1"/>
        </w:rPr>
        <w:t xml:space="preserve">Ntim, C. G., Lindop, S., &amp; Thomas. D. A.  (2013). Corporate governance and risk reporting in South Africa: A study of corporate risk disclosures in the pre- and post-2007/ 2008 global financial crisis period. </w:t>
      </w:r>
      <w:r w:rsidRPr="00B051E5">
        <w:rPr>
          <w:rFonts w:ascii="Garamond" w:eastAsia="Calibri" w:hAnsi="Garamond"/>
          <w:i/>
          <w:iCs/>
          <w:color w:val="000000" w:themeColor="text1"/>
        </w:rPr>
        <w:t xml:space="preserve">International Review of Financial Analysis, </w:t>
      </w:r>
      <w:r w:rsidRPr="00B051E5">
        <w:rPr>
          <w:rFonts w:ascii="Garamond" w:eastAsia="Calibri" w:hAnsi="Garamond"/>
          <w:color w:val="000000" w:themeColor="text1"/>
        </w:rPr>
        <w:t>30, 363–383</w:t>
      </w:r>
      <w:r w:rsidRPr="00B051E5">
        <w:rPr>
          <w:rFonts w:eastAsia="Calibri"/>
          <w:color w:val="000000" w:themeColor="text1"/>
        </w:rPr>
        <w:t>.</w:t>
      </w:r>
    </w:p>
    <w:p w14:paraId="3A340A69" w14:textId="44546F5C" w:rsidR="00523DB2" w:rsidRPr="00B051E5" w:rsidRDefault="00523DB2" w:rsidP="008223C1">
      <w:pPr>
        <w:ind w:hanging="720"/>
        <w:jc w:val="both"/>
        <w:rPr>
          <w:rFonts w:ascii="Garamond" w:eastAsia="Calibri" w:hAnsi="Garamond"/>
          <w:color w:val="000000" w:themeColor="text1"/>
          <w:lang w:val="en-US"/>
        </w:rPr>
      </w:pPr>
      <w:r w:rsidRPr="00B051E5">
        <w:rPr>
          <w:rFonts w:ascii="Garamond" w:eastAsia="Calibri" w:hAnsi="Garamond"/>
          <w:color w:val="000000" w:themeColor="text1"/>
          <w:lang w:val="en-US"/>
        </w:rPr>
        <w:t>Piotroski, J. D., &amp; Roulstone, D. T. (2004). The influence of analysts, institutional investors, and insiders on the incorporation of market, industry, and firm-specific information into stock prices. </w:t>
      </w:r>
      <w:r w:rsidRPr="00B051E5">
        <w:rPr>
          <w:rFonts w:ascii="Garamond" w:eastAsia="Calibri" w:hAnsi="Garamond"/>
          <w:i/>
          <w:color w:val="000000" w:themeColor="text1"/>
          <w:lang w:val="en-US"/>
        </w:rPr>
        <w:t>The Accounting Review</w:t>
      </w:r>
      <w:r w:rsidRPr="00B051E5">
        <w:rPr>
          <w:rFonts w:ascii="Garamond" w:eastAsia="Calibri" w:hAnsi="Garamond"/>
          <w:color w:val="000000" w:themeColor="text1"/>
          <w:lang w:val="en-US"/>
        </w:rPr>
        <w:t>, </w:t>
      </w:r>
      <w:r w:rsidRPr="00B051E5">
        <w:rPr>
          <w:rFonts w:ascii="Garamond" w:eastAsia="Calibri" w:hAnsi="Garamond"/>
          <w:i/>
          <w:color w:val="000000" w:themeColor="text1"/>
          <w:lang w:val="en-US"/>
        </w:rPr>
        <w:t>79</w:t>
      </w:r>
      <w:r w:rsidRPr="00B051E5">
        <w:rPr>
          <w:rFonts w:ascii="Garamond" w:eastAsia="Calibri" w:hAnsi="Garamond"/>
          <w:color w:val="000000" w:themeColor="text1"/>
          <w:lang w:val="en-US"/>
        </w:rPr>
        <w:t>(4), 1119-1151.</w:t>
      </w:r>
    </w:p>
    <w:p w14:paraId="79803309" w14:textId="77777777" w:rsidR="00523DB2" w:rsidRPr="00B051E5" w:rsidRDefault="00523DB2" w:rsidP="00523DB2">
      <w:pPr>
        <w:ind w:hanging="720"/>
        <w:jc w:val="both"/>
        <w:rPr>
          <w:rFonts w:ascii="Garamond" w:eastAsia="Calibri" w:hAnsi="Garamond"/>
          <w:color w:val="000000" w:themeColor="text1"/>
        </w:rPr>
      </w:pPr>
      <w:r w:rsidRPr="00B051E5">
        <w:rPr>
          <w:rFonts w:ascii="Garamond" w:eastAsia="Calibri" w:hAnsi="Garamond"/>
          <w:color w:val="000000" w:themeColor="text1"/>
        </w:rPr>
        <w:t xml:space="preserve">Roll, R. (1988). Presidential address: </w:t>
      </w:r>
      <w:r w:rsidRPr="00B051E5">
        <w:rPr>
          <w:rFonts w:ascii="Garamond" w:eastAsia="Calibri" w:hAnsi="Garamond"/>
          <w:i/>
          <w:iCs/>
          <w:color w:val="000000" w:themeColor="text1"/>
        </w:rPr>
        <w:t>R</w:t>
      </w:r>
      <w:r w:rsidRPr="00B051E5">
        <w:rPr>
          <w:rFonts w:ascii="Garamond" w:eastAsia="Calibri" w:hAnsi="Garamond"/>
          <w:color w:val="000000" w:themeColor="text1"/>
        </w:rPr>
        <w:t xml:space="preserve">2. </w:t>
      </w:r>
      <w:r w:rsidRPr="00B051E5">
        <w:rPr>
          <w:rFonts w:ascii="Garamond" w:hAnsi="Garamond"/>
          <w:i/>
          <w:iCs/>
          <w:color w:val="000000" w:themeColor="text1"/>
          <w:kern w:val="16"/>
        </w:rPr>
        <w:t>The</w:t>
      </w:r>
      <w:r w:rsidRPr="00B051E5">
        <w:rPr>
          <w:rFonts w:ascii="Garamond" w:eastAsia="Calibri" w:hAnsi="Garamond"/>
          <w:i/>
          <w:iCs/>
          <w:color w:val="000000" w:themeColor="text1"/>
        </w:rPr>
        <w:t xml:space="preserve"> Journal of Finance, </w:t>
      </w:r>
      <w:r w:rsidRPr="00B051E5">
        <w:rPr>
          <w:rFonts w:ascii="Garamond" w:eastAsia="Calibri" w:hAnsi="Garamond"/>
          <w:i/>
          <w:color w:val="000000" w:themeColor="text1"/>
        </w:rPr>
        <w:t>43(</w:t>
      </w:r>
      <w:r w:rsidRPr="00B051E5">
        <w:rPr>
          <w:rFonts w:ascii="Garamond" w:eastAsia="Calibri" w:hAnsi="Garamond"/>
          <w:color w:val="000000" w:themeColor="text1"/>
        </w:rPr>
        <w:t>4), 540-566.</w:t>
      </w:r>
    </w:p>
    <w:p w14:paraId="399E1E0D" w14:textId="77777777" w:rsidR="00523DB2" w:rsidRPr="00B051E5" w:rsidRDefault="00523DB2" w:rsidP="00D75008">
      <w:pPr>
        <w:ind w:hanging="720"/>
        <w:jc w:val="both"/>
        <w:rPr>
          <w:rFonts w:ascii="Garamond" w:eastAsia="Calibri" w:hAnsi="Garamond"/>
          <w:color w:val="000000" w:themeColor="text1"/>
        </w:rPr>
      </w:pPr>
      <w:r w:rsidRPr="00B051E5">
        <w:rPr>
          <w:rFonts w:ascii="Garamond" w:eastAsia="Calibri" w:hAnsi="Garamond"/>
          <w:color w:val="000000" w:themeColor="text1"/>
        </w:rPr>
        <w:t xml:space="preserve">Russell, M. (2015). New information in continuous disclosure. </w:t>
      </w:r>
      <w:r w:rsidRPr="00B051E5">
        <w:rPr>
          <w:rFonts w:ascii="Garamond" w:eastAsia="Calibri" w:hAnsi="Garamond"/>
          <w:i/>
          <w:iCs/>
          <w:color w:val="000000" w:themeColor="text1"/>
        </w:rPr>
        <w:t>Pacific Accounting Review</w:t>
      </w:r>
      <w:r w:rsidRPr="00B051E5">
        <w:rPr>
          <w:rFonts w:ascii="Garamond" w:eastAsia="Calibri" w:hAnsi="Garamond"/>
          <w:color w:val="000000" w:themeColor="text1"/>
        </w:rPr>
        <w:t xml:space="preserve">, </w:t>
      </w:r>
      <w:r w:rsidRPr="00B051E5">
        <w:rPr>
          <w:rFonts w:ascii="Garamond" w:eastAsia="Calibri" w:hAnsi="Garamond"/>
          <w:i/>
          <w:iCs/>
          <w:color w:val="000000" w:themeColor="text1"/>
        </w:rPr>
        <w:t>27</w:t>
      </w:r>
      <w:r w:rsidRPr="00B051E5">
        <w:rPr>
          <w:rFonts w:ascii="Garamond" w:eastAsia="Calibri" w:hAnsi="Garamond"/>
          <w:color w:val="000000" w:themeColor="text1"/>
        </w:rPr>
        <w:t>(2), 229-263.</w:t>
      </w:r>
    </w:p>
    <w:p w14:paraId="5971D7CC" w14:textId="77777777" w:rsidR="00523DB2" w:rsidRPr="00B051E5" w:rsidRDefault="00523DB2" w:rsidP="00523DB2">
      <w:pPr>
        <w:ind w:hanging="720"/>
        <w:jc w:val="both"/>
        <w:rPr>
          <w:rFonts w:ascii="Garamond" w:eastAsia="Calibri" w:hAnsi="Garamond"/>
          <w:color w:val="000000" w:themeColor="text1"/>
        </w:rPr>
      </w:pPr>
      <w:r w:rsidRPr="00B051E5">
        <w:rPr>
          <w:rFonts w:ascii="Garamond" w:eastAsia="Calibri" w:hAnsi="Garamond"/>
          <w:color w:val="000000" w:themeColor="text1"/>
        </w:rPr>
        <w:t>Skinner, D. J. (1994). Why firms voluntarily disclose bad news. </w:t>
      </w:r>
      <w:r w:rsidRPr="00B051E5">
        <w:rPr>
          <w:rFonts w:ascii="Garamond" w:eastAsia="Calibri" w:hAnsi="Garamond"/>
          <w:i/>
          <w:iCs/>
          <w:color w:val="000000" w:themeColor="text1"/>
        </w:rPr>
        <w:t>Journal of Accounting Research</w:t>
      </w:r>
      <w:r w:rsidRPr="00B051E5">
        <w:rPr>
          <w:rFonts w:ascii="Garamond" w:eastAsia="Calibri" w:hAnsi="Garamond"/>
          <w:color w:val="000000" w:themeColor="text1"/>
        </w:rPr>
        <w:t xml:space="preserve">, </w:t>
      </w:r>
      <w:r w:rsidRPr="00B051E5">
        <w:rPr>
          <w:rFonts w:ascii="Garamond" w:eastAsia="Calibri" w:hAnsi="Garamond"/>
          <w:i/>
          <w:color w:val="000000" w:themeColor="text1"/>
        </w:rPr>
        <w:t>32</w:t>
      </w:r>
      <w:r w:rsidRPr="00B051E5">
        <w:rPr>
          <w:rFonts w:ascii="Garamond" w:eastAsia="Calibri" w:hAnsi="Garamond"/>
          <w:color w:val="000000" w:themeColor="text1"/>
        </w:rPr>
        <w:t>(1), 38-60.</w:t>
      </w:r>
    </w:p>
    <w:p w14:paraId="5FB43167" w14:textId="77777777" w:rsidR="00523DB2" w:rsidRPr="00B051E5" w:rsidRDefault="00523DB2" w:rsidP="00523DB2">
      <w:pPr>
        <w:ind w:hanging="720"/>
        <w:jc w:val="both"/>
        <w:rPr>
          <w:rFonts w:ascii="Garamond" w:eastAsia="Calibri" w:hAnsi="Garamond"/>
          <w:color w:val="000000" w:themeColor="text1"/>
        </w:rPr>
      </w:pPr>
      <w:r w:rsidRPr="00B051E5">
        <w:rPr>
          <w:rFonts w:ascii="Garamond" w:eastAsia="Calibri" w:hAnsi="Garamond"/>
          <w:color w:val="000000" w:themeColor="text1"/>
        </w:rPr>
        <w:t xml:space="preserve">Tan, Y., Zeng, C. C., &amp; Elshandidy, T. (2017). Risk disclosures, international orientation, and share price informativeness: Evidence from China. </w:t>
      </w:r>
      <w:r w:rsidRPr="00B051E5">
        <w:rPr>
          <w:rFonts w:ascii="Garamond" w:eastAsia="Calibri" w:hAnsi="Garamond"/>
          <w:i/>
          <w:iCs/>
          <w:color w:val="000000" w:themeColor="text1"/>
        </w:rPr>
        <w:t>Journal of International Accounting, Auditing and Taxation</w:t>
      </w:r>
      <w:r w:rsidRPr="00B051E5">
        <w:rPr>
          <w:rFonts w:ascii="Garamond" w:eastAsia="Calibri" w:hAnsi="Garamond"/>
          <w:color w:val="000000" w:themeColor="text1"/>
        </w:rPr>
        <w:t>, 29, 81-102.</w:t>
      </w:r>
    </w:p>
    <w:p w14:paraId="58A36A86" w14:textId="77777777" w:rsidR="00523DB2" w:rsidRPr="00B051E5" w:rsidRDefault="00523DB2" w:rsidP="00523DB2">
      <w:pPr>
        <w:autoSpaceDE w:val="0"/>
        <w:autoSpaceDN w:val="0"/>
        <w:adjustRightInd w:val="0"/>
        <w:ind w:hanging="720"/>
        <w:jc w:val="both"/>
        <w:rPr>
          <w:rFonts w:ascii="Garamond" w:eastAsia="Calibri" w:hAnsi="Garamond"/>
          <w:i/>
          <w:iCs/>
          <w:color w:val="000000" w:themeColor="text1"/>
        </w:rPr>
      </w:pPr>
      <w:r w:rsidRPr="00B051E5">
        <w:rPr>
          <w:rFonts w:ascii="Garamond" w:eastAsia="Calibri" w:hAnsi="Garamond"/>
          <w:color w:val="000000" w:themeColor="text1"/>
        </w:rPr>
        <w:t xml:space="preserve">Veldkamp, L.L. (2006). Information markets and the comovement of asset prices. </w:t>
      </w:r>
      <w:r w:rsidRPr="00B051E5">
        <w:rPr>
          <w:rFonts w:ascii="Garamond" w:eastAsia="Calibri" w:hAnsi="Garamond"/>
          <w:i/>
          <w:iCs/>
          <w:color w:val="000000" w:themeColor="text1"/>
        </w:rPr>
        <w:t>Review of Economic</w:t>
      </w:r>
    </w:p>
    <w:p w14:paraId="1CB3FAE6" w14:textId="7327429C" w:rsidR="00523DB2" w:rsidRPr="00B051E5" w:rsidRDefault="00523DB2" w:rsidP="00523DB2">
      <w:pPr>
        <w:autoSpaceDE w:val="0"/>
        <w:autoSpaceDN w:val="0"/>
        <w:adjustRightInd w:val="0"/>
        <w:jc w:val="both"/>
        <w:rPr>
          <w:rFonts w:ascii="Garamond" w:eastAsia="Calibri" w:hAnsi="Garamond"/>
          <w:color w:val="000000" w:themeColor="text1"/>
        </w:rPr>
      </w:pPr>
      <w:r w:rsidRPr="00B051E5">
        <w:rPr>
          <w:rFonts w:ascii="Garamond" w:eastAsia="Calibri" w:hAnsi="Garamond"/>
          <w:i/>
          <w:iCs/>
          <w:color w:val="000000" w:themeColor="text1"/>
        </w:rPr>
        <w:t xml:space="preserve">Studies, </w:t>
      </w:r>
      <w:r w:rsidRPr="00B051E5">
        <w:rPr>
          <w:rFonts w:ascii="Garamond" w:eastAsia="Calibri" w:hAnsi="Garamond"/>
          <w:i/>
          <w:color w:val="000000" w:themeColor="text1"/>
        </w:rPr>
        <w:t>73</w:t>
      </w:r>
      <w:r w:rsidRPr="00B051E5">
        <w:rPr>
          <w:rFonts w:ascii="Garamond" w:eastAsia="Calibri" w:hAnsi="Garamond"/>
          <w:color w:val="000000" w:themeColor="text1"/>
        </w:rPr>
        <w:t>(3), 823-845.</w:t>
      </w:r>
    </w:p>
    <w:p w14:paraId="122325E2" w14:textId="7BAE31CD" w:rsidR="001023B9" w:rsidRPr="00B051E5" w:rsidRDefault="00523DB2" w:rsidP="008223C1">
      <w:pPr>
        <w:ind w:hanging="720"/>
        <w:jc w:val="both"/>
        <w:rPr>
          <w:rFonts w:ascii="Garamond" w:eastAsia="Calibri" w:hAnsi="Garamond"/>
          <w:bCs/>
          <w:color w:val="000000" w:themeColor="text1"/>
        </w:rPr>
      </w:pPr>
      <w:r w:rsidRPr="00B051E5">
        <w:rPr>
          <w:rFonts w:ascii="Garamond" w:eastAsia="Calibri" w:hAnsi="Garamond"/>
          <w:bCs/>
          <w:color w:val="000000" w:themeColor="text1"/>
        </w:rPr>
        <w:t xml:space="preserve">Verrecchia, R. E. (1990). Information quality and discretionary disclosure. </w:t>
      </w:r>
      <w:r w:rsidRPr="00B051E5">
        <w:rPr>
          <w:rFonts w:ascii="Garamond" w:eastAsia="Calibri" w:hAnsi="Garamond"/>
          <w:bCs/>
          <w:i/>
          <w:iCs/>
          <w:color w:val="000000" w:themeColor="text1"/>
        </w:rPr>
        <w:t>Journal of Accounting and Economics</w:t>
      </w:r>
      <w:r w:rsidRPr="00B051E5">
        <w:rPr>
          <w:rFonts w:ascii="Garamond" w:eastAsia="Calibri" w:hAnsi="Garamond"/>
          <w:bCs/>
          <w:color w:val="000000" w:themeColor="text1"/>
        </w:rPr>
        <w:t>, </w:t>
      </w:r>
      <w:r w:rsidRPr="00B051E5">
        <w:rPr>
          <w:rFonts w:ascii="Garamond" w:eastAsia="Calibri" w:hAnsi="Garamond"/>
          <w:bCs/>
          <w:i/>
          <w:iCs/>
          <w:color w:val="000000" w:themeColor="text1"/>
        </w:rPr>
        <w:t>12</w:t>
      </w:r>
      <w:r w:rsidRPr="00B051E5">
        <w:rPr>
          <w:rFonts w:ascii="Garamond" w:eastAsia="Calibri" w:hAnsi="Garamond"/>
          <w:bCs/>
          <w:color w:val="000000" w:themeColor="text1"/>
        </w:rPr>
        <w:t>(4), 365-380.</w:t>
      </w:r>
    </w:p>
    <w:p w14:paraId="64B971BE" w14:textId="394D71FF" w:rsidR="008223C1" w:rsidRPr="00B051E5" w:rsidRDefault="008223C1" w:rsidP="008223C1">
      <w:pPr>
        <w:ind w:hanging="720"/>
        <w:jc w:val="both"/>
        <w:rPr>
          <w:rFonts w:ascii="Garamond" w:eastAsia="Calibri" w:hAnsi="Garamond"/>
          <w:bCs/>
          <w:color w:val="000000" w:themeColor="text1"/>
        </w:rPr>
      </w:pPr>
    </w:p>
    <w:p w14:paraId="6B1B13A8" w14:textId="08CE13F0" w:rsidR="008223C1" w:rsidRPr="00B051E5" w:rsidRDefault="008223C1" w:rsidP="008223C1">
      <w:pPr>
        <w:ind w:hanging="720"/>
        <w:jc w:val="both"/>
        <w:rPr>
          <w:rFonts w:ascii="Garamond" w:eastAsia="Calibri" w:hAnsi="Garamond"/>
          <w:bCs/>
          <w:color w:val="000000" w:themeColor="text1"/>
        </w:rPr>
      </w:pPr>
    </w:p>
    <w:p w14:paraId="64DF940F" w14:textId="703FF44A" w:rsidR="008223C1" w:rsidRPr="00B051E5" w:rsidRDefault="008223C1" w:rsidP="008223C1">
      <w:pPr>
        <w:ind w:hanging="720"/>
        <w:jc w:val="both"/>
        <w:rPr>
          <w:rFonts w:ascii="Garamond" w:eastAsia="Calibri" w:hAnsi="Garamond"/>
          <w:bCs/>
          <w:color w:val="000000" w:themeColor="text1"/>
        </w:rPr>
      </w:pPr>
    </w:p>
    <w:p w14:paraId="6E3027F3" w14:textId="3E81E4BE" w:rsidR="008223C1" w:rsidRPr="00B051E5" w:rsidRDefault="00E94BDF" w:rsidP="000C0153">
      <w:pPr>
        <w:pStyle w:val="Heading1"/>
        <w:rPr>
          <w:rFonts w:ascii="Garamond" w:eastAsia="Calibri" w:hAnsi="Garamond"/>
          <w:b/>
          <w:bCs/>
          <w:color w:val="000000" w:themeColor="text1"/>
        </w:rPr>
      </w:pPr>
      <w:r w:rsidRPr="00B051E5">
        <w:rPr>
          <w:rFonts w:ascii="Garamond" w:eastAsia="Calibri" w:hAnsi="Garamond"/>
          <w:b/>
          <w:bCs/>
          <w:color w:val="000000" w:themeColor="text1"/>
          <w:sz w:val="24"/>
          <w:szCs w:val="24"/>
        </w:rPr>
        <w:lastRenderedPageBreak/>
        <w:t>Tables</w:t>
      </w:r>
    </w:p>
    <w:p w14:paraId="26562D5D" w14:textId="77777777" w:rsidR="00EF4CE0" w:rsidRPr="00B051E5" w:rsidRDefault="00EF4CE0" w:rsidP="0067098A">
      <w:pPr>
        <w:jc w:val="both"/>
        <w:rPr>
          <w:rFonts w:ascii="Garamond" w:eastAsia="Calibri" w:hAnsi="Garamond"/>
          <w:bCs/>
          <w:color w:val="000000" w:themeColor="text1"/>
        </w:rPr>
      </w:pPr>
    </w:p>
    <w:p w14:paraId="6A8196AB" w14:textId="70A7F246" w:rsidR="00C42CF0" w:rsidRPr="00B051E5" w:rsidRDefault="00C42CF0" w:rsidP="00C42CF0">
      <w:pPr>
        <w:spacing w:after="160" w:line="259" w:lineRule="auto"/>
        <w:rPr>
          <w:rFonts w:ascii="Garamond" w:eastAsia="Calibri" w:hAnsi="Garamond"/>
          <w:b/>
          <w:color w:val="000000" w:themeColor="text1"/>
          <w:sz w:val="20"/>
          <w:szCs w:val="20"/>
          <w:lang w:eastAsia="en-US"/>
        </w:rPr>
      </w:pPr>
      <w:r w:rsidRPr="00B051E5">
        <w:rPr>
          <w:rFonts w:ascii="Garamond" w:eastAsia="Calibri" w:hAnsi="Garamond"/>
          <w:b/>
          <w:color w:val="000000" w:themeColor="text1"/>
          <w:sz w:val="20"/>
          <w:szCs w:val="20"/>
          <w:lang w:eastAsia="en-US"/>
        </w:rPr>
        <w:t xml:space="preserve">Table 1. </w:t>
      </w:r>
      <w:r w:rsidRPr="00B051E5">
        <w:rPr>
          <w:rFonts w:ascii="Garamond" w:eastAsia="Calibri" w:hAnsi="Garamond"/>
          <w:color w:val="000000" w:themeColor="text1"/>
          <w:sz w:val="20"/>
          <w:szCs w:val="20"/>
          <w:lang w:eastAsia="en-US"/>
        </w:rPr>
        <w:t>Descriptive statistics</w:t>
      </w:r>
      <w:r w:rsidRPr="00B051E5">
        <w:rPr>
          <w:rFonts w:ascii="Garamond" w:eastAsia="Calibri" w:hAnsi="Garamond"/>
          <w:b/>
          <w:color w:val="000000" w:themeColor="text1"/>
          <w:sz w:val="20"/>
          <w:szCs w:val="20"/>
          <w:lang w:eastAsia="en-US"/>
        </w:rPr>
        <w:t xml:space="preserve"> </w:t>
      </w:r>
    </w:p>
    <w:tbl>
      <w:tblPr>
        <w:tblpPr w:leftFromText="180" w:rightFromText="180" w:vertAnchor="text" w:horzAnchor="margin" w:tblpY="35"/>
        <w:tblW w:w="9923" w:type="dxa"/>
        <w:tblLook w:val="04A0" w:firstRow="1" w:lastRow="0" w:firstColumn="1" w:lastColumn="0" w:noHBand="0" w:noVBand="1"/>
      </w:tblPr>
      <w:tblGrid>
        <w:gridCol w:w="2835"/>
        <w:gridCol w:w="1358"/>
        <w:gridCol w:w="1134"/>
        <w:gridCol w:w="1134"/>
        <w:gridCol w:w="1276"/>
        <w:gridCol w:w="1276"/>
        <w:gridCol w:w="910"/>
      </w:tblGrid>
      <w:tr w:rsidR="00B051E5" w:rsidRPr="00B051E5" w14:paraId="78CB6AE7" w14:textId="77777777" w:rsidTr="00195944">
        <w:trPr>
          <w:trHeight w:val="280"/>
        </w:trPr>
        <w:tc>
          <w:tcPr>
            <w:tcW w:w="2835" w:type="dxa"/>
            <w:tcBorders>
              <w:top w:val="single" w:sz="4" w:space="0" w:color="auto"/>
              <w:bottom w:val="single" w:sz="4" w:space="0" w:color="auto"/>
            </w:tcBorders>
            <w:shd w:val="clear" w:color="auto" w:fill="auto"/>
            <w:noWrap/>
            <w:vAlign w:val="bottom"/>
            <w:hideMark/>
          </w:tcPr>
          <w:p w14:paraId="087E1CA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Variable</w:t>
            </w:r>
          </w:p>
        </w:tc>
        <w:tc>
          <w:tcPr>
            <w:tcW w:w="1358" w:type="dxa"/>
            <w:tcBorders>
              <w:top w:val="single" w:sz="4" w:space="0" w:color="auto"/>
              <w:bottom w:val="single" w:sz="4" w:space="0" w:color="auto"/>
            </w:tcBorders>
            <w:shd w:val="clear" w:color="auto" w:fill="auto"/>
            <w:noWrap/>
            <w:vAlign w:val="bottom"/>
            <w:hideMark/>
          </w:tcPr>
          <w:p w14:paraId="691EEAA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Observations</w:t>
            </w:r>
          </w:p>
        </w:tc>
        <w:tc>
          <w:tcPr>
            <w:tcW w:w="1134" w:type="dxa"/>
            <w:tcBorders>
              <w:top w:val="single" w:sz="4" w:space="0" w:color="auto"/>
              <w:bottom w:val="single" w:sz="4" w:space="0" w:color="auto"/>
            </w:tcBorders>
            <w:shd w:val="clear" w:color="auto" w:fill="auto"/>
            <w:noWrap/>
            <w:vAlign w:val="bottom"/>
            <w:hideMark/>
          </w:tcPr>
          <w:p w14:paraId="621D897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Mean</w:t>
            </w:r>
          </w:p>
        </w:tc>
        <w:tc>
          <w:tcPr>
            <w:tcW w:w="1134" w:type="dxa"/>
            <w:tcBorders>
              <w:top w:val="single" w:sz="4" w:space="0" w:color="auto"/>
              <w:bottom w:val="single" w:sz="4" w:space="0" w:color="auto"/>
            </w:tcBorders>
            <w:shd w:val="clear" w:color="auto" w:fill="auto"/>
            <w:noWrap/>
            <w:vAlign w:val="bottom"/>
            <w:hideMark/>
          </w:tcPr>
          <w:p w14:paraId="222EC6C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Std. Dev.</w:t>
            </w:r>
          </w:p>
        </w:tc>
        <w:tc>
          <w:tcPr>
            <w:tcW w:w="1276" w:type="dxa"/>
            <w:tcBorders>
              <w:top w:val="single" w:sz="4" w:space="0" w:color="auto"/>
              <w:bottom w:val="single" w:sz="4" w:space="0" w:color="auto"/>
            </w:tcBorders>
            <w:shd w:val="clear" w:color="auto" w:fill="auto"/>
            <w:noWrap/>
            <w:vAlign w:val="bottom"/>
            <w:hideMark/>
          </w:tcPr>
          <w:p w14:paraId="778BF35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25%</w:t>
            </w:r>
          </w:p>
        </w:tc>
        <w:tc>
          <w:tcPr>
            <w:tcW w:w="1276" w:type="dxa"/>
            <w:tcBorders>
              <w:top w:val="single" w:sz="4" w:space="0" w:color="auto"/>
              <w:bottom w:val="single" w:sz="4" w:space="0" w:color="auto"/>
            </w:tcBorders>
          </w:tcPr>
          <w:p w14:paraId="4F033BE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Median</w:t>
            </w:r>
          </w:p>
        </w:tc>
        <w:tc>
          <w:tcPr>
            <w:tcW w:w="910" w:type="dxa"/>
            <w:tcBorders>
              <w:top w:val="single" w:sz="4" w:space="0" w:color="auto"/>
              <w:bottom w:val="single" w:sz="4" w:space="0" w:color="auto"/>
            </w:tcBorders>
          </w:tcPr>
          <w:p w14:paraId="4A1DEAF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75%</w:t>
            </w:r>
          </w:p>
        </w:tc>
      </w:tr>
      <w:tr w:rsidR="00B051E5" w:rsidRPr="00B051E5" w14:paraId="20BAAC2F" w14:textId="77777777" w:rsidTr="00195944">
        <w:trPr>
          <w:trHeight w:val="280"/>
        </w:trPr>
        <w:tc>
          <w:tcPr>
            <w:tcW w:w="2835" w:type="dxa"/>
            <w:tcBorders>
              <w:top w:val="single" w:sz="4" w:space="0" w:color="auto"/>
            </w:tcBorders>
            <w:shd w:val="clear" w:color="auto" w:fill="auto"/>
            <w:noWrap/>
            <w:vAlign w:val="bottom"/>
          </w:tcPr>
          <w:p w14:paraId="2ED11F13" w14:textId="77777777" w:rsidR="00C42CF0" w:rsidRPr="00B051E5" w:rsidRDefault="00C42CF0" w:rsidP="00C42CF0">
            <w:pPr>
              <w:rPr>
                <w:rFonts w:ascii="Garamond" w:hAnsi="Garamond"/>
                <w:b/>
                <w:color w:val="000000" w:themeColor="text1"/>
                <w:sz w:val="20"/>
                <w:szCs w:val="20"/>
              </w:rPr>
            </w:pPr>
            <w:r w:rsidRPr="00B051E5">
              <w:rPr>
                <w:rFonts w:ascii="Garamond" w:hAnsi="Garamond"/>
                <w:b/>
                <w:color w:val="000000" w:themeColor="text1"/>
                <w:sz w:val="20"/>
                <w:szCs w:val="20"/>
              </w:rPr>
              <w:t xml:space="preserve">Main variables </w:t>
            </w:r>
          </w:p>
        </w:tc>
        <w:tc>
          <w:tcPr>
            <w:tcW w:w="1358" w:type="dxa"/>
            <w:tcBorders>
              <w:top w:val="single" w:sz="4" w:space="0" w:color="auto"/>
            </w:tcBorders>
            <w:shd w:val="clear" w:color="auto" w:fill="auto"/>
            <w:noWrap/>
            <w:vAlign w:val="bottom"/>
          </w:tcPr>
          <w:p w14:paraId="27A1D8D2" w14:textId="77777777" w:rsidR="00C42CF0" w:rsidRPr="00B051E5" w:rsidRDefault="00C42CF0" w:rsidP="00C42CF0">
            <w:pPr>
              <w:rPr>
                <w:rFonts w:ascii="Garamond" w:hAnsi="Garamond"/>
                <w:color w:val="000000" w:themeColor="text1"/>
                <w:sz w:val="20"/>
                <w:szCs w:val="20"/>
              </w:rPr>
            </w:pPr>
          </w:p>
        </w:tc>
        <w:tc>
          <w:tcPr>
            <w:tcW w:w="1134" w:type="dxa"/>
            <w:tcBorders>
              <w:top w:val="single" w:sz="4" w:space="0" w:color="auto"/>
            </w:tcBorders>
            <w:shd w:val="clear" w:color="auto" w:fill="auto"/>
            <w:noWrap/>
            <w:vAlign w:val="bottom"/>
          </w:tcPr>
          <w:p w14:paraId="0707BD9E" w14:textId="77777777" w:rsidR="00C42CF0" w:rsidRPr="00B051E5" w:rsidRDefault="00C42CF0" w:rsidP="00C42CF0">
            <w:pPr>
              <w:rPr>
                <w:rFonts w:ascii="Garamond" w:hAnsi="Garamond"/>
                <w:color w:val="000000" w:themeColor="text1"/>
                <w:sz w:val="20"/>
                <w:szCs w:val="20"/>
              </w:rPr>
            </w:pPr>
          </w:p>
        </w:tc>
        <w:tc>
          <w:tcPr>
            <w:tcW w:w="1134" w:type="dxa"/>
            <w:tcBorders>
              <w:top w:val="single" w:sz="4" w:space="0" w:color="auto"/>
            </w:tcBorders>
            <w:shd w:val="clear" w:color="auto" w:fill="auto"/>
            <w:noWrap/>
            <w:vAlign w:val="bottom"/>
          </w:tcPr>
          <w:p w14:paraId="4F021B42" w14:textId="77777777" w:rsidR="00C42CF0" w:rsidRPr="00B051E5" w:rsidRDefault="00C42CF0" w:rsidP="00C42CF0">
            <w:pPr>
              <w:rPr>
                <w:rFonts w:ascii="Garamond" w:hAnsi="Garamond"/>
                <w:color w:val="000000" w:themeColor="text1"/>
                <w:sz w:val="20"/>
                <w:szCs w:val="20"/>
              </w:rPr>
            </w:pPr>
          </w:p>
        </w:tc>
        <w:tc>
          <w:tcPr>
            <w:tcW w:w="1276" w:type="dxa"/>
            <w:tcBorders>
              <w:top w:val="single" w:sz="4" w:space="0" w:color="auto"/>
            </w:tcBorders>
            <w:shd w:val="clear" w:color="auto" w:fill="auto"/>
            <w:noWrap/>
            <w:vAlign w:val="bottom"/>
          </w:tcPr>
          <w:p w14:paraId="1EDC8A0C" w14:textId="77777777" w:rsidR="00C42CF0" w:rsidRPr="00B051E5" w:rsidRDefault="00C42CF0" w:rsidP="00C42CF0">
            <w:pPr>
              <w:rPr>
                <w:rFonts w:ascii="Garamond" w:hAnsi="Garamond"/>
                <w:color w:val="000000" w:themeColor="text1"/>
                <w:sz w:val="20"/>
                <w:szCs w:val="20"/>
              </w:rPr>
            </w:pPr>
          </w:p>
        </w:tc>
        <w:tc>
          <w:tcPr>
            <w:tcW w:w="1276" w:type="dxa"/>
            <w:tcBorders>
              <w:top w:val="single" w:sz="4" w:space="0" w:color="auto"/>
            </w:tcBorders>
          </w:tcPr>
          <w:p w14:paraId="0DA8A463" w14:textId="77777777" w:rsidR="00C42CF0" w:rsidRPr="00B051E5" w:rsidRDefault="00C42CF0" w:rsidP="00C42CF0">
            <w:pPr>
              <w:rPr>
                <w:rFonts w:ascii="Garamond" w:hAnsi="Garamond"/>
                <w:color w:val="000000" w:themeColor="text1"/>
                <w:sz w:val="20"/>
                <w:szCs w:val="20"/>
              </w:rPr>
            </w:pPr>
          </w:p>
        </w:tc>
        <w:tc>
          <w:tcPr>
            <w:tcW w:w="910" w:type="dxa"/>
            <w:tcBorders>
              <w:top w:val="single" w:sz="4" w:space="0" w:color="auto"/>
            </w:tcBorders>
          </w:tcPr>
          <w:p w14:paraId="19B71C05" w14:textId="77777777" w:rsidR="00C42CF0" w:rsidRPr="00B051E5" w:rsidRDefault="00C42CF0" w:rsidP="00C42CF0">
            <w:pPr>
              <w:rPr>
                <w:rFonts w:ascii="Garamond" w:hAnsi="Garamond"/>
                <w:color w:val="000000" w:themeColor="text1"/>
                <w:sz w:val="20"/>
                <w:szCs w:val="20"/>
              </w:rPr>
            </w:pPr>
          </w:p>
        </w:tc>
      </w:tr>
      <w:tr w:rsidR="00B051E5" w:rsidRPr="00B051E5" w14:paraId="2ADA739A" w14:textId="77777777" w:rsidTr="00195944">
        <w:trPr>
          <w:trHeight w:val="280"/>
        </w:trPr>
        <w:tc>
          <w:tcPr>
            <w:tcW w:w="2835" w:type="dxa"/>
            <w:shd w:val="clear" w:color="auto" w:fill="auto"/>
            <w:noWrap/>
            <w:vAlign w:val="bottom"/>
          </w:tcPr>
          <w:p w14:paraId="346C3BAD"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SYNCH </w:t>
            </w:r>
          </w:p>
        </w:tc>
        <w:tc>
          <w:tcPr>
            <w:tcW w:w="1358" w:type="dxa"/>
            <w:shd w:val="clear" w:color="auto" w:fill="auto"/>
            <w:noWrap/>
            <w:vAlign w:val="bottom"/>
          </w:tcPr>
          <w:p w14:paraId="373A22F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4C5BD2F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0.18</w:t>
            </w:r>
          </w:p>
        </w:tc>
        <w:tc>
          <w:tcPr>
            <w:tcW w:w="1134" w:type="dxa"/>
            <w:shd w:val="clear" w:color="auto" w:fill="auto"/>
            <w:noWrap/>
            <w:vAlign w:val="bottom"/>
          </w:tcPr>
          <w:p w14:paraId="79B83B6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1.19</w:t>
            </w:r>
          </w:p>
        </w:tc>
        <w:tc>
          <w:tcPr>
            <w:tcW w:w="1276" w:type="dxa"/>
            <w:shd w:val="clear" w:color="auto" w:fill="auto"/>
            <w:noWrap/>
            <w:vAlign w:val="bottom"/>
          </w:tcPr>
          <w:p w14:paraId="2BCB755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-0.54</w:t>
            </w:r>
          </w:p>
        </w:tc>
        <w:tc>
          <w:tcPr>
            <w:tcW w:w="1276" w:type="dxa"/>
          </w:tcPr>
          <w:p w14:paraId="3761A14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0.19</w:t>
            </w:r>
          </w:p>
        </w:tc>
        <w:tc>
          <w:tcPr>
            <w:tcW w:w="910" w:type="dxa"/>
          </w:tcPr>
          <w:p w14:paraId="3775521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0.96</w:t>
            </w:r>
          </w:p>
        </w:tc>
      </w:tr>
      <w:tr w:rsidR="00B051E5" w:rsidRPr="00B051E5" w14:paraId="7E7C04BA" w14:textId="77777777" w:rsidTr="00195944">
        <w:trPr>
          <w:trHeight w:val="280"/>
        </w:trPr>
        <w:tc>
          <w:tcPr>
            <w:tcW w:w="2835" w:type="dxa"/>
            <w:shd w:val="clear" w:color="auto" w:fill="auto"/>
            <w:noWrap/>
            <w:vAlign w:val="bottom"/>
            <w:hideMark/>
          </w:tcPr>
          <w:p w14:paraId="1991A67A"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PARD </w:t>
            </w:r>
          </w:p>
        </w:tc>
        <w:tc>
          <w:tcPr>
            <w:tcW w:w="1358" w:type="dxa"/>
            <w:shd w:val="clear" w:color="auto" w:fill="auto"/>
            <w:noWrap/>
            <w:hideMark/>
          </w:tcPr>
          <w:p w14:paraId="03AC4D6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hideMark/>
          </w:tcPr>
          <w:p w14:paraId="0421E29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0.17</w:t>
            </w:r>
          </w:p>
        </w:tc>
        <w:tc>
          <w:tcPr>
            <w:tcW w:w="1134" w:type="dxa"/>
            <w:shd w:val="clear" w:color="auto" w:fill="auto"/>
            <w:noWrap/>
            <w:vAlign w:val="bottom"/>
            <w:hideMark/>
          </w:tcPr>
          <w:p w14:paraId="22FDF4C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0.04</w:t>
            </w:r>
          </w:p>
        </w:tc>
        <w:tc>
          <w:tcPr>
            <w:tcW w:w="1276" w:type="dxa"/>
            <w:shd w:val="clear" w:color="auto" w:fill="auto"/>
            <w:noWrap/>
            <w:vAlign w:val="bottom"/>
          </w:tcPr>
          <w:p w14:paraId="03A5165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0.15</w:t>
            </w:r>
          </w:p>
        </w:tc>
        <w:tc>
          <w:tcPr>
            <w:tcW w:w="1276" w:type="dxa"/>
          </w:tcPr>
          <w:p w14:paraId="6F5603F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0.17</w:t>
            </w:r>
          </w:p>
        </w:tc>
        <w:tc>
          <w:tcPr>
            <w:tcW w:w="910" w:type="dxa"/>
          </w:tcPr>
          <w:p w14:paraId="51E2A25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0.20</w:t>
            </w:r>
          </w:p>
        </w:tc>
      </w:tr>
      <w:tr w:rsidR="00B051E5" w:rsidRPr="00B051E5" w14:paraId="29EF69A8" w14:textId="77777777" w:rsidTr="00195944">
        <w:trPr>
          <w:trHeight w:val="280"/>
        </w:trPr>
        <w:tc>
          <w:tcPr>
            <w:tcW w:w="2835" w:type="dxa"/>
            <w:shd w:val="clear" w:color="auto" w:fill="auto"/>
            <w:noWrap/>
            <w:vAlign w:val="bottom"/>
          </w:tcPr>
          <w:p w14:paraId="76CE5B30"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PFLRD </w:t>
            </w:r>
          </w:p>
        </w:tc>
        <w:tc>
          <w:tcPr>
            <w:tcW w:w="1358" w:type="dxa"/>
            <w:shd w:val="clear" w:color="auto" w:fill="auto"/>
            <w:noWrap/>
          </w:tcPr>
          <w:p w14:paraId="658D37F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75A8345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0.21</w:t>
            </w:r>
          </w:p>
        </w:tc>
        <w:tc>
          <w:tcPr>
            <w:tcW w:w="1134" w:type="dxa"/>
            <w:shd w:val="clear" w:color="auto" w:fill="auto"/>
            <w:noWrap/>
            <w:vAlign w:val="bottom"/>
          </w:tcPr>
          <w:p w14:paraId="50EC463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0.07</w:t>
            </w:r>
          </w:p>
        </w:tc>
        <w:tc>
          <w:tcPr>
            <w:tcW w:w="1276" w:type="dxa"/>
            <w:shd w:val="clear" w:color="auto" w:fill="auto"/>
            <w:noWrap/>
            <w:vAlign w:val="bottom"/>
          </w:tcPr>
          <w:p w14:paraId="134DB15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0.16</w:t>
            </w:r>
          </w:p>
        </w:tc>
        <w:tc>
          <w:tcPr>
            <w:tcW w:w="1276" w:type="dxa"/>
            <w:shd w:val="clear" w:color="auto" w:fill="auto"/>
            <w:vAlign w:val="bottom"/>
          </w:tcPr>
          <w:p w14:paraId="269889B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0.19</w:t>
            </w:r>
          </w:p>
        </w:tc>
        <w:tc>
          <w:tcPr>
            <w:tcW w:w="910" w:type="dxa"/>
          </w:tcPr>
          <w:p w14:paraId="44E896D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0.24</w:t>
            </w:r>
          </w:p>
        </w:tc>
      </w:tr>
      <w:tr w:rsidR="00B051E5" w:rsidRPr="00B051E5" w14:paraId="26DBC8EE" w14:textId="77777777" w:rsidTr="00195944">
        <w:trPr>
          <w:trHeight w:val="280"/>
        </w:trPr>
        <w:tc>
          <w:tcPr>
            <w:tcW w:w="2835" w:type="dxa"/>
            <w:shd w:val="clear" w:color="auto" w:fill="auto"/>
            <w:noWrap/>
            <w:vAlign w:val="bottom"/>
          </w:tcPr>
          <w:p w14:paraId="60B52AAB"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PNFLRD </w:t>
            </w:r>
          </w:p>
        </w:tc>
        <w:tc>
          <w:tcPr>
            <w:tcW w:w="1358" w:type="dxa"/>
            <w:shd w:val="clear" w:color="auto" w:fill="auto"/>
            <w:noWrap/>
          </w:tcPr>
          <w:p w14:paraId="2132DDC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377203B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0.79</w:t>
            </w:r>
          </w:p>
        </w:tc>
        <w:tc>
          <w:tcPr>
            <w:tcW w:w="1134" w:type="dxa"/>
            <w:shd w:val="clear" w:color="auto" w:fill="auto"/>
            <w:noWrap/>
            <w:vAlign w:val="bottom"/>
          </w:tcPr>
          <w:p w14:paraId="2C054BB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0.07</w:t>
            </w:r>
          </w:p>
        </w:tc>
        <w:tc>
          <w:tcPr>
            <w:tcW w:w="1276" w:type="dxa"/>
            <w:shd w:val="clear" w:color="auto" w:fill="auto"/>
            <w:noWrap/>
            <w:vAlign w:val="bottom"/>
          </w:tcPr>
          <w:p w14:paraId="623662D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0.76</w:t>
            </w:r>
          </w:p>
        </w:tc>
        <w:tc>
          <w:tcPr>
            <w:tcW w:w="1276" w:type="dxa"/>
          </w:tcPr>
          <w:p w14:paraId="5B7B27F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0.81</w:t>
            </w:r>
          </w:p>
        </w:tc>
        <w:tc>
          <w:tcPr>
            <w:tcW w:w="910" w:type="dxa"/>
          </w:tcPr>
          <w:p w14:paraId="1EB87E8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0.84</w:t>
            </w:r>
          </w:p>
        </w:tc>
      </w:tr>
      <w:tr w:rsidR="00B051E5" w:rsidRPr="00B051E5" w14:paraId="143FECB2" w14:textId="77777777" w:rsidTr="00195944">
        <w:trPr>
          <w:trHeight w:val="280"/>
        </w:trPr>
        <w:tc>
          <w:tcPr>
            <w:tcW w:w="2835" w:type="dxa"/>
            <w:shd w:val="clear" w:color="auto" w:fill="auto"/>
            <w:noWrap/>
            <w:vAlign w:val="bottom"/>
          </w:tcPr>
          <w:p w14:paraId="58B826E7" w14:textId="77777777" w:rsidR="00C42CF0" w:rsidRPr="00B051E5" w:rsidRDefault="00C42CF0" w:rsidP="00C42CF0">
            <w:pPr>
              <w:rPr>
                <w:rFonts w:ascii="Garamond" w:hAnsi="Garamond"/>
                <w:bCs/>
                <w:color w:val="000000" w:themeColor="text1"/>
                <w:sz w:val="20"/>
                <w:szCs w:val="20"/>
              </w:rPr>
            </w:pPr>
            <w:r w:rsidRPr="00B051E5">
              <w:rPr>
                <w:rFonts w:ascii="Garamond" w:hAnsi="Garamond"/>
                <w:bCs/>
                <w:iCs/>
                <w:color w:val="000000" w:themeColor="text1"/>
                <w:sz w:val="20"/>
                <w:szCs w:val="20"/>
              </w:rPr>
              <w:t>PFLRD_1</w:t>
            </w:r>
          </w:p>
        </w:tc>
        <w:tc>
          <w:tcPr>
            <w:tcW w:w="1358" w:type="dxa"/>
            <w:shd w:val="clear" w:color="auto" w:fill="auto"/>
            <w:noWrap/>
          </w:tcPr>
          <w:p w14:paraId="2BB960F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01C9663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0.036</w:t>
            </w:r>
          </w:p>
        </w:tc>
        <w:tc>
          <w:tcPr>
            <w:tcW w:w="1134" w:type="dxa"/>
            <w:shd w:val="clear" w:color="auto" w:fill="auto"/>
            <w:noWrap/>
            <w:vAlign w:val="bottom"/>
          </w:tcPr>
          <w:p w14:paraId="2662B28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w:t>
            </w:r>
          </w:p>
        </w:tc>
        <w:tc>
          <w:tcPr>
            <w:tcW w:w="1276" w:type="dxa"/>
            <w:shd w:val="clear" w:color="auto" w:fill="auto"/>
            <w:noWrap/>
            <w:vAlign w:val="bottom"/>
          </w:tcPr>
          <w:p w14:paraId="3366E1F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w:t>
            </w:r>
          </w:p>
        </w:tc>
        <w:tc>
          <w:tcPr>
            <w:tcW w:w="1276" w:type="dxa"/>
          </w:tcPr>
          <w:p w14:paraId="0CF8CA0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w:t>
            </w:r>
          </w:p>
        </w:tc>
        <w:tc>
          <w:tcPr>
            <w:tcW w:w="910" w:type="dxa"/>
          </w:tcPr>
          <w:p w14:paraId="3F6B58F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0.04</w:t>
            </w:r>
          </w:p>
        </w:tc>
      </w:tr>
      <w:tr w:rsidR="00B051E5" w:rsidRPr="00B051E5" w14:paraId="53F77BDE" w14:textId="77777777" w:rsidTr="00195944">
        <w:trPr>
          <w:trHeight w:val="280"/>
        </w:trPr>
        <w:tc>
          <w:tcPr>
            <w:tcW w:w="2835" w:type="dxa"/>
            <w:shd w:val="clear" w:color="auto" w:fill="auto"/>
            <w:noWrap/>
            <w:vAlign w:val="bottom"/>
          </w:tcPr>
          <w:p w14:paraId="736825A7" w14:textId="77777777" w:rsidR="00C42CF0" w:rsidRPr="00B051E5" w:rsidRDefault="00C42CF0" w:rsidP="00C42CF0">
            <w:pPr>
              <w:rPr>
                <w:rFonts w:ascii="Garamond" w:hAnsi="Garamond"/>
                <w:bCs/>
                <w:color w:val="000000" w:themeColor="text1"/>
                <w:sz w:val="20"/>
                <w:szCs w:val="20"/>
              </w:rPr>
            </w:pPr>
            <w:r w:rsidRPr="00B051E5">
              <w:rPr>
                <w:rFonts w:ascii="Garamond" w:hAnsi="Garamond"/>
                <w:bCs/>
                <w:iCs/>
                <w:color w:val="000000" w:themeColor="text1"/>
                <w:sz w:val="20"/>
                <w:szCs w:val="20"/>
              </w:rPr>
              <w:t>PNFLRD_1</w:t>
            </w:r>
          </w:p>
        </w:tc>
        <w:tc>
          <w:tcPr>
            <w:tcW w:w="1358" w:type="dxa"/>
            <w:shd w:val="clear" w:color="auto" w:fill="auto"/>
            <w:noWrap/>
          </w:tcPr>
          <w:p w14:paraId="7D79725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3723C15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0.14</w:t>
            </w:r>
          </w:p>
        </w:tc>
        <w:tc>
          <w:tcPr>
            <w:tcW w:w="1134" w:type="dxa"/>
            <w:shd w:val="clear" w:color="auto" w:fill="auto"/>
            <w:noWrap/>
            <w:vAlign w:val="bottom"/>
          </w:tcPr>
          <w:p w14:paraId="71BC91F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w:t>
            </w:r>
          </w:p>
        </w:tc>
        <w:tc>
          <w:tcPr>
            <w:tcW w:w="1276" w:type="dxa"/>
            <w:shd w:val="clear" w:color="auto" w:fill="auto"/>
            <w:noWrap/>
            <w:vAlign w:val="bottom"/>
          </w:tcPr>
          <w:p w14:paraId="6A39E5B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0.12</w:t>
            </w:r>
          </w:p>
        </w:tc>
        <w:tc>
          <w:tcPr>
            <w:tcW w:w="1276" w:type="dxa"/>
          </w:tcPr>
          <w:p w14:paraId="4A2E5D8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0.14</w:t>
            </w:r>
          </w:p>
        </w:tc>
        <w:tc>
          <w:tcPr>
            <w:tcW w:w="910" w:type="dxa"/>
          </w:tcPr>
          <w:p w14:paraId="6FC782F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0.16</w:t>
            </w:r>
          </w:p>
        </w:tc>
      </w:tr>
      <w:tr w:rsidR="00B051E5" w:rsidRPr="00B051E5" w14:paraId="79B52447" w14:textId="77777777" w:rsidTr="00195944">
        <w:trPr>
          <w:trHeight w:val="280"/>
        </w:trPr>
        <w:tc>
          <w:tcPr>
            <w:tcW w:w="2835" w:type="dxa"/>
            <w:shd w:val="clear" w:color="auto" w:fill="auto"/>
            <w:noWrap/>
            <w:vAlign w:val="bottom"/>
          </w:tcPr>
          <w:p w14:paraId="5857DA86" w14:textId="77777777" w:rsidR="00C42CF0" w:rsidRPr="00B051E5" w:rsidRDefault="00C42CF0" w:rsidP="00C42CF0">
            <w:pPr>
              <w:rPr>
                <w:rFonts w:ascii="Garamond" w:hAnsi="Garamond"/>
                <w:b/>
                <w:color w:val="000000" w:themeColor="text1"/>
                <w:sz w:val="20"/>
                <w:szCs w:val="20"/>
              </w:rPr>
            </w:pPr>
            <w:r w:rsidRPr="00B051E5">
              <w:rPr>
                <w:rFonts w:ascii="Garamond" w:hAnsi="Garamond"/>
                <w:b/>
                <w:color w:val="000000" w:themeColor="text1"/>
                <w:sz w:val="20"/>
                <w:szCs w:val="20"/>
              </w:rPr>
              <w:t xml:space="preserve">Control variables </w:t>
            </w:r>
          </w:p>
        </w:tc>
        <w:tc>
          <w:tcPr>
            <w:tcW w:w="1358" w:type="dxa"/>
            <w:shd w:val="clear" w:color="auto" w:fill="auto"/>
            <w:noWrap/>
            <w:vAlign w:val="bottom"/>
          </w:tcPr>
          <w:p w14:paraId="3D672F94" w14:textId="77777777" w:rsidR="00C42CF0" w:rsidRPr="00B051E5" w:rsidRDefault="00C42CF0" w:rsidP="00C42CF0">
            <w:pPr>
              <w:rPr>
                <w:rFonts w:ascii="Garamond" w:hAnsi="Garamond"/>
                <w:color w:val="000000" w:themeColor="text1"/>
                <w:sz w:val="20"/>
                <w:szCs w:val="20"/>
              </w:rPr>
            </w:pPr>
          </w:p>
        </w:tc>
        <w:tc>
          <w:tcPr>
            <w:tcW w:w="1134" w:type="dxa"/>
            <w:shd w:val="clear" w:color="auto" w:fill="auto"/>
            <w:noWrap/>
            <w:vAlign w:val="bottom"/>
          </w:tcPr>
          <w:p w14:paraId="3A9925FF" w14:textId="77777777" w:rsidR="00C42CF0" w:rsidRPr="00B051E5" w:rsidRDefault="00C42CF0" w:rsidP="00C42CF0">
            <w:pPr>
              <w:rPr>
                <w:rFonts w:ascii="Garamond" w:hAnsi="Garamond"/>
                <w:color w:val="000000" w:themeColor="text1"/>
                <w:sz w:val="20"/>
                <w:szCs w:val="20"/>
              </w:rPr>
            </w:pPr>
          </w:p>
        </w:tc>
        <w:tc>
          <w:tcPr>
            <w:tcW w:w="1134" w:type="dxa"/>
            <w:shd w:val="clear" w:color="auto" w:fill="auto"/>
            <w:noWrap/>
            <w:vAlign w:val="bottom"/>
          </w:tcPr>
          <w:p w14:paraId="20536A53" w14:textId="77777777" w:rsidR="00C42CF0" w:rsidRPr="00B051E5" w:rsidRDefault="00C42CF0" w:rsidP="00C42CF0">
            <w:pPr>
              <w:rPr>
                <w:rFonts w:ascii="Garamond" w:hAnsi="Garamond"/>
                <w:color w:val="000000" w:themeColor="text1"/>
                <w:sz w:val="20"/>
                <w:szCs w:val="20"/>
              </w:rPr>
            </w:pPr>
          </w:p>
        </w:tc>
        <w:tc>
          <w:tcPr>
            <w:tcW w:w="1276" w:type="dxa"/>
            <w:shd w:val="clear" w:color="auto" w:fill="auto"/>
            <w:noWrap/>
            <w:vAlign w:val="bottom"/>
          </w:tcPr>
          <w:p w14:paraId="3B22BEF4" w14:textId="77777777" w:rsidR="00C42CF0" w:rsidRPr="00B051E5" w:rsidRDefault="00C42CF0" w:rsidP="00C42CF0">
            <w:pPr>
              <w:rPr>
                <w:rFonts w:ascii="Garamond" w:hAnsi="Garamond"/>
                <w:color w:val="000000" w:themeColor="text1"/>
                <w:sz w:val="20"/>
                <w:szCs w:val="20"/>
              </w:rPr>
            </w:pPr>
          </w:p>
        </w:tc>
        <w:tc>
          <w:tcPr>
            <w:tcW w:w="1276" w:type="dxa"/>
          </w:tcPr>
          <w:p w14:paraId="3F047773" w14:textId="77777777" w:rsidR="00C42CF0" w:rsidRPr="00B051E5" w:rsidRDefault="00C42CF0" w:rsidP="00C42CF0">
            <w:pPr>
              <w:rPr>
                <w:rFonts w:ascii="Garamond" w:hAnsi="Garamond"/>
                <w:color w:val="000000" w:themeColor="text1"/>
                <w:sz w:val="20"/>
                <w:szCs w:val="20"/>
              </w:rPr>
            </w:pPr>
          </w:p>
        </w:tc>
        <w:tc>
          <w:tcPr>
            <w:tcW w:w="910" w:type="dxa"/>
          </w:tcPr>
          <w:p w14:paraId="29674454" w14:textId="77777777" w:rsidR="00C42CF0" w:rsidRPr="00B051E5" w:rsidRDefault="00C42CF0" w:rsidP="00C42CF0">
            <w:pPr>
              <w:rPr>
                <w:rFonts w:ascii="Garamond" w:hAnsi="Garamond"/>
                <w:color w:val="000000" w:themeColor="text1"/>
                <w:sz w:val="20"/>
                <w:szCs w:val="20"/>
              </w:rPr>
            </w:pPr>
          </w:p>
        </w:tc>
      </w:tr>
      <w:tr w:rsidR="00B051E5" w:rsidRPr="00B051E5" w14:paraId="5E4A9436" w14:textId="77777777" w:rsidTr="00195944">
        <w:trPr>
          <w:trHeight w:val="280"/>
        </w:trPr>
        <w:tc>
          <w:tcPr>
            <w:tcW w:w="2835" w:type="dxa"/>
            <w:shd w:val="clear" w:color="auto" w:fill="auto"/>
            <w:noWrap/>
            <w:vAlign w:val="bottom"/>
          </w:tcPr>
          <w:p w14:paraId="353DA8DC"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SIZE</w:t>
            </w:r>
          </w:p>
        </w:tc>
        <w:tc>
          <w:tcPr>
            <w:tcW w:w="1358" w:type="dxa"/>
            <w:shd w:val="clear" w:color="auto" w:fill="auto"/>
            <w:noWrap/>
          </w:tcPr>
          <w:p w14:paraId="1983DD8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72D5990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13.70</w:t>
            </w:r>
          </w:p>
        </w:tc>
        <w:tc>
          <w:tcPr>
            <w:tcW w:w="1134" w:type="dxa"/>
            <w:shd w:val="clear" w:color="auto" w:fill="auto"/>
            <w:noWrap/>
            <w:vAlign w:val="bottom"/>
          </w:tcPr>
          <w:p w14:paraId="075D2C8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1.64</w:t>
            </w:r>
          </w:p>
        </w:tc>
        <w:tc>
          <w:tcPr>
            <w:tcW w:w="1276" w:type="dxa"/>
            <w:shd w:val="clear" w:color="auto" w:fill="auto"/>
            <w:noWrap/>
            <w:vAlign w:val="bottom"/>
          </w:tcPr>
          <w:p w14:paraId="1C817EA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12.44</w:t>
            </w:r>
          </w:p>
        </w:tc>
        <w:tc>
          <w:tcPr>
            <w:tcW w:w="1276" w:type="dxa"/>
          </w:tcPr>
          <w:p w14:paraId="2EE37C3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13.46</w:t>
            </w:r>
          </w:p>
        </w:tc>
        <w:tc>
          <w:tcPr>
            <w:tcW w:w="910" w:type="dxa"/>
          </w:tcPr>
          <w:p w14:paraId="68213DB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14.81</w:t>
            </w:r>
          </w:p>
        </w:tc>
      </w:tr>
      <w:tr w:rsidR="00B051E5" w:rsidRPr="00B051E5" w14:paraId="043052AD" w14:textId="77777777" w:rsidTr="00195944">
        <w:trPr>
          <w:trHeight w:val="280"/>
        </w:trPr>
        <w:tc>
          <w:tcPr>
            <w:tcW w:w="2835" w:type="dxa"/>
            <w:shd w:val="clear" w:color="auto" w:fill="auto"/>
            <w:noWrap/>
            <w:vAlign w:val="bottom"/>
          </w:tcPr>
          <w:p w14:paraId="6E24D4EC"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LEV</w:t>
            </w:r>
          </w:p>
        </w:tc>
        <w:tc>
          <w:tcPr>
            <w:tcW w:w="1358" w:type="dxa"/>
            <w:shd w:val="clear" w:color="auto" w:fill="auto"/>
            <w:noWrap/>
          </w:tcPr>
          <w:p w14:paraId="160964D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016F20F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0.59</w:t>
            </w:r>
          </w:p>
        </w:tc>
        <w:tc>
          <w:tcPr>
            <w:tcW w:w="1134" w:type="dxa"/>
            <w:shd w:val="clear" w:color="auto" w:fill="auto"/>
            <w:noWrap/>
            <w:vAlign w:val="bottom"/>
          </w:tcPr>
          <w:p w14:paraId="1F5083C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1.57</w:t>
            </w:r>
          </w:p>
        </w:tc>
        <w:tc>
          <w:tcPr>
            <w:tcW w:w="1276" w:type="dxa"/>
            <w:shd w:val="clear" w:color="auto" w:fill="auto"/>
            <w:noWrap/>
            <w:vAlign w:val="bottom"/>
          </w:tcPr>
          <w:p w14:paraId="6EDCB0F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0.10</w:t>
            </w:r>
          </w:p>
        </w:tc>
        <w:tc>
          <w:tcPr>
            <w:tcW w:w="1276" w:type="dxa"/>
          </w:tcPr>
          <w:p w14:paraId="237E4EE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0.32</w:t>
            </w:r>
          </w:p>
        </w:tc>
        <w:tc>
          <w:tcPr>
            <w:tcW w:w="910" w:type="dxa"/>
          </w:tcPr>
          <w:p w14:paraId="3FA6FC7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0.84</w:t>
            </w:r>
          </w:p>
        </w:tc>
      </w:tr>
      <w:tr w:rsidR="00B051E5" w:rsidRPr="00B051E5" w14:paraId="73C7DD0F" w14:textId="77777777" w:rsidTr="00195944">
        <w:trPr>
          <w:trHeight w:val="280"/>
        </w:trPr>
        <w:tc>
          <w:tcPr>
            <w:tcW w:w="2835" w:type="dxa"/>
            <w:shd w:val="clear" w:color="auto" w:fill="auto"/>
            <w:noWrap/>
            <w:vAlign w:val="bottom"/>
          </w:tcPr>
          <w:p w14:paraId="4CE06A79"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VOL </w:t>
            </w:r>
          </w:p>
        </w:tc>
        <w:tc>
          <w:tcPr>
            <w:tcW w:w="1358" w:type="dxa"/>
            <w:shd w:val="clear" w:color="auto" w:fill="auto"/>
            <w:noWrap/>
          </w:tcPr>
          <w:p w14:paraId="5861839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300122D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1.22</w:t>
            </w:r>
          </w:p>
        </w:tc>
        <w:tc>
          <w:tcPr>
            <w:tcW w:w="1134" w:type="dxa"/>
            <w:shd w:val="clear" w:color="auto" w:fill="auto"/>
            <w:noWrap/>
            <w:vAlign w:val="bottom"/>
          </w:tcPr>
          <w:p w14:paraId="36A1C7A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1.18</w:t>
            </w:r>
          </w:p>
        </w:tc>
        <w:tc>
          <w:tcPr>
            <w:tcW w:w="1276" w:type="dxa"/>
            <w:shd w:val="clear" w:color="auto" w:fill="auto"/>
            <w:noWrap/>
            <w:vAlign w:val="bottom"/>
          </w:tcPr>
          <w:p w14:paraId="7774303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0.48</w:t>
            </w:r>
          </w:p>
        </w:tc>
        <w:tc>
          <w:tcPr>
            <w:tcW w:w="1276" w:type="dxa"/>
          </w:tcPr>
          <w:p w14:paraId="3F69DDA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0.83</w:t>
            </w:r>
          </w:p>
        </w:tc>
        <w:tc>
          <w:tcPr>
            <w:tcW w:w="910" w:type="dxa"/>
          </w:tcPr>
          <w:p w14:paraId="5B695AA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1.55</w:t>
            </w:r>
          </w:p>
        </w:tc>
      </w:tr>
      <w:tr w:rsidR="00B051E5" w:rsidRPr="00B051E5" w14:paraId="7B83812C" w14:textId="77777777" w:rsidTr="00195944">
        <w:trPr>
          <w:trHeight w:val="280"/>
        </w:trPr>
        <w:tc>
          <w:tcPr>
            <w:tcW w:w="2835" w:type="dxa"/>
            <w:shd w:val="clear" w:color="auto" w:fill="auto"/>
            <w:noWrap/>
            <w:vAlign w:val="bottom"/>
          </w:tcPr>
          <w:p w14:paraId="55787638"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MTB</w:t>
            </w:r>
          </w:p>
        </w:tc>
        <w:tc>
          <w:tcPr>
            <w:tcW w:w="1358" w:type="dxa"/>
            <w:shd w:val="clear" w:color="auto" w:fill="auto"/>
            <w:noWrap/>
          </w:tcPr>
          <w:p w14:paraId="095C203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2E4D41C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3.32</w:t>
            </w:r>
          </w:p>
        </w:tc>
        <w:tc>
          <w:tcPr>
            <w:tcW w:w="1134" w:type="dxa"/>
            <w:shd w:val="clear" w:color="auto" w:fill="auto"/>
            <w:noWrap/>
            <w:vAlign w:val="bottom"/>
          </w:tcPr>
          <w:p w14:paraId="64E0B6D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11.46</w:t>
            </w:r>
          </w:p>
        </w:tc>
        <w:tc>
          <w:tcPr>
            <w:tcW w:w="1276" w:type="dxa"/>
            <w:shd w:val="clear" w:color="auto" w:fill="auto"/>
            <w:noWrap/>
            <w:vAlign w:val="bottom"/>
          </w:tcPr>
          <w:p w14:paraId="1BD46B7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1.40</w:t>
            </w:r>
          </w:p>
        </w:tc>
        <w:tc>
          <w:tcPr>
            <w:tcW w:w="1276" w:type="dxa"/>
          </w:tcPr>
          <w:p w14:paraId="3F2BA7F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2.33</w:t>
            </w:r>
          </w:p>
        </w:tc>
        <w:tc>
          <w:tcPr>
            <w:tcW w:w="910" w:type="dxa"/>
          </w:tcPr>
          <w:p w14:paraId="08D8AD7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3.84</w:t>
            </w:r>
          </w:p>
        </w:tc>
      </w:tr>
      <w:tr w:rsidR="00B051E5" w:rsidRPr="00B051E5" w14:paraId="1001B5A3" w14:textId="77777777" w:rsidTr="00195944">
        <w:trPr>
          <w:trHeight w:val="280"/>
        </w:trPr>
        <w:tc>
          <w:tcPr>
            <w:tcW w:w="2835" w:type="dxa"/>
            <w:shd w:val="clear" w:color="auto" w:fill="auto"/>
            <w:noWrap/>
            <w:vAlign w:val="bottom"/>
          </w:tcPr>
          <w:p w14:paraId="7EFF781B"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VOLATILITY </w:t>
            </w:r>
          </w:p>
        </w:tc>
        <w:tc>
          <w:tcPr>
            <w:tcW w:w="1358" w:type="dxa"/>
            <w:shd w:val="clear" w:color="auto" w:fill="auto"/>
            <w:noWrap/>
          </w:tcPr>
          <w:p w14:paraId="29AF9F3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517BE11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0.36</w:t>
            </w:r>
          </w:p>
        </w:tc>
        <w:tc>
          <w:tcPr>
            <w:tcW w:w="1134" w:type="dxa"/>
            <w:shd w:val="clear" w:color="auto" w:fill="auto"/>
            <w:noWrap/>
            <w:vAlign w:val="bottom"/>
          </w:tcPr>
          <w:p w14:paraId="1877F11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0.15</w:t>
            </w:r>
          </w:p>
        </w:tc>
        <w:tc>
          <w:tcPr>
            <w:tcW w:w="1276" w:type="dxa"/>
            <w:shd w:val="clear" w:color="auto" w:fill="auto"/>
            <w:noWrap/>
            <w:vAlign w:val="bottom"/>
          </w:tcPr>
          <w:p w14:paraId="4C69249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0.25</w:t>
            </w:r>
          </w:p>
        </w:tc>
        <w:tc>
          <w:tcPr>
            <w:tcW w:w="1276" w:type="dxa"/>
          </w:tcPr>
          <w:p w14:paraId="78ACE2B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0.32</w:t>
            </w:r>
          </w:p>
        </w:tc>
        <w:tc>
          <w:tcPr>
            <w:tcW w:w="910" w:type="dxa"/>
          </w:tcPr>
          <w:p w14:paraId="1B831D2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0.43</w:t>
            </w:r>
          </w:p>
        </w:tc>
      </w:tr>
      <w:tr w:rsidR="00B051E5" w:rsidRPr="00B051E5" w14:paraId="3CFFC08C" w14:textId="77777777" w:rsidTr="00195944">
        <w:trPr>
          <w:trHeight w:val="280"/>
        </w:trPr>
        <w:tc>
          <w:tcPr>
            <w:tcW w:w="2835" w:type="dxa"/>
            <w:shd w:val="clear" w:color="auto" w:fill="auto"/>
            <w:noWrap/>
            <w:vAlign w:val="bottom"/>
          </w:tcPr>
          <w:p w14:paraId="2CA1F39A"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ROA</w:t>
            </w:r>
          </w:p>
        </w:tc>
        <w:tc>
          <w:tcPr>
            <w:tcW w:w="1358" w:type="dxa"/>
            <w:shd w:val="clear" w:color="auto" w:fill="auto"/>
            <w:noWrap/>
          </w:tcPr>
          <w:p w14:paraId="5C0B161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305A49B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7.49</w:t>
            </w:r>
          </w:p>
        </w:tc>
        <w:tc>
          <w:tcPr>
            <w:tcW w:w="1134" w:type="dxa"/>
            <w:shd w:val="clear" w:color="auto" w:fill="auto"/>
            <w:noWrap/>
            <w:vAlign w:val="bottom"/>
          </w:tcPr>
          <w:p w14:paraId="12CACC8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7.67</w:t>
            </w:r>
          </w:p>
        </w:tc>
        <w:tc>
          <w:tcPr>
            <w:tcW w:w="1276" w:type="dxa"/>
            <w:shd w:val="clear" w:color="auto" w:fill="auto"/>
            <w:noWrap/>
            <w:vAlign w:val="bottom"/>
          </w:tcPr>
          <w:p w14:paraId="0914D86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4.21</w:t>
            </w:r>
          </w:p>
        </w:tc>
        <w:tc>
          <w:tcPr>
            <w:tcW w:w="1276" w:type="dxa"/>
          </w:tcPr>
          <w:p w14:paraId="7FBE588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6.98</w:t>
            </w:r>
          </w:p>
        </w:tc>
        <w:tc>
          <w:tcPr>
            <w:tcW w:w="910" w:type="dxa"/>
          </w:tcPr>
          <w:p w14:paraId="4456477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10.96</w:t>
            </w:r>
          </w:p>
        </w:tc>
      </w:tr>
      <w:tr w:rsidR="00B051E5" w:rsidRPr="00B051E5" w14:paraId="1FAFC04A" w14:textId="77777777" w:rsidTr="00195944">
        <w:trPr>
          <w:trHeight w:val="329"/>
        </w:trPr>
        <w:tc>
          <w:tcPr>
            <w:tcW w:w="2835" w:type="dxa"/>
            <w:shd w:val="clear" w:color="auto" w:fill="auto"/>
            <w:noWrap/>
            <w:vAlign w:val="bottom"/>
          </w:tcPr>
          <w:p w14:paraId="3A8A966C"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BSIZE</w:t>
            </w:r>
          </w:p>
        </w:tc>
        <w:tc>
          <w:tcPr>
            <w:tcW w:w="1358" w:type="dxa"/>
            <w:shd w:val="clear" w:color="auto" w:fill="auto"/>
            <w:noWrap/>
          </w:tcPr>
          <w:p w14:paraId="71B985B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754BF7E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2.48</w:t>
            </w:r>
          </w:p>
        </w:tc>
        <w:tc>
          <w:tcPr>
            <w:tcW w:w="1134" w:type="dxa"/>
            <w:shd w:val="clear" w:color="auto" w:fill="auto"/>
            <w:noWrap/>
            <w:vAlign w:val="bottom"/>
          </w:tcPr>
          <w:p w14:paraId="7E722FC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0.37</w:t>
            </w:r>
          </w:p>
        </w:tc>
        <w:tc>
          <w:tcPr>
            <w:tcW w:w="1276" w:type="dxa"/>
            <w:shd w:val="clear" w:color="auto" w:fill="auto"/>
            <w:noWrap/>
            <w:vAlign w:val="bottom"/>
          </w:tcPr>
          <w:p w14:paraId="7D9F136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2.30</w:t>
            </w:r>
          </w:p>
        </w:tc>
        <w:tc>
          <w:tcPr>
            <w:tcW w:w="1276" w:type="dxa"/>
          </w:tcPr>
          <w:p w14:paraId="5AB7F58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2.48</w:t>
            </w:r>
          </w:p>
        </w:tc>
        <w:tc>
          <w:tcPr>
            <w:tcW w:w="910" w:type="dxa"/>
          </w:tcPr>
          <w:p w14:paraId="5E528B1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2.70</w:t>
            </w:r>
          </w:p>
        </w:tc>
      </w:tr>
      <w:tr w:rsidR="00B051E5" w:rsidRPr="00B051E5" w14:paraId="5A6753B6" w14:textId="77777777" w:rsidTr="00195944">
        <w:trPr>
          <w:trHeight w:val="280"/>
        </w:trPr>
        <w:tc>
          <w:tcPr>
            <w:tcW w:w="2835" w:type="dxa"/>
            <w:shd w:val="clear" w:color="auto" w:fill="auto"/>
            <w:noWrap/>
            <w:vAlign w:val="bottom"/>
          </w:tcPr>
          <w:p w14:paraId="347087D0"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BINDP </w:t>
            </w:r>
          </w:p>
        </w:tc>
        <w:tc>
          <w:tcPr>
            <w:tcW w:w="1358" w:type="dxa"/>
            <w:shd w:val="clear" w:color="auto" w:fill="auto"/>
            <w:noWrap/>
          </w:tcPr>
          <w:p w14:paraId="5C17017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shd w:val="clear" w:color="auto" w:fill="auto"/>
            <w:noWrap/>
            <w:vAlign w:val="bottom"/>
          </w:tcPr>
          <w:p w14:paraId="79A10AD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0.72</w:t>
            </w:r>
          </w:p>
        </w:tc>
        <w:tc>
          <w:tcPr>
            <w:tcW w:w="1134" w:type="dxa"/>
            <w:shd w:val="clear" w:color="auto" w:fill="auto"/>
            <w:noWrap/>
            <w:vAlign w:val="bottom"/>
          </w:tcPr>
          <w:p w14:paraId="3229288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0.23</w:t>
            </w:r>
          </w:p>
        </w:tc>
        <w:tc>
          <w:tcPr>
            <w:tcW w:w="1276" w:type="dxa"/>
            <w:shd w:val="clear" w:color="auto" w:fill="auto"/>
            <w:noWrap/>
            <w:vAlign w:val="bottom"/>
          </w:tcPr>
          <w:p w14:paraId="7003AD6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0.63</w:t>
            </w:r>
          </w:p>
        </w:tc>
        <w:tc>
          <w:tcPr>
            <w:tcW w:w="1276" w:type="dxa"/>
          </w:tcPr>
          <w:p w14:paraId="5820791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0.77</w:t>
            </w:r>
          </w:p>
        </w:tc>
        <w:tc>
          <w:tcPr>
            <w:tcW w:w="910" w:type="dxa"/>
          </w:tcPr>
          <w:p w14:paraId="70D299E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0.88</w:t>
            </w:r>
          </w:p>
        </w:tc>
      </w:tr>
      <w:tr w:rsidR="00B051E5" w:rsidRPr="00B051E5" w14:paraId="5ED4E6D2" w14:textId="77777777" w:rsidTr="00195944">
        <w:trPr>
          <w:trHeight w:val="280"/>
        </w:trPr>
        <w:tc>
          <w:tcPr>
            <w:tcW w:w="2835" w:type="dxa"/>
            <w:tcBorders>
              <w:bottom w:val="double" w:sz="4" w:space="0" w:color="auto"/>
            </w:tcBorders>
            <w:shd w:val="clear" w:color="auto" w:fill="auto"/>
            <w:noWrap/>
            <w:vAlign w:val="bottom"/>
          </w:tcPr>
          <w:p w14:paraId="490365D4" w14:textId="77777777" w:rsidR="00C42CF0" w:rsidRPr="00B051E5" w:rsidRDefault="00C42CF0" w:rsidP="00C42CF0">
            <w:pPr>
              <w:rPr>
                <w:rFonts w:ascii="Garamond" w:hAnsi="Garamond"/>
                <w:bCs/>
                <w:color w:val="000000" w:themeColor="text1"/>
                <w:sz w:val="20"/>
                <w:szCs w:val="20"/>
              </w:rPr>
            </w:pPr>
            <w:r w:rsidRPr="00B051E5">
              <w:rPr>
                <w:rFonts w:ascii="Garamond" w:hAnsi="Garamond"/>
                <w:bCs/>
                <w:color w:val="000000" w:themeColor="text1"/>
                <w:sz w:val="20"/>
                <w:szCs w:val="20"/>
              </w:rPr>
              <w:t xml:space="preserve">CHSHAR </w:t>
            </w:r>
          </w:p>
        </w:tc>
        <w:tc>
          <w:tcPr>
            <w:tcW w:w="1358" w:type="dxa"/>
            <w:tcBorders>
              <w:bottom w:val="double" w:sz="4" w:space="0" w:color="auto"/>
            </w:tcBorders>
            <w:shd w:val="clear" w:color="auto" w:fill="auto"/>
            <w:noWrap/>
          </w:tcPr>
          <w:p w14:paraId="2266416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2,218</w:t>
            </w:r>
          </w:p>
        </w:tc>
        <w:tc>
          <w:tcPr>
            <w:tcW w:w="1134" w:type="dxa"/>
            <w:tcBorders>
              <w:bottom w:val="double" w:sz="4" w:space="0" w:color="auto"/>
            </w:tcBorders>
            <w:shd w:val="clear" w:color="auto" w:fill="auto"/>
            <w:noWrap/>
            <w:vAlign w:val="bottom"/>
          </w:tcPr>
          <w:p w14:paraId="47E78F3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17.99</w:t>
            </w:r>
          </w:p>
        </w:tc>
        <w:tc>
          <w:tcPr>
            <w:tcW w:w="1134" w:type="dxa"/>
            <w:tcBorders>
              <w:bottom w:val="double" w:sz="4" w:space="0" w:color="auto"/>
            </w:tcBorders>
            <w:shd w:val="clear" w:color="auto" w:fill="auto"/>
            <w:noWrap/>
            <w:vAlign w:val="bottom"/>
          </w:tcPr>
          <w:p w14:paraId="196D19E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18.41</w:t>
            </w:r>
          </w:p>
        </w:tc>
        <w:tc>
          <w:tcPr>
            <w:tcW w:w="1276" w:type="dxa"/>
            <w:tcBorders>
              <w:bottom w:val="double" w:sz="4" w:space="0" w:color="auto"/>
            </w:tcBorders>
            <w:shd w:val="clear" w:color="auto" w:fill="auto"/>
            <w:noWrap/>
            <w:vAlign w:val="bottom"/>
          </w:tcPr>
          <w:p w14:paraId="09886BB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1.49</w:t>
            </w:r>
          </w:p>
        </w:tc>
        <w:tc>
          <w:tcPr>
            <w:tcW w:w="1276" w:type="dxa"/>
            <w:tcBorders>
              <w:bottom w:val="double" w:sz="4" w:space="0" w:color="auto"/>
            </w:tcBorders>
          </w:tcPr>
          <w:p w14:paraId="519A3F4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13.21</w:t>
            </w:r>
          </w:p>
        </w:tc>
        <w:tc>
          <w:tcPr>
            <w:tcW w:w="910" w:type="dxa"/>
            <w:tcBorders>
              <w:bottom w:val="single" w:sz="4" w:space="0" w:color="auto"/>
            </w:tcBorders>
          </w:tcPr>
          <w:p w14:paraId="257A45C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28.19</w:t>
            </w:r>
          </w:p>
        </w:tc>
      </w:tr>
      <w:tr w:rsidR="00B051E5" w:rsidRPr="00B051E5" w14:paraId="4DDD862C" w14:textId="77777777" w:rsidTr="00195944">
        <w:trPr>
          <w:trHeight w:val="280"/>
        </w:trPr>
        <w:tc>
          <w:tcPr>
            <w:tcW w:w="9923" w:type="dxa"/>
            <w:gridSpan w:val="7"/>
            <w:tcBorders>
              <w:top w:val="double" w:sz="4" w:space="0" w:color="auto"/>
              <w:bottom w:val="nil"/>
            </w:tcBorders>
            <w:shd w:val="clear" w:color="auto" w:fill="auto"/>
            <w:noWrap/>
            <w:vAlign w:val="bottom"/>
          </w:tcPr>
          <w:p w14:paraId="28A7F137" w14:textId="1C816197" w:rsidR="00C42CF0" w:rsidRPr="00B051E5" w:rsidRDefault="00C42CF0" w:rsidP="00C42CF0">
            <w:pPr>
              <w:jc w:val="both"/>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 xml:space="preserve">This table reports the descriptive statistics for our main and control variables. Our main variables include stock price informativeness measure and risk information as respectively dependent and independent variables for all empirical models. All continuous variables are winsorized at the 1st and 99th percentiles. All </w:t>
            </w:r>
            <w:r w:rsidR="00523DB2" w:rsidRPr="00B051E5">
              <w:rPr>
                <w:rFonts w:ascii="Garamond" w:eastAsia="Calibri" w:hAnsi="Garamond"/>
                <w:color w:val="000000" w:themeColor="text1"/>
                <w:sz w:val="20"/>
                <w:szCs w:val="20"/>
                <w:lang w:eastAsia="en-US"/>
              </w:rPr>
              <w:t>variables’</w:t>
            </w:r>
            <w:r w:rsidRPr="00B051E5">
              <w:rPr>
                <w:rFonts w:ascii="Garamond" w:eastAsia="Calibri" w:hAnsi="Garamond"/>
                <w:color w:val="000000" w:themeColor="text1"/>
                <w:sz w:val="20"/>
                <w:szCs w:val="20"/>
                <w:lang w:eastAsia="en-US"/>
              </w:rPr>
              <w:t xml:space="preserve"> definitions, measures and sources are provided in Appendix </w:t>
            </w:r>
            <w:r w:rsidR="00770E81" w:rsidRPr="00B051E5">
              <w:rPr>
                <w:rFonts w:ascii="Garamond" w:eastAsia="Calibri" w:hAnsi="Garamond"/>
                <w:color w:val="000000" w:themeColor="text1"/>
                <w:sz w:val="20"/>
                <w:szCs w:val="20"/>
                <w:lang w:eastAsia="en-US"/>
              </w:rPr>
              <w:t>2</w:t>
            </w:r>
            <w:r w:rsidRPr="00B051E5">
              <w:rPr>
                <w:rFonts w:ascii="Garamond" w:eastAsia="Calibri" w:hAnsi="Garamond"/>
                <w:color w:val="000000" w:themeColor="text1"/>
                <w:sz w:val="20"/>
                <w:szCs w:val="20"/>
                <w:lang w:eastAsia="en-US"/>
              </w:rPr>
              <w:t>.</w:t>
            </w:r>
          </w:p>
        </w:tc>
      </w:tr>
    </w:tbl>
    <w:p w14:paraId="467132DB" w14:textId="77777777" w:rsidR="00C42CF0" w:rsidRPr="00B051E5" w:rsidRDefault="00C42CF0" w:rsidP="00C42CF0">
      <w:pPr>
        <w:spacing w:after="160" w:line="259" w:lineRule="auto"/>
        <w:contextualSpacing/>
        <w:rPr>
          <w:rFonts w:ascii="Garamond" w:eastAsia="Calibri" w:hAnsi="Garamond"/>
          <w:color w:val="000000" w:themeColor="text1"/>
          <w:sz w:val="20"/>
          <w:szCs w:val="20"/>
          <w:lang w:eastAsia="en-US"/>
        </w:rPr>
        <w:sectPr w:rsidR="00C42CF0" w:rsidRPr="00B051E5" w:rsidSect="00D75008">
          <w:footerReference w:type="default" r:id="rId14"/>
          <w:pgSz w:w="11906" w:h="16838"/>
          <w:pgMar w:top="1440" w:right="1440" w:bottom="1440" w:left="1440" w:header="708" w:footer="708" w:gutter="0"/>
          <w:cols w:space="708"/>
          <w:docGrid w:linePitch="360"/>
        </w:sectPr>
      </w:pPr>
    </w:p>
    <w:p w14:paraId="7FB8D279" w14:textId="77777777" w:rsidR="00C42CF0" w:rsidRPr="00B051E5" w:rsidRDefault="00C42CF0" w:rsidP="00C42CF0">
      <w:pPr>
        <w:spacing w:after="160" w:line="259" w:lineRule="auto"/>
        <w:rPr>
          <w:rFonts w:ascii="Garamond" w:eastAsia="Calibri" w:hAnsi="Garamond"/>
          <w:b/>
          <w:color w:val="000000" w:themeColor="text1"/>
          <w:sz w:val="20"/>
          <w:szCs w:val="20"/>
          <w:lang w:eastAsia="en-US"/>
        </w:rPr>
      </w:pPr>
      <w:r w:rsidRPr="00B051E5">
        <w:rPr>
          <w:rFonts w:ascii="Garamond" w:eastAsia="Calibri" w:hAnsi="Garamond"/>
          <w:b/>
          <w:color w:val="000000" w:themeColor="text1"/>
          <w:sz w:val="20"/>
          <w:szCs w:val="20"/>
          <w:lang w:eastAsia="en-US"/>
        </w:rPr>
        <w:lastRenderedPageBreak/>
        <w:t xml:space="preserve">Table 2. </w:t>
      </w:r>
      <w:r w:rsidRPr="00B051E5">
        <w:rPr>
          <w:rFonts w:ascii="Garamond" w:eastAsia="Calibri" w:hAnsi="Garamond"/>
          <w:color w:val="000000" w:themeColor="text1"/>
          <w:sz w:val="20"/>
          <w:szCs w:val="20"/>
          <w:lang w:eastAsia="en-US"/>
        </w:rPr>
        <w:t>Correlation matrix</w:t>
      </w:r>
      <w:r w:rsidRPr="00B051E5">
        <w:rPr>
          <w:rFonts w:ascii="Garamond" w:eastAsia="Calibri" w:hAnsi="Garamond"/>
          <w:b/>
          <w:color w:val="000000" w:themeColor="text1"/>
          <w:sz w:val="20"/>
          <w:szCs w:val="20"/>
          <w:lang w:eastAsia="en-US"/>
        </w:rPr>
        <w:t xml:space="preserve"> </w:t>
      </w:r>
    </w:p>
    <w:tbl>
      <w:tblPr>
        <w:tblpPr w:leftFromText="180" w:rightFromText="180" w:vertAnchor="page" w:horzAnchor="margin" w:tblpXSpec="center" w:tblpY="1816"/>
        <w:tblW w:w="16585" w:type="dxa"/>
        <w:tblLayout w:type="fixed"/>
        <w:tblLook w:val="04A0" w:firstRow="1" w:lastRow="0" w:firstColumn="1" w:lastColumn="0" w:noHBand="0" w:noVBand="1"/>
      </w:tblPr>
      <w:tblGrid>
        <w:gridCol w:w="567"/>
        <w:gridCol w:w="1418"/>
        <w:gridCol w:w="993"/>
        <w:gridCol w:w="992"/>
        <w:gridCol w:w="992"/>
        <w:gridCol w:w="992"/>
        <w:gridCol w:w="993"/>
        <w:gridCol w:w="993"/>
        <w:gridCol w:w="993"/>
        <w:gridCol w:w="992"/>
        <w:gridCol w:w="992"/>
        <w:gridCol w:w="992"/>
        <w:gridCol w:w="993"/>
        <w:gridCol w:w="992"/>
        <w:gridCol w:w="992"/>
        <w:gridCol w:w="991"/>
        <w:gridCol w:w="708"/>
      </w:tblGrid>
      <w:tr w:rsidR="00B051E5" w:rsidRPr="00B051E5" w14:paraId="5EAE9351" w14:textId="77777777" w:rsidTr="00195944">
        <w:trPr>
          <w:trHeight w:val="265"/>
        </w:trPr>
        <w:tc>
          <w:tcPr>
            <w:tcW w:w="1985" w:type="dxa"/>
            <w:gridSpan w:val="2"/>
            <w:tcBorders>
              <w:top w:val="single" w:sz="4" w:space="0" w:color="auto"/>
              <w:bottom w:val="single" w:sz="4" w:space="0" w:color="auto"/>
            </w:tcBorders>
            <w:shd w:val="clear" w:color="auto" w:fill="auto"/>
            <w:vAlign w:val="center"/>
            <w:hideMark/>
          </w:tcPr>
          <w:p w14:paraId="706F60C5" w14:textId="77777777" w:rsidR="00C42CF0" w:rsidRPr="00B051E5" w:rsidRDefault="00C42CF0" w:rsidP="00C42CF0">
            <w:pPr>
              <w:rPr>
                <w:rFonts w:ascii="Garamond" w:hAnsi="Garamond"/>
                <w:color w:val="000000" w:themeColor="text1"/>
                <w:sz w:val="20"/>
                <w:szCs w:val="20"/>
              </w:rPr>
            </w:pPr>
          </w:p>
        </w:tc>
        <w:tc>
          <w:tcPr>
            <w:tcW w:w="993" w:type="dxa"/>
            <w:tcBorders>
              <w:top w:val="single" w:sz="4" w:space="0" w:color="auto"/>
              <w:bottom w:val="single" w:sz="4" w:space="0" w:color="auto"/>
            </w:tcBorders>
            <w:shd w:val="clear" w:color="auto" w:fill="auto"/>
            <w:vAlign w:val="center"/>
          </w:tcPr>
          <w:p w14:paraId="7BE0464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w:t>
            </w:r>
          </w:p>
        </w:tc>
        <w:tc>
          <w:tcPr>
            <w:tcW w:w="992" w:type="dxa"/>
            <w:tcBorders>
              <w:top w:val="single" w:sz="4" w:space="0" w:color="auto"/>
              <w:bottom w:val="single" w:sz="4" w:space="0" w:color="auto"/>
            </w:tcBorders>
            <w:shd w:val="clear" w:color="auto" w:fill="auto"/>
            <w:vAlign w:val="center"/>
          </w:tcPr>
          <w:p w14:paraId="65F5BEA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(2)</w:t>
            </w:r>
          </w:p>
        </w:tc>
        <w:tc>
          <w:tcPr>
            <w:tcW w:w="992" w:type="dxa"/>
            <w:tcBorders>
              <w:top w:val="single" w:sz="4" w:space="0" w:color="auto"/>
              <w:bottom w:val="single" w:sz="4" w:space="0" w:color="auto"/>
            </w:tcBorders>
            <w:shd w:val="clear" w:color="auto" w:fill="auto"/>
            <w:vAlign w:val="center"/>
          </w:tcPr>
          <w:p w14:paraId="1F9F0B6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(3)</w:t>
            </w:r>
          </w:p>
        </w:tc>
        <w:tc>
          <w:tcPr>
            <w:tcW w:w="992" w:type="dxa"/>
            <w:tcBorders>
              <w:top w:val="single" w:sz="4" w:space="0" w:color="auto"/>
              <w:bottom w:val="single" w:sz="4" w:space="0" w:color="auto"/>
            </w:tcBorders>
            <w:shd w:val="clear" w:color="auto" w:fill="auto"/>
            <w:vAlign w:val="center"/>
          </w:tcPr>
          <w:p w14:paraId="3385D50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(4)</w:t>
            </w:r>
          </w:p>
        </w:tc>
        <w:tc>
          <w:tcPr>
            <w:tcW w:w="993" w:type="dxa"/>
            <w:tcBorders>
              <w:top w:val="single" w:sz="4" w:space="0" w:color="auto"/>
              <w:bottom w:val="single" w:sz="4" w:space="0" w:color="auto"/>
            </w:tcBorders>
            <w:shd w:val="clear" w:color="auto" w:fill="auto"/>
            <w:vAlign w:val="center"/>
          </w:tcPr>
          <w:p w14:paraId="304B0AA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(5)</w:t>
            </w:r>
          </w:p>
        </w:tc>
        <w:tc>
          <w:tcPr>
            <w:tcW w:w="993" w:type="dxa"/>
            <w:tcBorders>
              <w:top w:val="single" w:sz="4" w:space="0" w:color="auto"/>
              <w:bottom w:val="single" w:sz="4" w:space="0" w:color="auto"/>
            </w:tcBorders>
            <w:shd w:val="clear" w:color="auto" w:fill="auto"/>
            <w:vAlign w:val="center"/>
          </w:tcPr>
          <w:p w14:paraId="49E43B4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(6)</w:t>
            </w:r>
          </w:p>
        </w:tc>
        <w:tc>
          <w:tcPr>
            <w:tcW w:w="993" w:type="dxa"/>
            <w:tcBorders>
              <w:top w:val="single" w:sz="4" w:space="0" w:color="auto"/>
              <w:bottom w:val="single" w:sz="4" w:space="0" w:color="auto"/>
            </w:tcBorders>
            <w:shd w:val="clear" w:color="auto" w:fill="auto"/>
            <w:vAlign w:val="center"/>
          </w:tcPr>
          <w:p w14:paraId="53C1E1E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(7)</w:t>
            </w:r>
          </w:p>
        </w:tc>
        <w:tc>
          <w:tcPr>
            <w:tcW w:w="992" w:type="dxa"/>
            <w:tcBorders>
              <w:top w:val="single" w:sz="4" w:space="0" w:color="auto"/>
              <w:bottom w:val="single" w:sz="4" w:space="0" w:color="auto"/>
            </w:tcBorders>
            <w:shd w:val="clear" w:color="auto" w:fill="auto"/>
            <w:vAlign w:val="center"/>
          </w:tcPr>
          <w:p w14:paraId="5003A0E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(8)</w:t>
            </w:r>
          </w:p>
        </w:tc>
        <w:tc>
          <w:tcPr>
            <w:tcW w:w="992" w:type="dxa"/>
            <w:tcBorders>
              <w:top w:val="single" w:sz="4" w:space="0" w:color="auto"/>
              <w:bottom w:val="single" w:sz="4" w:space="0" w:color="auto"/>
            </w:tcBorders>
            <w:shd w:val="clear" w:color="auto" w:fill="auto"/>
            <w:vAlign w:val="center"/>
          </w:tcPr>
          <w:p w14:paraId="3641674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(9)</w:t>
            </w:r>
          </w:p>
        </w:tc>
        <w:tc>
          <w:tcPr>
            <w:tcW w:w="992" w:type="dxa"/>
            <w:tcBorders>
              <w:top w:val="single" w:sz="4" w:space="0" w:color="auto"/>
              <w:bottom w:val="single" w:sz="4" w:space="0" w:color="auto"/>
            </w:tcBorders>
            <w:shd w:val="clear" w:color="auto" w:fill="auto"/>
            <w:vAlign w:val="center"/>
          </w:tcPr>
          <w:p w14:paraId="062518E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w:t>
            </w:r>
          </w:p>
        </w:tc>
        <w:tc>
          <w:tcPr>
            <w:tcW w:w="993" w:type="dxa"/>
            <w:tcBorders>
              <w:top w:val="single" w:sz="4" w:space="0" w:color="auto"/>
              <w:bottom w:val="single" w:sz="4" w:space="0" w:color="auto"/>
            </w:tcBorders>
            <w:shd w:val="clear" w:color="auto" w:fill="auto"/>
            <w:vAlign w:val="center"/>
          </w:tcPr>
          <w:p w14:paraId="5839B35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(11)</w:t>
            </w:r>
          </w:p>
        </w:tc>
        <w:tc>
          <w:tcPr>
            <w:tcW w:w="992" w:type="dxa"/>
            <w:tcBorders>
              <w:top w:val="single" w:sz="4" w:space="0" w:color="auto"/>
              <w:bottom w:val="single" w:sz="4" w:space="0" w:color="auto"/>
            </w:tcBorders>
            <w:shd w:val="clear" w:color="auto" w:fill="auto"/>
            <w:vAlign w:val="center"/>
          </w:tcPr>
          <w:p w14:paraId="38A1940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(12)</w:t>
            </w:r>
          </w:p>
        </w:tc>
        <w:tc>
          <w:tcPr>
            <w:tcW w:w="992" w:type="dxa"/>
            <w:tcBorders>
              <w:top w:val="single" w:sz="4" w:space="0" w:color="auto"/>
              <w:bottom w:val="single" w:sz="4" w:space="0" w:color="auto"/>
            </w:tcBorders>
            <w:shd w:val="clear" w:color="auto" w:fill="auto"/>
          </w:tcPr>
          <w:p w14:paraId="29B99E3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(13)</w:t>
            </w:r>
          </w:p>
        </w:tc>
        <w:tc>
          <w:tcPr>
            <w:tcW w:w="991" w:type="dxa"/>
            <w:tcBorders>
              <w:top w:val="single" w:sz="4" w:space="0" w:color="auto"/>
              <w:bottom w:val="single" w:sz="4" w:space="0" w:color="auto"/>
            </w:tcBorders>
            <w:shd w:val="clear" w:color="auto" w:fill="auto"/>
            <w:vAlign w:val="center"/>
          </w:tcPr>
          <w:p w14:paraId="50F6DE7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(14)</w:t>
            </w:r>
          </w:p>
        </w:tc>
        <w:tc>
          <w:tcPr>
            <w:tcW w:w="708" w:type="dxa"/>
            <w:tcBorders>
              <w:top w:val="single" w:sz="4" w:space="0" w:color="auto"/>
              <w:bottom w:val="single" w:sz="4" w:space="0" w:color="auto"/>
            </w:tcBorders>
            <w:shd w:val="clear" w:color="auto" w:fill="auto"/>
          </w:tcPr>
          <w:p w14:paraId="29C0A60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(15)</w:t>
            </w:r>
          </w:p>
        </w:tc>
      </w:tr>
      <w:tr w:rsidR="00B051E5" w:rsidRPr="00B051E5" w14:paraId="3B64124C" w14:textId="77777777" w:rsidTr="00195944">
        <w:trPr>
          <w:trHeight w:val="265"/>
        </w:trPr>
        <w:tc>
          <w:tcPr>
            <w:tcW w:w="567" w:type="dxa"/>
            <w:tcBorders>
              <w:top w:val="single" w:sz="4" w:space="0" w:color="auto"/>
            </w:tcBorders>
            <w:shd w:val="clear" w:color="auto" w:fill="auto"/>
            <w:vAlign w:val="center"/>
          </w:tcPr>
          <w:p w14:paraId="6A56616A"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(1)</w:t>
            </w:r>
          </w:p>
        </w:tc>
        <w:tc>
          <w:tcPr>
            <w:tcW w:w="1418" w:type="dxa"/>
            <w:tcBorders>
              <w:top w:val="single" w:sz="4" w:space="0" w:color="auto"/>
              <w:left w:val="nil"/>
            </w:tcBorders>
            <w:shd w:val="clear" w:color="auto" w:fill="auto"/>
            <w:vAlign w:val="center"/>
          </w:tcPr>
          <w:p w14:paraId="0EE41B4B"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SYNCH</w:t>
            </w:r>
          </w:p>
        </w:tc>
        <w:tc>
          <w:tcPr>
            <w:tcW w:w="993" w:type="dxa"/>
            <w:tcBorders>
              <w:top w:val="single" w:sz="4" w:space="0" w:color="auto"/>
            </w:tcBorders>
            <w:shd w:val="clear" w:color="auto" w:fill="auto"/>
            <w:vAlign w:val="center"/>
            <w:hideMark/>
          </w:tcPr>
          <w:p w14:paraId="5FF7C26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tcBorders>
              <w:top w:val="single" w:sz="4" w:space="0" w:color="auto"/>
            </w:tcBorders>
            <w:shd w:val="clear" w:color="auto" w:fill="auto"/>
            <w:vAlign w:val="center"/>
            <w:hideMark/>
          </w:tcPr>
          <w:p w14:paraId="3EEA6939" w14:textId="77777777" w:rsidR="00C42CF0" w:rsidRPr="00B051E5" w:rsidRDefault="00C42CF0" w:rsidP="00C42CF0">
            <w:pPr>
              <w:rPr>
                <w:rFonts w:ascii="Garamond" w:hAnsi="Garamond"/>
                <w:color w:val="000000" w:themeColor="text1"/>
                <w:sz w:val="20"/>
                <w:szCs w:val="20"/>
              </w:rPr>
            </w:pPr>
          </w:p>
        </w:tc>
        <w:tc>
          <w:tcPr>
            <w:tcW w:w="992" w:type="dxa"/>
            <w:tcBorders>
              <w:top w:val="single" w:sz="4" w:space="0" w:color="auto"/>
            </w:tcBorders>
            <w:shd w:val="clear" w:color="auto" w:fill="auto"/>
            <w:vAlign w:val="center"/>
            <w:hideMark/>
          </w:tcPr>
          <w:p w14:paraId="41D38E31" w14:textId="77777777" w:rsidR="00C42CF0" w:rsidRPr="00B051E5" w:rsidRDefault="00C42CF0" w:rsidP="00C42CF0">
            <w:pPr>
              <w:rPr>
                <w:rFonts w:ascii="Garamond" w:hAnsi="Garamond"/>
                <w:color w:val="000000" w:themeColor="text1"/>
                <w:sz w:val="20"/>
                <w:szCs w:val="20"/>
              </w:rPr>
            </w:pPr>
          </w:p>
        </w:tc>
        <w:tc>
          <w:tcPr>
            <w:tcW w:w="992" w:type="dxa"/>
            <w:tcBorders>
              <w:top w:val="single" w:sz="4" w:space="0" w:color="auto"/>
            </w:tcBorders>
            <w:shd w:val="clear" w:color="auto" w:fill="auto"/>
            <w:vAlign w:val="center"/>
            <w:hideMark/>
          </w:tcPr>
          <w:p w14:paraId="6C02C983" w14:textId="77777777" w:rsidR="00C42CF0" w:rsidRPr="00B051E5" w:rsidRDefault="00C42CF0" w:rsidP="00C42CF0">
            <w:pPr>
              <w:rPr>
                <w:rFonts w:ascii="Garamond" w:hAnsi="Garamond"/>
                <w:color w:val="000000" w:themeColor="text1"/>
                <w:sz w:val="20"/>
                <w:szCs w:val="20"/>
              </w:rPr>
            </w:pPr>
          </w:p>
        </w:tc>
        <w:tc>
          <w:tcPr>
            <w:tcW w:w="993" w:type="dxa"/>
            <w:tcBorders>
              <w:top w:val="single" w:sz="4" w:space="0" w:color="auto"/>
            </w:tcBorders>
          </w:tcPr>
          <w:p w14:paraId="41F98D04" w14:textId="77777777" w:rsidR="00C42CF0" w:rsidRPr="00B051E5" w:rsidRDefault="00C42CF0" w:rsidP="00C42CF0">
            <w:pPr>
              <w:rPr>
                <w:rFonts w:ascii="Garamond" w:hAnsi="Garamond"/>
                <w:color w:val="000000" w:themeColor="text1"/>
                <w:sz w:val="20"/>
                <w:szCs w:val="20"/>
              </w:rPr>
            </w:pPr>
          </w:p>
        </w:tc>
        <w:tc>
          <w:tcPr>
            <w:tcW w:w="993" w:type="dxa"/>
            <w:tcBorders>
              <w:top w:val="single" w:sz="4" w:space="0" w:color="auto"/>
            </w:tcBorders>
          </w:tcPr>
          <w:p w14:paraId="1DA3B7FC" w14:textId="77777777" w:rsidR="00C42CF0" w:rsidRPr="00B051E5" w:rsidRDefault="00C42CF0" w:rsidP="00C42CF0">
            <w:pPr>
              <w:rPr>
                <w:rFonts w:ascii="Garamond" w:hAnsi="Garamond"/>
                <w:color w:val="000000" w:themeColor="text1"/>
                <w:sz w:val="20"/>
                <w:szCs w:val="20"/>
              </w:rPr>
            </w:pPr>
          </w:p>
        </w:tc>
        <w:tc>
          <w:tcPr>
            <w:tcW w:w="993" w:type="dxa"/>
            <w:tcBorders>
              <w:top w:val="single" w:sz="4" w:space="0" w:color="auto"/>
            </w:tcBorders>
            <w:shd w:val="clear" w:color="auto" w:fill="auto"/>
            <w:vAlign w:val="center"/>
            <w:hideMark/>
          </w:tcPr>
          <w:p w14:paraId="2CD5F6BF" w14:textId="77777777" w:rsidR="00C42CF0" w:rsidRPr="00B051E5" w:rsidRDefault="00C42CF0" w:rsidP="00C42CF0">
            <w:pPr>
              <w:rPr>
                <w:rFonts w:ascii="Garamond" w:hAnsi="Garamond"/>
                <w:color w:val="000000" w:themeColor="text1"/>
                <w:sz w:val="20"/>
                <w:szCs w:val="20"/>
              </w:rPr>
            </w:pPr>
          </w:p>
        </w:tc>
        <w:tc>
          <w:tcPr>
            <w:tcW w:w="992" w:type="dxa"/>
            <w:tcBorders>
              <w:top w:val="single" w:sz="4" w:space="0" w:color="auto"/>
            </w:tcBorders>
            <w:shd w:val="clear" w:color="auto" w:fill="auto"/>
            <w:noWrap/>
            <w:vAlign w:val="bottom"/>
            <w:hideMark/>
          </w:tcPr>
          <w:p w14:paraId="2767B9B5" w14:textId="77777777" w:rsidR="00C42CF0" w:rsidRPr="00B051E5" w:rsidRDefault="00C42CF0" w:rsidP="00C42CF0">
            <w:pPr>
              <w:rPr>
                <w:rFonts w:ascii="Garamond" w:hAnsi="Garamond"/>
                <w:color w:val="000000" w:themeColor="text1"/>
                <w:sz w:val="20"/>
                <w:szCs w:val="20"/>
              </w:rPr>
            </w:pPr>
          </w:p>
        </w:tc>
        <w:tc>
          <w:tcPr>
            <w:tcW w:w="992" w:type="dxa"/>
            <w:tcBorders>
              <w:top w:val="single" w:sz="4" w:space="0" w:color="auto"/>
            </w:tcBorders>
            <w:shd w:val="clear" w:color="auto" w:fill="auto"/>
            <w:noWrap/>
            <w:vAlign w:val="bottom"/>
            <w:hideMark/>
          </w:tcPr>
          <w:p w14:paraId="514C10B2" w14:textId="77777777" w:rsidR="00C42CF0" w:rsidRPr="00B051E5" w:rsidRDefault="00C42CF0" w:rsidP="00C42CF0">
            <w:pPr>
              <w:rPr>
                <w:rFonts w:ascii="Garamond" w:hAnsi="Garamond"/>
                <w:color w:val="000000" w:themeColor="text1"/>
                <w:sz w:val="20"/>
                <w:szCs w:val="20"/>
              </w:rPr>
            </w:pPr>
          </w:p>
        </w:tc>
        <w:tc>
          <w:tcPr>
            <w:tcW w:w="992" w:type="dxa"/>
            <w:tcBorders>
              <w:top w:val="single" w:sz="4" w:space="0" w:color="auto"/>
            </w:tcBorders>
            <w:shd w:val="clear" w:color="auto" w:fill="auto"/>
            <w:noWrap/>
            <w:vAlign w:val="bottom"/>
            <w:hideMark/>
          </w:tcPr>
          <w:p w14:paraId="6E29627D" w14:textId="77777777" w:rsidR="00C42CF0" w:rsidRPr="00B051E5" w:rsidRDefault="00C42CF0" w:rsidP="00C42CF0">
            <w:pPr>
              <w:rPr>
                <w:rFonts w:ascii="Garamond" w:hAnsi="Garamond"/>
                <w:color w:val="000000" w:themeColor="text1"/>
                <w:sz w:val="20"/>
                <w:szCs w:val="20"/>
              </w:rPr>
            </w:pPr>
          </w:p>
        </w:tc>
        <w:tc>
          <w:tcPr>
            <w:tcW w:w="993" w:type="dxa"/>
            <w:tcBorders>
              <w:top w:val="single" w:sz="4" w:space="0" w:color="auto"/>
            </w:tcBorders>
            <w:shd w:val="clear" w:color="auto" w:fill="auto"/>
            <w:noWrap/>
            <w:vAlign w:val="bottom"/>
            <w:hideMark/>
          </w:tcPr>
          <w:p w14:paraId="44B44FD8" w14:textId="77777777" w:rsidR="00C42CF0" w:rsidRPr="00B051E5" w:rsidRDefault="00C42CF0" w:rsidP="00C42CF0">
            <w:pPr>
              <w:rPr>
                <w:rFonts w:ascii="Garamond" w:hAnsi="Garamond"/>
                <w:color w:val="000000" w:themeColor="text1"/>
                <w:sz w:val="20"/>
                <w:szCs w:val="20"/>
              </w:rPr>
            </w:pPr>
          </w:p>
        </w:tc>
        <w:tc>
          <w:tcPr>
            <w:tcW w:w="992" w:type="dxa"/>
            <w:tcBorders>
              <w:top w:val="single" w:sz="4" w:space="0" w:color="auto"/>
            </w:tcBorders>
            <w:shd w:val="clear" w:color="auto" w:fill="auto"/>
            <w:noWrap/>
            <w:vAlign w:val="bottom"/>
            <w:hideMark/>
          </w:tcPr>
          <w:p w14:paraId="5467E3D0" w14:textId="77777777" w:rsidR="00C42CF0" w:rsidRPr="00B051E5" w:rsidRDefault="00C42CF0" w:rsidP="00C42CF0">
            <w:pPr>
              <w:rPr>
                <w:rFonts w:ascii="Garamond" w:hAnsi="Garamond"/>
                <w:color w:val="000000" w:themeColor="text1"/>
                <w:sz w:val="20"/>
                <w:szCs w:val="20"/>
              </w:rPr>
            </w:pPr>
          </w:p>
        </w:tc>
        <w:tc>
          <w:tcPr>
            <w:tcW w:w="992" w:type="dxa"/>
            <w:tcBorders>
              <w:top w:val="single" w:sz="4" w:space="0" w:color="auto"/>
            </w:tcBorders>
            <w:shd w:val="clear" w:color="auto" w:fill="auto"/>
            <w:noWrap/>
            <w:vAlign w:val="bottom"/>
            <w:hideMark/>
          </w:tcPr>
          <w:p w14:paraId="309B944E" w14:textId="77777777" w:rsidR="00C42CF0" w:rsidRPr="00B051E5" w:rsidRDefault="00C42CF0" w:rsidP="00C42CF0">
            <w:pPr>
              <w:rPr>
                <w:rFonts w:ascii="Garamond" w:hAnsi="Garamond"/>
                <w:color w:val="000000" w:themeColor="text1"/>
                <w:sz w:val="20"/>
                <w:szCs w:val="20"/>
              </w:rPr>
            </w:pPr>
          </w:p>
        </w:tc>
        <w:tc>
          <w:tcPr>
            <w:tcW w:w="991" w:type="dxa"/>
            <w:tcBorders>
              <w:top w:val="single" w:sz="4" w:space="0" w:color="auto"/>
            </w:tcBorders>
            <w:shd w:val="clear" w:color="auto" w:fill="auto"/>
            <w:noWrap/>
            <w:vAlign w:val="bottom"/>
            <w:hideMark/>
          </w:tcPr>
          <w:p w14:paraId="5B9543D5" w14:textId="77777777" w:rsidR="00C42CF0" w:rsidRPr="00B051E5" w:rsidRDefault="00C42CF0" w:rsidP="00C42CF0">
            <w:pPr>
              <w:rPr>
                <w:rFonts w:ascii="Garamond" w:hAnsi="Garamond"/>
                <w:color w:val="000000" w:themeColor="text1"/>
                <w:sz w:val="20"/>
                <w:szCs w:val="20"/>
              </w:rPr>
            </w:pPr>
          </w:p>
        </w:tc>
        <w:tc>
          <w:tcPr>
            <w:tcW w:w="708" w:type="dxa"/>
            <w:tcBorders>
              <w:top w:val="single" w:sz="4" w:space="0" w:color="auto"/>
            </w:tcBorders>
            <w:shd w:val="clear" w:color="auto" w:fill="auto"/>
          </w:tcPr>
          <w:p w14:paraId="085837DF" w14:textId="77777777" w:rsidR="00C42CF0" w:rsidRPr="00B051E5" w:rsidRDefault="00C42CF0" w:rsidP="00C42CF0">
            <w:pPr>
              <w:rPr>
                <w:rFonts w:ascii="Garamond" w:hAnsi="Garamond"/>
                <w:color w:val="000000" w:themeColor="text1"/>
                <w:sz w:val="20"/>
                <w:szCs w:val="20"/>
              </w:rPr>
            </w:pPr>
          </w:p>
        </w:tc>
      </w:tr>
      <w:tr w:rsidR="00B051E5" w:rsidRPr="00B051E5" w14:paraId="530BC0FD" w14:textId="77777777" w:rsidTr="00195944">
        <w:trPr>
          <w:trHeight w:val="265"/>
        </w:trPr>
        <w:tc>
          <w:tcPr>
            <w:tcW w:w="567" w:type="dxa"/>
            <w:shd w:val="clear" w:color="auto" w:fill="auto"/>
            <w:vAlign w:val="center"/>
          </w:tcPr>
          <w:p w14:paraId="091EAE80"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(2)</w:t>
            </w:r>
          </w:p>
        </w:tc>
        <w:tc>
          <w:tcPr>
            <w:tcW w:w="1418" w:type="dxa"/>
            <w:tcBorders>
              <w:left w:val="nil"/>
            </w:tcBorders>
            <w:shd w:val="clear" w:color="auto" w:fill="auto"/>
            <w:vAlign w:val="center"/>
          </w:tcPr>
          <w:p w14:paraId="79192383"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PARD</w:t>
            </w:r>
          </w:p>
        </w:tc>
        <w:tc>
          <w:tcPr>
            <w:tcW w:w="993" w:type="dxa"/>
            <w:shd w:val="clear" w:color="auto" w:fill="auto"/>
            <w:vAlign w:val="center"/>
            <w:hideMark/>
          </w:tcPr>
          <w:p w14:paraId="54744F9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-0.004</w:t>
            </w:r>
          </w:p>
        </w:tc>
        <w:tc>
          <w:tcPr>
            <w:tcW w:w="992" w:type="dxa"/>
            <w:shd w:val="clear" w:color="auto" w:fill="auto"/>
            <w:vAlign w:val="center"/>
            <w:hideMark/>
          </w:tcPr>
          <w:p w14:paraId="0D1DA55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vAlign w:val="center"/>
            <w:hideMark/>
          </w:tcPr>
          <w:p w14:paraId="455C42B5" w14:textId="77777777" w:rsidR="00C42CF0" w:rsidRPr="00B051E5" w:rsidRDefault="00C42CF0" w:rsidP="00C42CF0">
            <w:pPr>
              <w:rPr>
                <w:rFonts w:ascii="Garamond" w:hAnsi="Garamond"/>
                <w:color w:val="000000" w:themeColor="text1"/>
                <w:sz w:val="20"/>
                <w:szCs w:val="20"/>
              </w:rPr>
            </w:pPr>
          </w:p>
        </w:tc>
        <w:tc>
          <w:tcPr>
            <w:tcW w:w="992" w:type="dxa"/>
            <w:shd w:val="clear" w:color="auto" w:fill="auto"/>
            <w:vAlign w:val="center"/>
            <w:hideMark/>
          </w:tcPr>
          <w:p w14:paraId="7F78069F" w14:textId="77777777" w:rsidR="00C42CF0" w:rsidRPr="00B051E5" w:rsidRDefault="00C42CF0" w:rsidP="00C42CF0">
            <w:pPr>
              <w:rPr>
                <w:rFonts w:ascii="Garamond" w:hAnsi="Garamond"/>
                <w:color w:val="000000" w:themeColor="text1"/>
                <w:sz w:val="20"/>
                <w:szCs w:val="20"/>
              </w:rPr>
            </w:pPr>
          </w:p>
        </w:tc>
        <w:tc>
          <w:tcPr>
            <w:tcW w:w="993" w:type="dxa"/>
          </w:tcPr>
          <w:p w14:paraId="3AA2FF0B" w14:textId="77777777" w:rsidR="00C42CF0" w:rsidRPr="00B051E5" w:rsidRDefault="00C42CF0" w:rsidP="00C42CF0">
            <w:pPr>
              <w:rPr>
                <w:rFonts w:ascii="Garamond" w:hAnsi="Garamond"/>
                <w:color w:val="000000" w:themeColor="text1"/>
                <w:sz w:val="20"/>
                <w:szCs w:val="20"/>
              </w:rPr>
            </w:pPr>
          </w:p>
        </w:tc>
        <w:tc>
          <w:tcPr>
            <w:tcW w:w="993" w:type="dxa"/>
          </w:tcPr>
          <w:p w14:paraId="1A1F1773" w14:textId="77777777" w:rsidR="00C42CF0" w:rsidRPr="00B051E5" w:rsidRDefault="00C42CF0" w:rsidP="00C42CF0">
            <w:pPr>
              <w:rPr>
                <w:rFonts w:ascii="Garamond" w:hAnsi="Garamond"/>
                <w:color w:val="000000" w:themeColor="text1"/>
                <w:sz w:val="20"/>
                <w:szCs w:val="20"/>
              </w:rPr>
            </w:pPr>
          </w:p>
        </w:tc>
        <w:tc>
          <w:tcPr>
            <w:tcW w:w="993" w:type="dxa"/>
            <w:shd w:val="clear" w:color="auto" w:fill="auto"/>
            <w:vAlign w:val="center"/>
            <w:hideMark/>
          </w:tcPr>
          <w:p w14:paraId="35D35113"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06DA0585"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75127AF5"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6103F952"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bottom"/>
            <w:hideMark/>
          </w:tcPr>
          <w:p w14:paraId="7080A36A"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120A178A"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2835D0B1"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hideMark/>
          </w:tcPr>
          <w:p w14:paraId="3393DBAF"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4A5FAA0E" w14:textId="77777777" w:rsidR="00C42CF0" w:rsidRPr="00B051E5" w:rsidRDefault="00C42CF0" w:rsidP="00C42CF0">
            <w:pPr>
              <w:rPr>
                <w:rFonts w:ascii="Garamond" w:hAnsi="Garamond"/>
                <w:color w:val="000000" w:themeColor="text1"/>
                <w:sz w:val="20"/>
                <w:szCs w:val="20"/>
              </w:rPr>
            </w:pPr>
          </w:p>
        </w:tc>
      </w:tr>
      <w:tr w:rsidR="00B051E5" w:rsidRPr="00B051E5" w14:paraId="665343EF" w14:textId="77777777" w:rsidTr="00195944">
        <w:trPr>
          <w:trHeight w:val="265"/>
        </w:trPr>
        <w:tc>
          <w:tcPr>
            <w:tcW w:w="567" w:type="dxa"/>
            <w:shd w:val="clear" w:color="auto" w:fill="auto"/>
            <w:vAlign w:val="center"/>
          </w:tcPr>
          <w:p w14:paraId="04F784F4"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(3)</w:t>
            </w:r>
          </w:p>
        </w:tc>
        <w:tc>
          <w:tcPr>
            <w:tcW w:w="1418" w:type="dxa"/>
            <w:tcBorders>
              <w:left w:val="nil"/>
            </w:tcBorders>
            <w:shd w:val="clear" w:color="auto" w:fill="auto"/>
            <w:vAlign w:val="center"/>
          </w:tcPr>
          <w:p w14:paraId="26B42C5B"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PFLRD</w:t>
            </w:r>
          </w:p>
        </w:tc>
        <w:tc>
          <w:tcPr>
            <w:tcW w:w="993" w:type="dxa"/>
            <w:shd w:val="clear" w:color="auto" w:fill="auto"/>
            <w:vAlign w:val="center"/>
            <w:hideMark/>
          </w:tcPr>
          <w:p w14:paraId="69165CD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0.059**</w:t>
            </w:r>
          </w:p>
        </w:tc>
        <w:tc>
          <w:tcPr>
            <w:tcW w:w="992" w:type="dxa"/>
            <w:shd w:val="clear" w:color="auto" w:fill="auto"/>
            <w:vAlign w:val="center"/>
            <w:hideMark/>
          </w:tcPr>
          <w:p w14:paraId="19F5D19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0.023</w:t>
            </w:r>
          </w:p>
        </w:tc>
        <w:tc>
          <w:tcPr>
            <w:tcW w:w="992" w:type="dxa"/>
            <w:shd w:val="clear" w:color="auto" w:fill="auto"/>
            <w:vAlign w:val="center"/>
            <w:hideMark/>
          </w:tcPr>
          <w:p w14:paraId="0676945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vAlign w:val="center"/>
            <w:hideMark/>
          </w:tcPr>
          <w:p w14:paraId="0E261C43" w14:textId="77777777" w:rsidR="00C42CF0" w:rsidRPr="00B051E5" w:rsidRDefault="00C42CF0" w:rsidP="00C42CF0">
            <w:pPr>
              <w:rPr>
                <w:rFonts w:ascii="Garamond" w:hAnsi="Garamond"/>
                <w:color w:val="000000" w:themeColor="text1"/>
                <w:sz w:val="20"/>
                <w:szCs w:val="20"/>
              </w:rPr>
            </w:pPr>
          </w:p>
        </w:tc>
        <w:tc>
          <w:tcPr>
            <w:tcW w:w="993" w:type="dxa"/>
          </w:tcPr>
          <w:p w14:paraId="6716E877" w14:textId="77777777" w:rsidR="00C42CF0" w:rsidRPr="00B051E5" w:rsidRDefault="00C42CF0" w:rsidP="00C42CF0">
            <w:pPr>
              <w:rPr>
                <w:rFonts w:ascii="Garamond" w:hAnsi="Garamond"/>
                <w:color w:val="000000" w:themeColor="text1"/>
                <w:sz w:val="20"/>
                <w:szCs w:val="20"/>
              </w:rPr>
            </w:pPr>
          </w:p>
        </w:tc>
        <w:tc>
          <w:tcPr>
            <w:tcW w:w="993" w:type="dxa"/>
          </w:tcPr>
          <w:p w14:paraId="74E10AEC" w14:textId="77777777" w:rsidR="00C42CF0" w:rsidRPr="00B051E5" w:rsidRDefault="00C42CF0" w:rsidP="00C42CF0">
            <w:pPr>
              <w:rPr>
                <w:rFonts w:ascii="Garamond" w:hAnsi="Garamond"/>
                <w:color w:val="000000" w:themeColor="text1"/>
                <w:sz w:val="20"/>
                <w:szCs w:val="20"/>
              </w:rPr>
            </w:pPr>
          </w:p>
        </w:tc>
        <w:tc>
          <w:tcPr>
            <w:tcW w:w="993" w:type="dxa"/>
            <w:shd w:val="clear" w:color="auto" w:fill="auto"/>
            <w:vAlign w:val="center"/>
            <w:hideMark/>
          </w:tcPr>
          <w:p w14:paraId="786CFCF0"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0830711C"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457004A1"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756E7CEF"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bottom"/>
            <w:hideMark/>
          </w:tcPr>
          <w:p w14:paraId="2ABBE4F8"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054BD996"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49E6FAA7"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hideMark/>
          </w:tcPr>
          <w:p w14:paraId="3D2AA41F"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27E70FBB" w14:textId="77777777" w:rsidR="00C42CF0" w:rsidRPr="00B051E5" w:rsidRDefault="00C42CF0" w:rsidP="00C42CF0">
            <w:pPr>
              <w:rPr>
                <w:rFonts w:ascii="Garamond" w:hAnsi="Garamond"/>
                <w:color w:val="000000" w:themeColor="text1"/>
                <w:sz w:val="20"/>
                <w:szCs w:val="20"/>
              </w:rPr>
            </w:pPr>
          </w:p>
        </w:tc>
      </w:tr>
      <w:tr w:rsidR="00B051E5" w:rsidRPr="00B051E5" w14:paraId="2A749FB4" w14:textId="77777777" w:rsidTr="00195944">
        <w:trPr>
          <w:trHeight w:val="265"/>
        </w:trPr>
        <w:tc>
          <w:tcPr>
            <w:tcW w:w="567" w:type="dxa"/>
            <w:shd w:val="clear" w:color="auto" w:fill="auto"/>
            <w:vAlign w:val="center"/>
          </w:tcPr>
          <w:p w14:paraId="23622136"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(4)</w:t>
            </w:r>
          </w:p>
        </w:tc>
        <w:tc>
          <w:tcPr>
            <w:tcW w:w="1418" w:type="dxa"/>
            <w:tcBorders>
              <w:left w:val="nil"/>
            </w:tcBorders>
            <w:shd w:val="clear" w:color="auto" w:fill="auto"/>
            <w:vAlign w:val="center"/>
          </w:tcPr>
          <w:p w14:paraId="06A0D1FD"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PNFLRD</w:t>
            </w:r>
          </w:p>
        </w:tc>
        <w:tc>
          <w:tcPr>
            <w:tcW w:w="993" w:type="dxa"/>
            <w:shd w:val="clear" w:color="auto" w:fill="auto"/>
            <w:vAlign w:val="center"/>
            <w:hideMark/>
          </w:tcPr>
          <w:p w14:paraId="62A4815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-0.059**</w:t>
            </w:r>
          </w:p>
        </w:tc>
        <w:tc>
          <w:tcPr>
            <w:tcW w:w="992" w:type="dxa"/>
            <w:shd w:val="clear" w:color="auto" w:fill="auto"/>
            <w:vAlign w:val="center"/>
            <w:hideMark/>
          </w:tcPr>
          <w:p w14:paraId="5C01F94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-0.023</w:t>
            </w:r>
          </w:p>
        </w:tc>
        <w:tc>
          <w:tcPr>
            <w:tcW w:w="992" w:type="dxa"/>
            <w:shd w:val="clear" w:color="auto" w:fill="auto"/>
            <w:vAlign w:val="center"/>
            <w:hideMark/>
          </w:tcPr>
          <w:p w14:paraId="52C53ED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vAlign w:val="center"/>
            <w:hideMark/>
          </w:tcPr>
          <w:p w14:paraId="74085EF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3" w:type="dxa"/>
          </w:tcPr>
          <w:p w14:paraId="003152E1" w14:textId="77777777" w:rsidR="00C42CF0" w:rsidRPr="00B051E5" w:rsidRDefault="00C42CF0" w:rsidP="00C42CF0">
            <w:pPr>
              <w:rPr>
                <w:rFonts w:ascii="Garamond" w:hAnsi="Garamond"/>
                <w:color w:val="000000" w:themeColor="text1"/>
                <w:sz w:val="20"/>
                <w:szCs w:val="20"/>
              </w:rPr>
            </w:pPr>
          </w:p>
        </w:tc>
        <w:tc>
          <w:tcPr>
            <w:tcW w:w="993" w:type="dxa"/>
          </w:tcPr>
          <w:p w14:paraId="7F452720" w14:textId="77777777" w:rsidR="00C42CF0" w:rsidRPr="00B051E5" w:rsidRDefault="00C42CF0" w:rsidP="00C42CF0">
            <w:pPr>
              <w:rPr>
                <w:rFonts w:ascii="Garamond" w:hAnsi="Garamond"/>
                <w:color w:val="000000" w:themeColor="text1"/>
                <w:sz w:val="20"/>
                <w:szCs w:val="20"/>
              </w:rPr>
            </w:pPr>
          </w:p>
        </w:tc>
        <w:tc>
          <w:tcPr>
            <w:tcW w:w="993" w:type="dxa"/>
            <w:shd w:val="clear" w:color="auto" w:fill="auto"/>
            <w:vAlign w:val="center"/>
            <w:hideMark/>
          </w:tcPr>
          <w:p w14:paraId="1AFAE8F8"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26C83B00"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6A8C3EB9"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214F233D"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bottom"/>
            <w:hideMark/>
          </w:tcPr>
          <w:p w14:paraId="7407A171"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63C9546D"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3DB8B47C"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hideMark/>
          </w:tcPr>
          <w:p w14:paraId="71F0DF8C"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40BCEA48" w14:textId="77777777" w:rsidR="00C42CF0" w:rsidRPr="00B051E5" w:rsidRDefault="00C42CF0" w:rsidP="00C42CF0">
            <w:pPr>
              <w:rPr>
                <w:rFonts w:ascii="Garamond" w:hAnsi="Garamond"/>
                <w:color w:val="000000" w:themeColor="text1"/>
                <w:sz w:val="20"/>
                <w:szCs w:val="20"/>
              </w:rPr>
            </w:pPr>
          </w:p>
        </w:tc>
      </w:tr>
      <w:tr w:rsidR="00B051E5" w:rsidRPr="00B051E5" w14:paraId="0C189A4E" w14:textId="77777777" w:rsidTr="00195944">
        <w:trPr>
          <w:trHeight w:val="265"/>
        </w:trPr>
        <w:tc>
          <w:tcPr>
            <w:tcW w:w="567" w:type="dxa"/>
            <w:shd w:val="clear" w:color="auto" w:fill="auto"/>
            <w:vAlign w:val="center"/>
          </w:tcPr>
          <w:p w14:paraId="571F842C"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(5)</w:t>
            </w:r>
          </w:p>
        </w:tc>
        <w:tc>
          <w:tcPr>
            <w:tcW w:w="1418" w:type="dxa"/>
            <w:tcBorders>
              <w:left w:val="nil"/>
            </w:tcBorders>
            <w:shd w:val="clear" w:color="auto" w:fill="auto"/>
            <w:vAlign w:val="center"/>
          </w:tcPr>
          <w:p w14:paraId="6F1E6645"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PFLRD_1</w:t>
            </w:r>
          </w:p>
        </w:tc>
        <w:tc>
          <w:tcPr>
            <w:tcW w:w="993" w:type="dxa"/>
            <w:shd w:val="clear" w:color="auto" w:fill="auto"/>
            <w:vAlign w:val="center"/>
          </w:tcPr>
          <w:p w14:paraId="7C46608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0.037*</w:t>
            </w:r>
          </w:p>
        </w:tc>
        <w:tc>
          <w:tcPr>
            <w:tcW w:w="992" w:type="dxa"/>
            <w:shd w:val="clear" w:color="auto" w:fill="auto"/>
            <w:vAlign w:val="center"/>
          </w:tcPr>
          <w:p w14:paraId="32F2C1E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0.549***</w:t>
            </w:r>
          </w:p>
        </w:tc>
        <w:tc>
          <w:tcPr>
            <w:tcW w:w="992" w:type="dxa"/>
            <w:shd w:val="clear" w:color="auto" w:fill="auto"/>
            <w:vAlign w:val="center"/>
          </w:tcPr>
          <w:p w14:paraId="2604F20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0.810***</w:t>
            </w:r>
          </w:p>
        </w:tc>
        <w:tc>
          <w:tcPr>
            <w:tcW w:w="992" w:type="dxa"/>
            <w:shd w:val="clear" w:color="auto" w:fill="auto"/>
            <w:vAlign w:val="center"/>
          </w:tcPr>
          <w:p w14:paraId="26C5410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-0.809***</w:t>
            </w:r>
          </w:p>
        </w:tc>
        <w:tc>
          <w:tcPr>
            <w:tcW w:w="993" w:type="dxa"/>
          </w:tcPr>
          <w:p w14:paraId="785D28A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3" w:type="dxa"/>
          </w:tcPr>
          <w:p w14:paraId="28EE3AFB" w14:textId="77777777" w:rsidR="00C42CF0" w:rsidRPr="00B051E5" w:rsidRDefault="00C42CF0" w:rsidP="00C42CF0">
            <w:pPr>
              <w:rPr>
                <w:rFonts w:ascii="Garamond" w:hAnsi="Garamond"/>
                <w:color w:val="000000" w:themeColor="text1"/>
                <w:sz w:val="20"/>
                <w:szCs w:val="20"/>
              </w:rPr>
            </w:pPr>
          </w:p>
        </w:tc>
        <w:tc>
          <w:tcPr>
            <w:tcW w:w="993" w:type="dxa"/>
            <w:shd w:val="clear" w:color="auto" w:fill="auto"/>
            <w:vAlign w:val="center"/>
          </w:tcPr>
          <w:p w14:paraId="5659899F"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44017BD1"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07F7DFB7"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4B4E1A57"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bottom"/>
          </w:tcPr>
          <w:p w14:paraId="0E55518D"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7A264ECF"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2AAA4B12"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tcPr>
          <w:p w14:paraId="620EAC5B"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67F70F73" w14:textId="77777777" w:rsidR="00C42CF0" w:rsidRPr="00B051E5" w:rsidRDefault="00C42CF0" w:rsidP="00C42CF0">
            <w:pPr>
              <w:rPr>
                <w:rFonts w:ascii="Garamond" w:hAnsi="Garamond"/>
                <w:color w:val="000000" w:themeColor="text1"/>
                <w:sz w:val="20"/>
                <w:szCs w:val="20"/>
              </w:rPr>
            </w:pPr>
          </w:p>
        </w:tc>
      </w:tr>
      <w:tr w:rsidR="00B051E5" w:rsidRPr="00B051E5" w14:paraId="5D6C53A2" w14:textId="77777777" w:rsidTr="00195944">
        <w:trPr>
          <w:trHeight w:val="265"/>
        </w:trPr>
        <w:tc>
          <w:tcPr>
            <w:tcW w:w="567" w:type="dxa"/>
            <w:shd w:val="clear" w:color="auto" w:fill="auto"/>
            <w:vAlign w:val="center"/>
          </w:tcPr>
          <w:p w14:paraId="26E4488D"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(6)</w:t>
            </w:r>
          </w:p>
        </w:tc>
        <w:tc>
          <w:tcPr>
            <w:tcW w:w="1418" w:type="dxa"/>
            <w:tcBorders>
              <w:left w:val="nil"/>
            </w:tcBorders>
            <w:shd w:val="clear" w:color="auto" w:fill="auto"/>
            <w:vAlign w:val="center"/>
          </w:tcPr>
          <w:p w14:paraId="1EC01521"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PNFLRD_1</w:t>
            </w:r>
          </w:p>
        </w:tc>
        <w:tc>
          <w:tcPr>
            <w:tcW w:w="993" w:type="dxa"/>
            <w:shd w:val="clear" w:color="auto" w:fill="auto"/>
            <w:vAlign w:val="center"/>
          </w:tcPr>
          <w:p w14:paraId="49F7468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-0.022</w:t>
            </w:r>
          </w:p>
        </w:tc>
        <w:tc>
          <w:tcPr>
            <w:tcW w:w="992" w:type="dxa"/>
            <w:shd w:val="clear" w:color="auto" w:fill="auto"/>
            <w:vAlign w:val="center"/>
          </w:tcPr>
          <w:p w14:paraId="2E59F4C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0.922***</w:t>
            </w:r>
          </w:p>
        </w:tc>
        <w:tc>
          <w:tcPr>
            <w:tcW w:w="992" w:type="dxa"/>
            <w:shd w:val="clear" w:color="auto" w:fill="auto"/>
            <w:vAlign w:val="center"/>
          </w:tcPr>
          <w:p w14:paraId="4C10253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-0.337***</w:t>
            </w:r>
          </w:p>
        </w:tc>
        <w:tc>
          <w:tcPr>
            <w:tcW w:w="992" w:type="dxa"/>
            <w:shd w:val="clear" w:color="auto" w:fill="auto"/>
            <w:vAlign w:val="center"/>
          </w:tcPr>
          <w:p w14:paraId="226FE42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0.337***</w:t>
            </w:r>
          </w:p>
        </w:tc>
        <w:tc>
          <w:tcPr>
            <w:tcW w:w="993" w:type="dxa"/>
          </w:tcPr>
          <w:p w14:paraId="398F8E3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0.200***</w:t>
            </w:r>
          </w:p>
        </w:tc>
        <w:tc>
          <w:tcPr>
            <w:tcW w:w="993" w:type="dxa"/>
          </w:tcPr>
          <w:p w14:paraId="534FD81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3" w:type="dxa"/>
            <w:shd w:val="clear" w:color="auto" w:fill="auto"/>
            <w:vAlign w:val="center"/>
          </w:tcPr>
          <w:p w14:paraId="39215A06"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4F875B17"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16BE6311"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20EB3142"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bottom"/>
          </w:tcPr>
          <w:p w14:paraId="79CD7FA6"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5BA6F8DE"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2FA63657"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tcPr>
          <w:p w14:paraId="167F6B58"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3145CA3D" w14:textId="77777777" w:rsidR="00C42CF0" w:rsidRPr="00B051E5" w:rsidRDefault="00C42CF0" w:rsidP="00C42CF0">
            <w:pPr>
              <w:rPr>
                <w:rFonts w:ascii="Garamond" w:hAnsi="Garamond"/>
                <w:color w:val="000000" w:themeColor="text1"/>
                <w:sz w:val="20"/>
                <w:szCs w:val="20"/>
              </w:rPr>
            </w:pPr>
          </w:p>
        </w:tc>
      </w:tr>
      <w:tr w:rsidR="00B051E5" w:rsidRPr="00B051E5" w14:paraId="26602C82" w14:textId="77777777" w:rsidTr="00195944">
        <w:trPr>
          <w:trHeight w:val="265"/>
        </w:trPr>
        <w:tc>
          <w:tcPr>
            <w:tcW w:w="567" w:type="dxa"/>
            <w:shd w:val="clear" w:color="auto" w:fill="auto"/>
            <w:vAlign w:val="center"/>
          </w:tcPr>
          <w:p w14:paraId="1FD16703"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(7)</w:t>
            </w:r>
          </w:p>
        </w:tc>
        <w:tc>
          <w:tcPr>
            <w:tcW w:w="1418" w:type="dxa"/>
            <w:tcBorders>
              <w:left w:val="nil"/>
            </w:tcBorders>
            <w:shd w:val="clear" w:color="auto" w:fill="auto"/>
            <w:vAlign w:val="center"/>
          </w:tcPr>
          <w:p w14:paraId="3F69ACEA"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SIZE</w:t>
            </w:r>
          </w:p>
        </w:tc>
        <w:tc>
          <w:tcPr>
            <w:tcW w:w="993" w:type="dxa"/>
            <w:shd w:val="clear" w:color="auto" w:fill="auto"/>
            <w:vAlign w:val="center"/>
            <w:hideMark/>
          </w:tcPr>
          <w:p w14:paraId="541B6A2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0.149***</w:t>
            </w:r>
          </w:p>
        </w:tc>
        <w:tc>
          <w:tcPr>
            <w:tcW w:w="992" w:type="dxa"/>
            <w:shd w:val="clear" w:color="auto" w:fill="auto"/>
            <w:vAlign w:val="center"/>
            <w:hideMark/>
          </w:tcPr>
          <w:p w14:paraId="3AC3DED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0.081***</w:t>
            </w:r>
          </w:p>
        </w:tc>
        <w:tc>
          <w:tcPr>
            <w:tcW w:w="992" w:type="dxa"/>
            <w:shd w:val="clear" w:color="auto" w:fill="auto"/>
            <w:vAlign w:val="center"/>
            <w:hideMark/>
          </w:tcPr>
          <w:p w14:paraId="0747B57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0.024</w:t>
            </w:r>
          </w:p>
        </w:tc>
        <w:tc>
          <w:tcPr>
            <w:tcW w:w="992" w:type="dxa"/>
            <w:shd w:val="clear" w:color="auto" w:fill="auto"/>
            <w:vAlign w:val="center"/>
            <w:hideMark/>
          </w:tcPr>
          <w:p w14:paraId="65088EC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-0.024</w:t>
            </w:r>
          </w:p>
        </w:tc>
        <w:tc>
          <w:tcPr>
            <w:tcW w:w="993" w:type="dxa"/>
          </w:tcPr>
          <w:p w14:paraId="1459991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0.053**</w:t>
            </w:r>
          </w:p>
        </w:tc>
        <w:tc>
          <w:tcPr>
            <w:tcW w:w="993" w:type="dxa"/>
          </w:tcPr>
          <w:p w14:paraId="4C5307C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0.069***</w:t>
            </w:r>
          </w:p>
        </w:tc>
        <w:tc>
          <w:tcPr>
            <w:tcW w:w="993" w:type="dxa"/>
            <w:shd w:val="clear" w:color="auto" w:fill="auto"/>
            <w:vAlign w:val="center"/>
            <w:hideMark/>
          </w:tcPr>
          <w:p w14:paraId="285E6A3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noWrap/>
            <w:vAlign w:val="bottom"/>
            <w:hideMark/>
          </w:tcPr>
          <w:p w14:paraId="491E4CD3"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2A760A01"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0D6A898E"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bottom"/>
            <w:hideMark/>
          </w:tcPr>
          <w:p w14:paraId="4B2BC11C"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689C35AC"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hideMark/>
          </w:tcPr>
          <w:p w14:paraId="4BC3F3E8"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hideMark/>
          </w:tcPr>
          <w:p w14:paraId="3770DEC1"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001E52EE" w14:textId="77777777" w:rsidR="00C42CF0" w:rsidRPr="00B051E5" w:rsidRDefault="00C42CF0" w:rsidP="00C42CF0">
            <w:pPr>
              <w:rPr>
                <w:rFonts w:ascii="Garamond" w:hAnsi="Garamond"/>
                <w:color w:val="000000" w:themeColor="text1"/>
                <w:sz w:val="20"/>
                <w:szCs w:val="20"/>
              </w:rPr>
            </w:pPr>
          </w:p>
        </w:tc>
      </w:tr>
      <w:tr w:rsidR="00B051E5" w:rsidRPr="00B051E5" w14:paraId="347E4F89" w14:textId="77777777" w:rsidTr="00195944">
        <w:trPr>
          <w:trHeight w:val="265"/>
        </w:trPr>
        <w:tc>
          <w:tcPr>
            <w:tcW w:w="567" w:type="dxa"/>
            <w:shd w:val="clear" w:color="auto" w:fill="auto"/>
            <w:vAlign w:val="center"/>
          </w:tcPr>
          <w:p w14:paraId="52984BF9"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(8)</w:t>
            </w:r>
          </w:p>
        </w:tc>
        <w:tc>
          <w:tcPr>
            <w:tcW w:w="1418" w:type="dxa"/>
            <w:tcBorders>
              <w:left w:val="nil"/>
            </w:tcBorders>
            <w:shd w:val="clear" w:color="auto" w:fill="auto"/>
            <w:vAlign w:val="center"/>
          </w:tcPr>
          <w:p w14:paraId="37A76207"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LEV</w:t>
            </w:r>
          </w:p>
        </w:tc>
        <w:tc>
          <w:tcPr>
            <w:tcW w:w="993" w:type="dxa"/>
            <w:shd w:val="clear" w:color="auto" w:fill="auto"/>
            <w:vAlign w:val="center"/>
          </w:tcPr>
          <w:p w14:paraId="2B6886D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0.031</w:t>
            </w:r>
          </w:p>
        </w:tc>
        <w:tc>
          <w:tcPr>
            <w:tcW w:w="992" w:type="dxa"/>
            <w:shd w:val="clear" w:color="auto" w:fill="auto"/>
            <w:vAlign w:val="center"/>
          </w:tcPr>
          <w:p w14:paraId="6409362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0.009</w:t>
            </w:r>
          </w:p>
        </w:tc>
        <w:tc>
          <w:tcPr>
            <w:tcW w:w="992" w:type="dxa"/>
            <w:shd w:val="clear" w:color="auto" w:fill="auto"/>
            <w:vAlign w:val="center"/>
          </w:tcPr>
          <w:p w14:paraId="506F466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-0.007</w:t>
            </w:r>
          </w:p>
        </w:tc>
        <w:tc>
          <w:tcPr>
            <w:tcW w:w="992" w:type="dxa"/>
            <w:shd w:val="clear" w:color="auto" w:fill="auto"/>
            <w:vAlign w:val="center"/>
          </w:tcPr>
          <w:p w14:paraId="57ED3EF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0.007</w:t>
            </w:r>
          </w:p>
        </w:tc>
        <w:tc>
          <w:tcPr>
            <w:tcW w:w="993" w:type="dxa"/>
          </w:tcPr>
          <w:p w14:paraId="4394E67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-0.002</w:t>
            </w:r>
          </w:p>
        </w:tc>
        <w:tc>
          <w:tcPr>
            <w:tcW w:w="993" w:type="dxa"/>
          </w:tcPr>
          <w:p w14:paraId="425941A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0.011</w:t>
            </w:r>
          </w:p>
        </w:tc>
        <w:tc>
          <w:tcPr>
            <w:tcW w:w="993" w:type="dxa"/>
            <w:shd w:val="clear" w:color="auto" w:fill="auto"/>
            <w:vAlign w:val="center"/>
          </w:tcPr>
          <w:p w14:paraId="7539BF1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0.148***</w:t>
            </w:r>
          </w:p>
        </w:tc>
        <w:tc>
          <w:tcPr>
            <w:tcW w:w="992" w:type="dxa"/>
            <w:shd w:val="clear" w:color="auto" w:fill="auto"/>
            <w:noWrap/>
            <w:vAlign w:val="center"/>
          </w:tcPr>
          <w:p w14:paraId="43650AD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noWrap/>
            <w:vAlign w:val="center"/>
          </w:tcPr>
          <w:p w14:paraId="165D64D3"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center"/>
          </w:tcPr>
          <w:p w14:paraId="17F1A528"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center"/>
          </w:tcPr>
          <w:p w14:paraId="2C59B358"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0841F936"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66022F9B"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tcPr>
          <w:p w14:paraId="7CE946D7"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1C4F97C6" w14:textId="77777777" w:rsidR="00C42CF0" w:rsidRPr="00B051E5" w:rsidRDefault="00C42CF0" w:rsidP="00C42CF0">
            <w:pPr>
              <w:rPr>
                <w:rFonts w:ascii="Garamond" w:hAnsi="Garamond"/>
                <w:color w:val="000000" w:themeColor="text1"/>
                <w:sz w:val="20"/>
                <w:szCs w:val="20"/>
              </w:rPr>
            </w:pPr>
          </w:p>
        </w:tc>
      </w:tr>
      <w:tr w:rsidR="00B051E5" w:rsidRPr="00B051E5" w14:paraId="7A6CD058" w14:textId="77777777" w:rsidTr="00195944">
        <w:trPr>
          <w:trHeight w:val="265"/>
        </w:trPr>
        <w:tc>
          <w:tcPr>
            <w:tcW w:w="567" w:type="dxa"/>
            <w:shd w:val="clear" w:color="auto" w:fill="auto"/>
            <w:vAlign w:val="center"/>
          </w:tcPr>
          <w:p w14:paraId="6CBE14FB"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(9)</w:t>
            </w:r>
          </w:p>
        </w:tc>
        <w:tc>
          <w:tcPr>
            <w:tcW w:w="1418" w:type="dxa"/>
            <w:tcBorders>
              <w:left w:val="nil"/>
            </w:tcBorders>
            <w:shd w:val="clear" w:color="auto" w:fill="auto"/>
            <w:vAlign w:val="center"/>
          </w:tcPr>
          <w:p w14:paraId="5337D5B2"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VOL</w:t>
            </w:r>
          </w:p>
        </w:tc>
        <w:tc>
          <w:tcPr>
            <w:tcW w:w="993" w:type="dxa"/>
            <w:shd w:val="clear" w:color="auto" w:fill="auto"/>
            <w:vAlign w:val="center"/>
          </w:tcPr>
          <w:p w14:paraId="200DF8E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0.1644***</w:t>
            </w:r>
          </w:p>
        </w:tc>
        <w:tc>
          <w:tcPr>
            <w:tcW w:w="992" w:type="dxa"/>
            <w:shd w:val="clear" w:color="auto" w:fill="auto"/>
            <w:vAlign w:val="center"/>
          </w:tcPr>
          <w:p w14:paraId="5311F38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0.006</w:t>
            </w:r>
          </w:p>
        </w:tc>
        <w:tc>
          <w:tcPr>
            <w:tcW w:w="992" w:type="dxa"/>
            <w:shd w:val="clear" w:color="auto" w:fill="auto"/>
            <w:vAlign w:val="center"/>
          </w:tcPr>
          <w:p w14:paraId="72B884C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0.056***</w:t>
            </w:r>
          </w:p>
        </w:tc>
        <w:tc>
          <w:tcPr>
            <w:tcW w:w="992" w:type="dxa"/>
            <w:shd w:val="clear" w:color="auto" w:fill="auto"/>
            <w:vAlign w:val="center"/>
          </w:tcPr>
          <w:p w14:paraId="2BCB382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-0.056***</w:t>
            </w:r>
          </w:p>
        </w:tc>
        <w:tc>
          <w:tcPr>
            <w:tcW w:w="993" w:type="dxa"/>
          </w:tcPr>
          <w:p w14:paraId="2E36639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0.051**</w:t>
            </w:r>
          </w:p>
        </w:tc>
        <w:tc>
          <w:tcPr>
            <w:tcW w:w="993" w:type="dxa"/>
          </w:tcPr>
          <w:p w14:paraId="7798A5B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-0.021</w:t>
            </w:r>
          </w:p>
        </w:tc>
        <w:tc>
          <w:tcPr>
            <w:tcW w:w="993" w:type="dxa"/>
            <w:shd w:val="clear" w:color="auto" w:fill="auto"/>
            <w:vAlign w:val="center"/>
          </w:tcPr>
          <w:p w14:paraId="361A97A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0.211***</w:t>
            </w:r>
          </w:p>
        </w:tc>
        <w:tc>
          <w:tcPr>
            <w:tcW w:w="992" w:type="dxa"/>
            <w:shd w:val="clear" w:color="auto" w:fill="auto"/>
            <w:noWrap/>
            <w:vAlign w:val="bottom"/>
          </w:tcPr>
          <w:p w14:paraId="3539B03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0.057***</w:t>
            </w:r>
          </w:p>
        </w:tc>
        <w:tc>
          <w:tcPr>
            <w:tcW w:w="992" w:type="dxa"/>
            <w:shd w:val="clear" w:color="auto" w:fill="auto"/>
            <w:noWrap/>
            <w:vAlign w:val="bottom"/>
          </w:tcPr>
          <w:p w14:paraId="012A558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noWrap/>
            <w:vAlign w:val="bottom"/>
          </w:tcPr>
          <w:p w14:paraId="501FAED9" w14:textId="77777777" w:rsidR="00C42CF0" w:rsidRPr="00B051E5" w:rsidRDefault="00C42CF0" w:rsidP="00C42CF0">
            <w:pPr>
              <w:rPr>
                <w:rFonts w:ascii="Garamond" w:hAnsi="Garamond"/>
                <w:color w:val="000000" w:themeColor="text1"/>
                <w:sz w:val="20"/>
                <w:szCs w:val="20"/>
              </w:rPr>
            </w:pPr>
          </w:p>
        </w:tc>
        <w:tc>
          <w:tcPr>
            <w:tcW w:w="993" w:type="dxa"/>
            <w:shd w:val="clear" w:color="auto" w:fill="auto"/>
            <w:noWrap/>
            <w:vAlign w:val="bottom"/>
          </w:tcPr>
          <w:p w14:paraId="6A83AB60"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5852606F" w14:textId="77777777" w:rsidR="00C42CF0" w:rsidRPr="00B051E5" w:rsidRDefault="00C42CF0" w:rsidP="00C42CF0">
            <w:pPr>
              <w:rPr>
                <w:rFonts w:ascii="Garamond" w:hAnsi="Garamond"/>
                <w:color w:val="000000" w:themeColor="text1"/>
                <w:sz w:val="20"/>
                <w:szCs w:val="20"/>
              </w:rPr>
            </w:pPr>
          </w:p>
        </w:tc>
        <w:tc>
          <w:tcPr>
            <w:tcW w:w="992" w:type="dxa"/>
            <w:shd w:val="clear" w:color="auto" w:fill="auto"/>
            <w:noWrap/>
            <w:vAlign w:val="bottom"/>
          </w:tcPr>
          <w:p w14:paraId="6B4A6501" w14:textId="77777777" w:rsidR="00C42CF0" w:rsidRPr="00B051E5" w:rsidRDefault="00C42CF0" w:rsidP="00C42CF0">
            <w:pPr>
              <w:rPr>
                <w:rFonts w:ascii="Garamond" w:hAnsi="Garamond"/>
                <w:color w:val="000000" w:themeColor="text1"/>
                <w:sz w:val="20"/>
                <w:szCs w:val="20"/>
              </w:rPr>
            </w:pPr>
          </w:p>
        </w:tc>
        <w:tc>
          <w:tcPr>
            <w:tcW w:w="991" w:type="dxa"/>
            <w:shd w:val="clear" w:color="auto" w:fill="auto"/>
            <w:noWrap/>
            <w:vAlign w:val="bottom"/>
          </w:tcPr>
          <w:p w14:paraId="2011B9AC"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630CBAF2" w14:textId="77777777" w:rsidR="00C42CF0" w:rsidRPr="00B051E5" w:rsidRDefault="00C42CF0" w:rsidP="00C42CF0">
            <w:pPr>
              <w:rPr>
                <w:rFonts w:ascii="Garamond" w:hAnsi="Garamond"/>
                <w:color w:val="000000" w:themeColor="text1"/>
                <w:sz w:val="20"/>
                <w:szCs w:val="20"/>
              </w:rPr>
            </w:pPr>
          </w:p>
        </w:tc>
      </w:tr>
      <w:tr w:rsidR="00B051E5" w:rsidRPr="00B051E5" w14:paraId="469EBC66" w14:textId="77777777" w:rsidTr="00195944">
        <w:trPr>
          <w:trHeight w:val="265"/>
        </w:trPr>
        <w:tc>
          <w:tcPr>
            <w:tcW w:w="567" w:type="dxa"/>
            <w:shd w:val="clear" w:color="auto" w:fill="auto"/>
            <w:vAlign w:val="center"/>
          </w:tcPr>
          <w:p w14:paraId="3B81B887"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(10)</w:t>
            </w:r>
          </w:p>
        </w:tc>
        <w:tc>
          <w:tcPr>
            <w:tcW w:w="1418" w:type="dxa"/>
            <w:tcBorders>
              <w:left w:val="nil"/>
            </w:tcBorders>
            <w:shd w:val="clear" w:color="auto" w:fill="auto"/>
            <w:vAlign w:val="center"/>
          </w:tcPr>
          <w:p w14:paraId="7A90F6EB"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MTB</w:t>
            </w:r>
          </w:p>
        </w:tc>
        <w:tc>
          <w:tcPr>
            <w:tcW w:w="993" w:type="dxa"/>
            <w:shd w:val="clear" w:color="auto" w:fill="auto"/>
            <w:vAlign w:val="center"/>
            <w:hideMark/>
          </w:tcPr>
          <w:p w14:paraId="265D9A7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-0.012</w:t>
            </w:r>
          </w:p>
        </w:tc>
        <w:tc>
          <w:tcPr>
            <w:tcW w:w="992" w:type="dxa"/>
            <w:shd w:val="clear" w:color="auto" w:fill="auto"/>
            <w:vAlign w:val="center"/>
            <w:hideMark/>
          </w:tcPr>
          <w:p w14:paraId="6FFAD1A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0.007</w:t>
            </w:r>
          </w:p>
        </w:tc>
        <w:tc>
          <w:tcPr>
            <w:tcW w:w="992" w:type="dxa"/>
            <w:shd w:val="clear" w:color="auto" w:fill="auto"/>
            <w:vAlign w:val="center"/>
            <w:hideMark/>
          </w:tcPr>
          <w:p w14:paraId="044A673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0.021</w:t>
            </w:r>
          </w:p>
        </w:tc>
        <w:tc>
          <w:tcPr>
            <w:tcW w:w="992" w:type="dxa"/>
            <w:shd w:val="clear" w:color="auto" w:fill="auto"/>
            <w:vAlign w:val="center"/>
            <w:hideMark/>
          </w:tcPr>
          <w:p w14:paraId="35655CC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-0.021</w:t>
            </w:r>
          </w:p>
        </w:tc>
        <w:tc>
          <w:tcPr>
            <w:tcW w:w="993" w:type="dxa"/>
          </w:tcPr>
          <w:p w14:paraId="0CA5FF7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0.018</w:t>
            </w:r>
          </w:p>
        </w:tc>
        <w:tc>
          <w:tcPr>
            <w:tcW w:w="993" w:type="dxa"/>
          </w:tcPr>
          <w:p w14:paraId="574532C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-0.006</w:t>
            </w:r>
          </w:p>
        </w:tc>
        <w:tc>
          <w:tcPr>
            <w:tcW w:w="993" w:type="dxa"/>
            <w:shd w:val="clear" w:color="auto" w:fill="auto"/>
            <w:vAlign w:val="center"/>
            <w:hideMark/>
          </w:tcPr>
          <w:p w14:paraId="14BA7E0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0.010</w:t>
            </w:r>
          </w:p>
        </w:tc>
        <w:tc>
          <w:tcPr>
            <w:tcW w:w="992" w:type="dxa"/>
            <w:shd w:val="clear" w:color="auto" w:fill="auto"/>
            <w:vAlign w:val="bottom"/>
          </w:tcPr>
          <w:p w14:paraId="5182663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0.394***</w:t>
            </w:r>
          </w:p>
        </w:tc>
        <w:tc>
          <w:tcPr>
            <w:tcW w:w="992" w:type="dxa"/>
            <w:shd w:val="clear" w:color="auto" w:fill="auto"/>
            <w:vAlign w:val="bottom"/>
          </w:tcPr>
          <w:p w14:paraId="1297BC8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0.021**</w:t>
            </w:r>
          </w:p>
        </w:tc>
        <w:tc>
          <w:tcPr>
            <w:tcW w:w="992" w:type="dxa"/>
            <w:shd w:val="clear" w:color="auto" w:fill="auto"/>
            <w:vAlign w:val="bottom"/>
          </w:tcPr>
          <w:p w14:paraId="622910A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3" w:type="dxa"/>
            <w:shd w:val="clear" w:color="auto" w:fill="auto"/>
            <w:vAlign w:val="bottom"/>
          </w:tcPr>
          <w:p w14:paraId="5C712060" w14:textId="77777777" w:rsidR="00C42CF0" w:rsidRPr="00B051E5" w:rsidRDefault="00C42CF0" w:rsidP="00C42CF0">
            <w:pPr>
              <w:rPr>
                <w:rFonts w:ascii="Garamond" w:hAnsi="Garamond"/>
                <w:color w:val="000000" w:themeColor="text1"/>
                <w:sz w:val="20"/>
                <w:szCs w:val="20"/>
              </w:rPr>
            </w:pPr>
          </w:p>
        </w:tc>
        <w:tc>
          <w:tcPr>
            <w:tcW w:w="992" w:type="dxa"/>
            <w:shd w:val="clear" w:color="auto" w:fill="auto"/>
            <w:vAlign w:val="bottom"/>
          </w:tcPr>
          <w:p w14:paraId="7AF3DBD0" w14:textId="77777777" w:rsidR="00C42CF0" w:rsidRPr="00B051E5" w:rsidRDefault="00C42CF0" w:rsidP="00C42CF0">
            <w:pPr>
              <w:rPr>
                <w:rFonts w:ascii="Garamond" w:hAnsi="Garamond"/>
                <w:color w:val="000000" w:themeColor="text1"/>
                <w:sz w:val="20"/>
                <w:szCs w:val="20"/>
              </w:rPr>
            </w:pPr>
          </w:p>
        </w:tc>
        <w:tc>
          <w:tcPr>
            <w:tcW w:w="992" w:type="dxa"/>
            <w:shd w:val="clear" w:color="auto" w:fill="auto"/>
            <w:vAlign w:val="bottom"/>
          </w:tcPr>
          <w:p w14:paraId="7844ABB3" w14:textId="77777777" w:rsidR="00C42CF0" w:rsidRPr="00B051E5" w:rsidRDefault="00C42CF0" w:rsidP="00C42CF0">
            <w:pPr>
              <w:rPr>
                <w:rFonts w:ascii="Garamond" w:hAnsi="Garamond"/>
                <w:color w:val="000000" w:themeColor="text1"/>
                <w:sz w:val="20"/>
                <w:szCs w:val="20"/>
              </w:rPr>
            </w:pPr>
          </w:p>
        </w:tc>
        <w:tc>
          <w:tcPr>
            <w:tcW w:w="991" w:type="dxa"/>
            <w:shd w:val="clear" w:color="auto" w:fill="auto"/>
            <w:vAlign w:val="center"/>
          </w:tcPr>
          <w:p w14:paraId="7D7BFD04"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18A6808F" w14:textId="77777777" w:rsidR="00C42CF0" w:rsidRPr="00B051E5" w:rsidRDefault="00C42CF0" w:rsidP="00C42CF0">
            <w:pPr>
              <w:rPr>
                <w:rFonts w:ascii="Garamond" w:hAnsi="Garamond"/>
                <w:color w:val="000000" w:themeColor="text1"/>
                <w:sz w:val="20"/>
                <w:szCs w:val="20"/>
              </w:rPr>
            </w:pPr>
          </w:p>
        </w:tc>
      </w:tr>
      <w:tr w:rsidR="00B051E5" w:rsidRPr="00B051E5" w14:paraId="1CFEBB82" w14:textId="77777777" w:rsidTr="00195944">
        <w:trPr>
          <w:trHeight w:val="227"/>
        </w:trPr>
        <w:tc>
          <w:tcPr>
            <w:tcW w:w="567" w:type="dxa"/>
            <w:shd w:val="clear" w:color="auto" w:fill="auto"/>
            <w:vAlign w:val="center"/>
          </w:tcPr>
          <w:p w14:paraId="52AE75B6"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(11)</w:t>
            </w:r>
          </w:p>
        </w:tc>
        <w:tc>
          <w:tcPr>
            <w:tcW w:w="1418" w:type="dxa"/>
            <w:tcBorders>
              <w:left w:val="nil"/>
            </w:tcBorders>
            <w:shd w:val="clear" w:color="auto" w:fill="auto"/>
            <w:vAlign w:val="center"/>
          </w:tcPr>
          <w:p w14:paraId="09E6AD19"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VOLATILITY</w:t>
            </w:r>
          </w:p>
        </w:tc>
        <w:tc>
          <w:tcPr>
            <w:tcW w:w="993" w:type="dxa"/>
            <w:shd w:val="clear" w:color="auto" w:fill="auto"/>
            <w:vAlign w:val="center"/>
          </w:tcPr>
          <w:p w14:paraId="718B53B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-0.065***</w:t>
            </w:r>
          </w:p>
        </w:tc>
        <w:tc>
          <w:tcPr>
            <w:tcW w:w="992" w:type="dxa"/>
            <w:shd w:val="clear" w:color="auto" w:fill="auto"/>
            <w:vAlign w:val="center"/>
          </w:tcPr>
          <w:p w14:paraId="0917D08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0.013</w:t>
            </w:r>
          </w:p>
        </w:tc>
        <w:tc>
          <w:tcPr>
            <w:tcW w:w="992" w:type="dxa"/>
            <w:shd w:val="clear" w:color="auto" w:fill="auto"/>
            <w:vAlign w:val="center"/>
          </w:tcPr>
          <w:p w14:paraId="71A7894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0.081***</w:t>
            </w:r>
          </w:p>
        </w:tc>
        <w:tc>
          <w:tcPr>
            <w:tcW w:w="992" w:type="dxa"/>
            <w:shd w:val="clear" w:color="auto" w:fill="auto"/>
            <w:vAlign w:val="center"/>
          </w:tcPr>
          <w:p w14:paraId="434B735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-0.081***</w:t>
            </w:r>
          </w:p>
        </w:tc>
        <w:tc>
          <w:tcPr>
            <w:tcW w:w="993" w:type="dxa"/>
          </w:tcPr>
          <w:p w14:paraId="4095A4B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0.091***</w:t>
            </w:r>
          </w:p>
        </w:tc>
        <w:tc>
          <w:tcPr>
            <w:tcW w:w="993" w:type="dxa"/>
          </w:tcPr>
          <w:p w14:paraId="47DC792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-0.025</w:t>
            </w:r>
          </w:p>
        </w:tc>
        <w:tc>
          <w:tcPr>
            <w:tcW w:w="993" w:type="dxa"/>
            <w:shd w:val="clear" w:color="auto" w:fill="auto"/>
            <w:vAlign w:val="center"/>
          </w:tcPr>
          <w:p w14:paraId="7020153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-0.254***</w:t>
            </w:r>
          </w:p>
        </w:tc>
        <w:tc>
          <w:tcPr>
            <w:tcW w:w="992" w:type="dxa"/>
            <w:shd w:val="clear" w:color="auto" w:fill="auto"/>
            <w:vAlign w:val="bottom"/>
          </w:tcPr>
          <w:p w14:paraId="19DA051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-0.108***</w:t>
            </w:r>
          </w:p>
        </w:tc>
        <w:tc>
          <w:tcPr>
            <w:tcW w:w="992" w:type="dxa"/>
            <w:shd w:val="clear" w:color="auto" w:fill="auto"/>
            <w:vAlign w:val="bottom"/>
          </w:tcPr>
          <w:p w14:paraId="5C01383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-0.051**</w:t>
            </w:r>
          </w:p>
        </w:tc>
        <w:tc>
          <w:tcPr>
            <w:tcW w:w="992" w:type="dxa"/>
            <w:shd w:val="clear" w:color="auto" w:fill="auto"/>
            <w:vAlign w:val="bottom"/>
          </w:tcPr>
          <w:p w14:paraId="35D6640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-0.022*</w:t>
            </w:r>
          </w:p>
        </w:tc>
        <w:tc>
          <w:tcPr>
            <w:tcW w:w="993" w:type="dxa"/>
            <w:shd w:val="clear" w:color="auto" w:fill="auto"/>
            <w:vAlign w:val="bottom"/>
          </w:tcPr>
          <w:p w14:paraId="7CC9514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vAlign w:val="bottom"/>
          </w:tcPr>
          <w:p w14:paraId="523F71EC" w14:textId="77777777" w:rsidR="00C42CF0" w:rsidRPr="00B051E5" w:rsidRDefault="00C42CF0" w:rsidP="00C42CF0">
            <w:pPr>
              <w:rPr>
                <w:rFonts w:ascii="Garamond" w:hAnsi="Garamond"/>
                <w:color w:val="000000" w:themeColor="text1"/>
                <w:sz w:val="20"/>
                <w:szCs w:val="20"/>
              </w:rPr>
            </w:pPr>
          </w:p>
        </w:tc>
        <w:tc>
          <w:tcPr>
            <w:tcW w:w="992" w:type="dxa"/>
            <w:shd w:val="clear" w:color="auto" w:fill="auto"/>
            <w:vAlign w:val="bottom"/>
          </w:tcPr>
          <w:p w14:paraId="67024ADE" w14:textId="77777777" w:rsidR="00C42CF0" w:rsidRPr="00B051E5" w:rsidRDefault="00C42CF0" w:rsidP="00C42CF0">
            <w:pPr>
              <w:rPr>
                <w:rFonts w:ascii="Garamond" w:hAnsi="Garamond"/>
                <w:color w:val="000000" w:themeColor="text1"/>
                <w:sz w:val="20"/>
                <w:szCs w:val="20"/>
              </w:rPr>
            </w:pPr>
          </w:p>
        </w:tc>
        <w:tc>
          <w:tcPr>
            <w:tcW w:w="991" w:type="dxa"/>
            <w:shd w:val="clear" w:color="auto" w:fill="auto"/>
            <w:vAlign w:val="center"/>
          </w:tcPr>
          <w:p w14:paraId="5DFF0236"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1B04AA1C" w14:textId="77777777" w:rsidR="00C42CF0" w:rsidRPr="00B051E5" w:rsidRDefault="00C42CF0" w:rsidP="00C42CF0">
            <w:pPr>
              <w:rPr>
                <w:rFonts w:ascii="Garamond" w:hAnsi="Garamond"/>
                <w:color w:val="000000" w:themeColor="text1"/>
                <w:sz w:val="20"/>
                <w:szCs w:val="20"/>
              </w:rPr>
            </w:pPr>
          </w:p>
        </w:tc>
      </w:tr>
      <w:tr w:rsidR="00B051E5" w:rsidRPr="00B051E5" w14:paraId="05AEB904" w14:textId="77777777" w:rsidTr="00195944">
        <w:trPr>
          <w:trHeight w:val="265"/>
        </w:trPr>
        <w:tc>
          <w:tcPr>
            <w:tcW w:w="567" w:type="dxa"/>
            <w:shd w:val="clear" w:color="auto" w:fill="auto"/>
            <w:vAlign w:val="center"/>
          </w:tcPr>
          <w:p w14:paraId="736C1AB4"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(12)</w:t>
            </w:r>
          </w:p>
        </w:tc>
        <w:tc>
          <w:tcPr>
            <w:tcW w:w="1418" w:type="dxa"/>
            <w:tcBorders>
              <w:left w:val="nil"/>
            </w:tcBorders>
            <w:shd w:val="clear" w:color="auto" w:fill="auto"/>
            <w:vAlign w:val="center"/>
          </w:tcPr>
          <w:p w14:paraId="1549593D"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ROA</w:t>
            </w:r>
          </w:p>
        </w:tc>
        <w:tc>
          <w:tcPr>
            <w:tcW w:w="993" w:type="dxa"/>
            <w:shd w:val="clear" w:color="auto" w:fill="auto"/>
            <w:vAlign w:val="center"/>
            <w:hideMark/>
          </w:tcPr>
          <w:p w14:paraId="39F137B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0.025</w:t>
            </w:r>
          </w:p>
        </w:tc>
        <w:tc>
          <w:tcPr>
            <w:tcW w:w="992" w:type="dxa"/>
            <w:shd w:val="clear" w:color="auto" w:fill="auto"/>
            <w:vAlign w:val="center"/>
            <w:hideMark/>
          </w:tcPr>
          <w:p w14:paraId="75F3A7B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-0.023</w:t>
            </w:r>
          </w:p>
        </w:tc>
        <w:tc>
          <w:tcPr>
            <w:tcW w:w="992" w:type="dxa"/>
            <w:shd w:val="clear" w:color="auto" w:fill="auto"/>
            <w:vAlign w:val="center"/>
            <w:hideMark/>
          </w:tcPr>
          <w:p w14:paraId="1F7727A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0.023</w:t>
            </w:r>
          </w:p>
        </w:tc>
        <w:tc>
          <w:tcPr>
            <w:tcW w:w="992" w:type="dxa"/>
            <w:shd w:val="clear" w:color="auto" w:fill="auto"/>
            <w:vAlign w:val="center"/>
            <w:hideMark/>
          </w:tcPr>
          <w:p w14:paraId="3939D0D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-0.023</w:t>
            </w:r>
          </w:p>
        </w:tc>
        <w:tc>
          <w:tcPr>
            <w:tcW w:w="993" w:type="dxa"/>
          </w:tcPr>
          <w:p w14:paraId="7A0EB74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0.002</w:t>
            </w:r>
          </w:p>
        </w:tc>
        <w:tc>
          <w:tcPr>
            <w:tcW w:w="993" w:type="dxa"/>
          </w:tcPr>
          <w:p w14:paraId="219913F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-0.028</w:t>
            </w:r>
          </w:p>
        </w:tc>
        <w:tc>
          <w:tcPr>
            <w:tcW w:w="993" w:type="dxa"/>
            <w:shd w:val="clear" w:color="auto" w:fill="auto"/>
            <w:vAlign w:val="center"/>
            <w:hideMark/>
          </w:tcPr>
          <w:p w14:paraId="089F3B4E"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0.011</w:t>
            </w:r>
          </w:p>
        </w:tc>
        <w:tc>
          <w:tcPr>
            <w:tcW w:w="992" w:type="dxa"/>
            <w:shd w:val="clear" w:color="auto" w:fill="auto"/>
            <w:vAlign w:val="bottom"/>
          </w:tcPr>
          <w:p w14:paraId="5FB2D3A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0.025</w:t>
            </w:r>
          </w:p>
        </w:tc>
        <w:tc>
          <w:tcPr>
            <w:tcW w:w="992" w:type="dxa"/>
            <w:shd w:val="clear" w:color="auto" w:fill="auto"/>
            <w:vAlign w:val="bottom"/>
          </w:tcPr>
          <w:p w14:paraId="6A6DE5C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0.089***</w:t>
            </w:r>
          </w:p>
        </w:tc>
        <w:tc>
          <w:tcPr>
            <w:tcW w:w="992" w:type="dxa"/>
            <w:shd w:val="clear" w:color="auto" w:fill="auto"/>
            <w:vAlign w:val="bottom"/>
          </w:tcPr>
          <w:p w14:paraId="15162EF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0.133***</w:t>
            </w:r>
          </w:p>
        </w:tc>
        <w:tc>
          <w:tcPr>
            <w:tcW w:w="993" w:type="dxa"/>
            <w:shd w:val="clear" w:color="auto" w:fill="auto"/>
            <w:vAlign w:val="bottom"/>
          </w:tcPr>
          <w:p w14:paraId="0F154BE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-0.250***</w:t>
            </w:r>
          </w:p>
        </w:tc>
        <w:tc>
          <w:tcPr>
            <w:tcW w:w="992" w:type="dxa"/>
            <w:shd w:val="clear" w:color="auto" w:fill="auto"/>
            <w:vAlign w:val="bottom"/>
          </w:tcPr>
          <w:p w14:paraId="3F0D5B92"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2" w:type="dxa"/>
            <w:shd w:val="clear" w:color="auto" w:fill="auto"/>
            <w:vAlign w:val="bottom"/>
          </w:tcPr>
          <w:p w14:paraId="7E7EBF89" w14:textId="77777777" w:rsidR="00C42CF0" w:rsidRPr="00B051E5" w:rsidRDefault="00C42CF0" w:rsidP="00C42CF0">
            <w:pPr>
              <w:rPr>
                <w:rFonts w:ascii="Garamond" w:hAnsi="Garamond"/>
                <w:color w:val="000000" w:themeColor="text1"/>
                <w:sz w:val="20"/>
                <w:szCs w:val="20"/>
              </w:rPr>
            </w:pPr>
          </w:p>
        </w:tc>
        <w:tc>
          <w:tcPr>
            <w:tcW w:w="991" w:type="dxa"/>
            <w:shd w:val="clear" w:color="auto" w:fill="auto"/>
            <w:vAlign w:val="center"/>
          </w:tcPr>
          <w:p w14:paraId="5F86E041"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5456169F" w14:textId="77777777" w:rsidR="00C42CF0" w:rsidRPr="00B051E5" w:rsidRDefault="00C42CF0" w:rsidP="00C42CF0">
            <w:pPr>
              <w:rPr>
                <w:rFonts w:ascii="Garamond" w:hAnsi="Garamond"/>
                <w:color w:val="000000" w:themeColor="text1"/>
                <w:sz w:val="20"/>
                <w:szCs w:val="20"/>
              </w:rPr>
            </w:pPr>
          </w:p>
        </w:tc>
      </w:tr>
      <w:tr w:rsidR="00B051E5" w:rsidRPr="00B051E5" w14:paraId="6EE12E82" w14:textId="77777777" w:rsidTr="00195944">
        <w:trPr>
          <w:trHeight w:val="265"/>
        </w:trPr>
        <w:tc>
          <w:tcPr>
            <w:tcW w:w="567" w:type="dxa"/>
            <w:shd w:val="clear" w:color="auto" w:fill="auto"/>
            <w:vAlign w:val="center"/>
          </w:tcPr>
          <w:p w14:paraId="1AFC8D78"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(13)</w:t>
            </w:r>
          </w:p>
        </w:tc>
        <w:tc>
          <w:tcPr>
            <w:tcW w:w="1418" w:type="dxa"/>
            <w:tcBorders>
              <w:left w:val="nil"/>
            </w:tcBorders>
            <w:shd w:val="clear" w:color="auto" w:fill="auto"/>
            <w:vAlign w:val="center"/>
          </w:tcPr>
          <w:p w14:paraId="65CC0537"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BSIZE</w:t>
            </w:r>
          </w:p>
        </w:tc>
        <w:tc>
          <w:tcPr>
            <w:tcW w:w="993" w:type="dxa"/>
            <w:shd w:val="clear" w:color="auto" w:fill="auto"/>
            <w:vAlign w:val="center"/>
            <w:hideMark/>
          </w:tcPr>
          <w:p w14:paraId="5EF0F9E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0.089***</w:t>
            </w:r>
          </w:p>
        </w:tc>
        <w:tc>
          <w:tcPr>
            <w:tcW w:w="992" w:type="dxa"/>
            <w:shd w:val="clear" w:color="auto" w:fill="auto"/>
            <w:vAlign w:val="center"/>
            <w:hideMark/>
          </w:tcPr>
          <w:p w14:paraId="5DAFF47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0.065***</w:t>
            </w:r>
          </w:p>
        </w:tc>
        <w:tc>
          <w:tcPr>
            <w:tcW w:w="992" w:type="dxa"/>
            <w:shd w:val="clear" w:color="auto" w:fill="auto"/>
            <w:vAlign w:val="center"/>
            <w:hideMark/>
          </w:tcPr>
          <w:p w14:paraId="4242B2D4"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0.049***</w:t>
            </w:r>
          </w:p>
        </w:tc>
        <w:tc>
          <w:tcPr>
            <w:tcW w:w="992" w:type="dxa"/>
            <w:shd w:val="clear" w:color="auto" w:fill="auto"/>
            <w:vAlign w:val="center"/>
            <w:hideMark/>
          </w:tcPr>
          <w:p w14:paraId="13D345E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0.049*</w:t>
            </w:r>
          </w:p>
        </w:tc>
        <w:tc>
          <w:tcPr>
            <w:tcW w:w="993" w:type="dxa"/>
          </w:tcPr>
          <w:p w14:paraId="2B2EB04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0.065***</w:t>
            </w:r>
          </w:p>
        </w:tc>
        <w:tc>
          <w:tcPr>
            <w:tcW w:w="993" w:type="dxa"/>
          </w:tcPr>
          <w:p w14:paraId="392D4E1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-0.041**</w:t>
            </w:r>
          </w:p>
        </w:tc>
        <w:tc>
          <w:tcPr>
            <w:tcW w:w="993" w:type="dxa"/>
            <w:shd w:val="clear" w:color="auto" w:fill="auto"/>
            <w:vAlign w:val="center"/>
            <w:hideMark/>
          </w:tcPr>
          <w:p w14:paraId="1A1987F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0.5063***</w:t>
            </w:r>
          </w:p>
        </w:tc>
        <w:tc>
          <w:tcPr>
            <w:tcW w:w="992" w:type="dxa"/>
            <w:shd w:val="clear" w:color="auto" w:fill="auto"/>
            <w:vAlign w:val="bottom"/>
          </w:tcPr>
          <w:p w14:paraId="6082171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0.065***</w:t>
            </w:r>
          </w:p>
        </w:tc>
        <w:tc>
          <w:tcPr>
            <w:tcW w:w="992" w:type="dxa"/>
            <w:shd w:val="clear" w:color="auto" w:fill="auto"/>
            <w:vAlign w:val="bottom"/>
          </w:tcPr>
          <w:p w14:paraId="79BD0A6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0.201***</w:t>
            </w:r>
          </w:p>
        </w:tc>
        <w:tc>
          <w:tcPr>
            <w:tcW w:w="992" w:type="dxa"/>
            <w:shd w:val="clear" w:color="auto" w:fill="auto"/>
            <w:vAlign w:val="bottom"/>
          </w:tcPr>
          <w:p w14:paraId="6444CF9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0.009</w:t>
            </w:r>
          </w:p>
        </w:tc>
        <w:tc>
          <w:tcPr>
            <w:tcW w:w="993" w:type="dxa"/>
            <w:shd w:val="clear" w:color="auto" w:fill="auto"/>
            <w:vAlign w:val="bottom"/>
          </w:tcPr>
          <w:p w14:paraId="3EDD6485"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-0.115***</w:t>
            </w:r>
          </w:p>
        </w:tc>
        <w:tc>
          <w:tcPr>
            <w:tcW w:w="992" w:type="dxa"/>
            <w:shd w:val="clear" w:color="auto" w:fill="auto"/>
            <w:vAlign w:val="bottom"/>
          </w:tcPr>
          <w:p w14:paraId="4E661BC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0.073***</w:t>
            </w:r>
          </w:p>
        </w:tc>
        <w:tc>
          <w:tcPr>
            <w:tcW w:w="992" w:type="dxa"/>
            <w:shd w:val="clear" w:color="auto" w:fill="auto"/>
            <w:vAlign w:val="bottom"/>
          </w:tcPr>
          <w:p w14:paraId="3E449CD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991" w:type="dxa"/>
            <w:shd w:val="clear" w:color="auto" w:fill="auto"/>
            <w:vAlign w:val="center"/>
          </w:tcPr>
          <w:p w14:paraId="69421ED3" w14:textId="77777777" w:rsidR="00C42CF0" w:rsidRPr="00B051E5" w:rsidRDefault="00C42CF0" w:rsidP="00C42CF0">
            <w:pPr>
              <w:rPr>
                <w:rFonts w:ascii="Garamond" w:hAnsi="Garamond"/>
                <w:color w:val="000000" w:themeColor="text1"/>
                <w:sz w:val="20"/>
                <w:szCs w:val="20"/>
              </w:rPr>
            </w:pPr>
          </w:p>
        </w:tc>
        <w:tc>
          <w:tcPr>
            <w:tcW w:w="708" w:type="dxa"/>
            <w:shd w:val="clear" w:color="auto" w:fill="auto"/>
          </w:tcPr>
          <w:p w14:paraId="28A5775F" w14:textId="77777777" w:rsidR="00C42CF0" w:rsidRPr="00B051E5" w:rsidRDefault="00C42CF0" w:rsidP="00C42CF0">
            <w:pPr>
              <w:rPr>
                <w:rFonts w:ascii="Garamond" w:hAnsi="Garamond"/>
                <w:color w:val="000000" w:themeColor="text1"/>
                <w:sz w:val="20"/>
                <w:szCs w:val="20"/>
              </w:rPr>
            </w:pPr>
          </w:p>
        </w:tc>
      </w:tr>
      <w:tr w:rsidR="00B051E5" w:rsidRPr="00B051E5" w14:paraId="0C8BEA21" w14:textId="77777777" w:rsidTr="00195944">
        <w:trPr>
          <w:trHeight w:val="265"/>
        </w:trPr>
        <w:tc>
          <w:tcPr>
            <w:tcW w:w="567" w:type="dxa"/>
            <w:shd w:val="clear" w:color="auto" w:fill="auto"/>
            <w:vAlign w:val="center"/>
          </w:tcPr>
          <w:p w14:paraId="4FC21781"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(14)</w:t>
            </w:r>
          </w:p>
        </w:tc>
        <w:tc>
          <w:tcPr>
            <w:tcW w:w="1418" w:type="dxa"/>
            <w:tcBorders>
              <w:left w:val="nil"/>
            </w:tcBorders>
            <w:shd w:val="clear" w:color="auto" w:fill="auto"/>
            <w:vAlign w:val="center"/>
          </w:tcPr>
          <w:p w14:paraId="640C8774"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BINDP</w:t>
            </w:r>
          </w:p>
        </w:tc>
        <w:tc>
          <w:tcPr>
            <w:tcW w:w="993" w:type="dxa"/>
            <w:shd w:val="clear" w:color="auto" w:fill="auto"/>
            <w:vAlign w:val="center"/>
            <w:hideMark/>
          </w:tcPr>
          <w:p w14:paraId="4FB553F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-0.010</w:t>
            </w:r>
          </w:p>
        </w:tc>
        <w:tc>
          <w:tcPr>
            <w:tcW w:w="992" w:type="dxa"/>
            <w:shd w:val="clear" w:color="auto" w:fill="auto"/>
            <w:vAlign w:val="center"/>
            <w:hideMark/>
          </w:tcPr>
          <w:p w14:paraId="7A62267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0.023</w:t>
            </w:r>
          </w:p>
        </w:tc>
        <w:tc>
          <w:tcPr>
            <w:tcW w:w="992" w:type="dxa"/>
            <w:shd w:val="clear" w:color="auto" w:fill="auto"/>
            <w:vAlign w:val="center"/>
            <w:hideMark/>
          </w:tcPr>
          <w:p w14:paraId="226B260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0.124***</w:t>
            </w:r>
          </w:p>
        </w:tc>
        <w:tc>
          <w:tcPr>
            <w:tcW w:w="992" w:type="dxa"/>
            <w:shd w:val="clear" w:color="auto" w:fill="auto"/>
            <w:vAlign w:val="center"/>
            <w:hideMark/>
          </w:tcPr>
          <w:p w14:paraId="039EE9B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-0.124***</w:t>
            </w:r>
          </w:p>
        </w:tc>
        <w:tc>
          <w:tcPr>
            <w:tcW w:w="993" w:type="dxa"/>
          </w:tcPr>
          <w:p w14:paraId="0279893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0.119***</w:t>
            </w:r>
          </w:p>
        </w:tc>
        <w:tc>
          <w:tcPr>
            <w:tcW w:w="993" w:type="dxa"/>
          </w:tcPr>
          <w:p w14:paraId="0B9109F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-0.026</w:t>
            </w:r>
          </w:p>
        </w:tc>
        <w:tc>
          <w:tcPr>
            <w:tcW w:w="993" w:type="dxa"/>
            <w:shd w:val="clear" w:color="auto" w:fill="auto"/>
            <w:vAlign w:val="center"/>
            <w:hideMark/>
          </w:tcPr>
          <w:p w14:paraId="563861E3"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0.008**</w:t>
            </w:r>
          </w:p>
        </w:tc>
        <w:tc>
          <w:tcPr>
            <w:tcW w:w="992" w:type="dxa"/>
            <w:shd w:val="clear" w:color="auto" w:fill="auto"/>
            <w:vAlign w:val="bottom"/>
          </w:tcPr>
          <w:p w14:paraId="4C10166C"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-0.052**</w:t>
            </w:r>
          </w:p>
        </w:tc>
        <w:tc>
          <w:tcPr>
            <w:tcW w:w="992" w:type="dxa"/>
            <w:shd w:val="clear" w:color="auto" w:fill="auto"/>
            <w:vAlign w:val="bottom"/>
          </w:tcPr>
          <w:p w14:paraId="20391D6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-0.063**</w:t>
            </w:r>
          </w:p>
        </w:tc>
        <w:tc>
          <w:tcPr>
            <w:tcW w:w="992" w:type="dxa"/>
            <w:shd w:val="clear" w:color="auto" w:fill="auto"/>
            <w:vAlign w:val="bottom"/>
          </w:tcPr>
          <w:p w14:paraId="4A29CF0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-0.013</w:t>
            </w:r>
          </w:p>
        </w:tc>
        <w:tc>
          <w:tcPr>
            <w:tcW w:w="993" w:type="dxa"/>
            <w:shd w:val="clear" w:color="auto" w:fill="auto"/>
            <w:vAlign w:val="bottom"/>
          </w:tcPr>
          <w:p w14:paraId="40F8653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0.096***</w:t>
            </w:r>
          </w:p>
        </w:tc>
        <w:tc>
          <w:tcPr>
            <w:tcW w:w="992" w:type="dxa"/>
            <w:shd w:val="clear" w:color="auto" w:fill="auto"/>
            <w:vAlign w:val="bottom"/>
          </w:tcPr>
          <w:p w14:paraId="144F936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-0.037**</w:t>
            </w:r>
          </w:p>
        </w:tc>
        <w:tc>
          <w:tcPr>
            <w:tcW w:w="992" w:type="dxa"/>
            <w:shd w:val="clear" w:color="auto" w:fill="auto"/>
            <w:vAlign w:val="bottom"/>
          </w:tcPr>
          <w:p w14:paraId="4BD66E2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0.108***</w:t>
            </w:r>
          </w:p>
        </w:tc>
        <w:tc>
          <w:tcPr>
            <w:tcW w:w="991" w:type="dxa"/>
            <w:shd w:val="clear" w:color="auto" w:fill="auto"/>
            <w:vAlign w:val="center"/>
          </w:tcPr>
          <w:p w14:paraId="7C4D57B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c>
          <w:tcPr>
            <w:tcW w:w="708" w:type="dxa"/>
            <w:shd w:val="clear" w:color="auto" w:fill="auto"/>
          </w:tcPr>
          <w:p w14:paraId="3E2AD721" w14:textId="77777777" w:rsidR="00C42CF0" w:rsidRPr="00B051E5" w:rsidRDefault="00C42CF0" w:rsidP="00C42CF0">
            <w:pPr>
              <w:rPr>
                <w:rFonts w:ascii="Garamond" w:hAnsi="Garamond"/>
                <w:color w:val="000000" w:themeColor="text1"/>
                <w:sz w:val="20"/>
                <w:szCs w:val="20"/>
              </w:rPr>
            </w:pPr>
          </w:p>
        </w:tc>
      </w:tr>
      <w:tr w:rsidR="00B051E5" w:rsidRPr="00B051E5" w14:paraId="503BB8DF" w14:textId="77777777" w:rsidTr="00195944">
        <w:trPr>
          <w:trHeight w:val="265"/>
        </w:trPr>
        <w:tc>
          <w:tcPr>
            <w:tcW w:w="567" w:type="dxa"/>
            <w:tcBorders>
              <w:bottom w:val="double" w:sz="4" w:space="0" w:color="auto"/>
            </w:tcBorders>
            <w:shd w:val="clear" w:color="auto" w:fill="auto"/>
            <w:vAlign w:val="center"/>
          </w:tcPr>
          <w:p w14:paraId="6EA19EFF" w14:textId="77777777" w:rsidR="00C42CF0" w:rsidRPr="00B051E5" w:rsidRDefault="00C42CF0" w:rsidP="00C42CF0">
            <w:pPr>
              <w:jc w:val="right"/>
              <w:rPr>
                <w:rFonts w:ascii="Garamond" w:hAnsi="Garamond"/>
                <w:iCs/>
                <w:color w:val="000000" w:themeColor="text1"/>
                <w:sz w:val="20"/>
                <w:szCs w:val="20"/>
              </w:rPr>
            </w:pPr>
            <w:r w:rsidRPr="00B051E5">
              <w:rPr>
                <w:rFonts w:ascii="Garamond" w:hAnsi="Garamond"/>
                <w:iCs/>
                <w:color w:val="000000" w:themeColor="text1"/>
                <w:sz w:val="20"/>
                <w:szCs w:val="20"/>
              </w:rPr>
              <w:t>(15)</w:t>
            </w:r>
          </w:p>
        </w:tc>
        <w:tc>
          <w:tcPr>
            <w:tcW w:w="1418" w:type="dxa"/>
            <w:tcBorders>
              <w:left w:val="nil"/>
              <w:bottom w:val="double" w:sz="4" w:space="0" w:color="auto"/>
            </w:tcBorders>
            <w:shd w:val="clear" w:color="auto" w:fill="auto"/>
            <w:vAlign w:val="center"/>
          </w:tcPr>
          <w:p w14:paraId="495D8084" w14:textId="77777777" w:rsidR="00C42CF0" w:rsidRPr="00B051E5" w:rsidRDefault="00C42CF0" w:rsidP="00C42CF0">
            <w:pPr>
              <w:rPr>
                <w:rFonts w:ascii="Garamond" w:hAnsi="Garamond"/>
                <w:iCs/>
                <w:color w:val="000000" w:themeColor="text1"/>
                <w:sz w:val="20"/>
                <w:szCs w:val="20"/>
              </w:rPr>
            </w:pPr>
            <w:r w:rsidRPr="00B051E5">
              <w:rPr>
                <w:rFonts w:ascii="Garamond" w:hAnsi="Garamond"/>
                <w:iCs/>
                <w:color w:val="000000" w:themeColor="text1"/>
                <w:sz w:val="20"/>
                <w:szCs w:val="20"/>
              </w:rPr>
              <w:t>CHSHAR</w:t>
            </w:r>
          </w:p>
        </w:tc>
        <w:tc>
          <w:tcPr>
            <w:tcW w:w="993" w:type="dxa"/>
            <w:tcBorders>
              <w:bottom w:val="double" w:sz="4" w:space="0" w:color="auto"/>
            </w:tcBorders>
            <w:shd w:val="clear" w:color="auto" w:fill="auto"/>
            <w:vAlign w:val="center"/>
            <w:hideMark/>
          </w:tcPr>
          <w:p w14:paraId="231826B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-0.098***</w:t>
            </w:r>
          </w:p>
        </w:tc>
        <w:tc>
          <w:tcPr>
            <w:tcW w:w="992" w:type="dxa"/>
            <w:tcBorders>
              <w:bottom w:val="double" w:sz="4" w:space="0" w:color="auto"/>
            </w:tcBorders>
            <w:shd w:val="clear" w:color="auto" w:fill="auto"/>
            <w:vAlign w:val="center"/>
            <w:hideMark/>
          </w:tcPr>
          <w:p w14:paraId="7092F1E1"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-0.039**</w:t>
            </w:r>
          </w:p>
        </w:tc>
        <w:tc>
          <w:tcPr>
            <w:tcW w:w="992" w:type="dxa"/>
            <w:tcBorders>
              <w:bottom w:val="double" w:sz="4" w:space="0" w:color="auto"/>
            </w:tcBorders>
            <w:shd w:val="clear" w:color="auto" w:fill="auto"/>
            <w:vAlign w:val="center"/>
            <w:hideMark/>
          </w:tcPr>
          <w:p w14:paraId="5056410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-0.029</w:t>
            </w:r>
          </w:p>
        </w:tc>
        <w:tc>
          <w:tcPr>
            <w:tcW w:w="992" w:type="dxa"/>
            <w:tcBorders>
              <w:bottom w:val="double" w:sz="4" w:space="0" w:color="auto"/>
            </w:tcBorders>
            <w:shd w:val="clear" w:color="auto" w:fill="auto"/>
            <w:vAlign w:val="center"/>
            <w:hideMark/>
          </w:tcPr>
          <w:p w14:paraId="180A2A0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0.029</w:t>
            </w:r>
          </w:p>
        </w:tc>
        <w:tc>
          <w:tcPr>
            <w:tcW w:w="993" w:type="dxa"/>
            <w:tcBorders>
              <w:bottom w:val="double" w:sz="4" w:space="0" w:color="auto"/>
            </w:tcBorders>
          </w:tcPr>
          <w:p w14:paraId="58FAF8A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-0.037*</w:t>
            </w:r>
          </w:p>
        </w:tc>
        <w:tc>
          <w:tcPr>
            <w:tcW w:w="993" w:type="dxa"/>
            <w:tcBorders>
              <w:bottom w:val="double" w:sz="4" w:space="0" w:color="auto"/>
            </w:tcBorders>
          </w:tcPr>
          <w:p w14:paraId="2F21FBA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-0.026</w:t>
            </w:r>
          </w:p>
        </w:tc>
        <w:tc>
          <w:tcPr>
            <w:tcW w:w="993" w:type="dxa"/>
            <w:tcBorders>
              <w:bottom w:val="double" w:sz="4" w:space="0" w:color="auto"/>
            </w:tcBorders>
            <w:shd w:val="clear" w:color="auto" w:fill="auto"/>
            <w:vAlign w:val="center"/>
            <w:hideMark/>
          </w:tcPr>
          <w:p w14:paraId="45C01F77"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-0.276***</w:t>
            </w:r>
          </w:p>
        </w:tc>
        <w:tc>
          <w:tcPr>
            <w:tcW w:w="992" w:type="dxa"/>
            <w:tcBorders>
              <w:bottom w:val="double" w:sz="4" w:space="0" w:color="auto"/>
            </w:tcBorders>
            <w:shd w:val="clear" w:color="auto" w:fill="auto"/>
            <w:vAlign w:val="bottom"/>
          </w:tcPr>
          <w:p w14:paraId="76840459"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-0.022</w:t>
            </w:r>
          </w:p>
        </w:tc>
        <w:tc>
          <w:tcPr>
            <w:tcW w:w="992" w:type="dxa"/>
            <w:tcBorders>
              <w:bottom w:val="double" w:sz="4" w:space="0" w:color="auto"/>
            </w:tcBorders>
            <w:shd w:val="clear" w:color="auto" w:fill="auto"/>
            <w:vAlign w:val="bottom"/>
          </w:tcPr>
          <w:p w14:paraId="41A7CEA8"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-0.143***</w:t>
            </w:r>
          </w:p>
        </w:tc>
        <w:tc>
          <w:tcPr>
            <w:tcW w:w="992" w:type="dxa"/>
            <w:tcBorders>
              <w:bottom w:val="double" w:sz="4" w:space="0" w:color="auto"/>
            </w:tcBorders>
            <w:shd w:val="clear" w:color="auto" w:fill="auto"/>
            <w:vAlign w:val="bottom"/>
          </w:tcPr>
          <w:p w14:paraId="5DAFD47A"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-0.005</w:t>
            </w:r>
          </w:p>
        </w:tc>
        <w:tc>
          <w:tcPr>
            <w:tcW w:w="993" w:type="dxa"/>
            <w:tcBorders>
              <w:bottom w:val="double" w:sz="4" w:space="0" w:color="auto"/>
            </w:tcBorders>
            <w:shd w:val="clear" w:color="auto" w:fill="auto"/>
            <w:vAlign w:val="bottom"/>
          </w:tcPr>
          <w:p w14:paraId="3D77372B"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0.120***</w:t>
            </w:r>
          </w:p>
        </w:tc>
        <w:tc>
          <w:tcPr>
            <w:tcW w:w="992" w:type="dxa"/>
            <w:tcBorders>
              <w:bottom w:val="double" w:sz="4" w:space="0" w:color="auto"/>
            </w:tcBorders>
            <w:shd w:val="clear" w:color="auto" w:fill="auto"/>
            <w:vAlign w:val="bottom"/>
          </w:tcPr>
          <w:p w14:paraId="218C4736"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-0.0262</w:t>
            </w:r>
          </w:p>
        </w:tc>
        <w:tc>
          <w:tcPr>
            <w:tcW w:w="992" w:type="dxa"/>
            <w:tcBorders>
              <w:bottom w:val="double" w:sz="4" w:space="0" w:color="auto"/>
            </w:tcBorders>
            <w:shd w:val="clear" w:color="auto" w:fill="auto"/>
            <w:vAlign w:val="bottom"/>
          </w:tcPr>
          <w:p w14:paraId="1D94AD40"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-0.159***</w:t>
            </w:r>
          </w:p>
        </w:tc>
        <w:tc>
          <w:tcPr>
            <w:tcW w:w="991" w:type="dxa"/>
            <w:tcBorders>
              <w:bottom w:val="double" w:sz="4" w:space="0" w:color="auto"/>
            </w:tcBorders>
            <w:shd w:val="clear" w:color="auto" w:fill="auto"/>
            <w:vAlign w:val="center"/>
          </w:tcPr>
          <w:p w14:paraId="6BC7206D"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-0.080***</w:t>
            </w:r>
          </w:p>
        </w:tc>
        <w:tc>
          <w:tcPr>
            <w:tcW w:w="708" w:type="dxa"/>
            <w:tcBorders>
              <w:bottom w:val="double" w:sz="4" w:space="0" w:color="auto"/>
            </w:tcBorders>
            <w:shd w:val="clear" w:color="auto" w:fill="auto"/>
          </w:tcPr>
          <w:p w14:paraId="5133EDEF" w14:textId="77777777" w:rsidR="00C42CF0" w:rsidRPr="00B051E5" w:rsidRDefault="00C42CF0" w:rsidP="00C42CF0">
            <w:pPr>
              <w:rPr>
                <w:rFonts w:ascii="Garamond" w:hAnsi="Garamond"/>
                <w:color w:val="000000" w:themeColor="text1"/>
                <w:sz w:val="20"/>
                <w:szCs w:val="20"/>
              </w:rPr>
            </w:pPr>
            <w:r w:rsidRPr="00B051E5">
              <w:rPr>
                <w:rFonts w:ascii="Garamond" w:hAnsi="Garamond"/>
                <w:color w:val="000000" w:themeColor="text1"/>
                <w:sz w:val="20"/>
                <w:szCs w:val="20"/>
              </w:rPr>
              <w:t>1.000</w:t>
            </w:r>
          </w:p>
        </w:tc>
      </w:tr>
      <w:tr w:rsidR="00B051E5" w:rsidRPr="00B051E5" w14:paraId="3A701F18" w14:textId="77777777" w:rsidTr="00195944">
        <w:trPr>
          <w:trHeight w:val="265"/>
        </w:trPr>
        <w:tc>
          <w:tcPr>
            <w:tcW w:w="16585" w:type="dxa"/>
            <w:gridSpan w:val="17"/>
            <w:tcBorders>
              <w:top w:val="double" w:sz="4" w:space="0" w:color="auto"/>
            </w:tcBorders>
            <w:shd w:val="clear" w:color="auto" w:fill="auto"/>
            <w:vAlign w:val="center"/>
          </w:tcPr>
          <w:p w14:paraId="1E30350E" w14:textId="7C34490E" w:rsidR="00C42CF0" w:rsidRPr="00B051E5" w:rsidRDefault="00C42CF0" w:rsidP="00C42CF0">
            <w:pPr>
              <w:spacing w:after="160" w:line="259" w:lineRule="auto"/>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This table shows the Pearson correlation coefficients between each pair of variables. ***, **, and * indicate the 1%, 5%, and 10% significance levels respectively.</w:t>
            </w:r>
            <w:r w:rsidRPr="00B051E5">
              <w:rPr>
                <w:rFonts w:ascii="Garamond" w:hAnsi="Garamond"/>
                <w:color w:val="000000" w:themeColor="text1"/>
                <w:sz w:val="20"/>
                <w:szCs w:val="20"/>
              </w:rPr>
              <w:t xml:space="preserve"> </w:t>
            </w:r>
            <w:r w:rsidRPr="00B051E5">
              <w:rPr>
                <w:rFonts w:ascii="Garamond" w:eastAsia="Calibri" w:hAnsi="Garamond"/>
                <w:color w:val="000000" w:themeColor="text1"/>
                <w:sz w:val="20"/>
                <w:szCs w:val="20"/>
                <w:lang w:eastAsia="en-US"/>
              </w:rPr>
              <w:t xml:space="preserve"> </w:t>
            </w:r>
            <w:r w:rsidRPr="00B051E5">
              <w:rPr>
                <w:rFonts w:ascii="Garamond" w:eastAsia="Calibri" w:hAnsi="Garamond"/>
                <w:bCs/>
                <w:color w:val="000000" w:themeColor="text1"/>
                <w:sz w:val="20"/>
                <w:szCs w:val="20"/>
                <w:lang w:eastAsia="en-US"/>
              </w:rPr>
              <w:t xml:space="preserve">All continuous variables are winsorized at the 1st and 99th percentiles. </w:t>
            </w:r>
            <w:r w:rsidRPr="00B051E5">
              <w:rPr>
                <w:rFonts w:ascii="Garamond" w:eastAsia="Calibri" w:hAnsi="Garamond"/>
                <w:color w:val="000000" w:themeColor="text1"/>
                <w:sz w:val="20"/>
                <w:szCs w:val="20"/>
                <w:lang w:eastAsia="en-US"/>
              </w:rPr>
              <w:t xml:space="preserve">All </w:t>
            </w:r>
            <w:r w:rsidR="00523DB2" w:rsidRPr="00B051E5">
              <w:rPr>
                <w:rFonts w:ascii="Garamond" w:eastAsia="Calibri" w:hAnsi="Garamond"/>
                <w:color w:val="000000" w:themeColor="text1"/>
                <w:sz w:val="20"/>
                <w:szCs w:val="20"/>
                <w:lang w:eastAsia="en-US"/>
              </w:rPr>
              <w:t>variables’</w:t>
            </w:r>
            <w:r w:rsidRPr="00B051E5">
              <w:rPr>
                <w:rFonts w:ascii="Garamond" w:eastAsia="Calibri" w:hAnsi="Garamond"/>
                <w:color w:val="000000" w:themeColor="text1"/>
                <w:sz w:val="20"/>
                <w:szCs w:val="20"/>
                <w:lang w:eastAsia="en-US"/>
              </w:rPr>
              <w:t xml:space="preserve"> definitions, measures and sources are provided in Appendix </w:t>
            </w:r>
            <w:r w:rsidR="00770E81" w:rsidRPr="00B051E5">
              <w:rPr>
                <w:rFonts w:ascii="Garamond" w:eastAsia="Calibri" w:hAnsi="Garamond"/>
                <w:color w:val="000000" w:themeColor="text1"/>
                <w:sz w:val="20"/>
                <w:szCs w:val="20"/>
                <w:lang w:eastAsia="en-US"/>
              </w:rPr>
              <w:t>2</w:t>
            </w:r>
            <w:r w:rsidRPr="00B051E5">
              <w:rPr>
                <w:rFonts w:ascii="Garamond" w:eastAsia="Calibri" w:hAnsi="Garamond"/>
                <w:color w:val="000000" w:themeColor="text1"/>
                <w:sz w:val="20"/>
                <w:szCs w:val="20"/>
                <w:lang w:eastAsia="en-US"/>
              </w:rPr>
              <w:t>.</w:t>
            </w:r>
          </w:p>
        </w:tc>
      </w:tr>
    </w:tbl>
    <w:p w14:paraId="7A65C0B8" w14:textId="77777777" w:rsidR="00C42CF0" w:rsidRPr="00B051E5" w:rsidRDefault="00C42CF0" w:rsidP="00C42CF0">
      <w:pPr>
        <w:spacing w:after="160" w:line="259" w:lineRule="auto"/>
        <w:ind w:left="720"/>
        <w:contextualSpacing/>
        <w:rPr>
          <w:rFonts w:ascii="Garamond" w:eastAsia="Calibri" w:hAnsi="Garamond"/>
          <w:color w:val="000000" w:themeColor="text1"/>
          <w:sz w:val="20"/>
          <w:szCs w:val="20"/>
          <w:lang w:eastAsia="en-US"/>
        </w:rPr>
      </w:pPr>
    </w:p>
    <w:p w14:paraId="2C9F4D5A" w14:textId="77777777" w:rsidR="00C42CF0" w:rsidRPr="00B051E5" w:rsidRDefault="00C42CF0" w:rsidP="00C42CF0">
      <w:pPr>
        <w:spacing w:after="160" w:line="259" w:lineRule="auto"/>
        <w:ind w:left="720"/>
        <w:contextualSpacing/>
        <w:rPr>
          <w:rFonts w:ascii="Garamond" w:eastAsia="Calibri" w:hAnsi="Garamond"/>
          <w:color w:val="000000" w:themeColor="text1"/>
          <w:sz w:val="20"/>
          <w:szCs w:val="20"/>
          <w:lang w:eastAsia="en-US"/>
        </w:rPr>
      </w:pPr>
    </w:p>
    <w:p w14:paraId="76674EEF" w14:textId="77777777" w:rsidR="00C42CF0" w:rsidRPr="00B051E5" w:rsidRDefault="00C42CF0" w:rsidP="00C42CF0">
      <w:pPr>
        <w:tabs>
          <w:tab w:val="left" w:pos="2130"/>
        </w:tabs>
        <w:spacing w:after="160" w:line="259" w:lineRule="auto"/>
        <w:rPr>
          <w:rFonts w:ascii="Garamond" w:eastAsia="Calibri" w:hAnsi="Garamond" w:cs="Arial"/>
          <w:color w:val="000000" w:themeColor="text1"/>
          <w:sz w:val="20"/>
          <w:szCs w:val="20"/>
          <w:lang w:eastAsia="en-US"/>
        </w:rPr>
      </w:pPr>
    </w:p>
    <w:p w14:paraId="744C0D79" w14:textId="77777777" w:rsidR="00C42CF0" w:rsidRPr="00B051E5" w:rsidRDefault="00C42CF0" w:rsidP="00C42CF0">
      <w:pPr>
        <w:tabs>
          <w:tab w:val="left" w:pos="2130"/>
        </w:tabs>
        <w:spacing w:after="160" w:line="259" w:lineRule="auto"/>
        <w:rPr>
          <w:rFonts w:ascii="Garamond" w:eastAsia="Calibri" w:hAnsi="Garamond" w:cs="Arial"/>
          <w:color w:val="000000" w:themeColor="text1"/>
          <w:sz w:val="20"/>
          <w:szCs w:val="20"/>
          <w:lang w:eastAsia="en-US"/>
        </w:rPr>
      </w:pPr>
    </w:p>
    <w:p w14:paraId="24ADD577" w14:textId="77777777" w:rsidR="00C42CF0" w:rsidRPr="00B051E5" w:rsidRDefault="00C42CF0" w:rsidP="00C42CF0">
      <w:pPr>
        <w:tabs>
          <w:tab w:val="left" w:pos="2130"/>
        </w:tabs>
        <w:spacing w:after="160" w:line="259" w:lineRule="auto"/>
        <w:rPr>
          <w:rFonts w:ascii="Garamond" w:eastAsia="Calibri" w:hAnsi="Garamond" w:cs="Arial"/>
          <w:color w:val="000000" w:themeColor="text1"/>
          <w:sz w:val="20"/>
          <w:szCs w:val="20"/>
          <w:lang w:eastAsia="en-US"/>
        </w:rPr>
      </w:pPr>
    </w:p>
    <w:p w14:paraId="3BE30F78" w14:textId="77777777" w:rsidR="00C42CF0" w:rsidRPr="00B051E5" w:rsidRDefault="00C42CF0" w:rsidP="00C42CF0">
      <w:pPr>
        <w:tabs>
          <w:tab w:val="left" w:pos="2130"/>
        </w:tabs>
        <w:spacing w:after="160" w:line="259" w:lineRule="auto"/>
        <w:rPr>
          <w:rFonts w:ascii="Garamond" w:eastAsia="Calibri" w:hAnsi="Garamond" w:cs="Arial"/>
          <w:color w:val="000000" w:themeColor="text1"/>
          <w:sz w:val="20"/>
          <w:szCs w:val="20"/>
          <w:lang w:eastAsia="en-US"/>
        </w:rPr>
      </w:pPr>
    </w:p>
    <w:p w14:paraId="10D55540" w14:textId="77777777" w:rsidR="00C42CF0" w:rsidRPr="00B051E5" w:rsidRDefault="00C42CF0" w:rsidP="00C42CF0">
      <w:pPr>
        <w:tabs>
          <w:tab w:val="left" w:pos="2130"/>
        </w:tabs>
        <w:spacing w:after="160" w:line="259" w:lineRule="auto"/>
        <w:rPr>
          <w:rFonts w:ascii="Garamond" w:eastAsia="Calibri" w:hAnsi="Garamond" w:cs="Arial"/>
          <w:color w:val="000000" w:themeColor="text1"/>
          <w:sz w:val="20"/>
          <w:szCs w:val="20"/>
          <w:lang w:eastAsia="en-US"/>
        </w:rPr>
      </w:pPr>
    </w:p>
    <w:p w14:paraId="633425E1" w14:textId="77777777" w:rsidR="00C42CF0" w:rsidRPr="00B051E5" w:rsidRDefault="00C42CF0" w:rsidP="00C42CF0">
      <w:pPr>
        <w:tabs>
          <w:tab w:val="left" w:pos="2130"/>
        </w:tabs>
        <w:spacing w:after="160" w:line="259" w:lineRule="auto"/>
        <w:rPr>
          <w:rFonts w:ascii="Garamond" w:eastAsia="Calibri" w:hAnsi="Garamond" w:cs="Arial"/>
          <w:color w:val="000000" w:themeColor="text1"/>
          <w:sz w:val="20"/>
          <w:szCs w:val="20"/>
          <w:lang w:eastAsia="en-US"/>
        </w:rPr>
        <w:sectPr w:rsidR="00C42CF0" w:rsidRPr="00B051E5" w:rsidSect="00195944">
          <w:pgSz w:w="16838" w:h="11906" w:orient="landscape"/>
          <w:pgMar w:top="1440" w:right="1440" w:bottom="1440" w:left="1440" w:header="709" w:footer="709" w:gutter="0"/>
          <w:cols w:space="708"/>
          <w:docGrid w:linePitch="360"/>
        </w:sectPr>
      </w:pPr>
    </w:p>
    <w:p w14:paraId="629E1A54" w14:textId="77777777" w:rsidR="00C42CF0" w:rsidRPr="00B051E5" w:rsidRDefault="00C42CF0" w:rsidP="00C42CF0">
      <w:pPr>
        <w:spacing w:after="160" w:line="259" w:lineRule="auto"/>
        <w:rPr>
          <w:rFonts w:ascii="Garamond" w:hAnsi="Garamond"/>
          <w:b/>
          <w:color w:val="000000" w:themeColor="text1"/>
          <w:sz w:val="20"/>
          <w:szCs w:val="20"/>
        </w:rPr>
      </w:pPr>
      <w:r w:rsidRPr="00B051E5">
        <w:rPr>
          <w:rFonts w:ascii="Garamond" w:eastAsia="Calibri" w:hAnsi="Garamond"/>
          <w:b/>
          <w:color w:val="000000" w:themeColor="text1"/>
          <w:sz w:val="20"/>
          <w:szCs w:val="20"/>
          <w:lang w:eastAsia="en-US"/>
        </w:rPr>
        <w:lastRenderedPageBreak/>
        <w:t xml:space="preserve">Table 3. </w:t>
      </w:r>
      <w:r w:rsidRPr="00B051E5">
        <w:rPr>
          <w:rFonts w:ascii="Garamond" w:eastAsia="Calibri" w:hAnsi="Garamond"/>
          <w:color w:val="000000" w:themeColor="text1"/>
          <w:sz w:val="20"/>
          <w:szCs w:val="20"/>
          <w:lang w:eastAsia="en-US"/>
        </w:rPr>
        <w:t>Stock price informativeness of aggregate, forward, and non-forward-looking risk disclosure</w:t>
      </w:r>
    </w:p>
    <w:tbl>
      <w:tblPr>
        <w:tblpPr w:leftFromText="180" w:rightFromText="180" w:vertAnchor="page" w:horzAnchor="margin" w:tblpXSpec="center" w:tblpY="1816"/>
        <w:tblW w:w="9498" w:type="dxa"/>
        <w:tblLayout w:type="fixed"/>
        <w:tblCellMar>
          <w:left w:w="75" w:type="dxa"/>
          <w:right w:w="75" w:type="dxa"/>
        </w:tblCellMar>
        <w:tblLook w:val="0000" w:firstRow="0" w:lastRow="0" w:firstColumn="0" w:lastColumn="0" w:noHBand="0" w:noVBand="0"/>
      </w:tblPr>
      <w:tblGrid>
        <w:gridCol w:w="2977"/>
        <w:gridCol w:w="709"/>
        <w:gridCol w:w="1417"/>
        <w:gridCol w:w="1560"/>
        <w:gridCol w:w="1275"/>
        <w:gridCol w:w="1560"/>
      </w:tblGrid>
      <w:tr w:rsidR="00B051E5" w:rsidRPr="00B051E5" w14:paraId="6808A57F" w14:textId="77777777" w:rsidTr="00195944">
        <w:trPr>
          <w:trHeight w:val="269"/>
        </w:trPr>
        <w:tc>
          <w:tcPr>
            <w:tcW w:w="2977" w:type="dxa"/>
            <w:vMerge w:val="restart"/>
            <w:tcBorders>
              <w:top w:val="single" w:sz="4" w:space="0" w:color="auto"/>
              <w:left w:val="nil"/>
            </w:tcBorders>
          </w:tcPr>
          <w:p w14:paraId="6664F07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Independent variables</w:t>
            </w:r>
          </w:p>
        </w:tc>
        <w:tc>
          <w:tcPr>
            <w:tcW w:w="709" w:type="dxa"/>
            <w:vMerge w:val="restart"/>
            <w:tcBorders>
              <w:top w:val="single" w:sz="4" w:space="0" w:color="auto"/>
              <w:right w:val="nil"/>
            </w:tcBorders>
          </w:tcPr>
          <w:p w14:paraId="4968F66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E.S</w:t>
            </w:r>
          </w:p>
        </w:tc>
        <w:tc>
          <w:tcPr>
            <w:tcW w:w="5812" w:type="dxa"/>
            <w:gridSpan w:val="4"/>
            <w:tcBorders>
              <w:top w:val="single" w:sz="6" w:space="0" w:color="auto"/>
              <w:left w:val="nil"/>
              <w:bottom w:val="single" w:sz="4" w:space="0" w:color="auto"/>
            </w:tcBorders>
          </w:tcPr>
          <w:p w14:paraId="5AC238C4" w14:textId="77777777" w:rsidR="00C42CF0" w:rsidRPr="00B051E5" w:rsidRDefault="00C42CF0" w:rsidP="00C42CF0">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 xml:space="preserve">Dependent variable: </w:t>
            </w:r>
            <w:r w:rsidRPr="00B051E5">
              <w:rPr>
                <w:rFonts w:ascii="Garamond" w:eastAsia="Calibri" w:hAnsi="Garamond"/>
                <w:b/>
                <w:iCs/>
                <w:color w:val="000000" w:themeColor="text1"/>
                <w:sz w:val="20"/>
                <w:szCs w:val="20"/>
                <w:lang w:eastAsia="en-US"/>
              </w:rPr>
              <w:t>SYNCH</w:t>
            </w:r>
          </w:p>
        </w:tc>
      </w:tr>
      <w:tr w:rsidR="00B051E5" w:rsidRPr="00B051E5" w14:paraId="5B9DE050" w14:textId="77777777" w:rsidTr="00195944">
        <w:trPr>
          <w:trHeight w:val="70"/>
        </w:trPr>
        <w:tc>
          <w:tcPr>
            <w:tcW w:w="2977" w:type="dxa"/>
            <w:vMerge/>
            <w:tcBorders>
              <w:left w:val="nil"/>
              <w:bottom w:val="single" w:sz="4" w:space="0" w:color="auto"/>
            </w:tcBorders>
          </w:tcPr>
          <w:p w14:paraId="2EC1E15D"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709" w:type="dxa"/>
            <w:vMerge/>
            <w:tcBorders>
              <w:bottom w:val="single" w:sz="4" w:space="0" w:color="auto"/>
              <w:right w:val="nil"/>
            </w:tcBorders>
          </w:tcPr>
          <w:p w14:paraId="5EEF79A9"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417" w:type="dxa"/>
            <w:tcBorders>
              <w:top w:val="single" w:sz="4" w:space="0" w:color="auto"/>
              <w:left w:val="nil"/>
              <w:bottom w:val="single" w:sz="4" w:space="0" w:color="auto"/>
              <w:right w:val="nil"/>
            </w:tcBorders>
          </w:tcPr>
          <w:p w14:paraId="241B302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w:t>
            </w:r>
          </w:p>
        </w:tc>
        <w:tc>
          <w:tcPr>
            <w:tcW w:w="1560" w:type="dxa"/>
            <w:tcBorders>
              <w:top w:val="single" w:sz="4" w:space="0" w:color="auto"/>
              <w:left w:val="nil"/>
              <w:bottom w:val="single" w:sz="4" w:space="0" w:color="auto"/>
              <w:right w:val="nil"/>
            </w:tcBorders>
          </w:tcPr>
          <w:p w14:paraId="4213D16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(2)</w:t>
            </w:r>
          </w:p>
        </w:tc>
        <w:tc>
          <w:tcPr>
            <w:tcW w:w="1275" w:type="dxa"/>
            <w:tcBorders>
              <w:top w:val="single" w:sz="4" w:space="0" w:color="auto"/>
              <w:left w:val="nil"/>
              <w:bottom w:val="single" w:sz="4" w:space="0" w:color="auto"/>
              <w:right w:val="nil"/>
            </w:tcBorders>
          </w:tcPr>
          <w:p w14:paraId="0D55A9A6"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(3)</w:t>
            </w:r>
          </w:p>
        </w:tc>
        <w:tc>
          <w:tcPr>
            <w:tcW w:w="1560" w:type="dxa"/>
            <w:tcBorders>
              <w:top w:val="single" w:sz="4" w:space="0" w:color="auto"/>
              <w:left w:val="nil"/>
              <w:bottom w:val="single" w:sz="4" w:space="0" w:color="auto"/>
            </w:tcBorders>
          </w:tcPr>
          <w:p w14:paraId="2A5A0C7D"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(4)</w:t>
            </w:r>
          </w:p>
        </w:tc>
      </w:tr>
      <w:tr w:rsidR="00B051E5" w:rsidRPr="00B051E5" w14:paraId="25C778ED" w14:textId="77777777" w:rsidTr="00195944">
        <w:trPr>
          <w:trHeight w:val="270"/>
        </w:trPr>
        <w:tc>
          <w:tcPr>
            <w:tcW w:w="2977" w:type="dxa"/>
            <w:tcBorders>
              <w:top w:val="single" w:sz="4" w:space="0" w:color="auto"/>
              <w:left w:val="nil"/>
              <w:bottom w:val="nil"/>
            </w:tcBorders>
          </w:tcPr>
          <w:p w14:paraId="52B35326"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 xml:space="preserve">PARD  </w:t>
            </w:r>
          </w:p>
        </w:tc>
        <w:tc>
          <w:tcPr>
            <w:tcW w:w="709" w:type="dxa"/>
            <w:tcBorders>
              <w:top w:val="single" w:sz="4" w:space="0" w:color="auto"/>
              <w:bottom w:val="nil"/>
              <w:right w:val="nil"/>
            </w:tcBorders>
          </w:tcPr>
          <w:p w14:paraId="4489BCD6"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731E240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-0.300</w:t>
            </w:r>
          </w:p>
        </w:tc>
        <w:tc>
          <w:tcPr>
            <w:tcW w:w="1560" w:type="dxa"/>
            <w:tcBorders>
              <w:top w:val="nil"/>
              <w:left w:val="nil"/>
              <w:bottom w:val="nil"/>
              <w:right w:val="nil"/>
            </w:tcBorders>
          </w:tcPr>
          <w:p w14:paraId="6658E28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7AF83C7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2034D47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7DB116EB" w14:textId="77777777" w:rsidTr="00195944">
        <w:trPr>
          <w:trHeight w:val="270"/>
        </w:trPr>
        <w:tc>
          <w:tcPr>
            <w:tcW w:w="2977" w:type="dxa"/>
            <w:tcBorders>
              <w:top w:val="nil"/>
              <w:left w:val="nil"/>
              <w:bottom w:val="nil"/>
            </w:tcBorders>
          </w:tcPr>
          <w:p w14:paraId="7076EF91"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1DD174D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417" w:type="dxa"/>
            <w:tcBorders>
              <w:top w:val="nil"/>
              <w:left w:val="nil"/>
              <w:bottom w:val="nil"/>
              <w:right w:val="nil"/>
            </w:tcBorders>
          </w:tcPr>
          <w:p w14:paraId="077CADA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(-0.488)</w:t>
            </w:r>
          </w:p>
        </w:tc>
        <w:tc>
          <w:tcPr>
            <w:tcW w:w="1560" w:type="dxa"/>
            <w:tcBorders>
              <w:top w:val="nil"/>
              <w:left w:val="nil"/>
              <w:bottom w:val="nil"/>
              <w:right w:val="nil"/>
            </w:tcBorders>
          </w:tcPr>
          <w:p w14:paraId="551FC7E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3F458F2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6A91FD5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2CFE2EBB" w14:textId="77777777" w:rsidTr="00195944">
        <w:trPr>
          <w:trHeight w:val="270"/>
        </w:trPr>
        <w:tc>
          <w:tcPr>
            <w:tcW w:w="2977" w:type="dxa"/>
            <w:tcBorders>
              <w:top w:val="nil"/>
              <w:left w:val="nil"/>
              <w:bottom w:val="nil"/>
            </w:tcBorders>
          </w:tcPr>
          <w:p w14:paraId="0DC9428A"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PFLRD</w:t>
            </w:r>
          </w:p>
        </w:tc>
        <w:tc>
          <w:tcPr>
            <w:tcW w:w="709" w:type="dxa"/>
            <w:tcBorders>
              <w:top w:val="nil"/>
              <w:bottom w:val="nil"/>
              <w:right w:val="nil"/>
            </w:tcBorders>
          </w:tcPr>
          <w:p w14:paraId="7D0A63B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129FB36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13B152B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1.049***</w:t>
            </w:r>
          </w:p>
        </w:tc>
        <w:tc>
          <w:tcPr>
            <w:tcW w:w="1275" w:type="dxa"/>
            <w:tcBorders>
              <w:top w:val="nil"/>
              <w:left w:val="nil"/>
              <w:bottom w:val="nil"/>
              <w:right w:val="nil"/>
            </w:tcBorders>
          </w:tcPr>
          <w:p w14:paraId="14BE7B4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6A8C8CB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59672EFE" w14:textId="77777777" w:rsidTr="00195944">
        <w:trPr>
          <w:trHeight w:val="270"/>
        </w:trPr>
        <w:tc>
          <w:tcPr>
            <w:tcW w:w="2977" w:type="dxa"/>
            <w:tcBorders>
              <w:top w:val="nil"/>
              <w:left w:val="nil"/>
              <w:bottom w:val="nil"/>
            </w:tcBorders>
          </w:tcPr>
          <w:p w14:paraId="2E5379E7"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53784EB6"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417" w:type="dxa"/>
            <w:tcBorders>
              <w:top w:val="nil"/>
              <w:left w:val="nil"/>
              <w:bottom w:val="nil"/>
              <w:right w:val="nil"/>
            </w:tcBorders>
          </w:tcPr>
          <w:p w14:paraId="4970740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7A1F4D0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(2.993)</w:t>
            </w:r>
          </w:p>
        </w:tc>
        <w:tc>
          <w:tcPr>
            <w:tcW w:w="1275" w:type="dxa"/>
            <w:tcBorders>
              <w:top w:val="nil"/>
              <w:left w:val="nil"/>
              <w:bottom w:val="nil"/>
              <w:right w:val="nil"/>
            </w:tcBorders>
          </w:tcPr>
          <w:p w14:paraId="1DDB4A1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00B5CC3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7F71DEFE" w14:textId="77777777" w:rsidTr="00195944">
        <w:trPr>
          <w:trHeight w:val="270"/>
        </w:trPr>
        <w:tc>
          <w:tcPr>
            <w:tcW w:w="2977" w:type="dxa"/>
            <w:tcBorders>
              <w:top w:val="nil"/>
              <w:left w:val="nil"/>
              <w:bottom w:val="nil"/>
            </w:tcBorders>
          </w:tcPr>
          <w:p w14:paraId="6682B325"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PNFLRD</w:t>
            </w:r>
          </w:p>
        </w:tc>
        <w:tc>
          <w:tcPr>
            <w:tcW w:w="709" w:type="dxa"/>
            <w:tcBorders>
              <w:top w:val="nil"/>
              <w:bottom w:val="nil"/>
              <w:right w:val="nil"/>
            </w:tcBorders>
          </w:tcPr>
          <w:p w14:paraId="3F1F74D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34D1891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6584E0F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35B6501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-1.049***</w:t>
            </w:r>
          </w:p>
        </w:tc>
        <w:tc>
          <w:tcPr>
            <w:tcW w:w="1560" w:type="dxa"/>
            <w:tcBorders>
              <w:top w:val="nil"/>
              <w:left w:val="nil"/>
              <w:bottom w:val="nil"/>
              <w:right w:val="nil"/>
            </w:tcBorders>
          </w:tcPr>
          <w:p w14:paraId="2E2C958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6E74294B" w14:textId="77777777" w:rsidTr="00195944">
        <w:trPr>
          <w:trHeight w:val="270"/>
        </w:trPr>
        <w:tc>
          <w:tcPr>
            <w:tcW w:w="2977" w:type="dxa"/>
            <w:tcBorders>
              <w:top w:val="nil"/>
              <w:left w:val="nil"/>
              <w:bottom w:val="nil"/>
            </w:tcBorders>
          </w:tcPr>
          <w:p w14:paraId="4E84ACE2"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52E9489F"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417" w:type="dxa"/>
            <w:tcBorders>
              <w:top w:val="nil"/>
              <w:left w:val="nil"/>
              <w:bottom w:val="nil"/>
              <w:right w:val="nil"/>
            </w:tcBorders>
          </w:tcPr>
          <w:p w14:paraId="5A93D28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74006BE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4F38FF4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(-2.993)</w:t>
            </w:r>
          </w:p>
        </w:tc>
        <w:tc>
          <w:tcPr>
            <w:tcW w:w="1560" w:type="dxa"/>
            <w:tcBorders>
              <w:top w:val="nil"/>
              <w:left w:val="nil"/>
              <w:bottom w:val="nil"/>
              <w:right w:val="nil"/>
            </w:tcBorders>
          </w:tcPr>
          <w:p w14:paraId="58A5DF4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22F854E1" w14:textId="77777777" w:rsidTr="00195944">
        <w:trPr>
          <w:trHeight w:val="252"/>
        </w:trPr>
        <w:tc>
          <w:tcPr>
            <w:tcW w:w="2977" w:type="dxa"/>
            <w:tcBorders>
              <w:top w:val="nil"/>
              <w:left w:val="nil"/>
              <w:bottom w:val="nil"/>
            </w:tcBorders>
          </w:tcPr>
          <w:p w14:paraId="79611568"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PFLRD_1</w:t>
            </w:r>
          </w:p>
        </w:tc>
        <w:tc>
          <w:tcPr>
            <w:tcW w:w="709" w:type="dxa"/>
            <w:tcBorders>
              <w:top w:val="nil"/>
              <w:bottom w:val="nil"/>
              <w:right w:val="nil"/>
            </w:tcBorders>
          </w:tcPr>
          <w:p w14:paraId="1C7F3E0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587B672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1130865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0D9E0B7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032AFB5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3.838**</w:t>
            </w:r>
          </w:p>
        </w:tc>
      </w:tr>
      <w:tr w:rsidR="00B051E5" w:rsidRPr="00B051E5" w14:paraId="11C72396" w14:textId="77777777" w:rsidTr="00195944">
        <w:trPr>
          <w:trHeight w:val="270"/>
        </w:trPr>
        <w:tc>
          <w:tcPr>
            <w:tcW w:w="2977" w:type="dxa"/>
            <w:tcBorders>
              <w:top w:val="nil"/>
              <w:left w:val="nil"/>
              <w:bottom w:val="nil"/>
            </w:tcBorders>
          </w:tcPr>
          <w:p w14:paraId="2BDCF849"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572DCA0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417" w:type="dxa"/>
            <w:tcBorders>
              <w:top w:val="nil"/>
              <w:left w:val="nil"/>
              <w:bottom w:val="nil"/>
              <w:right w:val="nil"/>
            </w:tcBorders>
          </w:tcPr>
          <w:p w14:paraId="12AB7F2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5838C4A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14DCB58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722BB4E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(2.170)</w:t>
            </w:r>
          </w:p>
        </w:tc>
      </w:tr>
      <w:tr w:rsidR="00B051E5" w:rsidRPr="00B051E5" w14:paraId="35BB5D5C" w14:textId="77777777" w:rsidTr="00195944">
        <w:trPr>
          <w:trHeight w:val="270"/>
        </w:trPr>
        <w:tc>
          <w:tcPr>
            <w:tcW w:w="2977" w:type="dxa"/>
            <w:tcBorders>
              <w:top w:val="nil"/>
              <w:left w:val="nil"/>
              <w:bottom w:val="nil"/>
            </w:tcBorders>
          </w:tcPr>
          <w:p w14:paraId="1FACF11C"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 xml:space="preserve">PNFLRD_1 </w:t>
            </w:r>
          </w:p>
        </w:tc>
        <w:tc>
          <w:tcPr>
            <w:tcW w:w="709" w:type="dxa"/>
            <w:tcBorders>
              <w:top w:val="nil"/>
              <w:bottom w:val="nil"/>
              <w:right w:val="nil"/>
            </w:tcBorders>
          </w:tcPr>
          <w:p w14:paraId="48AA7AD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4F366DE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7622354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19634EF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11D8658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-1.435*</w:t>
            </w:r>
          </w:p>
        </w:tc>
      </w:tr>
      <w:tr w:rsidR="00B051E5" w:rsidRPr="00B051E5" w14:paraId="5E3E89F4" w14:textId="77777777" w:rsidTr="00195944">
        <w:trPr>
          <w:trHeight w:val="270"/>
        </w:trPr>
        <w:tc>
          <w:tcPr>
            <w:tcW w:w="2977" w:type="dxa"/>
            <w:tcBorders>
              <w:top w:val="nil"/>
              <w:left w:val="nil"/>
              <w:bottom w:val="nil"/>
            </w:tcBorders>
          </w:tcPr>
          <w:p w14:paraId="6FF9552E"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4B45BFD8"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4DDD9E4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4A0EF23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5" w:type="dxa"/>
            <w:tcBorders>
              <w:top w:val="nil"/>
              <w:left w:val="nil"/>
              <w:bottom w:val="nil"/>
              <w:right w:val="nil"/>
            </w:tcBorders>
          </w:tcPr>
          <w:p w14:paraId="3A6E5C8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60" w:type="dxa"/>
            <w:tcBorders>
              <w:top w:val="nil"/>
              <w:left w:val="nil"/>
              <w:bottom w:val="nil"/>
              <w:right w:val="nil"/>
            </w:tcBorders>
          </w:tcPr>
          <w:p w14:paraId="36E0844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(-1.897)</w:t>
            </w:r>
          </w:p>
        </w:tc>
      </w:tr>
      <w:tr w:rsidR="00B051E5" w:rsidRPr="00B051E5" w14:paraId="52E0E775" w14:textId="77777777" w:rsidTr="00195944">
        <w:trPr>
          <w:trHeight w:val="270"/>
        </w:trPr>
        <w:tc>
          <w:tcPr>
            <w:tcW w:w="2977" w:type="dxa"/>
            <w:tcBorders>
              <w:top w:val="nil"/>
              <w:left w:val="nil"/>
              <w:bottom w:val="nil"/>
            </w:tcBorders>
          </w:tcPr>
          <w:p w14:paraId="203F3567"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SIZE</w:t>
            </w:r>
          </w:p>
        </w:tc>
        <w:tc>
          <w:tcPr>
            <w:tcW w:w="709" w:type="dxa"/>
            <w:tcBorders>
              <w:top w:val="nil"/>
              <w:bottom w:val="nil"/>
              <w:right w:val="nil"/>
            </w:tcBorders>
          </w:tcPr>
          <w:p w14:paraId="33F06924"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28FE50D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0.093***</w:t>
            </w:r>
          </w:p>
        </w:tc>
        <w:tc>
          <w:tcPr>
            <w:tcW w:w="1560" w:type="dxa"/>
            <w:tcBorders>
              <w:top w:val="nil"/>
              <w:left w:val="nil"/>
              <w:bottom w:val="nil"/>
              <w:right w:val="nil"/>
            </w:tcBorders>
          </w:tcPr>
          <w:p w14:paraId="3F6F010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0.092***</w:t>
            </w:r>
          </w:p>
        </w:tc>
        <w:tc>
          <w:tcPr>
            <w:tcW w:w="1275" w:type="dxa"/>
            <w:tcBorders>
              <w:top w:val="nil"/>
              <w:left w:val="nil"/>
              <w:bottom w:val="nil"/>
              <w:right w:val="nil"/>
            </w:tcBorders>
          </w:tcPr>
          <w:p w14:paraId="2087054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0.092***</w:t>
            </w:r>
          </w:p>
        </w:tc>
        <w:tc>
          <w:tcPr>
            <w:tcW w:w="1560" w:type="dxa"/>
            <w:tcBorders>
              <w:top w:val="nil"/>
              <w:left w:val="nil"/>
              <w:bottom w:val="nil"/>
              <w:right w:val="nil"/>
            </w:tcBorders>
          </w:tcPr>
          <w:p w14:paraId="76E1E37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0.093***</w:t>
            </w:r>
          </w:p>
        </w:tc>
      </w:tr>
      <w:tr w:rsidR="00B051E5" w:rsidRPr="00B051E5" w14:paraId="0569959E" w14:textId="77777777" w:rsidTr="00195944">
        <w:trPr>
          <w:trHeight w:val="270"/>
        </w:trPr>
        <w:tc>
          <w:tcPr>
            <w:tcW w:w="2977" w:type="dxa"/>
            <w:tcBorders>
              <w:top w:val="nil"/>
              <w:left w:val="nil"/>
              <w:bottom w:val="nil"/>
            </w:tcBorders>
          </w:tcPr>
          <w:p w14:paraId="191C646C"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714552CE"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0B86A54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(4.516)</w:t>
            </w:r>
          </w:p>
        </w:tc>
        <w:tc>
          <w:tcPr>
            <w:tcW w:w="1560" w:type="dxa"/>
            <w:tcBorders>
              <w:top w:val="nil"/>
              <w:left w:val="nil"/>
              <w:bottom w:val="nil"/>
              <w:right w:val="nil"/>
            </w:tcBorders>
          </w:tcPr>
          <w:p w14:paraId="477FFCD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(4.487)</w:t>
            </w:r>
          </w:p>
        </w:tc>
        <w:tc>
          <w:tcPr>
            <w:tcW w:w="1275" w:type="dxa"/>
            <w:tcBorders>
              <w:top w:val="nil"/>
              <w:left w:val="nil"/>
              <w:bottom w:val="nil"/>
              <w:right w:val="nil"/>
            </w:tcBorders>
          </w:tcPr>
          <w:p w14:paraId="1413D91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(4.487)</w:t>
            </w:r>
          </w:p>
        </w:tc>
        <w:tc>
          <w:tcPr>
            <w:tcW w:w="1560" w:type="dxa"/>
            <w:tcBorders>
              <w:top w:val="nil"/>
              <w:left w:val="nil"/>
              <w:bottom w:val="nil"/>
              <w:right w:val="nil"/>
            </w:tcBorders>
          </w:tcPr>
          <w:p w14:paraId="587B188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(4.511)</w:t>
            </w:r>
          </w:p>
        </w:tc>
      </w:tr>
      <w:tr w:rsidR="00B051E5" w:rsidRPr="00B051E5" w14:paraId="46CD56F0" w14:textId="77777777" w:rsidTr="00195944">
        <w:trPr>
          <w:trHeight w:val="270"/>
        </w:trPr>
        <w:tc>
          <w:tcPr>
            <w:tcW w:w="2977" w:type="dxa"/>
            <w:tcBorders>
              <w:top w:val="nil"/>
              <w:left w:val="nil"/>
              <w:bottom w:val="nil"/>
            </w:tcBorders>
          </w:tcPr>
          <w:p w14:paraId="3E9D914F"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LEV</w:t>
            </w:r>
          </w:p>
        </w:tc>
        <w:tc>
          <w:tcPr>
            <w:tcW w:w="709" w:type="dxa"/>
            <w:tcBorders>
              <w:top w:val="nil"/>
              <w:bottom w:val="nil"/>
              <w:right w:val="nil"/>
            </w:tcBorders>
          </w:tcPr>
          <w:p w14:paraId="3DDC6568"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4B2B1B3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560" w:type="dxa"/>
            <w:tcBorders>
              <w:top w:val="nil"/>
              <w:left w:val="nil"/>
              <w:bottom w:val="nil"/>
              <w:right w:val="nil"/>
            </w:tcBorders>
          </w:tcPr>
          <w:p w14:paraId="4FC04EB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275" w:type="dxa"/>
            <w:tcBorders>
              <w:top w:val="nil"/>
              <w:left w:val="nil"/>
              <w:bottom w:val="nil"/>
              <w:right w:val="nil"/>
            </w:tcBorders>
          </w:tcPr>
          <w:p w14:paraId="1F99C49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560" w:type="dxa"/>
            <w:tcBorders>
              <w:top w:val="nil"/>
              <w:left w:val="nil"/>
              <w:bottom w:val="nil"/>
              <w:right w:val="nil"/>
            </w:tcBorders>
          </w:tcPr>
          <w:p w14:paraId="6917881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r>
      <w:tr w:rsidR="00B051E5" w:rsidRPr="00B051E5" w14:paraId="369BF261" w14:textId="77777777" w:rsidTr="00195944">
        <w:trPr>
          <w:trHeight w:val="270"/>
        </w:trPr>
        <w:tc>
          <w:tcPr>
            <w:tcW w:w="2977" w:type="dxa"/>
            <w:tcBorders>
              <w:top w:val="nil"/>
              <w:left w:val="nil"/>
              <w:bottom w:val="nil"/>
            </w:tcBorders>
          </w:tcPr>
          <w:p w14:paraId="4E8D1AF1"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164F5CA8"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7DA248F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(0.046)</w:t>
            </w:r>
          </w:p>
        </w:tc>
        <w:tc>
          <w:tcPr>
            <w:tcW w:w="1560" w:type="dxa"/>
            <w:tcBorders>
              <w:top w:val="nil"/>
              <w:left w:val="nil"/>
              <w:bottom w:val="nil"/>
              <w:right w:val="nil"/>
            </w:tcBorders>
          </w:tcPr>
          <w:p w14:paraId="55D6CEF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(0.062)</w:t>
            </w:r>
          </w:p>
        </w:tc>
        <w:tc>
          <w:tcPr>
            <w:tcW w:w="1275" w:type="dxa"/>
            <w:tcBorders>
              <w:top w:val="nil"/>
              <w:left w:val="nil"/>
              <w:bottom w:val="nil"/>
              <w:right w:val="nil"/>
            </w:tcBorders>
          </w:tcPr>
          <w:p w14:paraId="2CCF282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(0.062)</w:t>
            </w:r>
          </w:p>
        </w:tc>
        <w:tc>
          <w:tcPr>
            <w:tcW w:w="1560" w:type="dxa"/>
            <w:tcBorders>
              <w:top w:val="nil"/>
              <w:left w:val="nil"/>
              <w:bottom w:val="nil"/>
              <w:right w:val="nil"/>
            </w:tcBorders>
          </w:tcPr>
          <w:p w14:paraId="2244707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(0.063)</w:t>
            </w:r>
          </w:p>
        </w:tc>
      </w:tr>
      <w:tr w:rsidR="00B051E5" w:rsidRPr="00B051E5" w14:paraId="246786B5" w14:textId="77777777" w:rsidTr="00195944">
        <w:trPr>
          <w:trHeight w:val="270"/>
        </w:trPr>
        <w:tc>
          <w:tcPr>
            <w:tcW w:w="2977" w:type="dxa"/>
            <w:tcBorders>
              <w:top w:val="nil"/>
              <w:left w:val="nil"/>
              <w:bottom w:val="nil"/>
            </w:tcBorders>
          </w:tcPr>
          <w:p w14:paraId="17AE48F6"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VOL</w:t>
            </w:r>
          </w:p>
        </w:tc>
        <w:tc>
          <w:tcPr>
            <w:tcW w:w="709" w:type="dxa"/>
            <w:tcBorders>
              <w:top w:val="nil"/>
              <w:bottom w:val="nil"/>
              <w:right w:val="nil"/>
            </w:tcBorders>
          </w:tcPr>
          <w:p w14:paraId="1431B10E"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5162159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0.080***</w:t>
            </w:r>
          </w:p>
        </w:tc>
        <w:tc>
          <w:tcPr>
            <w:tcW w:w="1560" w:type="dxa"/>
            <w:tcBorders>
              <w:top w:val="nil"/>
              <w:left w:val="nil"/>
              <w:bottom w:val="nil"/>
              <w:right w:val="nil"/>
            </w:tcBorders>
          </w:tcPr>
          <w:p w14:paraId="3AE321D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0.076***</w:t>
            </w:r>
          </w:p>
        </w:tc>
        <w:tc>
          <w:tcPr>
            <w:tcW w:w="1275" w:type="dxa"/>
            <w:tcBorders>
              <w:top w:val="nil"/>
              <w:left w:val="nil"/>
              <w:bottom w:val="nil"/>
              <w:right w:val="nil"/>
            </w:tcBorders>
          </w:tcPr>
          <w:p w14:paraId="369602B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0.076***</w:t>
            </w:r>
          </w:p>
        </w:tc>
        <w:tc>
          <w:tcPr>
            <w:tcW w:w="1560" w:type="dxa"/>
            <w:tcBorders>
              <w:top w:val="nil"/>
              <w:left w:val="nil"/>
              <w:bottom w:val="nil"/>
              <w:right w:val="nil"/>
            </w:tcBorders>
          </w:tcPr>
          <w:p w14:paraId="33F3A0A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0.076***</w:t>
            </w:r>
          </w:p>
        </w:tc>
      </w:tr>
      <w:tr w:rsidR="00B051E5" w:rsidRPr="00B051E5" w14:paraId="55361F59" w14:textId="77777777" w:rsidTr="00195944">
        <w:trPr>
          <w:trHeight w:val="270"/>
        </w:trPr>
        <w:tc>
          <w:tcPr>
            <w:tcW w:w="2977" w:type="dxa"/>
            <w:tcBorders>
              <w:top w:val="nil"/>
              <w:left w:val="nil"/>
              <w:bottom w:val="nil"/>
            </w:tcBorders>
          </w:tcPr>
          <w:p w14:paraId="32A78547"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5FB0BF1F"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1AA0E94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(3.292)</w:t>
            </w:r>
          </w:p>
        </w:tc>
        <w:tc>
          <w:tcPr>
            <w:tcW w:w="1560" w:type="dxa"/>
            <w:tcBorders>
              <w:top w:val="nil"/>
              <w:left w:val="nil"/>
              <w:bottom w:val="nil"/>
              <w:right w:val="nil"/>
            </w:tcBorders>
          </w:tcPr>
          <w:p w14:paraId="2A22C4B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(3.109)</w:t>
            </w:r>
          </w:p>
        </w:tc>
        <w:tc>
          <w:tcPr>
            <w:tcW w:w="1275" w:type="dxa"/>
            <w:tcBorders>
              <w:top w:val="nil"/>
              <w:left w:val="nil"/>
              <w:bottom w:val="nil"/>
              <w:right w:val="nil"/>
            </w:tcBorders>
          </w:tcPr>
          <w:p w14:paraId="12E0FAC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(3.109)</w:t>
            </w:r>
          </w:p>
        </w:tc>
        <w:tc>
          <w:tcPr>
            <w:tcW w:w="1560" w:type="dxa"/>
            <w:tcBorders>
              <w:top w:val="nil"/>
              <w:left w:val="nil"/>
              <w:bottom w:val="nil"/>
              <w:right w:val="nil"/>
            </w:tcBorders>
          </w:tcPr>
          <w:p w14:paraId="5C02099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(3.104)</w:t>
            </w:r>
          </w:p>
        </w:tc>
      </w:tr>
      <w:tr w:rsidR="00B051E5" w:rsidRPr="00B051E5" w14:paraId="208C4D92" w14:textId="77777777" w:rsidTr="00195944">
        <w:trPr>
          <w:trHeight w:val="270"/>
        </w:trPr>
        <w:tc>
          <w:tcPr>
            <w:tcW w:w="2977" w:type="dxa"/>
            <w:tcBorders>
              <w:top w:val="nil"/>
              <w:left w:val="nil"/>
              <w:bottom w:val="nil"/>
            </w:tcBorders>
          </w:tcPr>
          <w:p w14:paraId="185D7619"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MTB</w:t>
            </w:r>
          </w:p>
        </w:tc>
        <w:tc>
          <w:tcPr>
            <w:tcW w:w="709" w:type="dxa"/>
            <w:tcBorders>
              <w:top w:val="nil"/>
              <w:bottom w:val="nil"/>
              <w:right w:val="nil"/>
            </w:tcBorders>
          </w:tcPr>
          <w:p w14:paraId="54884B9D"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0BC9982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-0.002</w:t>
            </w:r>
          </w:p>
        </w:tc>
        <w:tc>
          <w:tcPr>
            <w:tcW w:w="1560" w:type="dxa"/>
            <w:tcBorders>
              <w:top w:val="nil"/>
              <w:left w:val="nil"/>
              <w:bottom w:val="nil"/>
              <w:right w:val="nil"/>
            </w:tcBorders>
          </w:tcPr>
          <w:p w14:paraId="4FDF135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-0.002</w:t>
            </w:r>
          </w:p>
        </w:tc>
        <w:tc>
          <w:tcPr>
            <w:tcW w:w="1275" w:type="dxa"/>
            <w:tcBorders>
              <w:top w:val="nil"/>
              <w:left w:val="nil"/>
              <w:bottom w:val="nil"/>
              <w:right w:val="nil"/>
            </w:tcBorders>
          </w:tcPr>
          <w:p w14:paraId="3BF6D90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-0.002</w:t>
            </w:r>
          </w:p>
        </w:tc>
        <w:tc>
          <w:tcPr>
            <w:tcW w:w="1560" w:type="dxa"/>
            <w:tcBorders>
              <w:top w:val="nil"/>
              <w:left w:val="nil"/>
              <w:bottom w:val="nil"/>
              <w:right w:val="nil"/>
            </w:tcBorders>
          </w:tcPr>
          <w:p w14:paraId="07F0161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-0.002</w:t>
            </w:r>
          </w:p>
        </w:tc>
      </w:tr>
      <w:tr w:rsidR="00B051E5" w:rsidRPr="00B051E5" w14:paraId="1D19170D" w14:textId="77777777" w:rsidTr="00195944">
        <w:trPr>
          <w:trHeight w:val="270"/>
        </w:trPr>
        <w:tc>
          <w:tcPr>
            <w:tcW w:w="2977" w:type="dxa"/>
            <w:tcBorders>
              <w:top w:val="nil"/>
              <w:left w:val="nil"/>
              <w:bottom w:val="nil"/>
            </w:tcBorders>
          </w:tcPr>
          <w:p w14:paraId="41888C04"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2E705536"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2681D7B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(-0.910)</w:t>
            </w:r>
          </w:p>
        </w:tc>
        <w:tc>
          <w:tcPr>
            <w:tcW w:w="1560" w:type="dxa"/>
            <w:tcBorders>
              <w:top w:val="nil"/>
              <w:left w:val="nil"/>
              <w:bottom w:val="nil"/>
              <w:right w:val="nil"/>
            </w:tcBorders>
          </w:tcPr>
          <w:p w14:paraId="5E3CDB1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(-1.003)</w:t>
            </w:r>
          </w:p>
        </w:tc>
        <w:tc>
          <w:tcPr>
            <w:tcW w:w="1275" w:type="dxa"/>
            <w:tcBorders>
              <w:top w:val="nil"/>
              <w:left w:val="nil"/>
              <w:bottom w:val="nil"/>
              <w:right w:val="nil"/>
            </w:tcBorders>
          </w:tcPr>
          <w:p w14:paraId="5FAF201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(-1.003)</w:t>
            </w:r>
          </w:p>
        </w:tc>
        <w:tc>
          <w:tcPr>
            <w:tcW w:w="1560" w:type="dxa"/>
            <w:tcBorders>
              <w:top w:val="nil"/>
              <w:left w:val="nil"/>
              <w:bottom w:val="nil"/>
              <w:right w:val="nil"/>
            </w:tcBorders>
          </w:tcPr>
          <w:p w14:paraId="5C6EAE1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(-0.989)</w:t>
            </w:r>
          </w:p>
        </w:tc>
      </w:tr>
      <w:tr w:rsidR="00B051E5" w:rsidRPr="00B051E5" w14:paraId="6DA55978" w14:textId="77777777" w:rsidTr="00195944">
        <w:trPr>
          <w:trHeight w:val="270"/>
        </w:trPr>
        <w:tc>
          <w:tcPr>
            <w:tcW w:w="2977" w:type="dxa"/>
            <w:tcBorders>
              <w:top w:val="nil"/>
              <w:left w:val="nil"/>
              <w:bottom w:val="nil"/>
            </w:tcBorders>
          </w:tcPr>
          <w:p w14:paraId="669602C5"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VOLATILITY</w:t>
            </w:r>
          </w:p>
        </w:tc>
        <w:tc>
          <w:tcPr>
            <w:tcW w:w="709" w:type="dxa"/>
            <w:tcBorders>
              <w:top w:val="nil"/>
              <w:bottom w:val="nil"/>
              <w:right w:val="nil"/>
            </w:tcBorders>
          </w:tcPr>
          <w:p w14:paraId="23F5307C"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1051D4A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-0.091</w:t>
            </w:r>
          </w:p>
        </w:tc>
        <w:tc>
          <w:tcPr>
            <w:tcW w:w="1560" w:type="dxa"/>
            <w:tcBorders>
              <w:top w:val="nil"/>
              <w:left w:val="nil"/>
              <w:bottom w:val="nil"/>
              <w:right w:val="nil"/>
            </w:tcBorders>
          </w:tcPr>
          <w:p w14:paraId="2E56ADD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-0.114</w:t>
            </w:r>
          </w:p>
        </w:tc>
        <w:tc>
          <w:tcPr>
            <w:tcW w:w="1275" w:type="dxa"/>
            <w:tcBorders>
              <w:top w:val="nil"/>
              <w:left w:val="nil"/>
              <w:bottom w:val="nil"/>
              <w:right w:val="nil"/>
            </w:tcBorders>
          </w:tcPr>
          <w:p w14:paraId="4E58791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-0.114</w:t>
            </w:r>
          </w:p>
        </w:tc>
        <w:tc>
          <w:tcPr>
            <w:tcW w:w="1560" w:type="dxa"/>
            <w:tcBorders>
              <w:top w:val="nil"/>
              <w:left w:val="nil"/>
              <w:bottom w:val="nil"/>
              <w:right w:val="nil"/>
            </w:tcBorders>
          </w:tcPr>
          <w:p w14:paraId="332A024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-0.114</w:t>
            </w:r>
          </w:p>
        </w:tc>
      </w:tr>
      <w:tr w:rsidR="00B051E5" w:rsidRPr="00B051E5" w14:paraId="593708F8" w14:textId="77777777" w:rsidTr="00195944">
        <w:trPr>
          <w:trHeight w:val="270"/>
        </w:trPr>
        <w:tc>
          <w:tcPr>
            <w:tcW w:w="2977" w:type="dxa"/>
            <w:tcBorders>
              <w:top w:val="nil"/>
              <w:left w:val="nil"/>
              <w:bottom w:val="nil"/>
            </w:tcBorders>
          </w:tcPr>
          <w:p w14:paraId="7B6632F9"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1ABE6755"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158ED88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(-0.501)</w:t>
            </w:r>
          </w:p>
        </w:tc>
        <w:tc>
          <w:tcPr>
            <w:tcW w:w="1560" w:type="dxa"/>
            <w:tcBorders>
              <w:top w:val="nil"/>
              <w:left w:val="nil"/>
              <w:bottom w:val="nil"/>
              <w:right w:val="nil"/>
            </w:tcBorders>
          </w:tcPr>
          <w:p w14:paraId="2414C8A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(-0.631)</w:t>
            </w:r>
          </w:p>
        </w:tc>
        <w:tc>
          <w:tcPr>
            <w:tcW w:w="1275" w:type="dxa"/>
            <w:tcBorders>
              <w:top w:val="nil"/>
              <w:left w:val="nil"/>
              <w:bottom w:val="nil"/>
              <w:right w:val="nil"/>
            </w:tcBorders>
          </w:tcPr>
          <w:p w14:paraId="4C623E7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(-0.631)</w:t>
            </w:r>
          </w:p>
        </w:tc>
        <w:tc>
          <w:tcPr>
            <w:tcW w:w="1560" w:type="dxa"/>
            <w:tcBorders>
              <w:top w:val="nil"/>
              <w:left w:val="nil"/>
              <w:bottom w:val="nil"/>
              <w:right w:val="nil"/>
            </w:tcBorders>
          </w:tcPr>
          <w:p w14:paraId="7003B4A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(-0.628)</w:t>
            </w:r>
          </w:p>
        </w:tc>
      </w:tr>
      <w:tr w:rsidR="00B051E5" w:rsidRPr="00B051E5" w14:paraId="4329C69A" w14:textId="77777777" w:rsidTr="00195944">
        <w:trPr>
          <w:trHeight w:val="270"/>
        </w:trPr>
        <w:tc>
          <w:tcPr>
            <w:tcW w:w="2977" w:type="dxa"/>
            <w:tcBorders>
              <w:top w:val="nil"/>
              <w:left w:val="nil"/>
              <w:bottom w:val="nil"/>
            </w:tcBorders>
          </w:tcPr>
          <w:p w14:paraId="2F5FEDE2"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ROA</w:t>
            </w:r>
          </w:p>
        </w:tc>
        <w:tc>
          <w:tcPr>
            <w:tcW w:w="709" w:type="dxa"/>
            <w:tcBorders>
              <w:top w:val="nil"/>
              <w:bottom w:val="nil"/>
              <w:right w:val="nil"/>
            </w:tcBorders>
          </w:tcPr>
          <w:p w14:paraId="0E35BE23"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3ECBFFA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0.002</w:t>
            </w:r>
          </w:p>
        </w:tc>
        <w:tc>
          <w:tcPr>
            <w:tcW w:w="1560" w:type="dxa"/>
            <w:tcBorders>
              <w:top w:val="nil"/>
              <w:left w:val="nil"/>
              <w:bottom w:val="nil"/>
              <w:right w:val="nil"/>
            </w:tcBorders>
          </w:tcPr>
          <w:p w14:paraId="331CB48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275" w:type="dxa"/>
            <w:tcBorders>
              <w:top w:val="nil"/>
              <w:left w:val="nil"/>
              <w:bottom w:val="nil"/>
              <w:right w:val="nil"/>
            </w:tcBorders>
          </w:tcPr>
          <w:p w14:paraId="6F46F56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560" w:type="dxa"/>
            <w:tcBorders>
              <w:top w:val="nil"/>
              <w:left w:val="nil"/>
              <w:bottom w:val="nil"/>
              <w:right w:val="nil"/>
            </w:tcBorders>
          </w:tcPr>
          <w:p w14:paraId="1041B0D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r>
      <w:tr w:rsidR="00B051E5" w:rsidRPr="00B051E5" w14:paraId="557D0929" w14:textId="77777777" w:rsidTr="00195944">
        <w:trPr>
          <w:trHeight w:val="252"/>
        </w:trPr>
        <w:tc>
          <w:tcPr>
            <w:tcW w:w="2977" w:type="dxa"/>
            <w:tcBorders>
              <w:top w:val="nil"/>
              <w:left w:val="nil"/>
              <w:bottom w:val="nil"/>
            </w:tcBorders>
          </w:tcPr>
          <w:p w14:paraId="34B4D903"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18F6247B"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35E234B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(0.525)</w:t>
            </w:r>
          </w:p>
        </w:tc>
        <w:tc>
          <w:tcPr>
            <w:tcW w:w="1560" w:type="dxa"/>
            <w:tcBorders>
              <w:top w:val="nil"/>
              <w:left w:val="nil"/>
              <w:bottom w:val="nil"/>
              <w:right w:val="nil"/>
            </w:tcBorders>
          </w:tcPr>
          <w:p w14:paraId="420DF70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(0.438)</w:t>
            </w:r>
          </w:p>
        </w:tc>
        <w:tc>
          <w:tcPr>
            <w:tcW w:w="1275" w:type="dxa"/>
            <w:tcBorders>
              <w:top w:val="nil"/>
              <w:left w:val="nil"/>
              <w:bottom w:val="nil"/>
              <w:right w:val="nil"/>
            </w:tcBorders>
          </w:tcPr>
          <w:p w14:paraId="2CCA7C2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(0.438)</w:t>
            </w:r>
          </w:p>
        </w:tc>
        <w:tc>
          <w:tcPr>
            <w:tcW w:w="1560" w:type="dxa"/>
            <w:tcBorders>
              <w:top w:val="nil"/>
              <w:left w:val="nil"/>
              <w:bottom w:val="nil"/>
              <w:right w:val="nil"/>
            </w:tcBorders>
          </w:tcPr>
          <w:p w14:paraId="6F095E8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(0.448)</w:t>
            </w:r>
          </w:p>
        </w:tc>
      </w:tr>
      <w:tr w:rsidR="00B051E5" w:rsidRPr="00B051E5" w14:paraId="09DF5941" w14:textId="77777777" w:rsidTr="00195944">
        <w:trPr>
          <w:trHeight w:val="270"/>
        </w:trPr>
        <w:tc>
          <w:tcPr>
            <w:tcW w:w="2977" w:type="dxa"/>
            <w:tcBorders>
              <w:top w:val="nil"/>
              <w:left w:val="nil"/>
              <w:bottom w:val="nil"/>
            </w:tcBorders>
          </w:tcPr>
          <w:p w14:paraId="38D53DBD"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BSIZE</w:t>
            </w:r>
          </w:p>
        </w:tc>
        <w:tc>
          <w:tcPr>
            <w:tcW w:w="709" w:type="dxa"/>
            <w:tcBorders>
              <w:top w:val="nil"/>
              <w:bottom w:val="nil"/>
              <w:right w:val="nil"/>
            </w:tcBorders>
          </w:tcPr>
          <w:p w14:paraId="67AE5F50"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278B703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-0.098</w:t>
            </w:r>
          </w:p>
        </w:tc>
        <w:tc>
          <w:tcPr>
            <w:tcW w:w="1560" w:type="dxa"/>
            <w:tcBorders>
              <w:top w:val="nil"/>
              <w:left w:val="nil"/>
              <w:bottom w:val="nil"/>
              <w:right w:val="nil"/>
            </w:tcBorders>
          </w:tcPr>
          <w:p w14:paraId="2B5D5E0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-0.107</w:t>
            </w:r>
          </w:p>
        </w:tc>
        <w:tc>
          <w:tcPr>
            <w:tcW w:w="1275" w:type="dxa"/>
            <w:tcBorders>
              <w:top w:val="nil"/>
              <w:left w:val="nil"/>
              <w:bottom w:val="nil"/>
              <w:right w:val="nil"/>
            </w:tcBorders>
          </w:tcPr>
          <w:p w14:paraId="37EDF1A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-0.107</w:t>
            </w:r>
          </w:p>
        </w:tc>
        <w:tc>
          <w:tcPr>
            <w:tcW w:w="1560" w:type="dxa"/>
            <w:tcBorders>
              <w:top w:val="nil"/>
              <w:left w:val="nil"/>
              <w:bottom w:val="nil"/>
              <w:right w:val="nil"/>
            </w:tcBorders>
          </w:tcPr>
          <w:p w14:paraId="3E5CD18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-0.103</w:t>
            </w:r>
          </w:p>
        </w:tc>
      </w:tr>
      <w:tr w:rsidR="00B051E5" w:rsidRPr="00B051E5" w14:paraId="6D7EF90B" w14:textId="77777777" w:rsidTr="00195944">
        <w:trPr>
          <w:trHeight w:val="270"/>
        </w:trPr>
        <w:tc>
          <w:tcPr>
            <w:tcW w:w="2977" w:type="dxa"/>
            <w:tcBorders>
              <w:top w:val="nil"/>
              <w:left w:val="nil"/>
              <w:bottom w:val="nil"/>
            </w:tcBorders>
          </w:tcPr>
          <w:p w14:paraId="586FB5FA"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50A52DD5"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6BDC217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(-1.177)</w:t>
            </w:r>
          </w:p>
        </w:tc>
        <w:tc>
          <w:tcPr>
            <w:tcW w:w="1560" w:type="dxa"/>
            <w:tcBorders>
              <w:top w:val="nil"/>
              <w:left w:val="nil"/>
              <w:bottom w:val="nil"/>
              <w:right w:val="nil"/>
            </w:tcBorders>
          </w:tcPr>
          <w:p w14:paraId="76FBB67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(-1.285)</w:t>
            </w:r>
          </w:p>
        </w:tc>
        <w:tc>
          <w:tcPr>
            <w:tcW w:w="1275" w:type="dxa"/>
            <w:tcBorders>
              <w:top w:val="nil"/>
              <w:left w:val="nil"/>
              <w:bottom w:val="nil"/>
              <w:right w:val="nil"/>
            </w:tcBorders>
          </w:tcPr>
          <w:p w14:paraId="3193683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(-1.285)</w:t>
            </w:r>
          </w:p>
        </w:tc>
        <w:tc>
          <w:tcPr>
            <w:tcW w:w="1560" w:type="dxa"/>
            <w:tcBorders>
              <w:top w:val="nil"/>
              <w:left w:val="nil"/>
              <w:bottom w:val="nil"/>
              <w:right w:val="nil"/>
            </w:tcBorders>
          </w:tcPr>
          <w:p w14:paraId="7F11EB5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(-1.231)</w:t>
            </w:r>
          </w:p>
        </w:tc>
      </w:tr>
      <w:tr w:rsidR="00B051E5" w:rsidRPr="00B051E5" w14:paraId="1B6C3745" w14:textId="77777777" w:rsidTr="00195944">
        <w:trPr>
          <w:trHeight w:val="270"/>
        </w:trPr>
        <w:tc>
          <w:tcPr>
            <w:tcW w:w="2977" w:type="dxa"/>
            <w:tcBorders>
              <w:top w:val="nil"/>
              <w:left w:val="nil"/>
              <w:bottom w:val="nil"/>
            </w:tcBorders>
          </w:tcPr>
          <w:p w14:paraId="3B2505EB"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 xml:space="preserve">BINDP </w:t>
            </w:r>
          </w:p>
        </w:tc>
        <w:tc>
          <w:tcPr>
            <w:tcW w:w="709" w:type="dxa"/>
            <w:tcBorders>
              <w:top w:val="nil"/>
              <w:bottom w:val="nil"/>
              <w:right w:val="nil"/>
            </w:tcBorders>
          </w:tcPr>
          <w:p w14:paraId="1660EA01"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1EFDF5D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-0.042</w:t>
            </w:r>
          </w:p>
        </w:tc>
        <w:tc>
          <w:tcPr>
            <w:tcW w:w="1560" w:type="dxa"/>
            <w:tcBorders>
              <w:top w:val="nil"/>
              <w:left w:val="nil"/>
              <w:bottom w:val="nil"/>
              <w:right w:val="nil"/>
            </w:tcBorders>
          </w:tcPr>
          <w:p w14:paraId="0FCD0BE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-0.092</w:t>
            </w:r>
          </w:p>
        </w:tc>
        <w:tc>
          <w:tcPr>
            <w:tcW w:w="1275" w:type="dxa"/>
            <w:tcBorders>
              <w:top w:val="nil"/>
              <w:left w:val="nil"/>
              <w:bottom w:val="nil"/>
              <w:right w:val="nil"/>
            </w:tcBorders>
          </w:tcPr>
          <w:p w14:paraId="484E6BB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-0.092</w:t>
            </w:r>
          </w:p>
        </w:tc>
        <w:tc>
          <w:tcPr>
            <w:tcW w:w="1560" w:type="dxa"/>
            <w:tcBorders>
              <w:top w:val="nil"/>
              <w:left w:val="nil"/>
              <w:bottom w:val="nil"/>
              <w:right w:val="nil"/>
            </w:tcBorders>
          </w:tcPr>
          <w:p w14:paraId="0388352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-0.084</w:t>
            </w:r>
          </w:p>
        </w:tc>
      </w:tr>
      <w:tr w:rsidR="00B051E5" w:rsidRPr="00B051E5" w14:paraId="59911784" w14:textId="77777777" w:rsidTr="00195944">
        <w:trPr>
          <w:trHeight w:val="270"/>
        </w:trPr>
        <w:tc>
          <w:tcPr>
            <w:tcW w:w="2977" w:type="dxa"/>
            <w:tcBorders>
              <w:top w:val="nil"/>
              <w:left w:val="nil"/>
              <w:bottom w:val="nil"/>
            </w:tcBorders>
          </w:tcPr>
          <w:p w14:paraId="21910F96"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709" w:type="dxa"/>
            <w:tcBorders>
              <w:top w:val="nil"/>
              <w:bottom w:val="nil"/>
              <w:right w:val="nil"/>
            </w:tcBorders>
          </w:tcPr>
          <w:p w14:paraId="550FA5D6"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1417" w:type="dxa"/>
            <w:tcBorders>
              <w:top w:val="nil"/>
              <w:left w:val="nil"/>
              <w:bottom w:val="nil"/>
              <w:right w:val="nil"/>
            </w:tcBorders>
          </w:tcPr>
          <w:p w14:paraId="5459F35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(-0.368)</w:t>
            </w:r>
          </w:p>
        </w:tc>
        <w:tc>
          <w:tcPr>
            <w:tcW w:w="1560" w:type="dxa"/>
            <w:tcBorders>
              <w:top w:val="nil"/>
              <w:left w:val="nil"/>
              <w:bottom w:val="nil"/>
              <w:right w:val="nil"/>
            </w:tcBorders>
          </w:tcPr>
          <w:p w14:paraId="19D9EA7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(-0.796)</w:t>
            </w:r>
          </w:p>
        </w:tc>
        <w:tc>
          <w:tcPr>
            <w:tcW w:w="1275" w:type="dxa"/>
            <w:tcBorders>
              <w:top w:val="nil"/>
              <w:left w:val="nil"/>
              <w:bottom w:val="nil"/>
              <w:right w:val="nil"/>
            </w:tcBorders>
          </w:tcPr>
          <w:p w14:paraId="58057D9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(-0.796)</w:t>
            </w:r>
          </w:p>
        </w:tc>
        <w:tc>
          <w:tcPr>
            <w:tcW w:w="1560" w:type="dxa"/>
            <w:tcBorders>
              <w:top w:val="nil"/>
              <w:left w:val="nil"/>
              <w:bottom w:val="nil"/>
              <w:right w:val="nil"/>
            </w:tcBorders>
          </w:tcPr>
          <w:p w14:paraId="65B1302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(-0.724)</w:t>
            </w:r>
          </w:p>
        </w:tc>
      </w:tr>
      <w:tr w:rsidR="00B051E5" w:rsidRPr="00B051E5" w14:paraId="42C9C414" w14:textId="77777777" w:rsidTr="00195944">
        <w:trPr>
          <w:trHeight w:val="270"/>
        </w:trPr>
        <w:tc>
          <w:tcPr>
            <w:tcW w:w="2977" w:type="dxa"/>
            <w:tcBorders>
              <w:top w:val="nil"/>
              <w:left w:val="nil"/>
              <w:bottom w:val="nil"/>
            </w:tcBorders>
          </w:tcPr>
          <w:p w14:paraId="2E400A81"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CHSHAR</w:t>
            </w:r>
          </w:p>
        </w:tc>
        <w:tc>
          <w:tcPr>
            <w:tcW w:w="709" w:type="dxa"/>
            <w:tcBorders>
              <w:top w:val="nil"/>
              <w:bottom w:val="nil"/>
              <w:right w:val="nil"/>
            </w:tcBorders>
          </w:tcPr>
          <w:p w14:paraId="69DFD1C0"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4A7E994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-0.005***</w:t>
            </w:r>
          </w:p>
        </w:tc>
        <w:tc>
          <w:tcPr>
            <w:tcW w:w="1560" w:type="dxa"/>
            <w:tcBorders>
              <w:top w:val="nil"/>
              <w:left w:val="nil"/>
              <w:bottom w:val="nil"/>
              <w:right w:val="nil"/>
            </w:tcBorders>
          </w:tcPr>
          <w:p w14:paraId="75CA18A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-0.005***</w:t>
            </w:r>
          </w:p>
        </w:tc>
        <w:tc>
          <w:tcPr>
            <w:tcW w:w="1275" w:type="dxa"/>
            <w:tcBorders>
              <w:top w:val="nil"/>
              <w:left w:val="nil"/>
              <w:bottom w:val="nil"/>
              <w:right w:val="nil"/>
            </w:tcBorders>
          </w:tcPr>
          <w:p w14:paraId="652151F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-0.005***</w:t>
            </w:r>
          </w:p>
        </w:tc>
        <w:tc>
          <w:tcPr>
            <w:tcW w:w="1560" w:type="dxa"/>
            <w:tcBorders>
              <w:top w:val="nil"/>
              <w:left w:val="nil"/>
              <w:bottom w:val="nil"/>
              <w:right w:val="nil"/>
            </w:tcBorders>
          </w:tcPr>
          <w:p w14:paraId="4A51E4F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-0.005***</w:t>
            </w:r>
          </w:p>
        </w:tc>
      </w:tr>
      <w:tr w:rsidR="00B051E5" w:rsidRPr="00B051E5" w14:paraId="2967A464" w14:textId="77777777" w:rsidTr="00195944">
        <w:trPr>
          <w:trHeight w:val="270"/>
        </w:trPr>
        <w:tc>
          <w:tcPr>
            <w:tcW w:w="2977" w:type="dxa"/>
            <w:tcBorders>
              <w:top w:val="nil"/>
              <w:left w:val="nil"/>
              <w:bottom w:val="nil"/>
            </w:tcBorders>
          </w:tcPr>
          <w:p w14:paraId="5173FFC4" w14:textId="77777777" w:rsidR="00C42CF0" w:rsidRPr="00B051E5" w:rsidRDefault="00C42CF0" w:rsidP="00C42CF0">
            <w:pPr>
              <w:widowControl w:val="0"/>
              <w:autoSpaceDE w:val="0"/>
              <w:autoSpaceDN w:val="0"/>
              <w:adjustRightInd w:val="0"/>
              <w:rPr>
                <w:rFonts w:ascii="Garamond" w:hAnsi="Garamond"/>
                <w:bCs/>
                <w:color w:val="000000" w:themeColor="text1"/>
                <w:sz w:val="20"/>
                <w:szCs w:val="20"/>
              </w:rPr>
            </w:pPr>
          </w:p>
        </w:tc>
        <w:tc>
          <w:tcPr>
            <w:tcW w:w="709" w:type="dxa"/>
            <w:tcBorders>
              <w:top w:val="nil"/>
              <w:bottom w:val="nil"/>
              <w:right w:val="nil"/>
            </w:tcBorders>
          </w:tcPr>
          <w:p w14:paraId="6A27ED8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417" w:type="dxa"/>
            <w:tcBorders>
              <w:top w:val="nil"/>
              <w:left w:val="nil"/>
              <w:bottom w:val="nil"/>
              <w:right w:val="nil"/>
            </w:tcBorders>
          </w:tcPr>
          <w:p w14:paraId="18CF258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(-3.464)</w:t>
            </w:r>
          </w:p>
        </w:tc>
        <w:tc>
          <w:tcPr>
            <w:tcW w:w="1560" w:type="dxa"/>
            <w:tcBorders>
              <w:top w:val="nil"/>
              <w:left w:val="nil"/>
              <w:bottom w:val="nil"/>
              <w:right w:val="nil"/>
            </w:tcBorders>
          </w:tcPr>
          <w:p w14:paraId="5DDFD10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(-3.451)</w:t>
            </w:r>
          </w:p>
        </w:tc>
        <w:tc>
          <w:tcPr>
            <w:tcW w:w="1275" w:type="dxa"/>
            <w:tcBorders>
              <w:top w:val="nil"/>
              <w:left w:val="nil"/>
              <w:bottom w:val="nil"/>
              <w:right w:val="nil"/>
            </w:tcBorders>
          </w:tcPr>
          <w:p w14:paraId="6E631F0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(-3.451)</w:t>
            </w:r>
          </w:p>
        </w:tc>
        <w:tc>
          <w:tcPr>
            <w:tcW w:w="1560" w:type="dxa"/>
            <w:tcBorders>
              <w:top w:val="nil"/>
              <w:left w:val="nil"/>
              <w:bottom w:val="nil"/>
              <w:right w:val="nil"/>
            </w:tcBorders>
          </w:tcPr>
          <w:p w14:paraId="6BAB65A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(-3.467)</w:t>
            </w:r>
          </w:p>
        </w:tc>
      </w:tr>
      <w:tr w:rsidR="00B051E5" w:rsidRPr="00B051E5" w14:paraId="2A258420" w14:textId="77777777" w:rsidTr="00195944">
        <w:trPr>
          <w:trHeight w:val="270"/>
        </w:trPr>
        <w:tc>
          <w:tcPr>
            <w:tcW w:w="2977" w:type="dxa"/>
            <w:tcBorders>
              <w:top w:val="nil"/>
              <w:left w:val="nil"/>
              <w:bottom w:val="nil"/>
            </w:tcBorders>
          </w:tcPr>
          <w:p w14:paraId="081A5963" w14:textId="77777777" w:rsidR="00C42CF0" w:rsidRPr="00B051E5" w:rsidRDefault="00C42CF0" w:rsidP="00C42CF0">
            <w:pPr>
              <w:widowControl w:val="0"/>
              <w:autoSpaceDE w:val="0"/>
              <w:autoSpaceDN w:val="0"/>
              <w:adjustRightInd w:val="0"/>
              <w:rPr>
                <w:rFonts w:ascii="Garamond" w:hAnsi="Garamond"/>
                <w:bCs/>
                <w:i/>
                <w:color w:val="000000" w:themeColor="text1"/>
                <w:sz w:val="20"/>
                <w:szCs w:val="20"/>
              </w:rPr>
            </w:pPr>
            <w:r w:rsidRPr="00B051E5">
              <w:rPr>
                <w:rFonts w:ascii="Garamond" w:hAnsi="Garamond"/>
                <w:bCs/>
                <w:color w:val="000000" w:themeColor="text1"/>
                <w:sz w:val="20"/>
                <w:szCs w:val="20"/>
              </w:rPr>
              <w:t>Intercept</w:t>
            </w:r>
          </w:p>
        </w:tc>
        <w:tc>
          <w:tcPr>
            <w:tcW w:w="709" w:type="dxa"/>
            <w:tcBorders>
              <w:top w:val="nil"/>
              <w:bottom w:val="nil"/>
              <w:right w:val="nil"/>
            </w:tcBorders>
          </w:tcPr>
          <w:p w14:paraId="75E3E242"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417" w:type="dxa"/>
            <w:tcBorders>
              <w:top w:val="nil"/>
              <w:left w:val="nil"/>
              <w:bottom w:val="nil"/>
              <w:right w:val="nil"/>
            </w:tcBorders>
          </w:tcPr>
          <w:p w14:paraId="426C002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-0.520</w:t>
            </w:r>
          </w:p>
        </w:tc>
        <w:tc>
          <w:tcPr>
            <w:tcW w:w="1560" w:type="dxa"/>
            <w:tcBorders>
              <w:top w:val="nil"/>
              <w:left w:val="nil"/>
              <w:bottom w:val="nil"/>
              <w:right w:val="nil"/>
            </w:tcBorders>
          </w:tcPr>
          <w:p w14:paraId="444DB91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-0.741**</w:t>
            </w:r>
          </w:p>
        </w:tc>
        <w:tc>
          <w:tcPr>
            <w:tcW w:w="1275" w:type="dxa"/>
            <w:tcBorders>
              <w:top w:val="nil"/>
              <w:left w:val="nil"/>
              <w:bottom w:val="nil"/>
              <w:right w:val="nil"/>
            </w:tcBorders>
          </w:tcPr>
          <w:p w14:paraId="74C2B60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0.308</w:t>
            </w:r>
          </w:p>
        </w:tc>
        <w:tc>
          <w:tcPr>
            <w:tcW w:w="1560" w:type="dxa"/>
            <w:tcBorders>
              <w:top w:val="nil"/>
              <w:left w:val="nil"/>
              <w:bottom w:val="nil"/>
              <w:right w:val="nil"/>
            </w:tcBorders>
          </w:tcPr>
          <w:p w14:paraId="6CCDB1A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-0.486</w:t>
            </w:r>
          </w:p>
        </w:tc>
      </w:tr>
      <w:tr w:rsidR="00B051E5" w:rsidRPr="00B051E5" w14:paraId="56275112" w14:textId="77777777" w:rsidTr="00195944">
        <w:trPr>
          <w:trHeight w:val="270"/>
        </w:trPr>
        <w:tc>
          <w:tcPr>
            <w:tcW w:w="2977" w:type="dxa"/>
            <w:tcBorders>
              <w:top w:val="nil"/>
              <w:left w:val="nil"/>
              <w:bottom w:val="nil"/>
            </w:tcBorders>
          </w:tcPr>
          <w:p w14:paraId="7C4A907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709" w:type="dxa"/>
            <w:tcBorders>
              <w:top w:val="nil"/>
              <w:bottom w:val="nil"/>
              <w:right w:val="nil"/>
            </w:tcBorders>
          </w:tcPr>
          <w:p w14:paraId="53954B6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417" w:type="dxa"/>
            <w:tcBorders>
              <w:top w:val="nil"/>
              <w:left w:val="nil"/>
              <w:bottom w:val="nil"/>
              <w:right w:val="nil"/>
            </w:tcBorders>
          </w:tcPr>
          <w:p w14:paraId="217B439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(-1.480)</w:t>
            </w:r>
          </w:p>
        </w:tc>
        <w:tc>
          <w:tcPr>
            <w:tcW w:w="1560" w:type="dxa"/>
            <w:tcBorders>
              <w:top w:val="nil"/>
              <w:left w:val="nil"/>
              <w:bottom w:val="nil"/>
              <w:right w:val="nil"/>
            </w:tcBorders>
          </w:tcPr>
          <w:p w14:paraId="10DC5A5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(-2.140)</w:t>
            </w:r>
          </w:p>
        </w:tc>
        <w:tc>
          <w:tcPr>
            <w:tcW w:w="1275" w:type="dxa"/>
            <w:tcBorders>
              <w:top w:val="nil"/>
              <w:left w:val="nil"/>
              <w:bottom w:val="nil"/>
              <w:right w:val="nil"/>
            </w:tcBorders>
          </w:tcPr>
          <w:p w14:paraId="7082595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(0.687)</w:t>
            </w:r>
          </w:p>
        </w:tc>
        <w:tc>
          <w:tcPr>
            <w:tcW w:w="1560" w:type="dxa"/>
            <w:tcBorders>
              <w:top w:val="nil"/>
              <w:left w:val="nil"/>
              <w:bottom w:val="nil"/>
              <w:right w:val="nil"/>
            </w:tcBorders>
          </w:tcPr>
          <w:p w14:paraId="53AAAFC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(-1.382)</w:t>
            </w:r>
          </w:p>
        </w:tc>
      </w:tr>
      <w:tr w:rsidR="00B051E5" w:rsidRPr="00B051E5" w14:paraId="4DDD0743" w14:textId="77777777" w:rsidTr="00195944">
        <w:trPr>
          <w:trHeight w:val="270"/>
        </w:trPr>
        <w:tc>
          <w:tcPr>
            <w:tcW w:w="3686" w:type="dxa"/>
            <w:gridSpan w:val="2"/>
            <w:tcBorders>
              <w:top w:val="nil"/>
              <w:left w:val="nil"/>
              <w:bottom w:val="nil"/>
              <w:right w:val="nil"/>
            </w:tcBorders>
          </w:tcPr>
          <w:p w14:paraId="3D5DF43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Industry-fixed effects</w:t>
            </w:r>
          </w:p>
        </w:tc>
        <w:tc>
          <w:tcPr>
            <w:tcW w:w="1417" w:type="dxa"/>
            <w:tcBorders>
              <w:top w:val="nil"/>
              <w:left w:val="nil"/>
              <w:bottom w:val="nil"/>
              <w:right w:val="nil"/>
            </w:tcBorders>
          </w:tcPr>
          <w:p w14:paraId="586E78D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560" w:type="dxa"/>
            <w:tcBorders>
              <w:top w:val="nil"/>
              <w:left w:val="nil"/>
              <w:bottom w:val="nil"/>
              <w:right w:val="nil"/>
            </w:tcBorders>
          </w:tcPr>
          <w:p w14:paraId="211E6C9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275" w:type="dxa"/>
            <w:tcBorders>
              <w:top w:val="nil"/>
              <w:left w:val="nil"/>
              <w:bottom w:val="nil"/>
              <w:right w:val="nil"/>
            </w:tcBorders>
          </w:tcPr>
          <w:p w14:paraId="2738448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560" w:type="dxa"/>
            <w:tcBorders>
              <w:top w:val="nil"/>
              <w:left w:val="nil"/>
              <w:bottom w:val="nil"/>
              <w:right w:val="nil"/>
            </w:tcBorders>
          </w:tcPr>
          <w:p w14:paraId="34A8E16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r>
      <w:tr w:rsidR="00B051E5" w:rsidRPr="00B051E5" w14:paraId="7BB5D67A" w14:textId="77777777" w:rsidTr="00195944">
        <w:trPr>
          <w:trHeight w:val="270"/>
        </w:trPr>
        <w:tc>
          <w:tcPr>
            <w:tcW w:w="3686" w:type="dxa"/>
            <w:gridSpan w:val="2"/>
            <w:tcBorders>
              <w:top w:val="nil"/>
              <w:left w:val="nil"/>
              <w:bottom w:val="nil"/>
              <w:right w:val="nil"/>
            </w:tcBorders>
          </w:tcPr>
          <w:p w14:paraId="336C681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Year-fixed effects</w:t>
            </w:r>
          </w:p>
        </w:tc>
        <w:tc>
          <w:tcPr>
            <w:tcW w:w="1417" w:type="dxa"/>
            <w:tcBorders>
              <w:top w:val="nil"/>
              <w:left w:val="nil"/>
              <w:bottom w:val="nil"/>
              <w:right w:val="nil"/>
            </w:tcBorders>
          </w:tcPr>
          <w:p w14:paraId="60E0F5A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560" w:type="dxa"/>
            <w:tcBorders>
              <w:top w:val="nil"/>
              <w:left w:val="nil"/>
              <w:bottom w:val="nil"/>
              <w:right w:val="nil"/>
            </w:tcBorders>
          </w:tcPr>
          <w:p w14:paraId="313D826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275" w:type="dxa"/>
            <w:tcBorders>
              <w:top w:val="nil"/>
              <w:left w:val="nil"/>
              <w:bottom w:val="nil"/>
              <w:right w:val="nil"/>
            </w:tcBorders>
          </w:tcPr>
          <w:p w14:paraId="1FBF943D"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560" w:type="dxa"/>
            <w:tcBorders>
              <w:top w:val="nil"/>
              <w:left w:val="nil"/>
              <w:bottom w:val="nil"/>
              <w:right w:val="nil"/>
            </w:tcBorders>
          </w:tcPr>
          <w:p w14:paraId="13A6A93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r>
      <w:tr w:rsidR="00B051E5" w:rsidRPr="00B051E5" w14:paraId="6C7C1077" w14:textId="77777777" w:rsidTr="00195944">
        <w:trPr>
          <w:trHeight w:val="270"/>
        </w:trPr>
        <w:tc>
          <w:tcPr>
            <w:tcW w:w="3686" w:type="dxa"/>
            <w:gridSpan w:val="2"/>
            <w:tcBorders>
              <w:top w:val="nil"/>
              <w:left w:val="nil"/>
              <w:bottom w:val="nil"/>
              <w:right w:val="nil"/>
            </w:tcBorders>
          </w:tcPr>
          <w:p w14:paraId="09F1F51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Average VIF</w:t>
            </w:r>
          </w:p>
        </w:tc>
        <w:tc>
          <w:tcPr>
            <w:tcW w:w="1417" w:type="dxa"/>
            <w:tcBorders>
              <w:top w:val="nil"/>
              <w:left w:val="nil"/>
              <w:bottom w:val="nil"/>
              <w:right w:val="nil"/>
            </w:tcBorders>
          </w:tcPr>
          <w:p w14:paraId="225352A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1.73</w:t>
            </w:r>
          </w:p>
        </w:tc>
        <w:tc>
          <w:tcPr>
            <w:tcW w:w="1560" w:type="dxa"/>
            <w:tcBorders>
              <w:top w:val="nil"/>
              <w:left w:val="nil"/>
              <w:bottom w:val="nil"/>
              <w:right w:val="nil"/>
            </w:tcBorders>
          </w:tcPr>
          <w:p w14:paraId="7195F94D"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1.74</w:t>
            </w:r>
          </w:p>
        </w:tc>
        <w:tc>
          <w:tcPr>
            <w:tcW w:w="1275" w:type="dxa"/>
            <w:tcBorders>
              <w:top w:val="nil"/>
              <w:left w:val="nil"/>
              <w:bottom w:val="nil"/>
              <w:right w:val="nil"/>
            </w:tcBorders>
          </w:tcPr>
          <w:p w14:paraId="2189E0C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1.74</w:t>
            </w:r>
          </w:p>
        </w:tc>
        <w:tc>
          <w:tcPr>
            <w:tcW w:w="1560" w:type="dxa"/>
            <w:tcBorders>
              <w:top w:val="nil"/>
              <w:left w:val="nil"/>
              <w:bottom w:val="nil"/>
              <w:right w:val="nil"/>
            </w:tcBorders>
          </w:tcPr>
          <w:p w14:paraId="4180279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1.74</w:t>
            </w:r>
          </w:p>
        </w:tc>
      </w:tr>
      <w:tr w:rsidR="00B051E5" w:rsidRPr="00B051E5" w14:paraId="506F9A4D" w14:textId="77777777" w:rsidTr="00195944">
        <w:trPr>
          <w:trHeight w:val="270"/>
        </w:trPr>
        <w:tc>
          <w:tcPr>
            <w:tcW w:w="3686" w:type="dxa"/>
            <w:gridSpan w:val="2"/>
            <w:tcBorders>
              <w:top w:val="nil"/>
              <w:left w:val="nil"/>
              <w:bottom w:val="nil"/>
              <w:right w:val="nil"/>
            </w:tcBorders>
          </w:tcPr>
          <w:p w14:paraId="6E90970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Max VIF</w:t>
            </w:r>
          </w:p>
        </w:tc>
        <w:tc>
          <w:tcPr>
            <w:tcW w:w="1417" w:type="dxa"/>
            <w:tcBorders>
              <w:top w:val="nil"/>
              <w:left w:val="nil"/>
              <w:bottom w:val="nil"/>
              <w:right w:val="nil"/>
            </w:tcBorders>
          </w:tcPr>
          <w:p w14:paraId="3BFF7DE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1.93</w:t>
            </w:r>
          </w:p>
        </w:tc>
        <w:tc>
          <w:tcPr>
            <w:tcW w:w="1560" w:type="dxa"/>
            <w:tcBorders>
              <w:top w:val="nil"/>
              <w:left w:val="nil"/>
              <w:bottom w:val="nil"/>
              <w:right w:val="nil"/>
            </w:tcBorders>
          </w:tcPr>
          <w:p w14:paraId="538DD8F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1.93</w:t>
            </w:r>
          </w:p>
        </w:tc>
        <w:tc>
          <w:tcPr>
            <w:tcW w:w="1275" w:type="dxa"/>
            <w:tcBorders>
              <w:top w:val="nil"/>
              <w:left w:val="nil"/>
              <w:bottom w:val="nil"/>
              <w:right w:val="nil"/>
            </w:tcBorders>
          </w:tcPr>
          <w:p w14:paraId="03C9519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1.93</w:t>
            </w:r>
          </w:p>
        </w:tc>
        <w:tc>
          <w:tcPr>
            <w:tcW w:w="1560" w:type="dxa"/>
            <w:tcBorders>
              <w:top w:val="nil"/>
              <w:left w:val="nil"/>
              <w:right w:val="nil"/>
            </w:tcBorders>
          </w:tcPr>
          <w:p w14:paraId="5D4C3A9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1.93</w:t>
            </w:r>
          </w:p>
        </w:tc>
      </w:tr>
      <w:tr w:rsidR="00B051E5" w:rsidRPr="00B051E5" w14:paraId="1263320A" w14:textId="77777777" w:rsidTr="00195944">
        <w:trPr>
          <w:trHeight w:val="270"/>
        </w:trPr>
        <w:tc>
          <w:tcPr>
            <w:tcW w:w="3686" w:type="dxa"/>
            <w:gridSpan w:val="2"/>
            <w:tcBorders>
              <w:top w:val="nil"/>
              <w:left w:val="nil"/>
              <w:right w:val="nil"/>
            </w:tcBorders>
          </w:tcPr>
          <w:p w14:paraId="647F5CB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 xml:space="preserve">F-statistics </w:t>
            </w:r>
          </w:p>
        </w:tc>
        <w:tc>
          <w:tcPr>
            <w:tcW w:w="1417" w:type="dxa"/>
            <w:tcBorders>
              <w:top w:val="nil"/>
              <w:left w:val="nil"/>
              <w:right w:val="nil"/>
            </w:tcBorders>
          </w:tcPr>
          <w:p w14:paraId="0514525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6.41***</w:t>
            </w:r>
          </w:p>
        </w:tc>
        <w:tc>
          <w:tcPr>
            <w:tcW w:w="1560" w:type="dxa"/>
            <w:tcBorders>
              <w:top w:val="nil"/>
              <w:left w:val="nil"/>
              <w:right w:val="nil"/>
            </w:tcBorders>
          </w:tcPr>
          <w:p w14:paraId="77A78B2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6.61***</w:t>
            </w:r>
          </w:p>
        </w:tc>
        <w:tc>
          <w:tcPr>
            <w:tcW w:w="1275" w:type="dxa"/>
            <w:tcBorders>
              <w:top w:val="nil"/>
              <w:left w:val="nil"/>
              <w:right w:val="nil"/>
            </w:tcBorders>
          </w:tcPr>
          <w:p w14:paraId="71913B5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6.61***</w:t>
            </w:r>
          </w:p>
        </w:tc>
        <w:tc>
          <w:tcPr>
            <w:tcW w:w="1560" w:type="dxa"/>
            <w:tcBorders>
              <w:top w:val="nil"/>
              <w:left w:val="nil"/>
            </w:tcBorders>
          </w:tcPr>
          <w:p w14:paraId="6B9D737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6.40***</w:t>
            </w:r>
          </w:p>
        </w:tc>
      </w:tr>
      <w:tr w:rsidR="00B051E5" w:rsidRPr="00B051E5" w14:paraId="624601E8" w14:textId="77777777" w:rsidTr="00195944">
        <w:trPr>
          <w:trHeight w:val="270"/>
        </w:trPr>
        <w:tc>
          <w:tcPr>
            <w:tcW w:w="3686" w:type="dxa"/>
            <w:gridSpan w:val="2"/>
            <w:tcBorders>
              <w:top w:val="nil"/>
              <w:left w:val="nil"/>
              <w:right w:val="nil"/>
            </w:tcBorders>
          </w:tcPr>
          <w:p w14:paraId="028357B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Adj. R-squared as %</w:t>
            </w:r>
          </w:p>
        </w:tc>
        <w:tc>
          <w:tcPr>
            <w:tcW w:w="1417" w:type="dxa"/>
            <w:tcBorders>
              <w:top w:val="nil"/>
              <w:left w:val="nil"/>
              <w:right w:val="nil"/>
            </w:tcBorders>
          </w:tcPr>
          <w:p w14:paraId="03C8D629"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olor w:val="000000" w:themeColor="text1"/>
                <w:sz w:val="20"/>
                <w:szCs w:val="20"/>
                <w:lang w:eastAsia="en-US"/>
              </w:rPr>
              <w:t>5.7</w:t>
            </w:r>
          </w:p>
        </w:tc>
        <w:tc>
          <w:tcPr>
            <w:tcW w:w="1560" w:type="dxa"/>
            <w:tcBorders>
              <w:top w:val="nil"/>
              <w:left w:val="nil"/>
              <w:right w:val="nil"/>
            </w:tcBorders>
          </w:tcPr>
          <w:p w14:paraId="4ACC8BB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olor w:val="000000" w:themeColor="text1"/>
                <w:sz w:val="20"/>
                <w:szCs w:val="20"/>
                <w:lang w:eastAsia="en-US"/>
              </w:rPr>
              <w:t>6.0</w:t>
            </w:r>
          </w:p>
        </w:tc>
        <w:tc>
          <w:tcPr>
            <w:tcW w:w="1275" w:type="dxa"/>
            <w:tcBorders>
              <w:top w:val="nil"/>
              <w:left w:val="nil"/>
              <w:right w:val="nil"/>
            </w:tcBorders>
          </w:tcPr>
          <w:p w14:paraId="2419758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olor w:val="000000" w:themeColor="text1"/>
                <w:sz w:val="20"/>
                <w:szCs w:val="20"/>
                <w:lang w:eastAsia="en-US"/>
              </w:rPr>
              <w:t>6.0</w:t>
            </w:r>
          </w:p>
        </w:tc>
        <w:tc>
          <w:tcPr>
            <w:tcW w:w="1560" w:type="dxa"/>
            <w:tcBorders>
              <w:top w:val="nil"/>
              <w:left w:val="nil"/>
            </w:tcBorders>
          </w:tcPr>
          <w:p w14:paraId="7FBF204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olor w:val="000000" w:themeColor="text1"/>
                <w:sz w:val="20"/>
                <w:szCs w:val="20"/>
                <w:lang w:eastAsia="en-US"/>
              </w:rPr>
              <w:t>5.8</w:t>
            </w:r>
          </w:p>
        </w:tc>
      </w:tr>
      <w:tr w:rsidR="00B051E5" w:rsidRPr="00B051E5" w14:paraId="1E5216D3" w14:textId="77777777" w:rsidTr="00195944">
        <w:tblPrEx>
          <w:tblBorders>
            <w:bottom w:val="single" w:sz="6" w:space="0" w:color="auto"/>
          </w:tblBorders>
        </w:tblPrEx>
        <w:trPr>
          <w:trHeight w:val="270"/>
        </w:trPr>
        <w:tc>
          <w:tcPr>
            <w:tcW w:w="3686" w:type="dxa"/>
            <w:gridSpan w:val="2"/>
            <w:tcBorders>
              <w:top w:val="nil"/>
              <w:left w:val="nil"/>
              <w:bottom w:val="nil"/>
              <w:right w:val="nil"/>
            </w:tcBorders>
          </w:tcPr>
          <w:p w14:paraId="32C4117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Observations</w:t>
            </w:r>
          </w:p>
        </w:tc>
        <w:tc>
          <w:tcPr>
            <w:tcW w:w="1417" w:type="dxa"/>
            <w:tcBorders>
              <w:top w:val="nil"/>
              <w:left w:val="nil"/>
              <w:bottom w:val="nil"/>
              <w:right w:val="nil"/>
            </w:tcBorders>
          </w:tcPr>
          <w:p w14:paraId="26DE3F6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2,218</w:t>
            </w:r>
          </w:p>
        </w:tc>
        <w:tc>
          <w:tcPr>
            <w:tcW w:w="1560" w:type="dxa"/>
            <w:tcBorders>
              <w:top w:val="nil"/>
              <w:left w:val="nil"/>
              <w:bottom w:val="nil"/>
              <w:right w:val="nil"/>
            </w:tcBorders>
          </w:tcPr>
          <w:p w14:paraId="3732DEA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2,218</w:t>
            </w:r>
          </w:p>
        </w:tc>
        <w:tc>
          <w:tcPr>
            <w:tcW w:w="1275" w:type="dxa"/>
            <w:tcBorders>
              <w:top w:val="nil"/>
              <w:left w:val="nil"/>
              <w:bottom w:val="nil"/>
              <w:right w:val="nil"/>
            </w:tcBorders>
          </w:tcPr>
          <w:p w14:paraId="3593B7A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2,218</w:t>
            </w:r>
          </w:p>
        </w:tc>
        <w:tc>
          <w:tcPr>
            <w:tcW w:w="1560" w:type="dxa"/>
            <w:tcBorders>
              <w:top w:val="nil"/>
              <w:left w:val="nil"/>
              <w:bottom w:val="nil"/>
              <w:right w:val="nil"/>
            </w:tcBorders>
          </w:tcPr>
          <w:p w14:paraId="7EF87FF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2,218</w:t>
            </w:r>
          </w:p>
        </w:tc>
      </w:tr>
      <w:tr w:rsidR="00B051E5" w:rsidRPr="00B051E5" w14:paraId="6541A308" w14:textId="77777777" w:rsidTr="00E94BDF">
        <w:tblPrEx>
          <w:tblBorders>
            <w:bottom w:val="single" w:sz="6" w:space="0" w:color="auto"/>
          </w:tblBorders>
        </w:tblPrEx>
        <w:trPr>
          <w:trHeight w:val="1392"/>
        </w:trPr>
        <w:tc>
          <w:tcPr>
            <w:tcW w:w="9498" w:type="dxa"/>
            <w:gridSpan w:val="6"/>
            <w:tcBorders>
              <w:top w:val="double" w:sz="4" w:space="0" w:color="auto"/>
              <w:left w:val="nil"/>
              <w:bottom w:val="nil"/>
              <w:right w:val="nil"/>
            </w:tcBorders>
            <w:shd w:val="clear" w:color="auto" w:fill="auto"/>
          </w:tcPr>
          <w:p w14:paraId="4E426C4D" w14:textId="7CE38FF9" w:rsidR="00C42CF0" w:rsidRPr="00B051E5" w:rsidRDefault="00C42CF0" w:rsidP="00C42CF0">
            <w:pPr>
              <w:contextualSpacing/>
              <w:jc w:val="both"/>
              <w:rPr>
                <w:rFonts w:ascii="Garamond" w:hAnsi="Garamond"/>
                <w:bCs/>
                <w:color w:val="000000" w:themeColor="text1"/>
                <w:sz w:val="20"/>
                <w:szCs w:val="20"/>
              </w:rPr>
            </w:pPr>
            <w:r w:rsidRPr="00B051E5">
              <w:rPr>
                <w:rFonts w:ascii="Garamond" w:eastAsia="Calibri" w:hAnsi="Garamond"/>
                <w:color w:val="000000" w:themeColor="text1"/>
                <w:sz w:val="20"/>
                <w:szCs w:val="20"/>
                <w:lang w:eastAsia="en-US"/>
              </w:rPr>
              <w:t xml:space="preserve">This table reports the regression estimates from OLS regressions of stock price informativeness on risk information and other controls. The dependent variable is </w:t>
            </w:r>
            <w:r w:rsidRPr="00B051E5">
              <w:rPr>
                <w:rFonts w:ascii="Garamond" w:eastAsia="Calibri" w:hAnsi="Garamond"/>
                <w:iCs/>
                <w:color w:val="000000" w:themeColor="text1"/>
                <w:sz w:val="20"/>
                <w:szCs w:val="20"/>
                <w:lang w:eastAsia="en-US"/>
              </w:rPr>
              <w:t>SYNCH</w:t>
            </w:r>
            <w:r w:rsidRPr="00B051E5">
              <w:rPr>
                <w:rFonts w:ascii="Garamond" w:eastAsia="Calibri" w:hAnsi="Garamond"/>
                <w:i/>
                <w:color w:val="000000" w:themeColor="text1"/>
                <w:sz w:val="20"/>
                <w:szCs w:val="20"/>
                <w:lang w:eastAsia="en-US"/>
              </w:rPr>
              <w:t xml:space="preserve">, </w:t>
            </w:r>
            <w:r w:rsidRPr="00B051E5">
              <w:rPr>
                <w:rFonts w:ascii="Garamond" w:eastAsia="Calibri" w:hAnsi="Garamond"/>
                <w:color w:val="000000" w:themeColor="text1"/>
                <w:sz w:val="20"/>
                <w:szCs w:val="20"/>
                <w:lang w:eastAsia="en-US"/>
              </w:rPr>
              <w:t>and the independent variable is</w:t>
            </w:r>
            <w:r w:rsidRPr="00B051E5">
              <w:rPr>
                <w:rFonts w:ascii="Garamond" w:eastAsia="Calibri" w:hAnsi="Garamond"/>
                <w:i/>
                <w:color w:val="000000" w:themeColor="text1"/>
                <w:sz w:val="20"/>
                <w:szCs w:val="20"/>
                <w:lang w:eastAsia="en-US"/>
              </w:rPr>
              <w:t xml:space="preserve"> </w:t>
            </w:r>
            <w:r w:rsidRPr="00B051E5">
              <w:rPr>
                <w:rFonts w:ascii="Garamond" w:eastAsia="Calibri" w:hAnsi="Garamond"/>
                <w:iCs/>
                <w:color w:val="000000" w:themeColor="text1"/>
                <w:sz w:val="20"/>
                <w:szCs w:val="20"/>
                <w:lang w:eastAsia="en-US"/>
              </w:rPr>
              <w:t>PARD</w:t>
            </w:r>
            <w:r w:rsidRPr="00B051E5">
              <w:rPr>
                <w:rFonts w:ascii="Garamond" w:eastAsia="Calibri" w:hAnsi="Garamond"/>
                <w:i/>
                <w:color w:val="000000" w:themeColor="text1"/>
                <w:sz w:val="20"/>
                <w:szCs w:val="20"/>
                <w:lang w:eastAsia="en-US"/>
              </w:rPr>
              <w:t xml:space="preserve"> </w:t>
            </w:r>
            <w:r w:rsidRPr="00B051E5">
              <w:rPr>
                <w:rFonts w:ascii="Garamond" w:eastAsia="Calibri" w:hAnsi="Garamond"/>
                <w:color w:val="000000" w:themeColor="text1"/>
                <w:sz w:val="20"/>
                <w:szCs w:val="20"/>
                <w:lang w:eastAsia="en-US"/>
              </w:rPr>
              <w:t xml:space="preserve">in Model (1), </w:t>
            </w:r>
            <w:r w:rsidRPr="00B051E5">
              <w:rPr>
                <w:rFonts w:ascii="Garamond" w:hAnsi="Garamond"/>
                <w:iCs/>
                <w:color w:val="000000" w:themeColor="text1"/>
                <w:sz w:val="20"/>
                <w:szCs w:val="20"/>
              </w:rPr>
              <w:t>PFLRD</w:t>
            </w:r>
            <w:r w:rsidRPr="00B051E5">
              <w:rPr>
                <w:rFonts w:ascii="Garamond" w:hAnsi="Garamond"/>
                <w:i/>
                <w:color w:val="000000" w:themeColor="text1"/>
                <w:sz w:val="20"/>
                <w:szCs w:val="20"/>
              </w:rPr>
              <w:t xml:space="preserve"> </w:t>
            </w:r>
            <w:r w:rsidRPr="00B051E5">
              <w:rPr>
                <w:rFonts w:ascii="Garamond" w:hAnsi="Garamond"/>
                <w:color w:val="000000" w:themeColor="text1"/>
                <w:sz w:val="20"/>
                <w:szCs w:val="20"/>
              </w:rPr>
              <w:t>in Model</w:t>
            </w:r>
            <w:r w:rsidRPr="00B051E5">
              <w:rPr>
                <w:rFonts w:ascii="Garamond" w:hAnsi="Garamond"/>
                <w:i/>
                <w:color w:val="000000" w:themeColor="text1"/>
                <w:sz w:val="20"/>
                <w:szCs w:val="20"/>
              </w:rPr>
              <w:t xml:space="preserve"> </w:t>
            </w:r>
            <w:r w:rsidRPr="00B051E5">
              <w:rPr>
                <w:rFonts w:ascii="Garamond" w:hAnsi="Garamond"/>
                <w:iCs/>
                <w:color w:val="000000" w:themeColor="text1"/>
                <w:sz w:val="20"/>
                <w:szCs w:val="20"/>
              </w:rPr>
              <w:t>(2), PNFLRD</w:t>
            </w:r>
            <w:r w:rsidRPr="00B051E5">
              <w:rPr>
                <w:rFonts w:ascii="Garamond" w:hAnsi="Garamond"/>
                <w:i/>
                <w:color w:val="000000" w:themeColor="text1"/>
                <w:sz w:val="20"/>
                <w:szCs w:val="20"/>
              </w:rPr>
              <w:t xml:space="preserve"> </w:t>
            </w:r>
            <w:r w:rsidRPr="00B051E5">
              <w:rPr>
                <w:rFonts w:ascii="Garamond" w:hAnsi="Garamond"/>
                <w:color w:val="000000" w:themeColor="text1"/>
                <w:sz w:val="20"/>
                <w:szCs w:val="20"/>
              </w:rPr>
              <w:t xml:space="preserve">in Model (3), and </w:t>
            </w:r>
            <w:r w:rsidRPr="00B051E5">
              <w:rPr>
                <w:rFonts w:ascii="Garamond" w:hAnsi="Garamond"/>
                <w:iCs/>
                <w:color w:val="000000" w:themeColor="text1"/>
                <w:sz w:val="20"/>
                <w:szCs w:val="20"/>
              </w:rPr>
              <w:t>PFLRD_1</w:t>
            </w:r>
            <w:r w:rsidRPr="00B051E5">
              <w:rPr>
                <w:rFonts w:ascii="Garamond" w:hAnsi="Garamond"/>
                <w:color w:val="000000" w:themeColor="text1"/>
                <w:sz w:val="20"/>
                <w:szCs w:val="20"/>
              </w:rPr>
              <w:t xml:space="preserve"> and</w:t>
            </w:r>
            <w:r w:rsidRPr="00B051E5">
              <w:rPr>
                <w:rFonts w:ascii="Garamond" w:hAnsi="Garamond"/>
                <w:i/>
                <w:color w:val="000000" w:themeColor="text1"/>
                <w:sz w:val="20"/>
                <w:szCs w:val="20"/>
              </w:rPr>
              <w:t xml:space="preserve"> </w:t>
            </w:r>
            <w:r w:rsidRPr="00B051E5">
              <w:rPr>
                <w:rFonts w:ascii="Garamond" w:hAnsi="Garamond"/>
                <w:iCs/>
                <w:color w:val="000000" w:themeColor="text1"/>
                <w:sz w:val="20"/>
                <w:szCs w:val="20"/>
              </w:rPr>
              <w:t>PNFLRD_1</w:t>
            </w:r>
            <w:r w:rsidRPr="00B051E5">
              <w:rPr>
                <w:rFonts w:ascii="Garamond" w:hAnsi="Garamond"/>
                <w:color w:val="000000" w:themeColor="text1"/>
                <w:sz w:val="20"/>
                <w:szCs w:val="20"/>
              </w:rPr>
              <w:t xml:space="preserve"> in Model (4). Model (4) replicates, as robustness checks, Models (2) and (3). E.S is the expected sign</w:t>
            </w:r>
            <w:bookmarkStart w:id="7" w:name="_Hlk43025955"/>
            <w:r w:rsidRPr="00B051E5">
              <w:rPr>
                <w:rFonts w:ascii="Garamond" w:hAnsi="Garamond"/>
                <w:color w:val="000000" w:themeColor="text1"/>
                <w:sz w:val="20"/>
                <w:szCs w:val="20"/>
              </w:rPr>
              <w:t xml:space="preserve">. </w:t>
            </w:r>
            <w:bookmarkEnd w:id="7"/>
            <w:r w:rsidRPr="00B051E5">
              <w:rPr>
                <w:rFonts w:ascii="Garamond" w:hAnsi="Garamond"/>
                <w:color w:val="000000" w:themeColor="text1"/>
                <w:sz w:val="20"/>
                <w:szCs w:val="20"/>
              </w:rPr>
              <w:t xml:space="preserve">All estimates also account for both industry- and year-fixed effects. The standard errors are corrected for any heteroskedastic bias. Numbers in parentheses represent t-values. ***, **, and * indicate the 1%, 5%, and 10% significance levels respectively. </w:t>
            </w:r>
            <w:r w:rsidRPr="00B051E5">
              <w:rPr>
                <w:rFonts w:ascii="Garamond" w:eastAsia="Calibri" w:hAnsi="Garamond"/>
                <w:bCs/>
                <w:color w:val="000000" w:themeColor="text1"/>
                <w:sz w:val="20"/>
                <w:szCs w:val="20"/>
                <w:lang w:eastAsia="en-US"/>
              </w:rPr>
              <w:t xml:space="preserve">All continuous variables are winsorized at the 1st and 99th percentiles. </w:t>
            </w:r>
            <w:r w:rsidRPr="00B051E5">
              <w:rPr>
                <w:rFonts w:ascii="Garamond" w:eastAsia="Calibri" w:hAnsi="Garamond"/>
                <w:color w:val="000000" w:themeColor="text1"/>
                <w:sz w:val="20"/>
                <w:szCs w:val="20"/>
                <w:lang w:eastAsia="en-US"/>
              </w:rPr>
              <w:t xml:space="preserve">All </w:t>
            </w:r>
            <w:r w:rsidR="00523DB2" w:rsidRPr="00B051E5">
              <w:rPr>
                <w:rFonts w:ascii="Garamond" w:eastAsia="Calibri" w:hAnsi="Garamond"/>
                <w:color w:val="000000" w:themeColor="text1"/>
                <w:sz w:val="20"/>
                <w:szCs w:val="20"/>
                <w:lang w:eastAsia="en-US"/>
              </w:rPr>
              <w:t>variables’</w:t>
            </w:r>
            <w:r w:rsidRPr="00B051E5">
              <w:rPr>
                <w:rFonts w:ascii="Garamond" w:eastAsia="Calibri" w:hAnsi="Garamond"/>
                <w:color w:val="000000" w:themeColor="text1"/>
                <w:sz w:val="20"/>
                <w:szCs w:val="20"/>
                <w:lang w:eastAsia="en-US"/>
              </w:rPr>
              <w:t xml:space="preserve"> definitions, measures and sources are provided in Appendix </w:t>
            </w:r>
            <w:r w:rsidR="00770E81" w:rsidRPr="00B051E5">
              <w:rPr>
                <w:rFonts w:ascii="Garamond" w:eastAsia="Calibri" w:hAnsi="Garamond"/>
                <w:color w:val="000000" w:themeColor="text1"/>
                <w:sz w:val="20"/>
                <w:szCs w:val="20"/>
                <w:lang w:eastAsia="en-US"/>
              </w:rPr>
              <w:t>2</w:t>
            </w:r>
            <w:r w:rsidRPr="00B051E5">
              <w:rPr>
                <w:rFonts w:ascii="Garamond" w:eastAsia="Calibri" w:hAnsi="Garamond"/>
                <w:color w:val="000000" w:themeColor="text1"/>
                <w:sz w:val="20"/>
                <w:szCs w:val="20"/>
                <w:lang w:eastAsia="en-US"/>
              </w:rPr>
              <w:t>.</w:t>
            </w:r>
          </w:p>
        </w:tc>
      </w:tr>
    </w:tbl>
    <w:p w14:paraId="6EEDE0E7" w14:textId="77777777" w:rsidR="00C42CF0" w:rsidRPr="00B051E5" w:rsidRDefault="00C42CF0" w:rsidP="00C42CF0">
      <w:pPr>
        <w:spacing w:after="160" w:line="259" w:lineRule="auto"/>
        <w:rPr>
          <w:rFonts w:ascii="Garamond" w:hAnsi="Garamond"/>
          <w:b/>
          <w:color w:val="000000" w:themeColor="text1"/>
          <w:sz w:val="20"/>
          <w:szCs w:val="20"/>
        </w:rPr>
      </w:pPr>
    </w:p>
    <w:p w14:paraId="36D9DF67" w14:textId="144C0087" w:rsidR="00C42CF0" w:rsidRPr="00B051E5" w:rsidRDefault="00C42CF0" w:rsidP="00C42CF0">
      <w:pPr>
        <w:spacing w:after="160" w:line="259" w:lineRule="auto"/>
        <w:rPr>
          <w:rFonts w:ascii="Garamond" w:hAnsi="Garamond"/>
          <w:b/>
          <w:color w:val="000000" w:themeColor="text1"/>
          <w:sz w:val="20"/>
          <w:szCs w:val="20"/>
        </w:rPr>
      </w:pPr>
    </w:p>
    <w:p w14:paraId="42BCFB08" w14:textId="77777777" w:rsidR="00F519E4" w:rsidRPr="00B051E5" w:rsidRDefault="00F519E4" w:rsidP="00C42CF0">
      <w:pPr>
        <w:spacing w:after="160" w:line="259" w:lineRule="auto"/>
        <w:rPr>
          <w:rFonts w:ascii="Garamond" w:hAnsi="Garamond"/>
          <w:b/>
          <w:color w:val="000000" w:themeColor="text1"/>
          <w:sz w:val="20"/>
          <w:szCs w:val="20"/>
        </w:rPr>
      </w:pPr>
    </w:p>
    <w:p w14:paraId="439309CA" w14:textId="7AEB6665" w:rsidR="00A57677" w:rsidRPr="00B051E5" w:rsidRDefault="00A57677" w:rsidP="00C42CF0">
      <w:pPr>
        <w:spacing w:after="160" w:line="259" w:lineRule="auto"/>
        <w:rPr>
          <w:rFonts w:ascii="Garamond" w:hAnsi="Garamond"/>
          <w:b/>
          <w:color w:val="000000" w:themeColor="text1"/>
          <w:sz w:val="20"/>
          <w:szCs w:val="20"/>
        </w:rPr>
      </w:pPr>
    </w:p>
    <w:tbl>
      <w:tblPr>
        <w:tblpPr w:leftFromText="180" w:rightFromText="180" w:vertAnchor="page" w:horzAnchor="margin" w:tblpY="1777"/>
        <w:tblW w:w="5000" w:type="pct"/>
        <w:tblCellMar>
          <w:left w:w="75" w:type="dxa"/>
          <w:right w:w="75" w:type="dxa"/>
        </w:tblCellMar>
        <w:tblLook w:val="0000" w:firstRow="0" w:lastRow="0" w:firstColumn="0" w:lastColumn="0" w:noHBand="0" w:noVBand="0"/>
      </w:tblPr>
      <w:tblGrid>
        <w:gridCol w:w="4121"/>
        <w:gridCol w:w="514"/>
        <w:gridCol w:w="1468"/>
        <w:gridCol w:w="1468"/>
        <w:gridCol w:w="1455"/>
      </w:tblGrid>
      <w:tr w:rsidR="00B051E5" w:rsidRPr="00B051E5" w14:paraId="553332B1" w14:textId="77777777" w:rsidTr="00A57677">
        <w:trPr>
          <w:trHeight w:val="237"/>
        </w:trPr>
        <w:tc>
          <w:tcPr>
            <w:tcW w:w="2283" w:type="pct"/>
            <w:tcBorders>
              <w:top w:val="single" w:sz="6" w:space="0" w:color="auto"/>
              <w:left w:val="nil"/>
              <w:right w:val="nil"/>
            </w:tcBorders>
          </w:tcPr>
          <w:p w14:paraId="5FDA87E1"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eastAsia="en-US"/>
              </w:rPr>
              <w:lastRenderedPageBreak/>
              <w:t>Independent variables</w:t>
            </w:r>
          </w:p>
        </w:tc>
        <w:tc>
          <w:tcPr>
            <w:tcW w:w="285" w:type="pct"/>
            <w:tcBorders>
              <w:top w:val="single" w:sz="6" w:space="0" w:color="auto"/>
              <w:left w:val="nil"/>
              <w:right w:val="nil"/>
            </w:tcBorders>
          </w:tcPr>
          <w:p w14:paraId="5D9BBD2B"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eastAsia="en-US"/>
              </w:rPr>
              <w:t>E.S</w:t>
            </w:r>
          </w:p>
        </w:tc>
        <w:tc>
          <w:tcPr>
            <w:tcW w:w="813" w:type="pct"/>
            <w:tcBorders>
              <w:top w:val="single" w:sz="6" w:space="0" w:color="auto"/>
              <w:left w:val="nil"/>
              <w:bottom w:val="single" w:sz="4" w:space="0" w:color="auto"/>
              <w:right w:val="nil"/>
            </w:tcBorders>
          </w:tcPr>
          <w:p w14:paraId="3AB5132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lang w:eastAsia="en-US"/>
              </w:rPr>
            </w:pPr>
          </w:p>
        </w:tc>
        <w:tc>
          <w:tcPr>
            <w:tcW w:w="1619" w:type="pct"/>
            <w:gridSpan w:val="2"/>
            <w:tcBorders>
              <w:top w:val="single" w:sz="6" w:space="0" w:color="auto"/>
              <w:left w:val="nil"/>
              <w:bottom w:val="single" w:sz="4" w:space="0" w:color="auto"/>
              <w:right w:val="nil"/>
            </w:tcBorders>
          </w:tcPr>
          <w:p w14:paraId="4FADAF84"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lang w:eastAsia="en-US"/>
              </w:rPr>
              <w:t xml:space="preserve">Dependent variable: </w:t>
            </w:r>
            <w:r w:rsidRPr="00B051E5">
              <w:rPr>
                <w:rFonts w:ascii="Garamond" w:hAnsi="Garamond"/>
                <w:b/>
                <w:iCs/>
                <w:color w:val="000000" w:themeColor="text1"/>
                <w:sz w:val="20"/>
                <w:szCs w:val="20"/>
                <w:lang w:eastAsia="en-US"/>
              </w:rPr>
              <w:t>SYNCH</w:t>
            </w:r>
          </w:p>
        </w:tc>
      </w:tr>
      <w:tr w:rsidR="00B051E5" w:rsidRPr="00B051E5" w14:paraId="53EA1BBE" w14:textId="77777777" w:rsidTr="00A57677">
        <w:trPr>
          <w:trHeight w:val="237"/>
        </w:trPr>
        <w:tc>
          <w:tcPr>
            <w:tcW w:w="2283" w:type="pct"/>
            <w:tcBorders>
              <w:left w:val="nil"/>
              <w:bottom w:val="nil"/>
              <w:right w:val="nil"/>
            </w:tcBorders>
          </w:tcPr>
          <w:p w14:paraId="282CA50A"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left w:val="nil"/>
              <w:bottom w:val="nil"/>
              <w:right w:val="nil"/>
            </w:tcBorders>
          </w:tcPr>
          <w:p w14:paraId="53C44A52"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single" w:sz="4" w:space="0" w:color="auto"/>
              <w:left w:val="nil"/>
              <w:bottom w:val="nil"/>
              <w:right w:val="nil"/>
            </w:tcBorders>
          </w:tcPr>
          <w:p w14:paraId="2C6415E4"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w:t>
            </w:r>
          </w:p>
        </w:tc>
        <w:tc>
          <w:tcPr>
            <w:tcW w:w="813" w:type="pct"/>
            <w:tcBorders>
              <w:top w:val="single" w:sz="4" w:space="0" w:color="auto"/>
              <w:left w:val="nil"/>
              <w:bottom w:val="nil"/>
              <w:right w:val="nil"/>
            </w:tcBorders>
          </w:tcPr>
          <w:p w14:paraId="16A88719"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w:t>
            </w:r>
          </w:p>
        </w:tc>
        <w:tc>
          <w:tcPr>
            <w:tcW w:w="806" w:type="pct"/>
            <w:tcBorders>
              <w:top w:val="single" w:sz="4" w:space="0" w:color="auto"/>
              <w:left w:val="nil"/>
              <w:bottom w:val="nil"/>
              <w:right w:val="nil"/>
            </w:tcBorders>
          </w:tcPr>
          <w:p w14:paraId="5A53978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(3)</w:t>
            </w:r>
          </w:p>
        </w:tc>
      </w:tr>
      <w:tr w:rsidR="00B051E5" w:rsidRPr="00B051E5" w14:paraId="4FD4D33C" w14:textId="77777777" w:rsidTr="00A57677">
        <w:trPr>
          <w:trHeight w:val="251"/>
        </w:trPr>
        <w:tc>
          <w:tcPr>
            <w:tcW w:w="2283" w:type="pct"/>
            <w:tcBorders>
              <w:top w:val="nil"/>
              <w:left w:val="nil"/>
              <w:bottom w:val="single" w:sz="6" w:space="0" w:color="auto"/>
              <w:right w:val="nil"/>
            </w:tcBorders>
          </w:tcPr>
          <w:p w14:paraId="57373D36"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single" w:sz="6" w:space="0" w:color="auto"/>
              <w:right w:val="nil"/>
            </w:tcBorders>
          </w:tcPr>
          <w:p w14:paraId="7D341DC0"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single" w:sz="6" w:space="0" w:color="auto"/>
              <w:right w:val="nil"/>
            </w:tcBorders>
          </w:tcPr>
          <w:p w14:paraId="5366467C"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Model</w:t>
            </w:r>
          </w:p>
        </w:tc>
        <w:tc>
          <w:tcPr>
            <w:tcW w:w="813" w:type="pct"/>
            <w:tcBorders>
              <w:top w:val="nil"/>
              <w:left w:val="nil"/>
              <w:bottom w:val="single" w:sz="6" w:space="0" w:color="auto"/>
              <w:right w:val="nil"/>
            </w:tcBorders>
          </w:tcPr>
          <w:p w14:paraId="15AAE714"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Model</w:t>
            </w:r>
          </w:p>
        </w:tc>
        <w:tc>
          <w:tcPr>
            <w:tcW w:w="806" w:type="pct"/>
            <w:tcBorders>
              <w:top w:val="nil"/>
              <w:left w:val="nil"/>
              <w:bottom w:val="single" w:sz="6" w:space="0" w:color="auto"/>
              <w:right w:val="nil"/>
            </w:tcBorders>
          </w:tcPr>
          <w:p w14:paraId="586FB08C"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Model</w:t>
            </w:r>
          </w:p>
        </w:tc>
      </w:tr>
      <w:tr w:rsidR="00B051E5" w:rsidRPr="00B051E5" w14:paraId="4EB11F79" w14:textId="77777777" w:rsidTr="00A57677">
        <w:trPr>
          <w:trHeight w:val="237"/>
        </w:trPr>
        <w:tc>
          <w:tcPr>
            <w:tcW w:w="2283" w:type="pct"/>
            <w:tcBorders>
              <w:top w:val="nil"/>
              <w:left w:val="nil"/>
              <w:bottom w:val="nil"/>
              <w:right w:val="nil"/>
            </w:tcBorders>
          </w:tcPr>
          <w:p w14:paraId="32B87F9C"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First lag SYNCH</w:t>
            </w:r>
          </w:p>
        </w:tc>
        <w:tc>
          <w:tcPr>
            <w:tcW w:w="285" w:type="pct"/>
            <w:tcBorders>
              <w:top w:val="nil"/>
              <w:left w:val="nil"/>
              <w:bottom w:val="nil"/>
              <w:right w:val="nil"/>
            </w:tcBorders>
          </w:tcPr>
          <w:p w14:paraId="6B046334"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225EB26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0.679***</w:t>
            </w:r>
          </w:p>
        </w:tc>
        <w:tc>
          <w:tcPr>
            <w:tcW w:w="813" w:type="pct"/>
            <w:tcBorders>
              <w:top w:val="nil"/>
              <w:left w:val="nil"/>
              <w:bottom w:val="nil"/>
              <w:right w:val="nil"/>
            </w:tcBorders>
          </w:tcPr>
          <w:p w14:paraId="25F01F9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0.447**</w:t>
            </w:r>
          </w:p>
        </w:tc>
        <w:tc>
          <w:tcPr>
            <w:tcW w:w="806" w:type="pct"/>
            <w:tcBorders>
              <w:top w:val="nil"/>
              <w:left w:val="nil"/>
              <w:bottom w:val="nil"/>
              <w:right w:val="nil"/>
            </w:tcBorders>
          </w:tcPr>
          <w:p w14:paraId="07F7F650"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0.447**</w:t>
            </w:r>
          </w:p>
        </w:tc>
      </w:tr>
      <w:tr w:rsidR="00B051E5" w:rsidRPr="00B051E5" w14:paraId="683D86E8" w14:textId="77777777" w:rsidTr="00A57677">
        <w:trPr>
          <w:trHeight w:val="251"/>
        </w:trPr>
        <w:tc>
          <w:tcPr>
            <w:tcW w:w="2283" w:type="pct"/>
            <w:tcBorders>
              <w:top w:val="nil"/>
              <w:left w:val="nil"/>
              <w:bottom w:val="nil"/>
              <w:right w:val="nil"/>
            </w:tcBorders>
          </w:tcPr>
          <w:p w14:paraId="7C113893"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3BB45484"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101B2233"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(3.259)</w:t>
            </w:r>
          </w:p>
        </w:tc>
        <w:tc>
          <w:tcPr>
            <w:tcW w:w="813" w:type="pct"/>
            <w:tcBorders>
              <w:top w:val="nil"/>
              <w:left w:val="nil"/>
              <w:bottom w:val="nil"/>
              <w:right w:val="nil"/>
            </w:tcBorders>
          </w:tcPr>
          <w:p w14:paraId="7BFBB49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(2.335)</w:t>
            </w:r>
          </w:p>
        </w:tc>
        <w:tc>
          <w:tcPr>
            <w:tcW w:w="806" w:type="pct"/>
            <w:tcBorders>
              <w:top w:val="nil"/>
              <w:left w:val="nil"/>
              <w:bottom w:val="nil"/>
              <w:right w:val="nil"/>
            </w:tcBorders>
          </w:tcPr>
          <w:p w14:paraId="024D3D83"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(2.335)</w:t>
            </w:r>
          </w:p>
        </w:tc>
      </w:tr>
      <w:tr w:rsidR="00B051E5" w:rsidRPr="00B051E5" w14:paraId="098A006B" w14:textId="77777777" w:rsidTr="00A57677">
        <w:trPr>
          <w:trHeight w:val="251"/>
        </w:trPr>
        <w:tc>
          <w:tcPr>
            <w:tcW w:w="2283" w:type="pct"/>
            <w:tcBorders>
              <w:top w:val="nil"/>
              <w:left w:val="nil"/>
              <w:bottom w:val="nil"/>
              <w:right w:val="nil"/>
            </w:tcBorders>
          </w:tcPr>
          <w:p w14:paraId="1B6D5498"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 xml:space="preserve">PARD  </w:t>
            </w:r>
          </w:p>
        </w:tc>
        <w:tc>
          <w:tcPr>
            <w:tcW w:w="285" w:type="pct"/>
            <w:tcBorders>
              <w:top w:val="nil"/>
              <w:left w:val="nil"/>
              <w:bottom w:val="nil"/>
              <w:right w:val="nil"/>
            </w:tcBorders>
          </w:tcPr>
          <w:p w14:paraId="4C52FB53"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26806A2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-4.771</w:t>
            </w:r>
          </w:p>
        </w:tc>
        <w:tc>
          <w:tcPr>
            <w:tcW w:w="813" w:type="pct"/>
            <w:tcBorders>
              <w:top w:val="nil"/>
              <w:left w:val="nil"/>
              <w:bottom w:val="nil"/>
              <w:right w:val="nil"/>
            </w:tcBorders>
          </w:tcPr>
          <w:p w14:paraId="2775538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06" w:type="pct"/>
            <w:tcBorders>
              <w:top w:val="nil"/>
              <w:left w:val="nil"/>
              <w:bottom w:val="nil"/>
              <w:right w:val="nil"/>
            </w:tcBorders>
          </w:tcPr>
          <w:p w14:paraId="5B132BF3"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r>
      <w:tr w:rsidR="00B051E5" w:rsidRPr="00B051E5" w14:paraId="061A1292" w14:textId="77777777" w:rsidTr="00A57677">
        <w:trPr>
          <w:trHeight w:val="251"/>
        </w:trPr>
        <w:tc>
          <w:tcPr>
            <w:tcW w:w="2283" w:type="pct"/>
            <w:tcBorders>
              <w:top w:val="nil"/>
              <w:left w:val="nil"/>
              <w:bottom w:val="nil"/>
              <w:right w:val="nil"/>
            </w:tcBorders>
          </w:tcPr>
          <w:p w14:paraId="0E3EB502"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16B2C0AE"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62969A77"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(-0.844)</w:t>
            </w:r>
          </w:p>
        </w:tc>
        <w:tc>
          <w:tcPr>
            <w:tcW w:w="813" w:type="pct"/>
            <w:tcBorders>
              <w:top w:val="nil"/>
              <w:left w:val="nil"/>
              <w:bottom w:val="nil"/>
              <w:right w:val="nil"/>
            </w:tcBorders>
          </w:tcPr>
          <w:p w14:paraId="46B0BD7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06" w:type="pct"/>
            <w:tcBorders>
              <w:top w:val="nil"/>
              <w:left w:val="nil"/>
              <w:bottom w:val="nil"/>
              <w:right w:val="nil"/>
            </w:tcBorders>
          </w:tcPr>
          <w:p w14:paraId="05617033"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r>
      <w:tr w:rsidR="00B051E5" w:rsidRPr="00B051E5" w14:paraId="29D17620" w14:textId="77777777" w:rsidTr="00A57677">
        <w:trPr>
          <w:trHeight w:val="237"/>
        </w:trPr>
        <w:tc>
          <w:tcPr>
            <w:tcW w:w="2283" w:type="pct"/>
            <w:tcBorders>
              <w:top w:val="nil"/>
              <w:left w:val="nil"/>
              <w:bottom w:val="nil"/>
              <w:right w:val="nil"/>
            </w:tcBorders>
          </w:tcPr>
          <w:p w14:paraId="31472DCD"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PFLRD</w:t>
            </w:r>
          </w:p>
        </w:tc>
        <w:tc>
          <w:tcPr>
            <w:tcW w:w="285" w:type="pct"/>
            <w:tcBorders>
              <w:top w:val="nil"/>
              <w:left w:val="nil"/>
              <w:bottom w:val="nil"/>
              <w:right w:val="nil"/>
            </w:tcBorders>
          </w:tcPr>
          <w:p w14:paraId="12B4E53F"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40CB5836"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13" w:type="pct"/>
            <w:tcBorders>
              <w:top w:val="nil"/>
              <w:left w:val="nil"/>
              <w:bottom w:val="nil"/>
              <w:right w:val="nil"/>
            </w:tcBorders>
          </w:tcPr>
          <w:p w14:paraId="5403DD8B"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1.383**</w:t>
            </w:r>
          </w:p>
        </w:tc>
        <w:tc>
          <w:tcPr>
            <w:tcW w:w="806" w:type="pct"/>
            <w:tcBorders>
              <w:top w:val="nil"/>
              <w:left w:val="nil"/>
              <w:bottom w:val="nil"/>
              <w:right w:val="nil"/>
            </w:tcBorders>
          </w:tcPr>
          <w:p w14:paraId="3356F3BD"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r>
      <w:tr w:rsidR="00B051E5" w:rsidRPr="00B051E5" w14:paraId="447B54E5" w14:textId="77777777" w:rsidTr="00A57677">
        <w:trPr>
          <w:trHeight w:val="237"/>
        </w:trPr>
        <w:tc>
          <w:tcPr>
            <w:tcW w:w="2283" w:type="pct"/>
            <w:tcBorders>
              <w:top w:val="nil"/>
              <w:left w:val="nil"/>
              <w:bottom w:val="nil"/>
              <w:right w:val="nil"/>
            </w:tcBorders>
          </w:tcPr>
          <w:p w14:paraId="63AD62A5"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0DAE368D"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6F6F743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13" w:type="pct"/>
            <w:tcBorders>
              <w:top w:val="nil"/>
              <w:left w:val="nil"/>
              <w:bottom w:val="nil"/>
              <w:right w:val="nil"/>
            </w:tcBorders>
          </w:tcPr>
          <w:p w14:paraId="21C98C1D"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(2.375)</w:t>
            </w:r>
          </w:p>
        </w:tc>
        <w:tc>
          <w:tcPr>
            <w:tcW w:w="806" w:type="pct"/>
            <w:tcBorders>
              <w:top w:val="nil"/>
              <w:left w:val="nil"/>
              <w:bottom w:val="nil"/>
              <w:right w:val="nil"/>
            </w:tcBorders>
          </w:tcPr>
          <w:p w14:paraId="4C110861"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r>
      <w:tr w:rsidR="00B051E5" w:rsidRPr="00B051E5" w14:paraId="642666C9" w14:textId="77777777" w:rsidTr="00A57677">
        <w:trPr>
          <w:trHeight w:val="251"/>
        </w:trPr>
        <w:tc>
          <w:tcPr>
            <w:tcW w:w="2283" w:type="pct"/>
            <w:tcBorders>
              <w:top w:val="nil"/>
              <w:left w:val="nil"/>
              <w:bottom w:val="nil"/>
              <w:right w:val="nil"/>
            </w:tcBorders>
          </w:tcPr>
          <w:p w14:paraId="4A749EFF"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PNFLRD</w:t>
            </w:r>
          </w:p>
        </w:tc>
        <w:tc>
          <w:tcPr>
            <w:tcW w:w="285" w:type="pct"/>
            <w:tcBorders>
              <w:top w:val="nil"/>
              <w:left w:val="nil"/>
              <w:bottom w:val="nil"/>
              <w:right w:val="nil"/>
            </w:tcBorders>
          </w:tcPr>
          <w:p w14:paraId="77047340"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00C65D8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13" w:type="pct"/>
            <w:tcBorders>
              <w:top w:val="nil"/>
              <w:left w:val="nil"/>
              <w:bottom w:val="nil"/>
              <w:right w:val="nil"/>
            </w:tcBorders>
          </w:tcPr>
          <w:p w14:paraId="54FFDB70"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06" w:type="pct"/>
            <w:tcBorders>
              <w:top w:val="nil"/>
              <w:left w:val="nil"/>
              <w:bottom w:val="nil"/>
              <w:right w:val="nil"/>
            </w:tcBorders>
          </w:tcPr>
          <w:p w14:paraId="7692432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-1.383**</w:t>
            </w:r>
          </w:p>
        </w:tc>
      </w:tr>
      <w:tr w:rsidR="00B051E5" w:rsidRPr="00B051E5" w14:paraId="09946AC0" w14:textId="77777777" w:rsidTr="00A57677">
        <w:trPr>
          <w:trHeight w:val="237"/>
        </w:trPr>
        <w:tc>
          <w:tcPr>
            <w:tcW w:w="2283" w:type="pct"/>
            <w:tcBorders>
              <w:top w:val="nil"/>
              <w:left w:val="nil"/>
              <w:bottom w:val="nil"/>
              <w:right w:val="nil"/>
            </w:tcBorders>
          </w:tcPr>
          <w:p w14:paraId="30421B8A"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732753E6"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46CA856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13" w:type="pct"/>
            <w:tcBorders>
              <w:top w:val="nil"/>
              <w:left w:val="nil"/>
              <w:bottom w:val="nil"/>
              <w:right w:val="nil"/>
            </w:tcBorders>
          </w:tcPr>
          <w:p w14:paraId="626DB5E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p>
        </w:tc>
        <w:tc>
          <w:tcPr>
            <w:tcW w:w="806" w:type="pct"/>
            <w:tcBorders>
              <w:top w:val="nil"/>
              <w:left w:val="nil"/>
              <w:bottom w:val="nil"/>
              <w:right w:val="nil"/>
            </w:tcBorders>
          </w:tcPr>
          <w:p w14:paraId="25E97E06"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(-2.375)</w:t>
            </w:r>
          </w:p>
        </w:tc>
      </w:tr>
      <w:tr w:rsidR="00B051E5" w:rsidRPr="00B051E5" w14:paraId="634FF683" w14:textId="77777777" w:rsidTr="00A57677">
        <w:trPr>
          <w:trHeight w:val="251"/>
        </w:trPr>
        <w:tc>
          <w:tcPr>
            <w:tcW w:w="2283" w:type="pct"/>
            <w:tcBorders>
              <w:top w:val="nil"/>
              <w:left w:val="nil"/>
              <w:bottom w:val="nil"/>
              <w:right w:val="nil"/>
            </w:tcBorders>
          </w:tcPr>
          <w:p w14:paraId="1DCFEE91"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SIZE</w:t>
            </w:r>
          </w:p>
        </w:tc>
        <w:tc>
          <w:tcPr>
            <w:tcW w:w="285" w:type="pct"/>
            <w:tcBorders>
              <w:top w:val="nil"/>
              <w:left w:val="nil"/>
              <w:bottom w:val="nil"/>
              <w:right w:val="nil"/>
            </w:tcBorders>
          </w:tcPr>
          <w:p w14:paraId="4CFFE799"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1064B7E5"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1.547</w:t>
            </w:r>
          </w:p>
        </w:tc>
        <w:tc>
          <w:tcPr>
            <w:tcW w:w="813" w:type="pct"/>
            <w:tcBorders>
              <w:top w:val="nil"/>
              <w:left w:val="nil"/>
              <w:bottom w:val="nil"/>
              <w:right w:val="nil"/>
            </w:tcBorders>
          </w:tcPr>
          <w:p w14:paraId="02EF817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0.676</w:t>
            </w:r>
          </w:p>
        </w:tc>
        <w:tc>
          <w:tcPr>
            <w:tcW w:w="806" w:type="pct"/>
            <w:tcBorders>
              <w:top w:val="nil"/>
              <w:left w:val="nil"/>
              <w:bottom w:val="nil"/>
              <w:right w:val="nil"/>
            </w:tcBorders>
          </w:tcPr>
          <w:p w14:paraId="394691B1"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0.676</w:t>
            </w:r>
          </w:p>
        </w:tc>
      </w:tr>
      <w:tr w:rsidR="00B051E5" w:rsidRPr="00B051E5" w14:paraId="0D2D1E65" w14:textId="77777777" w:rsidTr="00A57677">
        <w:trPr>
          <w:trHeight w:val="237"/>
        </w:trPr>
        <w:tc>
          <w:tcPr>
            <w:tcW w:w="2283" w:type="pct"/>
            <w:tcBorders>
              <w:top w:val="nil"/>
              <w:left w:val="nil"/>
              <w:bottom w:val="nil"/>
              <w:right w:val="nil"/>
            </w:tcBorders>
          </w:tcPr>
          <w:p w14:paraId="0DB0EDD0"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579FFF74"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3017FC81"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(0.948)</w:t>
            </w:r>
          </w:p>
        </w:tc>
        <w:tc>
          <w:tcPr>
            <w:tcW w:w="813" w:type="pct"/>
            <w:tcBorders>
              <w:top w:val="nil"/>
              <w:left w:val="nil"/>
              <w:bottom w:val="nil"/>
              <w:right w:val="nil"/>
            </w:tcBorders>
          </w:tcPr>
          <w:p w14:paraId="233EA1E7"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(0.446)</w:t>
            </w:r>
          </w:p>
        </w:tc>
        <w:tc>
          <w:tcPr>
            <w:tcW w:w="806" w:type="pct"/>
            <w:tcBorders>
              <w:top w:val="nil"/>
              <w:left w:val="nil"/>
              <w:bottom w:val="nil"/>
              <w:right w:val="nil"/>
            </w:tcBorders>
          </w:tcPr>
          <w:p w14:paraId="34D5E7D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(0.446)</w:t>
            </w:r>
          </w:p>
        </w:tc>
      </w:tr>
      <w:tr w:rsidR="00B051E5" w:rsidRPr="00B051E5" w14:paraId="3A7CF08C" w14:textId="77777777" w:rsidTr="00A57677">
        <w:trPr>
          <w:trHeight w:val="237"/>
        </w:trPr>
        <w:tc>
          <w:tcPr>
            <w:tcW w:w="2283" w:type="pct"/>
            <w:tcBorders>
              <w:top w:val="nil"/>
              <w:left w:val="nil"/>
              <w:bottom w:val="nil"/>
              <w:right w:val="nil"/>
            </w:tcBorders>
          </w:tcPr>
          <w:p w14:paraId="16F3CE01"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LEV</w:t>
            </w:r>
          </w:p>
        </w:tc>
        <w:tc>
          <w:tcPr>
            <w:tcW w:w="285" w:type="pct"/>
            <w:tcBorders>
              <w:top w:val="nil"/>
              <w:left w:val="nil"/>
              <w:bottom w:val="nil"/>
              <w:right w:val="nil"/>
            </w:tcBorders>
          </w:tcPr>
          <w:p w14:paraId="2232B084"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0DAA7B9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0.570</w:t>
            </w:r>
          </w:p>
        </w:tc>
        <w:tc>
          <w:tcPr>
            <w:tcW w:w="813" w:type="pct"/>
            <w:tcBorders>
              <w:top w:val="nil"/>
              <w:left w:val="nil"/>
              <w:bottom w:val="nil"/>
              <w:right w:val="nil"/>
            </w:tcBorders>
          </w:tcPr>
          <w:p w14:paraId="605510B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0.441</w:t>
            </w:r>
          </w:p>
        </w:tc>
        <w:tc>
          <w:tcPr>
            <w:tcW w:w="806" w:type="pct"/>
            <w:tcBorders>
              <w:top w:val="nil"/>
              <w:left w:val="nil"/>
              <w:bottom w:val="nil"/>
              <w:right w:val="nil"/>
            </w:tcBorders>
          </w:tcPr>
          <w:p w14:paraId="3A6E74A0"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0.441</w:t>
            </w:r>
          </w:p>
        </w:tc>
      </w:tr>
      <w:tr w:rsidR="00B051E5" w:rsidRPr="00B051E5" w14:paraId="79CCA012" w14:textId="77777777" w:rsidTr="00A57677">
        <w:trPr>
          <w:trHeight w:val="251"/>
        </w:trPr>
        <w:tc>
          <w:tcPr>
            <w:tcW w:w="2283" w:type="pct"/>
            <w:tcBorders>
              <w:top w:val="nil"/>
              <w:left w:val="nil"/>
              <w:bottom w:val="nil"/>
              <w:right w:val="nil"/>
            </w:tcBorders>
          </w:tcPr>
          <w:p w14:paraId="6624FD34"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3412A5A2"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4A69075A"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(1.422)</w:t>
            </w:r>
          </w:p>
        </w:tc>
        <w:tc>
          <w:tcPr>
            <w:tcW w:w="813" w:type="pct"/>
            <w:tcBorders>
              <w:top w:val="nil"/>
              <w:left w:val="nil"/>
              <w:bottom w:val="nil"/>
              <w:right w:val="nil"/>
            </w:tcBorders>
          </w:tcPr>
          <w:p w14:paraId="3A4BD6D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(1.591)</w:t>
            </w:r>
          </w:p>
        </w:tc>
        <w:tc>
          <w:tcPr>
            <w:tcW w:w="806" w:type="pct"/>
            <w:tcBorders>
              <w:top w:val="nil"/>
              <w:left w:val="nil"/>
              <w:bottom w:val="nil"/>
              <w:right w:val="nil"/>
            </w:tcBorders>
          </w:tcPr>
          <w:p w14:paraId="0A7D08F0"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(1.591)</w:t>
            </w:r>
          </w:p>
        </w:tc>
      </w:tr>
      <w:tr w:rsidR="00B051E5" w:rsidRPr="00B051E5" w14:paraId="086CADDE" w14:textId="77777777" w:rsidTr="00A57677">
        <w:trPr>
          <w:trHeight w:val="237"/>
        </w:trPr>
        <w:tc>
          <w:tcPr>
            <w:tcW w:w="2283" w:type="pct"/>
            <w:tcBorders>
              <w:top w:val="nil"/>
              <w:left w:val="nil"/>
              <w:bottom w:val="nil"/>
              <w:right w:val="nil"/>
            </w:tcBorders>
          </w:tcPr>
          <w:p w14:paraId="3A25DE48"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VOL</w:t>
            </w:r>
          </w:p>
        </w:tc>
        <w:tc>
          <w:tcPr>
            <w:tcW w:w="285" w:type="pct"/>
            <w:tcBorders>
              <w:top w:val="nil"/>
              <w:left w:val="nil"/>
              <w:bottom w:val="nil"/>
              <w:right w:val="nil"/>
            </w:tcBorders>
          </w:tcPr>
          <w:p w14:paraId="59CD40DA"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323DDD16"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0.025</w:t>
            </w:r>
          </w:p>
        </w:tc>
        <w:tc>
          <w:tcPr>
            <w:tcW w:w="813" w:type="pct"/>
            <w:tcBorders>
              <w:top w:val="nil"/>
              <w:left w:val="nil"/>
              <w:bottom w:val="nil"/>
              <w:right w:val="nil"/>
            </w:tcBorders>
          </w:tcPr>
          <w:p w14:paraId="0A57726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0.357</w:t>
            </w:r>
          </w:p>
        </w:tc>
        <w:tc>
          <w:tcPr>
            <w:tcW w:w="806" w:type="pct"/>
            <w:tcBorders>
              <w:top w:val="nil"/>
              <w:left w:val="nil"/>
              <w:bottom w:val="nil"/>
              <w:right w:val="nil"/>
            </w:tcBorders>
          </w:tcPr>
          <w:p w14:paraId="57CDACD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0.357</w:t>
            </w:r>
          </w:p>
        </w:tc>
      </w:tr>
      <w:tr w:rsidR="00B051E5" w:rsidRPr="00B051E5" w14:paraId="190346AE" w14:textId="77777777" w:rsidTr="00A57677">
        <w:trPr>
          <w:trHeight w:val="251"/>
        </w:trPr>
        <w:tc>
          <w:tcPr>
            <w:tcW w:w="2283" w:type="pct"/>
            <w:tcBorders>
              <w:top w:val="nil"/>
              <w:left w:val="nil"/>
              <w:bottom w:val="nil"/>
              <w:right w:val="nil"/>
            </w:tcBorders>
          </w:tcPr>
          <w:p w14:paraId="4C56D77E"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3A95DF4E"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22A487B5"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(0.069)</w:t>
            </w:r>
          </w:p>
        </w:tc>
        <w:tc>
          <w:tcPr>
            <w:tcW w:w="813" w:type="pct"/>
            <w:tcBorders>
              <w:top w:val="nil"/>
              <w:left w:val="nil"/>
              <w:bottom w:val="nil"/>
              <w:right w:val="nil"/>
            </w:tcBorders>
          </w:tcPr>
          <w:p w14:paraId="1CF6F276"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(0.823)</w:t>
            </w:r>
          </w:p>
        </w:tc>
        <w:tc>
          <w:tcPr>
            <w:tcW w:w="806" w:type="pct"/>
            <w:tcBorders>
              <w:top w:val="nil"/>
              <w:left w:val="nil"/>
              <w:bottom w:val="nil"/>
              <w:right w:val="nil"/>
            </w:tcBorders>
          </w:tcPr>
          <w:p w14:paraId="48C06C30"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(0.823)</w:t>
            </w:r>
          </w:p>
        </w:tc>
      </w:tr>
      <w:tr w:rsidR="00B051E5" w:rsidRPr="00B051E5" w14:paraId="0A4BACF2" w14:textId="77777777" w:rsidTr="00A57677">
        <w:trPr>
          <w:trHeight w:val="237"/>
        </w:trPr>
        <w:tc>
          <w:tcPr>
            <w:tcW w:w="2283" w:type="pct"/>
            <w:tcBorders>
              <w:top w:val="nil"/>
              <w:left w:val="nil"/>
              <w:bottom w:val="nil"/>
              <w:right w:val="nil"/>
            </w:tcBorders>
          </w:tcPr>
          <w:p w14:paraId="2DBB4180"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MTB</w:t>
            </w:r>
          </w:p>
        </w:tc>
        <w:tc>
          <w:tcPr>
            <w:tcW w:w="285" w:type="pct"/>
            <w:tcBorders>
              <w:top w:val="nil"/>
              <w:left w:val="nil"/>
              <w:bottom w:val="nil"/>
              <w:right w:val="nil"/>
            </w:tcBorders>
          </w:tcPr>
          <w:p w14:paraId="03CC9F80"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5C0F965D"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-0.075</w:t>
            </w:r>
          </w:p>
        </w:tc>
        <w:tc>
          <w:tcPr>
            <w:tcW w:w="813" w:type="pct"/>
            <w:tcBorders>
              <w:top w:val="nil"/>
              <w:left w:val="nil"/>
              <w:bottom w:val="nil"/>
              <w:right w:val="nil"/>
            </w:tcBorders>
          </w:tcPr>
          <w:p w14:paraId="5D0855B6"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-0.048</w:t>
            </w:r>
          </w:p>
        </w:tc>
        <w:tc>
          <w:tcPr>
            <w:tcW w:w="806" w:type="pct"/>
            <w:tcBorders>
              <w:top w:val="nil"/>
              <w:left w:val="nil"/>
              <w:bottom w:val="nil"/>
              <w:right w:val="nil"/>
            </w:tcBorders>
          </w:tcPr>
          <w:p w14:paraId="23CCFE7C"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-0.048</w:t>
            </w:r>
          </w:p>
        </w:tc>
      </w:tr>
      <w:tr w:rsidR="00B051E5" w:rsidRPr="00B051E5" w14:paraId="1787920B" w14:textId="77777777" w:rsidTr="00A57677">
        <w:trPr>
          <w:trHeight w:val="237"/>
        </w:trPr>
        <w:tc>
          <w:tcPr>
            <w:tcW w:w="2283" w:type="pct"/>
            <w:tcBorders>
              <w:top w:val="nil"/>
              <w:left w:val="nil"/>
              <w:bottom w:val="nil"/>
              <w:right w:val="nil"/>
            </w:tcBorders>
          </w:tcPr>
          <w:p w14:paraId="143687D9"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0B0651B3"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0C78E68B"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(-1.373)</w:t>
            </w:r>
          </w:p>
        </w:tc>
        <w:tc>
          <w:tcPr>
            <w:tcW w:w="813" w:type="pct"/>
            <w:tcBorders>
              <w:top w:val="nil"/>
              <w:left w:val="nil"/>
              <w:bottom w:val="nil"/>
              <w:right w:val="nil"/>
            </w:tcBorders>
          </w:tcPr>
          <w:p w14:paraId="153123E9"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(-0.886)</w:t>
            </w:r>
          </w:p>
        </w:tc>
        <w:tc>
          <w:tcPr>
            <w:tcW w:w="806" w:type="pct"/>
            <w:tcBorders>
              <w:top w:val="nil"/>
              <w:left w:val="nil"/>
              <w:bottom w:val="nil"/>
              <w:right w:val="nil"/>
            </w:tcBorders>
          </w:tcPr>
          <w:p w14:paraId="193B6B14"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(-0.886)</w:t>
            </w:r>
          </w:p>
        </w:tc>
      </w:tr>
      <w:tr w:rsidR="00B051E5" w:rsidRPr="00B051E5" w14:paraId="2A83A46B" w14:textId="77777777" w:rsidTr="00A57677">
        <w:trPr>
          <w:trHeight w:val="251"/>
        </w:trPr>
        <w:tc>
          <w:tcPr>
            <w:tcW w:w="2283" w:type="pct"/>
            <w:tcBorders>
              <w:top w:val="nil"/>
              <w:left w:val="nil"/>
              <w:bottom w:val="nil"/>
              <w:right w:val="nil"/>
            </w:tcBorders>
          </w:tcPr>
          <w:p w14:paraId="46FA772E"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VOLATILITY</w:t>
            </w:r>
          </w:p>
        </w:tc>
        <w:tc>
          <w:tcPr>
            <w:tcW w:w="285" w:type="pct"/>
            <w:tcBorders>
              <w:top w:val="nil"/>
              <w:left w:val="nil"/>
              <w:bottom w:val="nil"/>
              <w:right w:val="nil"/>
            </w:tcBorders>
          </w:tcPr>
          <w:p w14:paraId="11BAE89F"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4A7AC51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-2.844**</w:t>
            </w:r>
          </w:p>
        </w:tc>
        <w:tc>
          <w:tcPr>
            <w:tcW w:w="813" w:type="pct"/>
            <w:tcBorders>
              <w:top w:val="nil"/>
              <w:left w:val="nil"/>
              <w:bottom w:val="nil"/>
              <w:right w:val="nil"/>
            </w:tcBorders>
          </w:tcPr>
          <w:p w14:paraId="62E91A4A"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-2.392*</w:t>
            </w:r>
          </w:p>
        </w:tc>
        <w:tc>
          <w:tcPr>
            <w:tcW w:w="806" w:type="pct"/>
            <w:tcBorders>
              <w:top w:val="nil"/>
              <w:left w:val="nil"/>
              <w:bottom w:val="nil"/>
              <w:right w:val="nil"/>
            </w:tcBorders>
          </w:tcPr>
          <w:p w14:paraId="23A2758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-2.392*</w:t>
            </w:r>
          </w:p>
        </w:tc>
      </w:tr>
      <w:tr w:rsidR="00B051E5" w:rsidRPr="00B051E5" w14:paraId="7897E947" w14:textId="77777777" w:rsidTr="00A57677">
        <w:trPr>
          <w:trHeight w:val="237"/>
        </w:trPr>
        <w:tc>
          <w:tcPr>
            <w:tcW w:w="2283" w:type="pct"/>
            <w:tcBorders>
              <w:top w:val="nil"/>
              <w:left w:val="nil"/>
              <w:bottom w:val="nil"/>
              <w:right w:val="nil"/>
            </w:tcBorders>
          </w:tcPr>
          <w:p w14:paraId="174777B0"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2BC7541C"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18F2805B"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(-2.113)</w:t>
            </w:r>
          </w:p>
        </w:tc>
        <w:tc>
          <w:tcPr>
            <w:tcW w:w="813" w:type="pct"/>
            <w:tcBorders>
              <w:top w:val="nil"/>
              <w:left w:val="nil"/>
              <w:bottom w:val="nil"/>
              <w:right w:val="nil"/>
            </w:tcBorders>
          </w:tcPr>
          <w:p w14:paraId="2A32CFCB"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(-1.834)</w:t>
            </w:r>
          </w:p>
        </w:tc>
        <w:tc>
          <w:tcPr>
            <w:tcW w:w="806" w:type="pct"/>
            <w:tcBorders>
              <w:top w:val="nil"/>
              <w:left w:val="nil"/>
              <w:bottom w:val="nil"/>
              <w:right w:val="nil"/>
            </w:tcBorders>
          </w:tcPr>
          <w:p w14:paraId="7A5A6314"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(-1.834)</w:t>
            </w:r>
          </w:p>
        </w:tc>
      </w:tr>
      <w:tr w:rsidR="00B051E5" w:rsidRPr="00B051E5" w14:paraId="4B52E942" w14:textId="77777777" w:rsidTr="00A57677">
        <w:trPr>
          <w:trHeight w:val="251"/>
        </w:trPr>
        <w:tc>
          <w:tcPr>
            <w:tcW w:w="2283" w:type="pct"/>
            <w:tcBorders>
              <w:top w:val="nil"/>
              <w:left w:val="nil"/>
              <w:bottom w:val="nil"/>
              <w:right w:val="nil"/>
            </w:tcBorders>
          </w:tcPr>
          <w:p w14:paraId="76DD4219"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ROA</w:t>
            </w:r>
          </w:p>
        </w:tc>
        <w:tc>
          <w:tcPr>
            <w:tcW w:w="285" w:type="pct"/>
            <w:tcBorders>
              <w:top w:val="nil"/>
              <w:left w:val="nil"/>
              <w:bottom w:val="nil"/>
              <w:right w:val="nil"/>
            </w:tcBorders>
          </w:tcPr>
          <w:p w14:paraId="213DBC49"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586CF21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0.005</w:t>
            </w:r>
          </w:p>
        </w:tc>
        <w:tc>
          <w:tcPr>
            <w:tcW w:w="813" w:type="pct"/>
            <w:tcBorders>
              <w:top w:val="nil"/>
              <w:left w:val="nil"/>
              <w:bottom w:val="nil"/>
              <w:right w:val="nil"/>
            </w:tcBorders>
          </w:tcPr>
          <w:p w14:paraId="669057A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0.007</w:t>
            </w:r>
          </w:p>
        </w:tc>
        <w:tc>
          <w:tcPr>
            <w:tcW w:w="806" w:type="pct"/>
            <w:tcBorders>
              <w:top w:val="nil"/>
              <w:left w:val="nil"/>
              <w:bottom w:val="nil"/>
              <w:right w:val="nil"/>
            </w:tcBorders>
          </w:tcPr>
          <w:p w14:paraId="4A80D407"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0.007</w:t>
            </w:r>
          </w:p>
        </w:tc>
      </w:tr>
      <w:tr w:rsidR="00B051E5" w:rsidRPr="00B051E5" w14:paraId="0C0E4981" w14:textId="77777777" w:rsidTr="00A57677">
        <w:trPr>
          <w:trHeight w:val="237"/>
        </w:trPr>
        <w:tc>
          <w:tcPr>
            <w:tcW w:w="2283" w:type="pct"/>
            <w:tcBorders>
              <w:top w:val="nil"/>
              <w:left w:val="nil"/>
              <w:bottom w:val="nil"/>
              <w:right w:val="nil"/>
            </w:tcBorders>
          </w:tcPr>
          <w:p w14:paraId="46CB6537"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03F6B977"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2B35AC79"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(0.306)</w:t>
            </w:r>
          </w:p>
        </w:tc>
        <w:tc>
          <w:tcPr>
            <w:tcW w:w="813" w:type="pct"/>
            <w:tcBorders>
              <w:top w:val="nil"/>
              <w:left w:val="nil"/>
              <w:bottom w:val="nil"/>
              <w:right w:val="nil"/>
            </w:tcBorders>
          </w:tcPr>
          <w:p w14:paraId="4526782C"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(0.528)</w:t>
            </w:r>
          </w:p>
        </w:tc>
        <w:tc>
          <w:tcPr>
            <w:tcW w:w="806" w:type="pct"/>
            <w:tcBorders>
              <w:top w:val="nil"/>
              <w:left w:val="nil"/>
              <w:bottom w:val="nil"/>
              <w:right w:val="nil"/>
            </w:tcBorders>
          </w:tcPr>
          <w:p w14:paraId="6FDCFE2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(0.528)</w:t>
            </w:r>
          </w:p>
        </w:tc>
      </w:tr>
      <w:tr w:rsidR="00B051E5" w:rsidRPr="00B051E5" w14:paraId="44D93E86" w14:textId="77777777" w:rsidTr="00A57677">
        <w:trPr>
          <w:trHeight w:val="237"/>
        </w:trPr>
        <w:tc>
          <w:tcPr>
            <w:tcW w:w="2283" w:type="pct"/>
            <w:tcBorders>
              <w:top w:val="nil"/>
              <w:left w:val="nil"/>
              <w:bottom w:val="nil"/>
              <w:right w:val="nil"/>
            </w:tcBorders>
          </w:tcPr>
          <w:p w14:paraId="1B2683C0"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BSIZE</w:t>
            </w:r>
          </w:p>
        </w:tc>
        <w:tc>
          <w:tcPr>
            <w:tcW w:w="285" w:type="pct"/>
            <w:tcBorders>
              <w:top w:val="nil"/>
              <w:left w:val="nil"/>
              <w:bottom w:val="nil"/>
              <w:right w:val="nil"/>
            </w:tcBorders>
          </w:tcPr>
          <w:p w14:paraId="2F9924D5"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2126CF2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0.101</w:t>
            </w:r>
          </w:p>
        </w:tc>
        <w:tc>
          <w:tcPr>
            <w:tcW w:w="813" w:type="pct"/>
            <w:tcBorders>
              <w:top w:val="nil"/>
              <w:left w:val="nil"/>
              <w:bottom w:val="nil"/>
              <w:right w:val="nil"/>
            </w:tcBorders>
          </w:tcPr>
          <w:p w14:paraId="68E6DC5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0.042</w:t>
            </w:r>
          </w:p>
        </w:tc>
        <w:tc>
          <w:tcPr>
            <w:tcW w:w="806" w:type="pct"/>
            <w:tcBorders>
              <w:top w:val="nil"/>
              <w:left w:val="nil"/>
              <w:bottom w:val="nil"/>
              <w:right w:val="nil"/>
            </w:tcBorders>
          </w:tcPr>
          <w:p w14:paraId="7BA0047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0.042</w:t>
            </w:r>
          </w:p>
        </w:tc>
      </w:tr>
      <w:tr w:rsidR="00B051E5" w:rsidRPr="00B051E5" w14:paraId="72372320" w14:textId="77777777" w:rsidTr="00A57677">
        <w:trPr>
          <w:trHeight w:val="251"/>
        </w:trPr>
        <w:tc>
          <w:tcPr>
            <w:tcW w:w="2283" w:type="pct"/>
            <w:tcBorders>
              <w:top w:val="nil"/>
              <w:left w:val="nil"/>
              <w:bottom w:val="nil"/>
              <w:right w:val="nil"/>
            </w:tcBorders>
          </w:tcPr>
          <w:p w14:paraId="5D40721F"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0C66E821"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62E3FDCC"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(0.575)</w:t>
            </w:r>
          </w:p>
        </w:tc>
        <w:tc>
          <w:tcPr>
            <w:tcW w:w="813" w:type="pct"/>
            <w:tcBorders>
              <w:top w:val="nil"/>
              <w:left w:val="nil"/>
              <w:bottom w:val="nil"/>
              <w:right w:val="nil"/>
            </w:tcBorders>
          </w:tcPr>
          <w:p w14:paraId="5F8C63B5"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(0.217)</w:t>
            </w:r>
          </w:p>
        </w:tc>
        <w:tc>
          <w:tcPr>
            <w:tcW w:w="806" w:type="pct"/>
            <w:tcBorders>
              <w:top w:val="nil"/>
              <w:left w:val="nil"/>
              <w:bottom w:val="nil"/>
              <w:right w:val="nil"/>
            </w:tcBorders>
          </w:tcPr>
          <w:p w14:paraId="27DA0679"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(0.217)</w:t>
            </w:r>
          </w:p>
        </w:tc>
      </w:tr>
      <w:tr w:rsidR="00B051E5" w:rsidRPr="00B051E5" w14:paraId="2891E6F1" w14:textId="77777777" w:rsidTr="00A57677">
        <w:trPr>
          <w:trHeight w:val="237"/>
        </w:trPr>
        <w:tc>
          <w:tcPr>
            <w:tcW w:w="2283" w:type="pct"/>
            <w:tcBorders>
              <w:top w:val="nil"/>
              <w:left w:val="nil"/>
              <w:bottom w:val="nil"/>
              <w:right w:val="nil"/>
            </w:tcBorders>
          </w:tcPr>
          <w:p w14:paraId="484B744B"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 xml:space="preserve">BINDP </w:t>
            </w:r>
          </w:p>
        </w:tc>
        <w:tc>
          <w:tcPr>
            <w:tcW w:w="285" w:type="pct"/>
            <w:tcBorders>
              <w:top w:val="nil"/>
              <w:left w:val="nil"/>
              <w:bottom w:val="nil"/>
              <w:right w:val="nil"/>
            </w:tcBorders>
          </w:tcPr>
          <w:p w14:paraId="11B929DB"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07876A6A"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-0.011</w:t>
            </w:r>
          </w:p>
        </w:tc>
        <w:tc>
          <w:tcPr>
            <w:tcW w:w="813" w:type="pct"/>
            <w:tcBorders>
              <w:top w:val="nil"/>
              <w:left w:val="nil"/>
              <w:bottom w:val="nil"/>
              <w:right w:val="nil"/>
            </w:tcBorders>
          </w:tcPr>
          <w:p w14:paraId="710A0C4B"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-0.167</w:t>
            </w:r>
          </w:p>
        </w:tc>
        <w:tc>
          <w:tcPr>
            <w:tcW w:w="806" w:type="pct"/>
            <w:tcBorders>
              <w:top w:val="nil"/>
              <w:left w:val="nil"/>
              <w:bottom w:val="nil"/>
              <w:right w:val="nil"/>
            </w:tcBorders>
          </w:tcPr>
          <w:p w14:paraId="29868465"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-0.167</w:t>
            </w:r>
          </w:p>
        </w:tc>
      </w:tr>
      <w:tr w:rsidR="00B051E5" w:rsidRPr="00B051E5" w14:paraId="36995CC4" w14:textId="77777777" w:rsidTr="00A57677">
        <w:trPr>
          <w:trHeight w:val="251"/>
        </w:trPr>
        <w:tc>
          <w:tcPr>
            <w:tcW w:w="2283" w:type="pct"/>
            <w:tcBorders>
              <w:top w:val="nil"/>
              <w:left w:val="nil"/>
              <w:bottom w:val="nil"/>
              <w:right w:val="nil"/>
            </w:tcBorders>
          </w:tcPr>
          <w:p w14:paraId="005573A3"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6941DDA6"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1EE1144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(-0.048)</w:t>
            </w:r>
          </w:p>
        </w:tc>
        <w:tc>
          <w:tcPr>
            <w:tcW w:w="813" w:type="pct"/>
            <w:tcBorders>
              <w:top w:val="nil"/>
              <w:left w:val="nil"/>
              <w:bottom w:val="nil"/>
              <w:right w:val="nil"/>
            </w:tcBorders>
          </w:tcPr>
          <w:p w14:paraId="3BD4C4E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(-0.695)</w:t>
            </w:r>
          </w:p>
        </w:tc>
        <w:tc>
          <w:tcPr>
            <w:tcW w:w="806" w:type="pct"/>
            <w:tcBorders>
              <w:top w:val="nil"/>
              <w:left w:val="nil"/>
              <w:bottom w:val="nil"/>
              <w:right w:val="nil"/>
            </w:tcBorders>
          </w:tcPr>
          <w:p w14:paraId="6C91F60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(-0.695)</w:t>
            </w:r>
          </w:p>
        </w:tc>
      </w:tr>
      <w:tr w:rsidR="00B051E5" w:rsidRPr="00B051E5" w14:paraId="272BA477" w14:textId="77777777" w:rsidTr="00A57677">
        <w:trPr>
          <w:trHeight w:val="237"/>
        </w:trPr>
        <w:tc>
          <w:tcPr>
            <w:tcW w:w="2283" w:type="pct"/>
            <w:tcBorders>
              <w:top w:val="nil"/>
              <w:left w:val="nil"/>
              <w:bottom w:val="nil"/>
              <w:right w:val="nil"/>
            </w:tcBorders>
          </w:tcPr>
          <w:p w14:paraId="34889169"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bCs/>
                <w:iCs/>
                <w:color w:val="000000" w:themeColor="text1"/>
                <w:sz w:val="20"/>
                <w:szCs w:val="20"/>
              </w:rPr>
              <w:t>CHSHAR</w:t>
            </w:r>
          </w:p>
        </w:tc>
        <w:tc>
          <w:tcPr>
            <w:tcW w:w="285" w:type="pct"/>
            <w:tcBorders>
              <w:top w:val="nil"/>
              <w:left w:val="nil"/>
              <w:bottom w:val="nil"/>
              <w:right w:val="nil"/>
            </w:tcBorders>
          </w:tcPr>
          <w:p w14:paraId="763F4A8C"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813" w:type="pct"/>
            <w:tcBorders>
              <w:top w:val="nil"/>
              <w:left w:val="nil"/>
              <w:bottom w:val="nil"/>
              <w:right w:val="nil"/>
            </w:tcBorders>
          </w:tcPr>
          <w:p w14:paraId="751BE227"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-0.009**</w:t>
            </w:r>
          </w:p>
        </w:tc>
        <w:tc>
          <w:tcPr>
            <w:tcW w:w="813" w:type="pct"/>
            <w:tcBorders>
              <w:top w:val="nil"/>
              <w:left w:val="nil"/>
              <w:bottom w:val="nil"/>
              <w:right w:val="nil"/>
            </w:tcBorders>
          </w:tcPr>
          <w:p w14:paraId="49BFF7C4"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-0.008*</w:t>
            </w:r>
          </w:p>
        </w:tc>
        <w:tc>
          <w:tcPr>
            <w:tcW w:w="806" w:type="pct"/>
            <w:tcBorders>
              <w:top w:val="nil"/>
              <w:left w:val="nil"/>
              <w:bottom w:val="nil"/>
              <w:right w:val="nil"/>
            </w:tcBorders>
          </w:tcPr>
          <w:p w14:paraId="6490EEF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-0.008*</w:t>
            </w:r>
          </w:p>
        </w:tc>
      </w:tr>
      <w:tr w:rsidR="00B051E5" w:rsidRPr="00B051E5" w14:paraId="2D79A88A" w14:textId="77777777" w:rsidTr="00A57677">
        <w:trPr>
          <w:trHeight w:val="237"/>
        </w:trPr>
        <w:tc>
          <w:tcPr>
            <w:tcW w:w="2283" w:type="pct"/>
            <w:tcBorders>
              <w:top w:val="nil"/>
              <w:left w:val="nil"/>
              <w:bottom w:val="nil"/>
              <w:right w:val="nil"/>
            </w:tcBorders>
          </w:tcPr>
          <w:p w14:paraId="505127F2"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285" w:type="pct"/>
            <w:tcBorders>
              <w:top w:val="nil"/>
              <w:left w:val="nil"/>
              <w:bottom w:val="nil"/>
              <w:right w:val="nil"/>
            </w:tcBorders>
          </w:tcPr>
          <w:p w14:paraId="54764A07"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5902C396"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(-2.124)</w:t>
            </w:r>
          </w:p>
        </w:tc>
        <w:tc>
          <w:tcPr>
            <w:tcW w:w="813" w:type="pct"/>
            <w:tcBorders>
              <w:top w:val="nil"/>
              <w:left w:val="nil"/>
              <w:bottom w:val="nil"/>
              <w:right w:val="nil"/>
            </w:tcBorders>
          </w:tcPr>
          <w:p w14:paraId="5A16318D"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(-1.866)</w:t>
            </w:r>
          </w:p>
        </w:tc>
        <w:tc>
          <w:tcPr>
            <w:tcW w:w="806" w:type="pct"/>
            <w:tcBorders>
              <w:top w:val="nil"/>
              <w:left w:val="nil"/>
              <w:bottom w:val="nil"/>
              <w:right w:val="nil"/>
            </w:tcBorders>
          </w:tcPr>
          <w:p w14:paraId="2077C2D2"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(-1.866)</w:t>
            </w:r>
          </w:p>
        </w:tc>
      </w:tr>
      <w:tr w:rsidR="00B051E5" w:rsidRPr="00B051E5" w14:paraId="0C373E1B" w14:textId="77777777" w:rsidTr="00A57677">
        <w:trPr>
          <w:trHeight w:val="251"/>
        </w:trPr>
        <w:tc>
          <w:tcPr>
            <w:tcW w:w="2283" w:type="pct"/>
            <w:tcBorders>
              <w:top w:val="nil"/>
              <w:left w:val="nil"/>
              <w:bottom w:val="nil"/>
              <w:right w:val="nil"/>
            </w:tcBorders>
          </w:tcPr>
          <w:p w14:paraId="2F437D17"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Industry-fixed effects</w:t>
            </w:r>
          </w:p>
        </w:tc>
        <w:tc>
          <w:tcPr>
            <w:tcW w:w="285" w:type="pct"/>
            <w:tcBorders>
              <w:top w:val="nil"/>
              <w:left w:val="nil"/>
              <w:bottom w:val="nil"/>
              <w:right w:val="nil"/>
            </w:tcBorders>
          </w:tcPr>
          <w:p w14:paraId="4B22B5B8"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0DA22FE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Yes</w:t>
            </w:r>
          </w:p>
        </w:tc>
        <w:tc>
          <w:tcPr>
            <w:tcW w:w="813" w:type="pct"/>
            <w:tcBorders>
              <w:top w:val="nil"/>
              <w:left w:val="nil"/>
              <w:bottom w:val="nil"/>
              <w:right w:val="nil"/>
            </w:tcBorders>
          </w:tcPr>
          <w:p w14:paraId="2215A05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Yes</w:t>
            </w:r>
          </w:p>
        </w:tc>
        <w:tc>
          <w:tcPr>
            <w:tcW w:w="806" w:type="pct"/>
            <w:tcBorders>
              <w:top w:val="nil"/>
              <w:left w:val="nil"/>
              <w:bottom w:val="nil"/>
              <w:right w:val="nil"/>
            </w:tcBorders>
          </w:tcPr>
          <w:p w14:paraId="32B606FF"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Yes</w:t>
            </w:r>
          </w:p>
        </w:tc>
      </w:tr>
      <w:tr w:rsidR="00B051E5" w:rsidRPr="00B051E5" w14:paraId="05F58164" w14:textId="77777777" w:rsidTr="00A57677">
        <w:trPr>
          <w:trHeight w:val="237"/>
        </w:trPr>
        <w:tc>
          <w:tcPr>
            <w:tcW w:w="2283" w:type="pct"/>
            <w:tcBorders>
              <w:top w:val="nil"/>
              <w:left w:val="nil"/>
              <w:bottom w:val="nil"/>
              <w:right w:val="nil"/>
            </w:tcBorders>
          </w:tcPr>
          <w:p w14:paraId="3E5640A4"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Year-fixed effects</w:t>
            </w:r>
          </w:p>
        </w:tc>
        <w:tc>
          <w:tcPr>
            <w:tcW w:w="285" w:type="pct"/>
            <w:tcBorders>
              <w:top w:val="nil"/>
              <w:left w:val="nil"/>
              <w:bottom w:val="nil"/>
              <w:right w:val="nil"/>
            </w:tcBorders>
          </w:tcPr>
          <w:p w14:paraId="0DFA9B37"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622132F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Yes</w:t>
            </w:r>
          </w:p>
        </w:tc>
        <w:tc>
          <w:tcPr>
            <w:tcW w:w="813" w:type="pct"/>
            <w:tcBorders>
              <w:top w:val="nil"/>
              <w:left w:val="nil"/>
              <w:bottom w:val="nil"/>
              <w:right w:val="nil"/>
            </w:tcBorders>
          </w:tcPr>
          <w:p w14:paraId="2EAD3175"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Yes</w:t>
            </w:r>
          </w:p>
        </w:tc>
        <w:tc>
          <w:tcPr>
            <w:tcW w:w="806" w:type="pct"/>
            <w:tcBorders>
              <w:top w:val="nil"/>
              <w:left w:val="nil"/>
              <w:bottom w:val="nil"/>
              <w:right w:val="nil"/>
            </w:tcBorders>
          </w:tcPr>
          <w:p w14:paraId="454F156B"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Yes</w:t>
            </w:r>
          </w:p>
        </w:tc>
      </w:tr>
      <w:tr w:rsidR="00B051E5" w:rsidRPr="00B051E5" w14:paraId="49DB803B" w14:textId="77777777" w:rsidTr="00A57677">
        <w:trPr>
          <w:trHeight w:val="251"/>
        </w:trPr>
        <w:tc>
          <w:tcPr>
            <w:tcW w:w="2283" w:type="pct"/>
            <w:tcBorders>
              <w:top w:val="nil"/>
              <w:left w:val="nil"/>
              <w:bottom w:val="nil"/>
              <w:right w:val="nil"/>
            </w:tcBorders>
          </w:tcPr>
          <w:p w14:paraId="367192CD"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AR (2) (</w:t>
            </w:r>
            <w:r w:rsidRPr="00B051E5">
              <w:rPr>
                <w:rFonts w:ascii="Garamond" w:hAnsi="Garamond"/>
                <w:i/>
                <w:iCs/>
                <w:color w:val="000000" w:themeColor="text1"/>
                <w:sz w:val="20"/>
                <w:szCs w:val="20"/>
              </w:rPr>
              <w:t>p-</w:t>
            </w:r>
            <w:r w:rsidRPr="00B051E5">
              <w:rPr>
                <w:rFonts w:ascii="Garamond" w:hAnsi="Garamond"/>
                <w:color w:val="000000" w:themeColor="text1"/>
                <w:sz w:val="20"/>
                <w:szCs w:val="20"/>
              </w:rPr>
              <w:t>value)</w:t>
            </w:r>
          </w:p>
        </w:tc>
        <w:tc>
          <w:tcPr>
            <w:tcW w:w="285" w:type="pct"/>
            <w:tcBorders>
              <w:top w:val="nil"/>
              <w:left w:val="nil"/>
              <w:bottom w:val="nil"/>
              <w:right w:val="nil"/>
            </w:tcBorders>
          </w:tcPr>
          <w:p w14:paraId="3E19822A"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73A347DE"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0.685</w:t>
            </w:r>
          </w:p>
        </w:tc>
        <w:tc>
          <w:tcPr>
            <w:tcW w:w="813" w:type="pct"/>
            <w:tcBorders>
              <w:top w:val="nil"/>
              <w:left w:val="nil"/>
              <w:bottom w:val="nil"/>
              <w:right w:val="nil"/>
            </w:tcBorders>
          </w:tcPr>
          <w:p w14:paraId="5A08FBD8"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0.123</w:t>
            </w:r>
          </w:p>
        </w:tc>
        <w:tc>
          <w:tcPr>
            <w:tcW w:w="806" w:type="pct"/>
            <w:tcBorders>
              <w:top w:val="nil"/>
              <w:left w:val="nil"/>
              <w:bottom w:val="nil"/>
              <w:right w:val="nil"/>
            </w:tcBorders>
          </w:tcPr>
          <w:p w14:paraId="25B27266"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0.123</w:t>
            </w:r>
          </w:p>
        </w:tc>
      </w:tr>
      <w:tr w:rsidR="00B051E5" w:rsidRPr="00B051E5" w14:paraId="3309C040" w14:textId="77777777" w:rsidTr="00A57677">
        <w:trPr>
          <w:trHeight w:val="237"/>
        </w:trPr>
        <w:tc>
          <w:tcPr>
            <w:tcW w:w="2283" w:type="pct"/>
            <w:tcBorders>
              <w:top w:val="nil"/>
              <w:left w:val="nil"/>
              <w:bottom w:val="nil"/>
              <w:right w:val="nil"/>
            </w:tcBorders>
          </w:tcPr>
          <w:p w14:paraId="04D334B9"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Hansen test (</w:t>
            </w:r>
            <w:r w:rsidRPr="00B051E5">
              <w:rPr>
                <w:rFonts w:ascii="Garamond" w:hAnsi="Garamond"/>
                <w:i/>
                <w:iCs/>
                <w:color w:val="000000" w:themeColor="text1"/>
                <w:sz w:val="20"/>
                <w:szCs w:val="20"/>
              </w:rPr>
              <w:t>p-</w:t>
            </w:r>
            <w:r w:rsidRPr="00B051E5">
              <w:rPr>
                <w:rFonts w:ascii="Garamond" w:hAnsi="Garamond"/>
                <w:color w:val="000000" w:themeColor="text1"/>
                <w:sz w:val="20"/>
                <w:szCs w:val="20"/>
              </w:rPr>
              <w:t>value)</w:t>
            </w:r>
          </w:p>
        </w:tc>
        <w:tc>
          <w:tcPr>
            <w:tcW w:w="285" w:type="pct"/>
            <w:tcBorders>
              <w:top w:val="nil"/>
              <w:left w:val="nil"/>
              <w:bottom w:val="nil"/>
              <w:right w:val="nil"/>
            </w:tcBorders>
          </w:tcPr>
          <w:p w14:paraId="359A5627"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nil"/>
              <w:right w:val="nil"/>
            </w:tcBorders>
          </w:tcPr>
          <w:p w14:paraId="7CE7F1CD"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0.766</w:t>
            </w:r>
          </w:p>
        </w:tc>
        <w:tc>
          <w:tcPr>
            <w:tcW w:w="813" w:type="pct"/>
            <w:tcBorders>
              <w:top w:val="nil"/>
              <w:left w:val="nil"/>
              <w:bottom w:val="nil"/>
              <w:right w:val="nil"/>
            </w:tcBorders>
          </w:tcPr>
          <w:p w14:paraId="69344B4B"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0.879</w:t>
            </w:r>
          </w:p>
        </w:tc>
        <w:tc>
          <w:tcPr>
            <w:tcW w:w="806" w:type="pct"/>
            <w:tcBorders>
              <w:top w:val="nil"/>
              <w:left w:val="nil"/>
              <w:bottom w:val="nil"/>
              <w:right w:val="nil"/>
            </w:tcBorders>
          </w:tcPr>
          <w:p w14:paraId="163965F9"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0.833</w:t>
            </w:r>
          </w:p>
        </w:tc>
      </w:tr>
      <w:tr w:rsidR="00B051E5" w:rsidRPr="00B051E5" w14:paraId="18303AE9" w14:textId="77777777" w:rsidTr="00A57677">
        <w:trPr>
          <w:trHeight w:val="237"/>
        </w:trPr>
        <w:tc>
          <w:tcPr>
            <w:tcW w:w="2283" w:type="pct"/>
            <w:tcBorders>
              <w:top w:val="nil"/>
              <w:left w:val="nil"/>
              <w:bottom w:val="single" w:sz="4" w:space="0" w:color="auto"/>
              <w:right w:val="nil"/>
            </w:tcBorders>
          </w:tcPr>
          <w:p w14:paraId="182112F8"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Observations</w:t>
            </w:r>
          </w:p>
        </w:tc>
        <w:tc>
          <w:tcPr>
            <w:tcW w:w="285" w:type="pct"/>
            <w:tcBorders>
              <w:top w:val="nil"/>
              <w:left w:val="nil"/>
              <w:bottom w:val="single" w:sz="4" w:space="0" w:color="auto"/>
              <w:right w:val="nil"/>
            </w:tcBorders>
          </w:tcPr>
          <w:p w14:paraId="47E18504" w14:textId="77777777" w:rsidR="00A57677" w:rsidRPr="00B051E5" w:rsidRDefault="00A57677" w:rsidP="00A57677">
            <w:pPr>
              <w:widowControl w:val="0"/>
              <w:autoSpaceDE w:val="0"/>
              <w:autoSpaceDN w:val="0"/>
              <w:adjustRightInd w:val="0"/>
              <w:rPr>
                <w:rFonts w:ascii="Garamond" w:hAnsi="Garamond"/>
                <w:color w:val="000000" w:themeColor="text1"/>
                <w:sz w:val="20"/>
                <w:szCs w:val="20"/>
              </w:rPr>
            </w:pPr>
          </w:p>
        </w:tc>
        <w:tc>
          <w:tcPr>
            <w:tcW w:w="813" w:type="pct"/>
            <w:tcBorders>
              <w:top w:val="nil"/>
              <w:left w:val="nil"/>
              <w:bottom w:val="single" w:sz="4" w:space="0" w:color="auto"/>
              <w:right w:val="nil"/>
            </w:tcBorders>
          </w:tcPr>
          <w:p w14:paraId="31B8CAE3"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1,542</w:t>
            </w:r>
          </w:p>
        </w:tc>
        <w:tc>
          <w:tcPr>
            <w:tcW w:w="813" w:type="pct"/>
            <w:tcBorders>
              <w:top w:val="nil"/>
              <w:left w:val="nil"/>
              <w:bottom w:val="single" w:sz="4" w:space="0" w:color="auto"/>
              <w:right w:val="nil"/>
            </w:tcBorders>
          </w:tcPr>
          <w:p w14:paraId="194C378A"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1,542</w:t>
            </w:r>
          </w:p>
        </w:tc>
        <w:tc>
          <w:tcPr>
            <w:tcW w:w="806" w:type="pct"/>
            <w:tcBorders>
              <w:top w:val="nil"/>
              <w:left w:val="nil"/>
              <w:bottom w:val="single" w:sz="4" w:space="0" w:color="auto"/>
              <w:right w:val="nil"/>
            </w:tcBorders>
          </w:tcPr>
          <w:p w14:paraId="1BFB7124" w14:textId="77777777" w:rsidR="00A57677" w:rsidRPr="00B051E5" w:rsidRDefault="00A57677" w:rsidP="00A57677">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1,542</w:t>
            </w:r>
          </w:p>
        </w:tc>
      </w:tr>
    </w:tbl>
    <w:p w14:paraId="27F46EBD" w14:textId="66D22306" w:rsidR="00A57677" w:rsidRPr="00B051E5" w:rsidRDefault="00A57677" w:rsidP="00A57677">
      <w:pPr>
        <w:autoSpaceDE w:val="0"/>
        <w:autoSpaceDN w:val="0"/>
        <w:adjustRightInd w:val="0"/>
        <w:spacing w:after="160"/>
        <w:ind w:right="-720"/>
        <w:rPr>
          <w:rFonts w:ascii="Garamond" w:hAnsi="Garamond" w:cs="Garamond"/>
          <w:color w:val="000000" w:themeColor="text1"/>
          <w:sz w:val="20"/>
          <w:szCs w:val="20"/>
        </w:rPr>
      </w:pPr>
      <w:r w:rsidRPr="00B051E5">
        <w:rPr>
          <w:rFonts w:ascii="Garamond" w:hAnsi="Garamond" w:cs="Garamond"/>
          <w:b/>
          <w:bCs/>
          <w:color w:val="000000" w:themeColor="text1"/>
          <w:sz w:val="20"/>
          <w:szCs w:val="20"/>
        </w:rPr>
        <w:t xml:space="preserve">Table 4. </w:t>
      </w:r>
      <w:r w:rsidRPr="00B051E5">
        <w:rPr>
          <w:rFonts w:ascii="Garamond" w:hAnsi="Garamond" w:cs="Garamond"/>
          <w:color w:val="000000" w:themeColor="text1"/>
          <w:sz w:val="20"/>
          <w:szCs w:val="20"/>
        </w:rPr>
        <w:t>System GMM estimations of stock price synchronicity on risk disclosure</w:t>
      </w:r>
    </w:p>
    <w:p w14:paraId="5AFCCF61" w14:textId="41174742" w:rsidR="00A57677" w:rsidRPr="00B051E5" w:rsidRDefault="00A57677" w:rsidP="00A57677">
      <w:pPr>
        <w:jc w:val="both"/>
        <w:rPr>
          <w:rFonts w:ascii="Garamond" w:hAnsi="Garamond" w:cs="Garamond"/>
          <w:color w:val="000000" w:themeColor="text1"/>
          <w:sz w:val="20"/>
          <w:szCs w:val="20"/>
        </w:rPr>
      </w:pPr>
      <w:r w:rsidRPr="00B051E5">
        <w:rPr>
          <w:rFonts w:ascii="Garamond" w:hAnsi="Garamond" w:cs="Garamond"/>
          <w:color w:val="000000" w:themeColor="text1"/>
          <w:sz w:val="20"/>
          <w:szCs w:val="20"/>
        </w:rPr>
        <w:t>This table reports the coefficient estimates of system GMM regressions of stock price synchronicity on risk disclosure. The dependent variable is SYNCH</w:t>
      </w:r>
      <w:r w:rsidRPr="00B051E5">
        <w:rPr>
          <w:rFonts w:ascii="Garamond" w:hAnsi="Garamond" w:cs="Garamond"/>
          <w:i/>
          <w:iCs/>
          <w:color w:val="000000" w:themeColor="text1"/>
          <w:sz w:val="20"/>
          <w:szCs w:val="20"/>
        </w:rPr>
        <w:t xml:space="preserve">, </w:t>
      </w:r>
      <w:r w:rsidRPr="00B051E5">
        <w:rPr>
          <w:rFonts w:ascii="Garamond" w:hAnsi="Garamond" w:cs="Garamond"/>
          <w:color w:val="000000" w:themeColor="text1"/>
          <w:sz w:val="20"/>
          <w:szCs w:val="20"/>
        </w:rPr>
        <w:t xml:space="preserve">and the independent variable is </w:t>
      </w:r>
      <w:r w:rsidRPr="00B051E5">
        <w:rPr>
          <w:rFonts w:ascii="Garamond" w:eastAsia="Calibri" w:hAnsi="Garamond"/>
          <w:iCs/>
          <w:color w:val="000000" w:themeColor="text1"/>
          <w:sz w:val="20"/>
          <w:szCs w:val="20"/>
          <w:lang w:eastAsia="en-US"/>
        </w:rPr>
        <w:t>PARD</w:t>
      </w:r>
      <w:r w:rsidRPr="00B051E5">
        <w:rPr>
          <w:rFonts w:ascii="Garamond" w:eastAsia="Calibri" w:hAnsi="Garamond"/>
          <w:i/>
          <w:color w:val="000000" w:themeColor="text1"/>
          <w:sz w:val="20"/>
          <w:szCs w:val="20"/>
          <w:lang w:eastAsia="en-US"/>
        </w:rPr>
        <w:t xml:space="preserve"> </w:t>
      </w:r>
      <w:r w:rsidRPr="00B051E5">
        <w:rPr>
          <w:rFonts w:ascii="Garamond" w:eastAsia="Calibri" w:hAnsi="Garamond"/>
          <w:color w:val="000000" w:themeColor="text1"/>
          <w:sz w:val="20"/>
          <w:szCs w:val="20"/>
          <w:lang w:eastAsia="en-US"/>
        </w:rPr>
        <w:t>in Model (1),</w:t>
      </w:r>
      <w:r w:rsidRPr="00B051E5">
        <w:rPr>
          <w:rFonts w:ascii="Garamond" w:hAnsi="Garamond" w:cs="Garamond"/>
          <w:i/>
          <w:iCs/>
          <w:color w:val="000000" w:themeColor="text1"/>
          <w:sz w:val="20"/>
          <w:szCs w:val="20"/>
        </w:rPr>
        <w:t xml:space="preserve"> </w:t>
      </w:r>
      <w:r w:rsidRPr="00B051E5">
        <w:rPr>
          <w:rFonts w:ascii="Garamond" w:hAnsi="Garamond" w:cs="Garamond"/>
          <w:color w:val="000000" w:themeColor="text1"/>
          <w:sz w:val="20"/>
          <w:szCs w:val="20"/>
        </w:rPr>
        <w:t>PFLRD</w:t>
      </w:r>
      <w:r w:rsidRPr="00B051E5">
        <w:rPr>
          <w:rFonts w:ascii="Garamond" w:hAnsi="Garamond" w:cs="Garamond"/>
          <w:i/>
          <w:iCs/>
          <w:color w:val="000000" w:themeColor="text1"/>
          <w:sz w:val="20"/>
          <w:szCs w:val="20"/>
        </w:rPr>
        <w:t xml:space="preserve"> </w:t>
      </w:r>
      <w:r w:rsidRPr="00B051E5">
        <w:rPr>
          <w:rFonts w:ascii="Garamond" w:hAnsi="Garamond" w:cs="Garamond"/>
          <w:color w:val="000000" w:themeColor="text1"/>
          <w:sz w:val="20"/>
          <w:szCs w:val="20"/>
        </w:rPr>
        <w:t>in Model</w:t>
      </w:r>
      <w:r w:rsidRPr="00B051E5">
        <w:rPr>
          <w:rFonts w:ascii="Garamond" w:hAnsi="Garamond" w:cs="Garamond"/>
          <w:i/>
          <w:iCs/>
          <w:color w:val="000000" w:themeColor="text1"/>
          <w:sz w:val="20"/>
          <w:szCs w:val="20"/>
        </w:rPr>
        <w:t xml:space="preserve"> </w:t>
      </w:r>
      <w:r w:rsidRPr="00B051E5">
        <w:rPr>
          <w:rFonts w:ascii="Garamond" w:hAnsi="Garamond" w:cs="Garamond"/>
          <w:color w:val="000000" w:themeColor="text1"/>
          <w:sz w:val="20"/>
          <w:szCs w:val="20"/>
        </w:rPr>
        <w:t>(2), and PNFLRD</w:t>
      </w:r>
      <w:r w:rsidRPr="00B051E5">
        <w:rPr>
          <w:rFonts w:ascii="Garamond" w:hAnsi="Garamond" w:cs="Garamond"/>
          <w:i/>
          <w:iCs/>
          <w:color w:val="000000" w:themeColor="text1"/>
          <w:sz w:val="20"/>
          <w:szCs w:val="20"/>
        </w:rPr>
        <w:t xml:space="preserve"> </w:t>
      </w:r>
      <w:r w:rsidRPr="00B051E5">
        <w:rPr>
          <w:rFonts w:ascii="Garamond" w:hAnsi="Garamond" w:cs="Garamond"/>
          <w:color w:val="000000" w:themeColor="text1"/>
          <w:sz w:val="20"/>
          <w:szCs w:val="20"/>
        </w:rPr>
        <w:t xml:space="preserve">in Model (3). E.S is the expected sign. All estimates also account for both industry- and year-fixed effects. The standard errors are corrected for any heteroskedastic bias. Numbers in parentheses represent t-values. ***, **, and * indicate the 1%, 5%, and 10% significance levels respectively. All continuous variables are winsorized at the 1st and 99th percentiles. All variables’ definitions, measures and sources are provided in Appendix </w:t>
      </w:r>
      <w:r w:rsidR="00770E81" w:rsidRPr="00B051E5">
        <w:rPr>
          <w:rFonts w:ascii="Garamond" w:hAnsi="Garamond" w:cs="Garamond"/>
          <w:color w:val="000000" w:themeColor="text1"/>
          <w:sz w:val="20"/>
          <w:szCs w:val="20"/>
        </w:rPr>
        <w:t>2</w:t>
      </w:r>
      <w:r w:rsidRPr="00B051E5">
        <w:rPr>
          <w:rFonts w:ascii="Garamond" w:hAnsi="Garamond" w:cs="Garamond"/>
          <w:color w:val="000000" w:themeColor="text1"/>
          <w:sz w:val="20"/>
          <w:szCs w:val="20"/>
        </w:rPr>
        <w:t>.</w:t>
      </w:r>
    </w:p>
    <w:p w14:paraId="3743311F" w14:textId="4DA8B799" w:rsidR="00A57677" w:rsidRPr="00B051E5" w:rsidRDefault="00A57677" w:rsidP="00951F49">
      <w:pPr>
        <w:spacing w:after="160" w:line="259" w:lineRule="auto"/>
        <w:rPr>
          <w:rFonts w:ascii="Garamond" w:hAnsi="Garamond"/>
          <w:b/>
          <w:color w:val="000000" w:themeColor="text1"/>
          <w:sz w:val="20"/>
          <w:szCs w:val="20"/>
        </w:rPr>
      </w:pPr>
    </w:p>
    <w:p w14:paraId="5C9839A7" w14:textId="56E8AA09" w:rsidR="00815ACA" w:rsidRPr="00B051E5" w:rsidRDefault="00815ACA" w:rsidP="00951F49">
      <w:pPr>
        <w:spacing w:after="160" w:line="259" w:lineRule="auto"/>
        <w:rPr>
          <w:rFonts w:ascii="Garamond" w:hAnsi="Garamond"/>
          <w:b/>
          <w:color w:val="000000" w:themeColor="text1"/>
          <w:sz w:val="20"/>
          <w:szCs w:val="20"/>
        </w:rPr>
      </w:pPr>
    </w:p>
    <w:p w14:paraId="36D00A77" w14:textId="662E3FFC" w:rsidR="00815ACA" w:rsidRPr="00B051E5" w:rsidRDefault="00815ACA" w:rsidP="00951F49">
      <w:pPr>
        <w:spacing w:after="160" w:line="259" w:lineRule="auto"/>
        <w:rPr>
          <w:rFonts w:ascii="Garamond" w:hAnsi="Garamond"/>
          <w:b/>
          <w:color w:val="000000" w:themeColor="text1"/>
          <w:sz w:val="20"/>
          <w:szCs w:val="20"/>
        </w:rPr>
      </w:pPr>
    </w:p>
    <w:p w14:paraId="17598EB3" w14:textId="61C42EEF" w:rsidR="00815ACA" w:rsidRPr="00B051E5" w:rsidRDefault="00815ACA" w:rsidP="00951F49">
      <w:pPr>
        <w:spacing w:after="160" w:line="259" w:lineRule="auto"/>
        <w:rPr>
          <w:rFonts w:ascii="Garamond" w:hAnsi="Garamond"/>
          <w:b/>
          <w:color w:val="000000" w:themeColor="text1"/>
          <w:sz w:val="20"/>
          <w:szCs w:val="20"/>
        </w:rPr>
      </w:pPr>
    </w:p>
    <w:p w14:paraId="3E4972B9" w14:textId="22C2EC44" w:rsidR="00815ACA" w:rsidRPr="00B051E5" w:rsidRDefault="00815ACA" w:rsidP="00951F49">
      <w:pPr>
        <w:spacing w:after="160" w:line="259" w:lineRule="auto"/>
        <w:rPr>
          <w:rFonts w:ascii="Garamond" w:hAnsi="Garamond"/>
          <w:b/>
          <w:color w:val="000000" w:themeColor="text1"/>
          <w:sz w:val="20"/>
          <w:szCs w:val="20"/>
        </w:rPr>
      </w:pPr>
    </w:p>
    <w:p w14:paraId="2AEEA400" w14:textId="20166FCA" w:rsidR="00815ACA" w:rsidRPr="00B051E5" w:rsidRDefault="00815ACA" w:rsidP="00951F49">
      <w:pPr>
        <w:spacing w:after="160" w:line="259" w:lineRule="auto"/>
        <w:rPr>
          <w:rFonts w:ascii="Garamond" w:hAnsi="Garamond"/>
          <w:b/>
          <w:color w:val="000000" w:themeColor="text1"/>
          <w:sz w:val="20"/>
          <w:szCs w:val="20"/>
        </w:rPr>
      </w:pPr>
    </w:p>
    <w:p w14:paraId="17CB5F6B" w14:textId="701846D6" w:rsidR="00815ACA" w:rsidRPr="00B051E5" w:rsidRDefault="00815ACA" w:rsidP="00951F49">
      <w:pPr>
        <w:spacing w:after="160" w:line="259" w:lineRule="auto"/>
        <w:rPr>
          <w:rFonts w:ascii="Garamond" w:hAnsi="Garamond"/>
          <w:b/>
          <w:color w:val="000000" w:themeColor="text1"/>
          <w:sz w:val="20"/>
          <w:szCs w:val="20"/>
        </w:rPr>
      </w:pPr>
    </w:p>
    <w:p w14:paraId="6E627E12" w14:textId="538B5BF8" w:rsidR="00815ACA" w:rsidRPr="00B051E5" w:rsidRDefault="00815ACA" w:rsidP="00951F49">
      <w:pPr>
        <w:spacing w:after="160" w:line="259" w:lineRule="auto"/>
        <w:rPr>
          <w:rFonts w:ascii="Garamond" w:hAnsi="Garamond"/>
          <w:b/>
          <w:color w:val="000000" w:themeColor="text1"/>
          <w:sz w:val="20"/>
          <w:szCs w:val="20"/>
        </w:rPr>
      </w:pPr>
    </w:p>
    <w:p w14:paraId="5CDDD1EC" w14:textId="77777777" w:rsidR="00951F49" w:rsidRPr="00B051E5" w:rsidRDefault="00951F49" w:rsidP="00951F49">
      <w:pPr>
        <w:spacing w:after="160" w:line="259" w:lineRule="auto"/>
        <w:rPr>
          <w:rFonts w:ascii="Garamond" w:hAnsi="Garamond"/>
          <w:b/>
          <w:color w:val="000000" w:themeColor="text1"/>
          <w:sz w:val="20"/>
          <w:szCs w:val="20"/>
        </w:rPr>
      </w:pPr>
    </w:p>
    <w:p w14:paraId="4C57DFC3" w14:textId="77777777" w:rsidR="00683E92" w:rsidRPr="00B051E5" w:rsidRDefault="00683E92" w:rsidP="00A57677">
      <w:pPr>
        <w:spacing w:after="160" w:line="259" w:lineRule="auto"/>
        <w:rPr>
          <w:rFonts w:ascii="Garamond" w:hAnsi="Garamond"/>
          <w:b/>
          <w:color w:val="000000" w:themeColor="text1"/>
          <w:sz w:val="20"/>
          <w:szCs w:val="20"/>
        </w:rPr>
      </w:pPr>
      <w:r w:rsidRPr="00B051E5">
        <w:rPr>
          <w:rFonts w:ascii="Garamond" w:hAnsi="Garamond"/>
          <w:b/>
          <w:color w:val="000000" w:themeColor="text1"/>
          <w:sz w:val="20"/>
          <w:szCs w:val="20"/>
        </w:rPr>
        <w:lastRenderedPageBreak/>
        <w:t xml:space="preserve">Table 5. </w:t>
      </w:r>
      <w:r w:rsidRPr="00B051E5">
        <w:rPr>
          <w:rFonts w:ascii="Garamond" w:eastAsia="Calibri" w:hAnsi="Garamond"/>
          <w:color w:val="000000" w:themeColor="text1"/>
          <w:sz w:val="20"/>
          <w:szCs w:val="20"/>
          <w:lang w:eastAsia="en-US"/>
        </w:rPr>
        <w:t xml:space="preserve">Stock price informativeness of aggregate, forward, and non-forward-looking risk disclosure conditional on the strength of corporate governance </w:t>
      </w:r>
    </w:p>
    <w:tbl>
      <w:tblPr>
        <w:tblpPr w:leftFromText="180" w:rightFromText="180" w:vertAnchor="page" w:horzAnchor="margin" w:tblpY="2100"/>
        <w:tblW w:w="10028" w:type="dxa"/>
        <w:tblLayout w:type="fixed"/>
        <w:tblCellMar>
          <w:left w:w="75" w:type="dxa"/>
          <w:right w:w="75" w:type="dxa"/>
        </w:tblCellMar>
        <w:tblLook w:val="0000" w:firstRow="0" w:lastRow="0" w:firstColumn="0" w:lastColumn="0" w:noHBand="0" w:noVBand="0"/>
      </w:tblPr>
      <w:tblGrid>
        <w:gridCol w:w="4396"/>
        <w:gridCol w:w="607"/>
        <w:gridCol w:w="1155"/>
        <w:gridCol w:w="1215"/>
        <w:gridCol w:w="1215"/>
        <w:gridCol w:w="1430"/>
        <w:gridCol w:w="10"/>
      </w:tblGrid>
      <w:tr w:rsidR="00B051E5" w:rsidRPr="00B051E5" w14:paraId="263CCBE3" w14:textId="77777777" w:rsidTr="00E94BDF">
        <w:trPr>
          <w:trHeight w:val="175"/>
        </w:trPr>
        <w:tc>
          <w:tcPr>
            <w:tcW w:w="4396" w:type="dxa"/>
            <w:vMerge w:val="restart"/>
            <w:tcBorders>
              <w:top w:val="single" w:sz="4" w:space="0" w:color="auto"/>
              <w:left w:val="nil"/>
            </w:tcBorders>
          </w:tcPr>
          <w:p w14:paraId="079B851E"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Independent variables</w:t>
            </w:r>
          </w:p>
          <w:p w14:paraId="744E7177"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p>
        </w:tc>
        <w:tc>
          <w:tcPr>
            <w:tcW w:w="607" w:type="dxa"/>
            <w:vMerge w:val="restart"/>
            <w:tcBorders>
              <w:top w:val="single" w:sz="4" w:space="0" w:color="auto"/>
              <w:right w:val="nil"/>
            </w:tcBorders>
          </w:tcPr>
          <w:p w14:paraId="0063CA76"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E.S</w:t>
            </w:r>
          </w:p>
        </w:tc>
        <w:tc>
          <w:tcPr>
            <w:tcW w:w="5025" w:type="dxa"/>
            <w:gridSpan w:val="5"/>
            <w:tcBorders>
              <w:top w:val="single" w:sz="4" w:space="0" w:color="auto"/>
              <w:left w:val="nil"/>
              <w:bottom w:val="single" w:sz="4" w:space="0" w:color="auto"/>
            </w:tcBorders>
          </w:tcPr>
          <w:p w14:paraId="0F5AB775"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 xml:space="preserve">Dependent variable: </w:t>
            </w:r>
            <w:r w:rsidRPr="00B051E5">
              <w:rPr>
                <w:rFonts w:ascii="Garamond" w:eastAsia="Calibri" w:hAnsi="Garamond"/>
                <w:b/>
                <w:i/>
                <w:color w:val="000000" w:themeColor="text1"/>
                <w:sz w:val="20"/>
                <w:szCs w:val="20"/>
                <w:lang w:eastAsia="en-US"/>
              </w:rPr>
              <w:t xml:space="preserve"> </w:t>
            </w:r>
            <w:r w:rsidRPr="00B051E5">
              <w:rPr>
                <w:rFonts w:ascii="Garamond" w:eastAsia="Calibri" w:hAnsi="Garamond"/>
                <w:b/>
                <w:iCs/>
                <w:color w:val="000000" w:themeColor="text1"/>
                <w:sz w:val="20"/>
                <w:szCs w:val="20"/>
                <w:lang w:eastAsia="en-US"/>
              </w:rPr>
              <w:t>SYNCH</w:t>
            </w:r>
          </w:p>
        </w:tc>
      </w:tr>
      <w:tr w:rsidR="00B051E5" w:rsidRPr="00B051E5" w14:paraId="34127432" w14:textId="77777777" w:rsidTr="00E94BDF">
        <w:trPr>
          <w:trHeight w:val="248"/>
        </w:trPr>
        <w:tc>
          <w:tcPr>
            <w:tcW w:w="4396" w:type="dxa"/>
            <w:vMerge/>
            <w:tcBorders>
              <w:left w:val="nil"/>
              <w:bottom w:val="single" w:sz="4" w:space="0" w:color="auto"/>
            </w:tcBorders>
          </w:tcPr>
          <w:p w14:paraId="05669725"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p>
        </w:tc>
        <w:tc>
          <w:tcPr>
            <w:tcW w:w="607" w:type="dxa"/>
            <w:vMerge/>
            <w:tcBorders>
              <w:bottom w:val="single" w:sz="4" w:space="0" w:color="auto"/>
              <w:right w:val="nil"/>
            </w:tcBorders>
          </w:tcPr>
          <w:p w14:paraId="4BC11DAA"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p>
        </w:tc>
        <w:tc>
          <w:tcPr>
            <w:tcW w:w="1155" w:type="dxa"/>
            <w:tcBorders>
              <w:top w:val="single" w:sz="4" w:space="0" w:color="auto"/>
              <w:left w:val="nil"/>
              <w:bottom w:val="single" w:sz="4" w:space="0" w:color="auto"/>
              <w:right w:val="nil"/>
            </w:tcBorders>
          </w:tcPr>
          <w:p w14:paraId="4A9BD794"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Strong CG</w:t>
            </w:r>
          </w:p>
          <w:p w14:paraId="57AA13EB"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w:t>
            </w:r>
          </w:p>
        </w:tc>
        <w:tc>
          <w:tcPr>
            <w:tcW w:w="1215" w:type="dxa"/>
            <w:tcBorders>
              <w:top w:val="single" w:sz="4" w:space="0" w:color="auto"/>
              <w:left w:val="nil"/>
              <w:bottom w:val="single" w:sz="4" w:space="0" w:color="auto"/>
              <w:right w:val="nil"/>
            </w:tcBorders>
          </w:tcPr>
          <w:p w14:paraId="32CAFF54"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Weak CG</w:t>
            </w:r>
          </w:p>
          <w:p w14:paraId="30B21501"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(2)</w:t>
            </w:r>
          </w:p>
        </w:tc>
        <w:tc>
          <w:tcPr>
            <w:tcW w:w="1215" w:type="dxa"/>
            <w:tcBorders>
              <w:top w:val="single" w:sz="4" w:space="0" w:color="auto"/>
              <w:left w:val="nil"/>
              <w:bottom w:val="single" w:sz="4" w:space="0" w:color="auto"/>
              <w:right w:val="nil"/>
            </w:tcBorders>
          </w:tcPr>
          <w:p w14:paraId="3ADC98E3"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Strong CG</w:t>
            </w:r>
          </w:p>
          <w:p w14:paraId="3BE207EB"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(3)</w:t>
            </w:r>
          </w:p>
        </w:tc>
        <w:tc>
          <w:tcPr>
            <w:tcW w:w="1440" w:type="dxa"/>
            <w:gridSpan w:val="2"/>
            <w:tcBorders>
              <w:top w:val="single" w:sz="4" w:space="0" w:color="auto"/>
              <w:left w:val="nil"/>
              <w:bottom w:val="single" w:sz="4" w:space="0" w:color="auto"/>
            </w:tcBorders>
          </w:tcPr>
          <w:p w14:paraId="695698D6"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Weak CG</w:t>
            </w:r>
          </w:p>
          <w:p w14:paraId="3A323B1C"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(4)</w:t>
            </w:r>
          </w:p>
        </w:tc>
      </w:tr>
      <w:tr w:rsidR="00B051E5" w:rsidRPr="00B051E5" w14:paraId="562724A8" w14:textId="77777777" w:rsidTr="00E94BDF">
        <w:trPr>
          <w:trHeight w:val="262"/>
        </w:trPr>
        <w:tc>
          <w:tcPr>
            <w:tcW w:w="4396" w:type="dxa"/>
            <w:tcBorders>
              <w:top w:val="single" w:sz="4" w:space="0" w:color="auto"/>
              <w:left w:val="nil"/>
              <w:bottom w:val="nil"/>
            </w:tcBorders>
          </w:tcPr>
          <w:p w14:paraId="43005F88"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 xml:space="preserve">PARD  </w:t>
            </w:r>
          </w:p>
        </w:tc>
        <w:tc>
          <w:tcPr>
            <w:tcW w:w="607" w:type="dxa"/>
            <w:tcBorders>
              <w:top w:val="single" w:sz="4" w:space="0" w:color="auto"/>
              <w:bottom w:val="nil"/>
              <w:right w:val="nil"/>
            </w:tcBorders>
          </w:tcPr>
          <w:p w14:paraId="005DB52F"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25FC783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-0.678</w:t>
            </w:r>
          </w:p>
        </w:tc>
        <w:tc>
          <w:tcPr>
            <w:tcW w:w="1215" w:type="dxa"/>
            <w:tcBorders>
              <w:top w:val="nil"/>
              <w:left w:val="nil"/>
              <w:bottom w:val="nil"/>
              <w:right w:val="nil"/>
            </w:tcBorders>
          </w:tcPr>
          <w:p w14:paraId="619C629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0.141</w:t>
            </w:r>
          </w:p>
        </w:tc>
        <w:tc>
          <w:tcPr>
            <w:tcW w:w="1215" w:type="dxa"/>
            <w:tcBorders>
              <w:top w:val="nil"/>
              <w:left w:val="nil"/>
              <w:bottom w:val="nil"/>
              <w:right w:val="nil"/>
            </w:tcBorders>
          </w:tcPr>
          <w:p w14:paraId="477E50A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440" w:type="dxa"/>
            <w:gridSpan w:val="2"/>
            <w:tcBorders>
              <w:top w:val="nil"/>
              <w:left w:val="nil"/>
              <w:bottom w:val="nil"/>
              <w:right w:val="nil"/>
            </w:tcBorders>
          </w:tcPr>
          <w:p w14:paraId="53EA14A7"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2889A3EB" w14:textId="77777777" w:rsidTr="00E94BDF">
        <w:trPr>
          <w:trHeight w:val="262"/>
        </w:trPr>
        <w:tc>
          <w:tcPr>
            <w:tcW w:w="4396" w:type="dxa"/>
            <w:tcBorders>
              <w:top w:val="nil"/>
              <w:left w:val="nil"/>
              <w:bottom w:val="nil"/>
            </w:tcBorders>
          </w:tcPr>
          <w:p w14:paraId="36B620A4"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040F04BB"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p>
        </w:tc>
        <w:tc>
          <w:tcPr>
            <w:tcW w:w="1155" w:type="dxa"/>
            <w:tcBorders>
              <w:top w:val="nil"/>
              <w:left w:val="nil"/>
              <w:bottom w:val="nil"/>
              <w:right w:val="nil"/>
            </w:tcBorders>
          </w:tcPr>
          <w:p w14:paraId="4F35228B"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(-0.840)</w:t>
            </w:r>
          </w:p>
        </w:tc>
        <w:tc>
          <w:tcPr>
            <w:tcW w:w="1215" w:type="dxa"/>
            <w:tcBorders>
              <w:top w:val="nil"/>
              <w:left w:val="nil"/>
              <w:bottom w:val="nil"/>
              <w:right w:val="nil"/>
            </w:tcBorders>
          </w:tcPr>
          <w:p w14:paraId="447B1992"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(0.146)</w:t>
            </w:r>
          </w:p>
        </w:tc>
        <w:tc>
          <w:tcPr>
            <w:tcW w:w="1215" w:type="dxa"/>
            <w:tcBorders>
              <w:top w:val="nil"/>
              <w:left w:val="nil"/>
              <w:bottom w:val="nil"/>
              <w:right w:val="nil"/>
            </w:tcBorders>
          </w:tcPr>
          <w:p w14:paraId="4190BF2B"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440" w:type="dxa"/>
            <w:gridSpan w:val="2"/>
            <w:tcBorders>
              <w:top w:val="nil"/>
              <w:left w:val="nil"/>
              <w:bottom w:val="nil"/>
              <w:right w:val="nil"/>
            </w:tcBorders>
          </w:tcPr>
          <w:p w14:paraId="6902B93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61354F86" w14:textId="77777777" w:rsidTr="00E94BDF">
        <w:trPr>
          <w:trHeight w:val="262"/>
        </w:trPr>
        <w:tc>
          <w:tcPr>
            <w:tcW w:w="4396" w:type="dxa"/>
            <w:tcBorders>
              <w:top w:val="nil"/>
              <w:left w:val="nil"/>
              <w:bottom w:val="nil"/>
            </w:tcBorders>
          </w:tcPr>
          <w:p w14:paraId="436235C7"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PFLRD_1</w:t>
            </w:r>
          </w:p>
        </w:tc>
        <w:tc>
          <w:tcPr>
            <w:tcW w:w="607" w:type="dxa"/>
            <w:tcBorders>
              <w:top w:val="nil"/>
              <w:bottom w:val="nil"/>
              <w:right w:val="nil"/>
            </w:tcBorders>
          </w:tcPr>
          <w:p w14:paraId="29B5F11B"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43EF5C2B"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50AFC2C6"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01D0080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4.190*</w:t>
            </w:r>
          </w:p>
        </w:tc>
        <w:tc>
          <w:tcPr>
            <w:tcW w:w="1440" w:type="dxa"/>
            <w:gridSpan w:val="2"/>
            <w:tcBorders>
              <w:top w:val="nil"/>
              <w:left w:val="nil"/>
              <w:bottom w:val="nil"/>
              <w:right w:val="nil"/>
            </w:tcBorders>
          </w:tcPr>
          <w:p w14:paraId="24D02C0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3.779</w:t>
            </w:r>
          </w:p>
        </w:tc>
      </w:tr>
      <w:tr w:rsidR="00B051E5" w:rsidRPr="00B051E5" w14:paraId="47D54415" w14:textId="77777777" w:rsidTr="00E94BDF">
        <w:trPr>
          <w:trHeight w:val="262"/>
        </w:trPr>
        <w:tc>
          <w:tcPr>
            <w:tcW w:w="4396" w:type="dxa"/>
            <w:tcBorders>
              <w:top w:val="nil"/>
              <w:left w:val="nil"/>
              <w:bottom w:val="nil"/>
            </w:tcBorders>
          </w:tcPr>
          <w:p w14:paraId="5538AFC1"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7ABB646A"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p>
        </w:tc>
        <w:tc>
          <w:tcPr>
            <w:tcW w:w="1155" w:type="dxa"/>
            <w:tcBorders>
              <w:top w:val="nil"/>
              <w:left w:val="nil"/>
              <w:bottom w:val="nil"/>
              <w:right w:val="nil"/>
            </w:tcBorders>
          </w:tcPr>
          <w:p w14:paraId="0208268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0DBAD1CD"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530F6743"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(1.724)</w:t>
            </w:r>
          </w:p>
        </w:tc>
        <w:tc>
          <w:tcPr>
            <w:tcW w:w="1440" w:type="dxa"/>
            <w:gridSpan w:val="2"/>
            <w:tcBorders>
              <w:top w:val="nil"/>
              <w:left w:val="nil"/>
              <w:bottom w:val="nil"/>
              <w:right w:val="nil"/>
            </w:tcBorders>
          </w:tcPr>
          <w:p w14:paraId="10F9524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(1.415)</w:t>
            </w:r>
          </w:p>
        </w:tc>
      </w:tr>
      <w:tr w:rsidR="00B051E5" w:rsidRPr="00B051E5" w14:paraId="75832E10" w14:textId="77777777" w:rsidTr="00E94BDF">
        <w:trPr>
          <w:trHeight w:val="262"/>
        </w:trPr>
        <w:tc>
          <w:tcPr>
            <w:tcW w:w="4396" w:type="dxa"/>
            <w:tcBorders>
              <w:top w:val="nil"/>
              <w:left w:val="nil"/>
              <w:bottom w:val="nil"/>
            </w:tcBorders>
          </w:tcPr>
          <w:p w14:paraId="5BA1A382"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PNFLRD_1</w:t>
            </w:r>
          </w:p>
        </w:tc>
        <w:tc>
          <w:tcPr>
            <w:tcW w:w="607" w:type="dxa"/>
            <w:tcBorders>
              <w:top w:val="nil"/>
              <w:bottom w:val="nil"/>
              <w:right w:val="nil"/>
            </w:tcBorders>
          </w:tcPr>
          <w:p w14:paraId="630A8FCF"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273BF362"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41F4C1C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65B9EA12"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-2.044**</w:t>
            </w:r>
          </w:p>
        </w:tc>
        <w:tc>
          <w:tcPr>
            <w:tcW w:w="1440" w:type="dxa"/>
            <w:gridSpan w:val="2"/>
            <w:tcBorders>
              <w:top w:val="nil"/>
              <w:left w:val="nil"/>
              <w:bottom w:val="nil"/>
              <w:right w:val="nil"/>
            </w:tcBorders>
          </w:tcPr>
          <w:p w14:paraId="28559007"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-0.863</w:t>
            </w:r>
          </w:p>
        </w:tc>
      </w:tr>
      <w:tr w:rsidR="00B051E5" w:rsidRPr="00B051E5" w14:paraId="1B1629F7" w14:textId="77777777" w:rsidTr="00E94BDF">
        <w:trPr>
          <w:trHeight w:val="262"/>
        </w:trPr>
        <w:tc>
          <w:tcPr>
            <w:tcW w:w="4396" w:type="dxa"/>
            <w:tcBorders>
              <w:top w:val="nil"/>
              <w:left w:val="nil"/>
              <w:bottom w:val="nil"/>
            </w:tcBorders>
          </w:tcPr>
          <w:p w14:paraId="448B0DA1"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2596B008"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20EBF4E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171E2AA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p>
        </w:tc>
        <w:tc>
          <w:tcPr>
            <w:tcW w:w="1215" w:type="dxa"/>
            <w:tcBorders>
              <w:top w:val="nil"/>
              <w:left w:val="nil"/>
              <w:bottom w:val="nil"/>
              <w:right w:val="nil"/>
            </w:tcBorders>
          </w:tcPr>
          <w:p w14:paraId="7B56935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(-2.062)</w:t>
            </w:r>
          </w:p>
        </w:tc>
        <w:tc>
          <w:tcPr>
            <w:tcW w:w="1440" w:type="dxa"/>
            <w:gridSpan w:val="2"/>
            <w:tcBorders>
              <w:top w:val="nil"/>
              <w:left w:val="nil"/>
              <w:bottom w:val="nil"/>
              <w:right w:val="nil"/>
            </w:tcBorders>
          </w:tcPr>
          <w:p w14:paraId="435E7E0A"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(-0.731)</w:t>
            </w:r>
          </w:p>
        </w:tc>
      </w:tr>
      <w:tr w:rsidR="00B051E5" w:rsidRPr="00B051E5" w14:paraId="1089AA92" w14:textId="77777777" w:rsidTr="00E94BDF">
        <w:trPr>
          <w:trHeight w:val="262"/>
        </w:trPr>
        <w:tc>
          <w:tcPr>
            <w:tcW w:w="4396" w:type="dxa"/>
            <w:tcBorders>
              <w:top w:val="nil"/>
              <w:left w:val="nil"/>
              <w:bottom w:val="nil"/>
            </w:tcBorders>
          </w:tcPr>
          <w:p w14:paraId="3C54A486"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SIZE</w:t>
            </w:r>
          </w:p>
        </w:tc>
        <w:tc>
          <w:tcPr>
            <w:tcW w:w="607" w:type="dxa"/>
            <w:tcBorders>
              <w:top w:val="nil"/>
              <w:bottom w:val="nil"/>
              <w:right w:val="nil"/>
            </w:tcBorders>
          </w:tcPr>
          <w:p w14:paraId="16388093"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10A93D5B"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0.094***</w:t>
            </w:r>
          </w:p>
        </w:tc>
        <w:tc>
          <w:tcPr>
            <w:tcW w:w="1215" w:type="dxa"/>
            <w:tcBorders>
              <w:top w:val="nil"/>
              <w:left w:val="nil"/>
              <w:bottom w:val="nil"/>
              <w:right w:val="nil"/>
            </w:tcBorders>
          </w:tcPr>
          <w:p w14:paraId="47A3772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0.100***</w:t>
            </w:r>
          </w:p>
        </w:tc>
        <w:tc>
          <w:tcPr>
            <w:tcW w:w="1215" w:type="dxa"/>
            <w:tcBorders>
              <w:top w:val="nil"/>
              <w:left w:val="nil"/>
              <w:bottom w:val="nil"/>
              <w:right w:val="nil"/>
            </w:tcBorders>
          </w:tcPr>
          <w:p w14:paraId="651E8AED"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0.095***</w:t>
            </w:r>
          </w:p>
        </w:tc>
        <w:tc>
          <w:tcPr>
            <w:tcW w:w="1440" w:type="dxa"/>
            <w:gridSpan w:val="2"/>
            <w:tcBorders>
              <w:top w:val="nil"/>
              <w:left w:val="nil"/>
              <w:bottom w:val="nil"/>
              <w:right w:val="nil"/>
            </w:tcBorders>
          </w:tcPr>
          <w:p w14:paraId="5FC480A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0.099***</w:t>
            </w:r>
          </w:p>
        </w:tc>
      </w:tr>
      <w:tr w:rsidR="00B051E5" w:rsidRPr="00B051E5" w14:paraId="72A2B456" w14:textId="77777777" w:rsidTr="00E94BDF">
        <w:trPr>
          <w:trHeight w:val="262"/>
        </w:trPr>
        <w:tc>
          <w:tcPr>
            <w:tcW w:w="4396" w:type="dxa"/>
            <w:tcBorders>
              <w:top w:val="nil"/>
              <w:left w:val="nil"/>
              <w:bottom w:val="nil"/>
            </w:tcBorders>
          </w:tcPr>
          <w:p w14:paraId="0C615339"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0CC25D52"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1782BB5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(3.174)</w:t>
            </w:r>
          </w:p>
        </w:tc>
        <w:tc>
          <w:tcPr>
            <w:tcW w:w="1215" w:type="dxa"/>
            <w:tcBorders>
              <w:top w:val="nil"/>
              <w:left w:val="nil"/>
              <w:bottom w:val="nil"/>
              <w:right w:val="nil"/>
            </w:tcBorders>
          </w:tcPr>
          <w:p w14:paraId="0D594343"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(3.097)</w:t>
            </w:r>
          </w:p>
        </w:tc>
        <w:tc>
          <w:tcPr>
            <w:tcW w:w="1215" w:type="dxa"/>
            <w:tcBorders>
              <w:top w:val="nil"/>
              <w:left w:val="nil"/>
              <w:bottom w:val="nil"/>
              <w:right w:val="nil"/>
            </w:tcBorders>
          </w:tcPr>
          <w:p w14:paraId="3476083B"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(3.226)</w:t>
            </w:r>
          </w:p>
        </w:tc>
        <w:tc>
          <w:tcPr>
            <w:tcW w:w="1440" w:type="dxa"/>
            <w:gridSpan w:val="2"/>
            <w:tcBorders>
              <w:top w:val="nil"/>
              <w:left w:val="nil"/>
              <w:bottom w:val="nil"/>
              <w:right w:val="nil"/>
            </w:tcBorders>
          </w:tcPr>
          <w:p w14:paraId="2F267D53"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(3.078)</w:t>
            </w:r>
          </w:p>
        </w:tc>
      </w:tr>
      <w:tr w:rsidR="00B051E5" w:rsidRPr="00B051E5" w14:paraId="6A9F66DB" w14:textId="77777777" w:rsidTr="00E94BDF">
        <w:trPr>
          <w:trHeight w:val="262"/>
        </w:trPr>
        <w:tc>
          <w:tcPr>
            <w:tcW w:w="4396" w:type="dxa"/>
            <w:tcBorders>
              <w:top w:val="nil"/>
              <w:left w:val="nil"/>
              <w:bottom w:val="nil"/>
            </w:tcBorders>
          </w:tcPr>
          <w:p w14:paraId="66ED499E"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LEV</w:t>
            </w:r>
          </w:p>
        </w:tc>
        <w:tc>
          <w:tcPr>
            <w:tcW w:w="607" w:type="dxa"/>
            <w:tcBorders>
              <w:top w:val="nil"/>
              <w:bottom w:val="nil"/>
              <w:right w:val="nil"/>
            </w:tcBorders>
          </w:tcPr>
          <w:p w14:paraId="382E0E56"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59E8CE36"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-0.003</w:t>
            </w:r>
          </w:p>
        </w:tc>
        <w:tc>
          <w:tcPr>
            <w:tcW w:w="1215" w:type="dxa"/>
            <w:tcBorders>
              <w:top w:val="nil"/>
              <w:left w:val="nil"/>
              <w:bottom w:val="nil"/>
              <w:right w:val="nil"/>
            </w:tcBorders>
          </w:tcPr>
          <w:p w14:paraId="533BC6B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0.008</w:t>
            </w:r>
          </w:p>
        </w:tc>
        <w:tc>
          <w:tcPr>
            <w:tcW w:w="1215" w:type="dxa"/>
            <w:tcBorders>
              <w:top w:val="nil"/>
              <w:left w:val="nil"/>
              <w:bottom w:val="nil"/>
              <w:right w:val="nil"/>
            </w:tcBorders>
          </w:tcPr>
          <w:p w14:paraId="3742E67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-0.004</w:t>
            </w:r>
          </w:p>
        </w:tc>
        <w:tc>
          <w:tcPr>
            <w:tcW w:w="1440" w:type="dxa"/>
            <w:gridSpan w:val="2"/>
            <w:tcBorders>
              <w:top w:val="nil"/>
              <w:left w:val="nil"/>
              <w:bottom w:val="nil"/>
              <w:right w:val="nil"/>
            </w:tcBorders>
          </w:tcPr>
          <w:p w14:paraId="1C9065D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0.010</w:t>
            </w:r>
          </w:p>
        </w:tc>
      </w:tr>
      <w:tr w:rsidR="00B051E5" w:rsidRPr="00B051E5" w14:paraId="1CBBA97A" w14:textId="77777777" w:rsidTr="00E94BDF">
        <w:trPr>
          <w:trHeight w:val="262"/>
        </w:trPr>
        <w:tc>
          <w:tcPr>
            <w:tcW w:w="4396" w:type="dxa"/>
            <w:tcBorders>
              <w:top w:val="nil"/>
              <w:left w:val="nil"/>
              <w:bottom w:val="nil"/>
            </w:tcBorders>
          </w:tcPr>
          <w:p w14:paraId="0039CE88"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44B4EB42"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6BB21120"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(-0.129)</w:t>
            </w:r>
          </w:p>
        </w:tc>
        <w:tc>
          <w:tcPr>
            <w:tcW w:w="1215" w:type="dxa"/>
            <w:tcBorders>
              <w:top w:val="nil"/>
              <w:left w:val="nil"/>
              <w:bottom w:val="nil"/>
              <w:right w:val="nil"/>
            </w:tcBorders>
          </w:tcPr>
          <w:p w14:paraId="2947F229"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(0.294)</w:t>
            </w:r>
          </w:p>
        </w:tc>
        <w:tc>
          <w:tcPr>
            <w:tcW w:w="1215" w:type="dxa"/>
            <w:tcBorders>
              <w:top w:val="nil"/>
              <w:left w:val="nil"/>
              <w:bottom w:val="nil"/>
              <w:right w:val="nil"/>
            </w:tcBorders>
          </w:tcPr>
          <w:p w14:paraId="4821DA59"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(-0.162)</w:t>
            </w:r>
          </w:p>
        </w:tc>
        <w:tc>
          <w:tcPr>
            <w:tcW w:w="1440" w:type="dxa"/>
            <w:gridSpan w:val="2"/>
            <w:tcBorders>
              <w:top w:val="nil"/>
              <w:left w:val="nil"/>
              <w:bottom w:val="nil"/>
              <w:right w:val="nil"/>
            </w:tcBorders>
          </w:tcPr>
          <w:p w14:paraId="55C25ECC"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(0.352)</w:t>
            </w:r>
          </w:p>
        </w:tc>
      </w:tr>
      <w:tr w:rsidR="00B051E5" w:rsidRPr="00B051E5" w14:paraId="0D173D33" w14:textId="77777777" w:rsidTr="00E94BDF">
        <w:trPr>
          <w:trHeight w:val="262"/>
        </w:trPr>
        <w:tc>
          <w:tcPr>
            <w:tcW w:w="4396" w:type="dxa"/>
            <w:tcBorders>
              <w:top w:val="nil"/>
              <w:left w:val="nil"/>
              <w:bottom w:val="nil"/>
            </w:tcBorders>
          </w:tcPr>
          <w:p w14:paraId="66618057"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VOL</w:t>
            </w:r>
          </w:p>
        </w:tc>
        <w:tc>
          <w:tcPr>
            <w:tcW w:w="607" w:type="dxa"/>
            <w:tcBorders>
              <w:top w:val="nil"/>
              <w:bottom w:val="nil"/>
              <w:right w:val="nil"/>
            </w:tcBorders>
          </w:tcPr>
          <w:p w14:paraId="45856D56"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2AC04D0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0.094**</w:t>
            </w:r>
          </w:p>
        </w:tc>
        <w:tc>
          <w:tcPr>
            <w:tcW w:w="1215" w:type="dxa"/>
            <w:tcBorders>
              <w:top w:val="nil"/>
              <w:left w:val="nil"/>
              <w:bottom w:val="nil"/>
              <w:right w:val="nil"/>
            </w:tcBorders>
          </w:tcPr>
          <w:p w14:paraId="2E5764F3"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0.055*</w:t>
            </w:r>
          </w:p>
        </w:tc>
        <w:tc>
          <w:tcPr>
            <w:tcW w:w="1215" w:type="dxa"/>
            <w:tcBorders>
              <w:top w:val="nil"/>
              <w:left w:val="nil"/>
              <w:bottom w:val="nil"/>
              <w:right w:val="nil"/>
            </w:tcBorders>
          </w:tcPr>
          <w:p w14:paraId="69C89797"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0.090**</w:t>
            </w:r>
          </w:p>
        </w:tc>
        <w:tc>
          <w:tcPr>
            <w:tcW w:w="1440" w:type="dxa"/>
            <w:gridSpan w:val="2"/>
            <w:tcBorders>
              <w:top w:val="nil"/>
              <w:left w:val="nil"/>
              <w:bottom w:val="nil"/>
              <w:right w:val="nil"/>
            </w:tcBorders>
          </w:tcPr>
          <w:p w14:paraId="4F6C697A"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0.051</w:t>
            </w:r>
          </w:p>
        </w:tc>
      </w:tr>
      <w:tr w:rsidR="00B051E5" w:rsidRPr="00B051E5" w14:paraId="4229D3FF" w14:textId="77777777" w:rsidTr="00E94BDF">
        <w:trPr>
          <w:trHeight w:val="262"/>
        </w:trPr>
        <w:tc>
          <w:tcPr>
            <w:tcW w:w="4396" w:type="dxa"/>
            <w:tcBorders>
              <w:top w:val="nil"/>
              <w:left w:val="nil"/>
              <w:bottom w:val="nil"/>
            </w:tcBorders>
          </w:tcPr>
          <w:p w14:paraId="4F9372C4"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66A6AD9B"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235EFC6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(2.518)</w:t>
            </w:r>
          </w:p>
        </w:tc>
        <w:tc>
          <w:tcPr>
            <w:tcW w:w="1215" w:type="dxa"/>
            <w:tcBorders>
              <w:top w:val="nil"/>
              <w:left w:val="nil"/>
              <w:bottom w:val="nil"/>
              <w:right w:val="nil"/>
            </w:tcBorders>
          </w:tcPr>
          <w:p w14:paraId="0E070219"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(1.674)</w:t>
            </w:r>
          </w:p>
        </w:tc>
        <w:tc>
          <w:tcPr>
            <w:tcW w:w="1215" w:type="dxa"/>
            <w:tcBorders>
              <w:top w:val="nil"/>
              <w:left w:val="nil"/>
              <w:bottom w:val="nil"/>
              <w:right w:val="nil"/>
            </w:tcBorders>
          </w:tcPr>
          <w:p w14:paraId="3DE82F6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(2.395)</w:t>
            </w:r>
          </w:p>
        </w:tc>
        <w:tc>
          <w:tcPr>
            <w:tcW w:w="1440" w:type="dxa"/>
            <w:gridSpan w:val="2"/>
            <w:tcBorders>
              <w:top w:val="nil"/>
              <w:left w:val="nil"/>
              <w:bottom w:val="nil"/>
              <w:right w:val="nil"/>
            </w:tcBorders>
          </w:tcPr>
          <w:p w14:paraId="0F6F76B6"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(1.528)</w:t>
            </w:r>
          </w:p>
        </w:tc>
      </w:tr>
      <w:tr w:rsidR="00B051E5" w:rsidRPr="00B051E5" w14:paraId="41F65891" w14:textId="77777777" w:rsidTr="00E94BDF">
        <w:trPr>
          <w:trHeight w:val="262"/>
        </w:trPr>
        <w:tc>
          <w:tcPr>
            <w:tcW w:w="4396" w:type="dxa"/>
            <w:tcBorders>
              <w:top w:val="nil"/>
              <w:left w:val="nil"/>
              <w:bottom w:val="nil"/>
            </w:tcBorders>
          </w:tcPr>
          <w:p w14:paraId="59B6BA19"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MTB</w:t>
            </w:r>
          </w:p>
        </w:tc>
        <w:tc>
          <w:tcPr>
            <w:tcW w:w="607" w:type="dxa"/>
            <w:tcBorders>
              <w:top w:val="nil"/>
              <w:bottom w:val="nil"/>
              <w:right w:val="nil"/>
            </w:tcBorders>
          </w:tcPr>
          <w:p w14:paraId="520E3077"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056627D7"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215" w:type="dxa"/>
            <w:tcBorders>
              <w:top w:val="nil"/>
              <w:left w:val="nil"/>
              <w:bottom w:val="nil"/>
              <w:right w:val="nil"/>
            </w:tcBorders>
          </w:tcPr>
          <w:p w14:paraId="3B13181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-0.005</w:t>
            </w:r>
          </w:p>
        </w:tc>
        <w:tc>
          <w:tcPr>
            <w:tcW w:w="1215" w:type="dxa"/>
            <w:tcBorders>
              <w:top w:val="nil"/>
              <w:left w:val="nil"/>
              <w:bottom w:val="nil"/>
              <w:right w:val="nil"/>
            </w:tcBorders>
          </w:tcPr>
          <w:p w14:paraId="668FA136"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440" w:type="dxa"/>
            <w:gridSpan w:val="2"/>
            <w:tcBorders>
              <w:top w:val="nil"/>
              <w:left w:val="nil"/>
              <w:bottom w:val="nil"/>
              <w:right w:val="nil"/>
            </w:tcBorders>
          </w:tcPr>
          <w:p w14:paraId="2F288EAD"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-0.006</w:t>
            </w:r>
          </w:p>
        </w:tc>
      </w:tr>
      <w:tr w:rsidR="00B051E5" w:rsidRPr="00B051E5" w14:paraId="3161F139" w14:textId="77777777" w:rsidTr="00E94BDF">
        <w:trPr>
          <w:trHeight w:val="262"/>
        </w:trPr>
        <w:tc>
          <w:tcPr>
            <w:tcW w:w="4396" w:type="dxa"/>
            <w:tcBorders>
              <w:top w:val="nil"/>
              <w:left w:val="nil"/>
              <w:bottom w:val="nil"/>
            </w:tcBorders>
          </w:tcPr>
          <w:p w14:paraId="22B084B9"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68E08313"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08114FE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(-0.460)</w:t>
            </w:r>
          </w:p>
        </w:tc>
        <w:tc>
          <w:tcPr>
            <w:tcW w:w="1215" w:type="dxa"/>
            <w:tcBorders>
              <w:top w:val="nil"/>
              <w:left w:val="nil"/>
              <w:bottom w:val="nil"/>
              <w:right w:val="nil"/>
            </w:tcBorders>
          </w:tcPr>
          <w:p w14:paraId="1B32851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(-1.117)</w:t>
            </w:r>
          </w:p>
        </w:tc>
        <w:tc>
          <w:tcPr>
            <w:tcW w:w="1215" w:type="dxa"/>
            <w:tcBorders>
              <w:top w:val="nil"/>
              <w:left w:val="nil"/>
              <w:bottom w:val="nil"/>
              <w:right w:val="nil"/>
            </w:tcBorders>
          </w:tcPr>
          <w:p w14:paraId="7C28A416"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(-0.538)</w:t>
            </w:r>
          </w:p>
        </w:tc>
        <w:tc>
          <w:tcPr>
            <w:tcW w:w="1440" w:type="dxa"/>
            <w:gridSpan w:val="2"/>
            <w:tcBorders>
              <w:top w:val="nil"/>
              <w:left w:val="nil"/>
              <w:bottom w:val="nil"/>
              <w:right w:val="nil"/>
            </w:tcBorders>
          </w:tcPr>
          <w:p w14:paraId="3E2BCCF0"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(-1.165)</w:t>
            </w:r>
          </w:p>
        </w:tc>
      </w:tr>
      <w:tr w:rsidR="00B051E5" w:rsidRPr="00B051E5" w14:paraId="6B7C981B" w14:textId="77777777" w:rsidTr="00E94BDF">
        <w:trPr>
          <w:trHeight w:val="246"/>
        </w:trPr>
        <w:tc>
          <w:tcPr>
            <w:tcW w:w="4396" w:type="dxa"/>
            <w:tcBorders>
              <w:top w:val="nil"/>
              <w:left w:val="nil"/>
              <w:bottom w:val="nil"/>
            </w:tcBorders>
          </w:tcPr>
          <w:p w14:paraId="156FEFFA"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VOLATILITY</w:t>
            </w:r>
          </w:p>
        </w:tc>
        <w:tc>
          <w:tcPr>
            <w:tcW w:w="607" w:type="dxa"/>
            <w:tcBorders>
              <w:top w:val="nil"/>
              <w:bottom w:val="nil"/>
              <w:right w:val="nil"/>
            </w:tcBorders>
          </w:tcPr>
          <w:p w14:paraId="0255FC40"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37BAE01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-0.013</w:t>
            </w:r>
          </w:p>
        </w:tc>
        <w:tc>
          <w:tcPr>
            <w:tcW w:w="1215" w:type="dxa"/>
            <w:tcBorders>
              <w:top w:val="nil"/>
              <w:left w:val="nil"/>
              <w:bottom w:val="nil"/>
              <w:right w:val="nil"/>
            </w:tcBorders>
          </w:tcPr>
          <w:p w14:paraId="1733BF1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-0.225</w:t>
            </w:r>
          </w:p>
        </w:tc>
        <w:tc>
          <w:tcPr>
            <w:tcW w:w="1215" w:type="dxa"/>
            <w:tcBorders>
              <w:top w:val="nil"/>
              <w:left w:val="nil"/>
              <w:bottom w:val="nil"/>
              <w:right w:val="nil"/>
            </w:tcBorders>
          </w:tcPr>
          <w:p w14:paraId="37364240"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-0.042</w:t>
            </w:r>
          </w:p>
        </w:tc>
        <w:tc>
          <w:tcPr>
            <w:tcW w:w="1440" w:type="dxa"/>
            <w:gridSpan w:val="2"/>
            <w:tcBorders>
              <w:top w:val="nil"/>
              <w:left w:val="nil"/>
              <w:bottom w:val="nil"/>
              <w:right w:val="nil"/>
            </w:tcBorders>
          </w:tcPr>
          <w:p w14:paraId="37985EE0"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-0.244</w:t>
            </w:r>
          </w:p>
        </w:tc>
      </w:tr>
      <w:tr w:rsidR="00B051E5" w:rsidRPr="00B051E5" w14:paraId="10E6BAA9" w14:textId="77777777" w:rsidTr="00E94BDF">
        <w:trPr>
          <w:trHeight w:val="262"/>
        </w:trPr>
        <w:tc>
          <w:tcPr>
            <w:tcW w:w="4396" w:type="dxa"/>
            <w:tcBorders>
              <w:top w:val="nil"/>
              <w:left w:val="nil"/>
              <w:bottom w:val="nil"/>
            </w:tcBorders>
          </w:tcPr>
          <w:p w14:paraId="25E430C2"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3E2F3A26"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34D69C12"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(-0.050)</w:t>
            </w:r>
          </w:p>
        </w:tc>
        <w:tc>
          <w:tcPr>
            <w:tcW w:w="1215" w:type="dxa"/>
            <w:tcBorders>
              <w:top w:val="nil"/>
              <w:left w:val="nil"/>
              <w:bottom w:val="nil"/>
              <w:right w:val="nil"/>
            </w:tcBorders>
          </w:tcPr>
          <w:p w14:paraId="282E375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(-0.886)</w:t>
            </w:r>
          </w:p>
        </w:tc>
        <w:tc>
          <w:tcPr>
            <w:tcW w:w="1215" w:type="dxa"/>
            <w:tcBorders>
              <w:top w:val="nil"/>
              <w:left w:val="nil"/>
              <w:bottom w:val="nil"/>
              <w:right w:val="nil"/>
            </w:tcBorders>
          </w:tcPr>
          <w:p w14:paraId="100D74B9"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(-0.155)</w:t>
            </w:r>
          </w:p>
        </w:tc>
        <w:tc>
          <w:tcPr>
            <w:tcW w:w="1440" w:type="dxa"/>
            <w:gridSpan w:val="2"/>
            <w:tcBorders>
              <w:top w:val="nil"/>
              <w:left w:val="nil"/>
              <w:bottom w:val="nil"/>
              <w:right w:val="nil"/>
            </w:tcBorders>
          </w:tcPr>
          <w:p w14:paraId="6F43A390"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(-0.963)</w:t>
            </w:r>
          </w:p>
        </w:tc>
      </w:tr>
      <w:tr w:rsidR="00B051E5" w:rsidRPr="00B051E5" w14:paraId="699D1EC8" w14:textId="77777777" w:rsidTr="00E94BDF">
        <w:trPr>
          <w:trHeight w:val="262"/>
        </w:trPr>
        <w:tc>
          <w:tcPr>
            <w:tcW w:w="4396" w:type="dxa"/>
            <w:tcBorders>
              <w:top w:val="nil"/>
              <w:left w:val="nil"/>
              <w:bottom w:val="nil"/>
            </w:tcBorders>
          </w:tcPr>
          <w:p w14:paraId="7E9395DF"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ROA</w:t>
            </w:r>
          </w:p>
        </w:tc>
        <w:tc>
          <w:tcPr>
            <w:tcW w:w="607" w:type="dxa"/>
            <w:tcBorders>
              <w:top w:val="nil"/>
              <w:bottom w:val="nil"/>
              <w:right w:val="nil"/>
            </w:tcBorders>
          </w:tcPr>
          <w:p w14:paraId="7EE979DA"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5DF4AB7C"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0.004</w:t>
            </w:r>
          </w:p>
        </w:tc>
        <w:tc>
          <w:tcPr>
            <w:tcW w:w="1215" w:type="dxa"/>
            <w:tcBorders>
              <w:top w:val="nil"/>
              <w:left w:val="nil"/>
              <w:bottom w:val="nil"/>
              <w:right w:val="nil"/>
            </w:tcBorders>
          </w:tcPr>
          <w:p w14:paraId="0E63A7AA"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c>
          <w:tcPr>
            <w:tcW w:w="1215" w:type="dxa"/>
            <w:tcBorders>
              <w:top w:val="nil"/>
              <w:left w:val="nil"/>
              <w:bottom w:val="nil"/>
              <w:right w:val="nil"/>
            </w:tcBorders>
          </w:tcPr>
          <w:p w14:paraId="2023E2A7"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0.003</w:t>
            </w:r>
          </w:p>
        </w:tc>
        <w:tc>
          <w:tcPr>
            <w:tcW w:w="1440" w:type="dxa"/>
            <w:gridSpan w:val="2"/>
            <w:tcBorders>
              <w:top w:val="nil"/>
              <w:left w:val="nil"/>
              <w:bottom w:val="nil"/>
              <w:right w:val="nil"/>
            </w:tcBorders>
          </w:tcPr>
          <w:p w14:paraId="1BBAD57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0.001</w:t>
            </w:r>
          </w:p>
        </w:tc>
      </w:tr>
      <w:tr w:rsidR="00B051E5" w:rsidRPr="00B051E5" w14:paraId="73EE900D" w14:textId="77777777" w:rsidTr="00E94BDF">
        <w:trPr>
          <w:trHeight w:val="262"/>
        </w:trPr>
        <w:tc>
          <w:tcPr>
            <w:tcW w:w="4396" w:type="dxa"/>
            <w:tcBorders>
              <w:top w:val="nil"/>
              <w:left w:val="nil"/>
              <w:bottom w:val="nil"/>
            </w:tcBorders>
          </w:tcPr>
          <w:p w14:paraId="4BB2E0F5"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286CEBF9"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75A5888B"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(0.745)</w:t>
            </w:r>
          </w:p>
        </w:tc>
        <w:tc>
          <w:tcPr>
            <w:tcW w:w="1215" w:type="dxa"/>
            <w:tcBorders>
              <w:top w:val="nil"/>
              <w:left w:val="nil"/>
              <w:bottom w:val="nil"/>
              <w:right w:val="nil"/>
            </w:tcBorders>
          </w:tcPr>
          <w:p w14:paraId="6A743B92"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(0.160)</w:t>
            </w:r>
          </w:p>
        </w:tc>
        <w:tc>
          <w:tcPr>
            <w:tcW w:w="1215" w:type="dxa"/>
            <w:tcBorders>
              <w:top w:val="nil"/>
              <w:left w:val="nil"/>
              <w:bottom w:val="nil"/>
              <w:right w:val="nil"/>
            </w:tcBorders>
          </w:tcPr>
          <w:p w14:paraId="081E52A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(0.668)</w:t>
            </w:r>
          </w:p>
        </w:tc>
        <w:tc>
          <w:tcPr>
            <w:tcW w:w="1440" w:type="dxa"/>
            <w:gridSpan w:val="2"/>
            <w:tcBorders>
              <w:top w:val="nil"/>
              <w:left w:val="nil"/>
              <w:bottom w:val="nil"/>
              <w:right w:val="nil"/>
            </w:tcBorders>
          </w:tcPr>
          <w:p w14:paraId="0E55280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(0.114)</w:t>
            </w:r>
          </w:p>
        </w:tc>
      </w:tr>
      <w:tr w:rsidR="00B051E5" w:rsidRPr="00B051E5" w14:paraId="7D7A4C0D" w14:textId="77777777" w:rsidTr="00E94BDF">
        <w:trPr>
          <w:trHeight w:val="262"/>
        </w:trPr>
        <w:tc>
          <w:tcPr>
            <w:tcW w:w="4396" w:type="dxa"/>
            <w:tcBorders>
              <w:top w:val="nil"/>
              <w:left w:val="nil"/>
              <w:bottom w:val="nil"/>
            </w:tcBorders>
          </w:tcPr>
          <w:p w14:paraId="2219434D"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BSIZE</w:t>
            </w:r>
          </w:p>
        </w:tc>
        <w:tc>
          <w:tcPr>
            <w:tcW w:w="607" w:type="dxa"/>
            <w:tcBorders>
              <w:top w:val="nil"/>
              <w:bottom w:val="nil"/>
              <w:right w:val="nil"/>
            </w:tcBorders>
          </w:tcPr>
          <w:p w14:paraId="3E37AF20"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7946236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-0.046</w:t>
            </w:r>
          </w:p>
        </w:tc>
        <w:tc>
          <w:tcPr>
            <w:tcW w:w="1215" w:type="dxa"/>
            <w:tcBorders>
              <w:top w:val="nil"/>
              <w:left w:val="nil"/>
              <w:bottom w:val="nil"/>
              <w:right w:val="nil"/>
            </w:tcBorders>
          </w:tcPr>
          <w:p w14:paraId="12C9433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-0.131</w:t>
            </w:r>
          </w:p>
        </w:tc>
        <w:tc>
          <w:tcPr>
            <w:tcW w:w="1215" w:type="dxa"/>
            <w:tcBorders>
              <w:top w:val="nil"/>
              <w:left w:val="nil"/>
              <w:bottom w:val="nil"/>
              <w:right w:val="nil"/>
            </w:tcBorders>
          </w:tcPr>
          <w:p w14:paraId="4E25821B"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-0.059</w:t>
            </w:r>
          </w:p>
        </w:tc>
        <w:tc>
          <w:tcPr>
            <w:tcW w:w="1440" w:type="dxa"/>
            <w:gridSpan w:val="2"/>
            <w:tcBorders>
              <w:top w:val="nil"/>
              <w:left w:val="nil"/>
              <w:bottom w:val="nil"/>
              <w:right w:val="nil"/>
            </w:tcBorders>
          </w:tcPr>
          <w:p w14:paraId="0FFD24D2"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-0.130</w:t>
            </w:r>
          </w:p>
        </w:tc>
      </w:tr>
      <w:tr w:rsidR="00B051E5" w:rsidRPr="00B051E5" w14:paraId="4B7C31AF" w14:textId="77777777" w:rsidTr="00E94BDF">
        <w:trPr>
          <w:trHeight w:val="262"/>
        </w:trPr>
        <w:tc>
          <w:tcPr>
            <w:tcW w:w="4396" w:type="dxa"/>
            <w:tcBorders>
              <w:top w:val="nil"/>
              <w:left w:val="nil"/>
              <w:bottom w:val="nil"/>
            </w:tcBorders>
          </w:tcPr>
          <w:p w14:paraId="57C47EAA"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283C27FC"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26D6BB6D"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(-0.351)</w:t>
            </w:r>
          </w:p>
        </w:tc>
        <w:tc>
          <w:tcPr>
            <w:tcW w:w="1215" w:type="dxa"/>
            <w:tcBorders>
              <w:top w:val="nil"/>
              <w:left w:val="nil"/>
              <w:bottom w:val="nil"/>
              <w:right w:val="nil"/>
            </w:tcBorders>
          </w:tcPr>
          <w:p w14:paraId="16E10603"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(-1.181)</w:t>
            </w:r>
          </w:p>
        </w:tc>
        <w:tc>
          <w:tcPr>
            <w:tcW w:w="1215" w:type="dxa"/>
            <w:tcBorders>
              <w:top w:val="nil"/>
              <w:left w:val="nil"/>
              <w:bottom w:val="nil"/>
              <w:right w:val="nil"/>
            </w:tcBorders>
          </w:tcPr>
          <w:p w14:paraId="51B06A85"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(-0.448)</w:t>
            </w:r>
          </w:p>
        </w:tc>
        <w:tc>
          <w:tcPr>
            <w:tcW w:w="1440" w:type="dxa"/>
            <w:gridSpan w:val="2"/>
            <w:tcBorders>
              <w:top w:val="nil"/>
              <w:left w:val="nil"/>
              <w:bottom w:val="nil"/>
              <w:right w:val="nil"/>
            </w:tcBorders>
          </w:tcPr>
          <w:p w14:paraId="77F34A7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(-1.170)</w:t>
            </w:r>
          </w:p>
        </w:tc>
      </w:tr>
      <w:tr w:rsidR="00B051E5" w:rsidRPr="00B051E5" w14:paraId="2B1CBA09" w14:textId="77777777" w:rsidTr="00E94BDF">
        <w:trPr>
          <w:trHeight w:val="262"/>
        </w:trPr>
        <w:tc>
          <w:tcPr>
            <w:tcW w:w="4396" w:type="dxa"/>
            <w:tcBorders>
              <w:top w:val="nil"/>
              <w:left w:val="nil"/>
              <w:bottom w:val="nil"/>
            </w:tcBorders>
          </w:tcPr>
          <w:p w14:paraId="768AF5FD"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 xml:space="preserve">BINDP </w:t>
            </w:r>
          </w:p>
        </w:tc>
        <w:tc>
          <w:tcPr>
            <w:tcW w:w="607" w:type="dxa"/>
            <w:tcBorders>
              <w:top w:val="nil"/>
              <w:bottom w:val="nil"/>
              <w:right w:val="nil"/>
            </w:tcBorders>
          </w:tcPr>
          <w:p w14:paraId="4C0BEEEF"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00DA22C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0.015</w:t>
            </w:r>
          </w:p>
        </w:tc>
        <w:tc>
          <w:tcPr>
            <w:tcW w:w="1215" w:type="dxa"/>
            <w:tcBorders>
              <w:top w:val="nil"/>
              <w:left w:val="nil"/>
              <w:bottom w:val="nil"/>
              <w:right w:val="nil"/>
            </w:tcBorders>
          </w:tcPr>
          <w:p w14:paraId="4B7467C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-0.062</w:t>
            </w:r>
          </w:p>
        </w:tc>
        <w:tc>
          <w:tcPr>
            <w:tcW w:w="1215" w:type="dxa"/>
            <w:tcBorders>
              <w:top w:val="nil"/>
              <w:left w:val="nil"/>
              <w:bottom w:val="nil"/>
              <w:right w:val="nil"/>
            </w:tcBorders>
          </w:tcPr>
          <w:p w14:paraId="4BBF494A"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-0.037</w:t>
            </w:r>
          </w:p>
        </w:tc>
        <w:tc>
          <w:tcPr>
            <w:tcW w:w="1440" w:type="dxa"/>
            <w:gridSpan w:val="2"/>
            <w:tcBorders>
              <w:top w:val="nil"/>
              <w:left w:val="nil"/>
              <w:bottom w:val="nil"/>
              <w:right w:val="nil"/>
            </w:tcBorders>
          </w:tcPr>
          <w:p w14:paraId="046B801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-0.097</w:t>
            </w:r>
          </w:p>
        </w:tc>
      </w:tr>
      <w:tr w:rsidR="00B051E5" w:rsidRPr="00B051E5" w14:paraId="5758C5DF" w14:textId="77777777" w:rsidTr="00E94BDF">
        <w:trPr>
          <w:trHeight w:val="262"/>
        </w:trPr>
        <w:tc>
          <w:tcPr>
            <w:tcW w:w="4396" w:type="dxa"/>
            <w:tcBorders>
              <w:top w:val="nil"/>
              <w:left w:val="nil"/>
              <w:bottom w:val="nil"/>
            </w:tcBorders>
          </w:tcPr>
          <w:p w14:paraId="0819A50B"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5ADD4C32"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76C0F2A7"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(0.077)</w:t>
            </w:r>
          </w:p>
        </w:tc>
        <w:tc>
          <w:tcPr>
            <w:tcW w:w="1215" w:type="dxa"/>
            <w:tcBorders>
              <w:top w:val="nil"/>
              <w:left w:val="nil"/>
              <w:bottom w:val="nil"/>
              <w:right w:val="nil"/>
            </w:tcBorders>
          </w:tcPr>
          <w:p w14:paraId="6329DE5C"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(-0.404)</w:t>
            </w:r>
          </w:p>
        </w:tc>
        <w:tc>
          <w:tcPr>
            <w:tcW w:w="1215" w:type="dxa"/>
            <w:tcBorders>
              <w:top w:val="nil"/>
              <w:left w:val="nil"/>
              <w:bottom w:val="nil"/>
              <w:right w:val="nil"/>
            </w:tcBorders>
          </w:tcPr>
          <w:p w14:paraId="58446CA0"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(-0.196)</w:t>
            </w:r>
          </w:p>
        </w:tc>
        <w:tc>
          <w:tcPr>
            <w:tcW w:w="1440" w:type="dxa"/>
            <w:gridSpan w:val="2"/>
            <w:tcBorders>
              <w:top w:val="nil"/>
              <w:left w:val="nil"/>
              <w:bottom w:val="nil"/>
              <w:right w:val="nil"/>
            </w:tcBorders>
          </w:tcPr>
          <w:p w14:paraId="540823F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(-0.632)</w:t>
            </w:r>
          </w:p>
        </w:tc>
      </w:tr>
      <w:tr w:rsidR="00B051E5" w:rsidRPr="00B051E5" w14:paraId="79F08343" w14:textId="77777777" w:rsidTr="00E94BDF">
        <w:trPr>
          <w:trHeight w:val="262"/>
        </w:trPr>
        <w:tc>
          <w:tcPr>
            <w:tcW w:w="4396" w:type="dxa"/>
            <w:tcBorders>
              <w:top w:val="nil"/>
              <w:left w:val="nil"/>
              <w:bottom w:val="nil"/>
            </w:tcBorders>
          </w:tcPr>
          <w:p w14:paraId="03ABE19E"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CHSHAR</w:t>
            </w:r>
          </w:p>
        </w:tc>
        <w:tc>
          <w:tcPr>
            <w:tcW w:w="607" w:type="dxa"/>
            <w:tcBorders>
              <w:top w:val="nil"/>
              <w:bottom w:val="nil"/>
              <w:right w:val="nil"/>
            </w:tcBorders>
          </w:tcPr>
          <w:p w14:paraId="73FB298F"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057657E0"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-0.006**</w:t>
            </w:r>
          </w:p>
        </w:tc>
        <w:tc>
          <w:tcPr>
            <w:tcW w:w="1215" w:type="dxa"/>
            <w:tcBorders>
              <w:top w:val="nil"/>
              <w:left w:val="nil"/>
              <w:bottom w:val="nil"/>
              <w:right w:val="nil"/>
            </w:tcBorders>
          </w:tcPr>
          <w:p w14:paraId="2815E8D8"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-0.006***</w:t>
            </w:r>
          </w:p>
        </w:tc>
        <w:tc>
          <w:tcPr>
            <w:tcW w:w="1215" w:type="dxa"/>
            <w:tcBorders>
              <w:top w:val="nil"/>
              <w:left w:val="nil"/>
              <w:bottom w:val="nil"/>
              <w:right w:val="nil"/>
            </w:tcBorders>
          </w:tcPr>
          <w:p w14:paraId="6B927059"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-0.005**</w:t>
            </w:r>
          </w:p>
        </w:tc>
        <w:tc>
          <w:tcPr>
            <w:tcW w:w="1440" w:type="dxa"/>
            <w:gridSpan w:val="2"/>
            <w:tcBorders>
              <w:top w:val="nil"/>
              <w:left w:val="nil"/>
              <w:bottom w:val="nil"/>
              <w:right w:val="nil"/>
            </w:tcBorders>
          </w:tcPr>
          <w:p w14:paraId="6BECE3EA"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-0.006***</w:t>
            </w:r>
          </w:p>
        </w:tc>
      </w:tr>
      <w:tr w:rsidR="00B051E5" w:rsidRPr="00B051E5" w14:paraId="3F2471F9" w14:textId="77777777" w:rsidTr="00E94BDF">
        <w:trPr>
          <w:trHeight w:val="262"/>
        </w:trPr>
        <w:tc>
          <w:tcPr>
            <w:tcW w:w="4396" w:type="dxa"/>
            <w:tcBorders>
              <w:top w:val="nil"/>
              <w:left w:val="nil"/>
              <w:bottom w:val="nil"/>
            </w:tcBorders>
          </w:tcPr>
          <w:p w14:paraId="1AE899E7"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6864F06F"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0368B10A"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(-2.151)</w:t>
            </w:r>
          </w:p>
        </w:tc>
        <w:tc>
          <w:tcPr>
            <w:tcW w:w="1215" w:type="dxa"/>
            <w:tcBorders>
              <w:top w:val="nil"/>
              <w:left w:val="nil"/>
              <w:bottom w:val="nil"/>
              <w:right w:val="nil"/>
            </w:tcBorders>
          </w:tcPr>
          <w:p w14:paraId="625C7086"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(-2.848)</w:t>
            </w:r>
          </w:p>
        </w:tc>
        <w:tc>
          <w:tcPr>
            <w:tcW w:w="1215" w:type="dxa"/>
            <w:tcBorders>
              <w:top w:val="nil"/>
              <w:left w:val="nil"/>
              <w:bottom w:val="nil"/>
              <w:right w:val="nil"/>
            </w:tcBorders>
          </w:tcPr>
          <w:p w14:paraId="0F559EB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(-2.085)</w:t>
            </w:r>
          </w:p>
        </w:tc>
        <w:tc>
          <w:tcPr>
            <w:tcW w:w="1440" w:type="dxa"/>
            <w:gridSpan w:val="2"/>
            <w:tcBorders>
              <w:top w:val="nil"/>
              <w:left w:val="nil"/>
              <w:bottom w:val="nil"/>
              <w:right w:val="nil"/>
            </w:tcBorders>
          </w:tcPr>
          <w:p w14:paraId="62B7C599"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(-2.861)</w:t>
            </w:r>
          </w:p>
        </w:tc>
      </w:tr>
      <w:tr w:rsidR="00B051E5" w:rsidRPr="00B051E5" w14:paraId="4A57C7C8" w14:textId="77777777" w:rsidTr="00E94BDF">
        <w:trPr>
          <w:trHeight w:val="262"/>
        </w:trPr>
        <w:tc>
          <w:tcPr>
            <w:tcW w:w="4396" w:type="dxa"/>
            <w:tcBorders>
              <w:top w:val="nil"/>
              <w:left w:val="nil"/>
              <w:bottom w:val="nil"/>
            </w:tcBorders>
          </w:tcPr>
          <w:p w14:paraId="74352CCE"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r w:rsidRPr="00B051E5">
              <w:rPr>
                <w:rFonts w:ascii="Garamond" w:hAnsi="Garamond"/>
                <w:bCs/>
                <w:color w:val="000000" w:themeColor="text1"/>
                <w:sz w:val="20"/>
                <w:szCs w:val="20"/>
              </w:rPr>
              <w:t>Intercept</w:t>
            </w:r>
          </w:p>
        </w:tc>
        <w:tc>
          <w:tcPr>
            <w:tcW w:w="607" w:type="dxa"/>
            <w:tcBorders>
              <w:top w:val="nil"/>
              <w:bottom w:val="nil"/>
              <w:right w:val="nil"/>
            </w:tcBorders>
          </w:tcPr>
          <w:p w14:paraId="3704C263"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1155" w:type="dxa"/>
            <w:tcBorders>
              <w:top w:val="nil"/>
              <w:left w:val="nil"/>
              <w:bottom w:val="nil"/>
              <w:right w:val="nil"/>
            </w:tcBorders>
          </w:tcPr>
          <w:p w14:paraId="4CA22B0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-0.596</w:t>
            </w:r>
          </w:p>
        </w:tc>
        <w:tc>
          <w:tcPr>
            <w:tcW w:w="1215" w:type="dxa"/>
            <w:tcBorders>
              <w:top w:val="nil"/>
              <w:left w:val="nil"/>
              <w:bottom w:val="nil"/>
              <w:right w:val="nil"/>
            </w:tcBorders>
          </w:tcPr>
          <w:p w14:paraId="04589371"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-0.589</w:t>
            </w:r>
          </w:p>
        </w:tc>
        <w:tc>
          <w:tcPr>
            <w:tcW w:w="1215" w:type="dxa"/>
            <w:tcBorders>
              <w:top w:val="nil"/>
              <w:left w:val="nil"/>
              <w:bottom w:val="nil"/>
              <w:right w:val="nil"/>
            </w:tcBorders>
          </w:tcPr>
          <w:p w14:paraId="551D13DE"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-0.562</w:t>
            </w:r>
          </w:p>
        </w:tc>
        <w:tc>
          <w:tcPr>
            <w:tcW w:w="1440" w:type="dxa"/>
            <w:gridSpan w:val="2"/>
            <w:tcBorders>
              <w:top w:val="nil"/>
              <w:left w:val="nil"/>
              <w:bottom w:val="nil"/>
              <w:right w:val="nil"/>
            </w:tcBorders>
          </w:tcPr>
          <w:p w14:paraId="578FFFDE"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-0.556</w:t>
            </w:r>
          </w:p>
        </w:tc>
      </w:tr>
      <w:tr w:rsidR="00B051E5" w:rsidRPr="00B051E5" w14:paraId="6C831CF0" w14:textId="77777777" w:rsidTr="00E94BDF">
        <w:trPr>
          <w:trHeight w:val="262"/>
        </w:trPr>
        <w:tc>
          <w:tcPr>
            <w:tcW w:w="4396" w:type="dxa"/>
            <w:tcBorders>
              <w:top w:val="nil"/>
              <w:left w:val="nil"/>
              <w:bottom w:val="nil"/>
            </w:tcBorders>
          </w:tcPr>
          <w:p w14:paraId="24981F38" w14:textId="77777777" w:rsidR="00815ACA" w:rsidRPr="00B051E5" w:rsidRDefault="00815ACA" w:rsidP="00815ACA">
            <w:pPr>
              <w:widowControl w:val="0"/>
              <w:autoSpaceDE w:val="0"/>
              <w:autoSpaceDN w:val="0"/>
              <w:adjustRightInd w:val="0"/>
              <w:rPr>
                <w:rFonts w:ascii="Garamond" w:hAnsi="Garamond"/>
                <w:bCs/>
                <w:iCs/>
                <w:color w:val="000000" w:themeColor="text1"/>
                <w:sz w:val="20"/>
                <w:szCs w:val="20"/>
              </w:rPr>
            </w:pPr>
          </w:p>
        </w:tc>
        <w:tc>
          <w:tcPr>
            <w:tcW w:w="607" w:type="dxa"/>
            <w:tcBorders>
              <w:top w:val="nil"/>
              <w:bottom w:val="nil"/>
              <w:right w:val="nil"/>
            </w:tcBorders>
          </w:tcPr>
          <w:p w14:paraId="7AF27FD5" w14:textId="77777777" w:rsidR="00815ACA" w:rsidRPr="00B051E5" w:rsidRDefault="00815ACA" w:rsidP="00815ACA">
            <w:pPr>
              <w:widowControl w:val="0"/>
              <w:autoSpaceDE w:val="0"/>
              <w:autoSpaceDN w:val="0"/>
              <w:adjustRightInd w:val="0"/>
              <w:rPr>
                <w:rFonts w:ascii="Garamond" w:hAnsi="Garamond"/>
                <w:b/>
                <w:i/>
                <w:color w:val="000000" w:themeColor="text1"/>
                <w:sz w:val="20"/>
                <w:szCs w:val="20"/>
              </w:rPr>
            </w:pPr>
          </w:p>
        </w:tc>
        <w:tc>
          <w:tcPr>
            <w:tcW w:w="1155" w:type="dxa"/>
            <w:tcBorders>
              <w:top w:val="nil"/>
              <w:left w:val="nil"/>
              <w:bottom w:val="nil"/>
              <w:right w:val="nil"/>
            </w:tcBorders>
          </w:tcPr>
          <w:p w14:paraId="441EFC13"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(-1.095)</w:t>
            </w:r>
          </w:p>
        </w:tc>
        <w:tc>
          <w:tcPr>
            <w:tcW w:w="1215" w:type="dxa"/>
            <w:tcBorders>
              <w:top w:val="nil"/>
              <w:left w:val="nil"/>
              <w:bottom w:val="nil"/>
              <w:right w:val="nil"/>
            </w:tcBorders>
          </w:tcPr>
          <w:p w14:paraId="73B93BBE"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(-1.144)</w:t>
            </w:r>
          </w:p>
        </w:tc>
        <w:tc>
          <w:tcPr>
            <w:tcW w:w="1215" w:type="dxa"/>
            <w:tcBorders>
              <w:top w:val="nil"/>
              <w:left w:val="nil"/>
              <w:bottom w:val="nil"/>
              <w:right w:val="nil"/>
            </w:tcBorders>
          </w:tcPr>
          <w:p w14:paraId="2435D5DF"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(-1.036)</w:t>
            </w:r>
          </w:p>
        </w:tc>
        <w:tc>
          <w:tcPr>
            <w:tcW w:w="1440" w:type="dxa"/>
            <w:gridSpan w:val="2"/>
            <w:tcBorders>
              <w:top w:val="nil"/>
              <w:left w:val="nil"/>
              <w:bottom w:val="nil"/>
              <w:right w:val="nil"/>
            </w:tcBorders>
          </w:tcPr>
          <w:p w14:paraId="405A8A9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(-1.078)</w:t>
            </w:r>
          </w:p>
        </w:tc>
      </w:tr>
      <w:tr w:rsidR="00B051E5" w:rsidRPr="00B051E5" w14:paraId="413155DA" w14:textId="77777777" w:rsidTr="00E94BDF">
        <w:trPr>
          <w:trHeight w:val="262"/>
        </w:trPr>
        <w:tc>
          <w:tcPr>
            <w:tcW w:w="5003" w:type="dxa"/>
            <w:gridSpan w:val="2"/>
            <w:tcBorders>
              <w:top w:val="nil"/>
              <w:left w:val="nil"/>
              <w:bottom w:val="nil"/>
              <w:right w:val="nil"/>
            </w:tcBorders>
          </w:tcPr>
          <w:p w14:paraId="7CFA26D5"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Industry-fixed effects</w:t>
            </w:r>
          </w:p>
        </w:tc>
        <w:tc>
          <w:tcPr>
            <w:tcW w:w="1155" w:type="dxa"/>
            <w:tcBorders>
              <w:top w:val="nil"/>
              <w:left w:val="nil"/>
              <w:bottom w:val="nil"/>
              <w:right w:val="nil"/>
            </w:tcBorders>
          </w:tcPr>
          <w:p w14:paraId="23B0BF21"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215" w:type="dxa"/>
            <w:tcBorders>
              <w:top w:val="nil"/>
              <w:left w:val="nil"/>
              <w:bottom w:val="nil"/>
              <w:right w:val="nil"/>
            </w:tcBorders>
          </w:tcPr>
          <w:p w14:paraId="4EA1114E"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215" w:type="dxa"/>
            <w:tcBorders>
              <w:top w:val="nil"/>
              <w:left w:val="nil"/>
              <w:bottom w:val="nil"/>
              <w:right w:val="nil"/>
            </w:tcBorders>
          </w:tcPr>
          <w:p w14:paraId="1421BFA5"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440" w:type="dxa"/>
            <w:gridSpan w:val="2"/>
            <w:tcBorders>
              <w:top w:val="nil"/>
              <w:left w:val="nil"/>
              <w:bottom w:val="nil"/>
              <w:right w:val="nil"/>
            </w:tcBorders>
          </w:tcPr>
          <w:p w14:paraId="6DC1DC67"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r>
      <w:tr w:rsidR="00B051E5" w:rsidRPr="00B051E5" w14:paraId="7D3FFBB1" w14:textId="77777777" w:rsidTr="00E94BDF">
        <w:trPr>
          <w:trHeight w:val="262"/>
        </w:trPr>
        <w:tc>
          <w:tcPr>
            <w:tcW w:w="5003" w:type="dxa"/>
            <w:gridSpan w:val="2"/>
            <w:tcBorders>
              <w:top w:val="nil"/>
              <w:left w:val="nil"/>
              <w:bottom w:val="nil"/>
              <w:right w:val="nil"/>
            </w:tcBorders>
          </w:tcPr>
          <w:p w14:paraId="1CB75E8B"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Year-fixed effects</w:t>
            </w:r>
          </w:p>
        </w:tc>
        <w:tc>
          <w:tcPr>
            <w:tcW w:w="1155" w:type="dxa"/>
            <w:tcBorders>
              <w:top w:val="nil"/>
              <w:left w:val="nil"/>
              <w:bottom w:val="nil"/>
              <w:right w:val="nil"/>
            </w:tcBorders>
          </w:tcPr>
          <w:p w14:paraId="41B2C5E0"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215" w:type="dxa"/>
            <w:tcBorders>
              <w:top w:val="nil"/>
              <w:left w:val="nil"/>
              <w:bottom w:val="nil"/>
              <w:right w:val="nil"/>
            </w:tcBorders>
          </w:tcPr>
          <w:p w14:paraId="025DF1E1"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215" w:type="dxa"/>
            <w:tcBorders>
              <w:top w:val="nil"/>
              <w:left w:val="nil"/>
              <w:bottom w:val="nil"/>
              <w:right w:val="nil"/>
            </w:tcBorders>
          </w:tcPr>
          <w:p w14:paraId="6914ED7F"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440" w:type="dxa"/>
            <w:gridSpan w:val="2"/>
            <w:tcBorders>
              <w:top w:val="nil"/>
              <w:left w:val="nil"/>
              <w:bottom w:val="nil"/>
              <w:right w:val="nil"/>
            </w:tcBorders>
          </w:tcPr>
          <w:p w14:paraId="62E81A25"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r>
      <w:tr w:rsidR="00B051E5" w:rsidRPr="00B051E5" w14:paraId="27C65958" w14:textId="77777777" w:rsidTr="00E94BDF">
        <w:trPr>
          <w:trHeight w:val="262"/>
        </w:trPr>
        <w:tc>
          <w:tcPr>
            <w:tcW w:w="5003" w:type="dxa"/>
            <w:gridSpan w:val="2"/>
            <w:tcBorders>
              <w:top w:val="nil"/>
              <w:left w:val="nil"/>
              <w:bottom w:val="nil"/>
              <w:right w:val="nil"/>
            </w:tcBorders>
          </w:tcPr>
          <w:p w14:paraId="1AA7B7FA"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Average VIF</w:t>
            </w:r>
          </w:p>
        </w:tc>
        <w:tc>
          <w:tcPr>
            <w:tcW w:w="1155" w:type="dxa"/>
            <w:tcBorders>
              <w:top w:val="nil"/>
              <w:left w:val="nil"/>
              <w:bottom w:val="nil"/>
              <w:right w:val="nil"/>
            </w:tcBorders>
          </w:tcPr>
          <w:p w14:paraId="2F49C345"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1.81</w:t>
            </w:r>
          </w:p>
        </w:tc>
        <w:tc>
          <w:tcPr>
            <w:tcW w:w="1215" w:type="dxa"/>
            <w:tcBorders>
              <w:top w:val="nil"/>
              <w:left w:val="nil"/>
              <w:bottom w:val="nil"/>
              <w:right w:val="nil"/>
            </w:tcBorders>
          </w:tcPr>
          <w:p w14:paraId="3BD4F28D"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1.72</w:t>
            </w:r>
          </w:p>
        </w:tc>
        <w:tc>
          <w:tcPr>
            <w:tcW w:w="1215" w:type="dxa"/>
            <w:tcBorders>
              <w:top w:val="nil"/>
              <w:left w:val="nil"/>
              <w:bottom w:val="nil"/>
              <w:right w:val="nil"/>
            </w:tcBorders>
          </w:tcPr>
          <w:p w14:paraId="7369E5CF"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1.82</w:t>
            </w:r>
          </w:p>
        </w:tc>
        <w:tc>
          <w:tcPr>
            <w:tcW w:w="1440" w:type="dxa"/>
            <w:gridSpan w:val="2"/>
            <w:tcBorders>
              <w:top w:val="nil"/>
              <w:left w:val="nil"/>
              <w:bottom w:val="nil"/>
              <w:right w:val="nil"/>
            </w:tcBorders>
          </w:tcPr>
          <w:p w14:paraId="40A22731"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1.73</w:t>
            </w:r>
          </w:p>
        </w:tc>
      </w:tr>
      <w:tr w:rsidR="00B051E5" w:rsidRPr="00B051E5" w14:paraId="66669DAA" w14:textId="77777777" w:rsidTr="00E94BDF">
        <w:trPr>
          <w:trHeight w:val="262"/>
        </w:trPr>
        <w:tc>
          <w:tcPr>
            <w:tcW w:w="5003" w:type="dxa"/>
            <w:gridSpan w:val="2"/>
            <w:tcBorders>
              <w:top w:val="nil"/>
              <w:left w:val="nil"/>
              <w:bottom w:val="nil"/>
              <w:right w:val="nil"/>
            </w:tcBorders>
          </w:tcPr>
          <w:p w14:paraId="7F5E56F0"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Max VIF</w:t>
            </w:r>
          </w:p>
        </w:tc>
        <w:tc>
          <w:tcPr>
            <w:tcW w:w="1155" w:type="dxa"/>
            <w:tcBorders>
              <w:top w:val="nil"/>
              <w:left w:val="nil"/>
              <w:bottom w:val="nil"/>
              <w:right w:val="nil"/>
            </w:tcBorders>
          </w:tcPr>
          <w:p w14:paraId="613A2A73"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2.15</w:t>
            </w:r>
          </w:p>
        </w:tc>
        <w:tc>
          <w:tcPr>
            <w:tcW w:w="1215" w:type="dxa"/>
            <w:tcBorders>
              <w:top w:val="nil"/>
              <w:left w:val="nil"/>
              <w:bottom w:val="nil"/>
              <w:right w:val="nil"/>
            </w:tcBorders>
          </w:tcPr>
          <w:p w14:paraId="0F7B61F6"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1.76</w:t>
            </w:r>
          </w:p>
        </w:tc>
        <w:tc>
          <w:tcPr>
            <w:tcW w:w="1215" w:type="dxa"/>
            <w:tcBorders>
              <w:top w:val="nil"/>
              <w:left w:val="nil"/>
              <w:bottom w:val="nil"/>
              <w:right w:val="nil"/>
            </w:tcBorders>
          </w:tcPr>
          <w:p w14:paraId="0B69C83A"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2.15</w:t>
            </w:r>
          </w:p>
        </w:tc>
        <w:tc>
          <w:tcPr>
            <w:tcW w:w="1440" w:type="dxa"/>
            <w:gridSpan w:val="2"/>
            <w:tcBorders>
              <w:top w:val="nil"/>
              <w:left w:val="nil"/>
              <w:bottom w:val="nil"/>
              <w:right w:val="nil"/>
            </w:tcBorders>
          </w:tcPr>
          <w:p w14:paraId="743312D6"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1.76</w:t>
            </w:r>
          </w:p>
        </w:tc>
      </w:tr>
      <w:tr w:rsidR="00B051E5" w:rsidRPr="00B051E5" w14:paraId="75371622" w14:textId="77777777" w:rsidTr="00E94BDF">
        <w:trPr>
          <w:trHeight w:val="262"/>
        </w:trPr>
        <w:tc>
          <w:tcPr>
            <w:tcW w:w="5003" w:type="dxa"/>
            <w:gridSpan w:val="2"/>
            <w:tcBorders>
              <w:top w:val="nil"/>
              <w:left w:val="nil"/>
              <w:right w:val="nil"/>
            </w:tcBorders>
          </w:tcPr>
          <w:p w14:paraId="09BB81C4"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 xml:space="preserve">F-statistics </w:t>
            </w:r>
          </w:p>
        </w:tc>
        <w:tc>
          <w:tcPr>
            <w:tcW w:w="1155" w:type="dxa"/>
            <w:tcBorders>
              <w:top w:val="nil"/>
              <w:left w:val="nil"/>
              <w:right w:val="nil"/>
            </w:tcBorders>
          </w:tcPr>
          <w:p w14:paraId="796DEB1B"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4.47***</w:t>
            </w:r>
          </w:p>
        </w:tc>
        <w:tc>
          <w:tcPr>
            <w:tcW w:w="1215" w:type="dxa"/>
            <w:tcBorders>
              <w:top w:val="nil"/>
              <w:left w:val="nil"/>
              <w:right w:val="nil"/>
            </w:tcBorders>
          </w:tcPr>
          <w:p w14:paraId="08E15FC6"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3.36***</w:t>
            </w:r>
          </w:p>
        </w:tc>
        <w:tc>
          <w:tcPr>
            <w:tcW w:w="1215" w:type="dxa"/>
            <w:tcBorders>
              <w:top w:val="nil"/>
              <w:left w:val="nil"/>
              <w:right w:val="nil"/>
            </w:tcBorders>
          </w:tcPr>
          <w:p w14:paraId="4923F73C"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4.57***</w:t>
            </w:r>
          </w:p>
        </w:tc>
        <w:tc>
          <w:tcPr>
            <w:tcW w:w="1440" w:type="dxa"/>
            <w:gridSpan w:val="2"/>
            <w:tcBorders>
              <w:top w:val="nil"/>
              <w:left w:val="nil"/>
              <w:right w:val="nil"/>
            </w:tcBorders>
          </w:tcPr>
          <w:p w14:paraId="03D09D81"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3.50***</w:t>
            </w:r>
          </w:p>
        </w:tc>
      </w:tr>
      <w:tr w:rsidR="00B051E5" w:rsidRPr="00B051E5" w14:paraId="04EF225E" w14:textId="77777777" w:rsidTr="00E94BDF">
        <w:trPr>
          <w:trHeight w:val="262"/>
        </w:trPr>
        <w:tc>
          <w:tcPr>
            <w:tcW w:w="5003" w:type="dxa"/>
            <w:gridSpan w:val="2"/>
            <w:tcBorders>
              <w:top w:val="nil"/>
              <w:left w:val="nil"/>
              <w:right w:val="nil"/>
            </w:tcBorders>
          </w:tcPr>
          <w:p w14:paraId="5D590000"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Adj. R-squared as %</w:t>
            </w:r>
          </w:p>
        </w:tc>
        <w:tc>
          <w:tcPr>
            <w:tcW w:w="1155" w:type="dxa"/>
            <w:tcBorders>
              <w:top w:val="nil"/>
              <w:left w:val="nil"/>
              <w:right w:val="nil"/>
            </w:tcBorders>
          </w:tcPr>
          <w:p w14:paraId="3A61DE56"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7.1</w:t>
            </w:r>
          </w:p>
        </w:tc>
        <w:tc>
          <w:tcPr>
            <w:tcW w:w="1215" w:type="dxa"/>
            <w:tcBorders>
              <w:top w:val="nil"/>
              <w:left w:val="nil"/>
              <w:right w:val="nil"/>
            </w:tcBorders>
          </w:tcPr>
          <w:p w14:paraId="579B5704"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4.3</w:t>
            </w:r>
          </w:p>
        </w:tc>
        <w:tc>
          <w:tcPr>
            <w:tcW w:w="1215" w:type="dxa"/>
            <w:tcBorders>
              <w:top w:val="nil"/>
              <w:left w:val="nil"/>
              <w:right w:val="nil"/>
            </w:tcBorders>
          </w:tcPr>
          <w:p w14:paraId="7D66231E"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7.4</w:t>
            </w:r>
          </w:p>
        </w:tc>
        <w:tc>
          <w:tcPr>
            <w:tcW w:w="1440" w:type="dxa"/>
            <w:gridSpan w:val="2"/>
            <w:tcBorders>
              <w:top w:val="nil"/>
              <w:left w:val="nil"/>
              <w:right w:val="nil"/>
            </w:tcBorders>
          </w:tcPr>
          <w:p w14:paraId="525E40F7" w14:textId="77777777" w:rsidR="00815ACA" w:rsidRPr="00B051E5" w:rsidRDefault="00815ACA" w:rsidP="00815ACA">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olor w:val="000000" w:themeColor="text1"/>
                <w:sz w:val="20"/>
                <w:szCs w:val="20"/>
                <w:lang w:eastAsia="en-US"/>
              </w:rPr>
              <w:t>4.4</w:t>
            </w:r>
          </w:p>
        </w:tc>
      </w:tr>
      <w:tr w:rsidR="00B051E5" w:rsidRPr="00B051E5" w14:paraId="693D9563" w14:textId="77777777" w:rsidTr="00E94BDF">
        <w:trPr>
          <w:trHeight w:val="262"/>
        </w:trPr>
        <w:tc>
          <w:tcPr>
            <w:tcW w:w="5003" w:type="dxa"/>
            <w:gridSpan w:val="2"/>
            <w:tcBorders>
              <w:top w:val="nil"/>
              <w:left w:val="nil"/>
              <w:bottom w:val="nil"/>
              <w:right w:val="nil"/>
            </w:tcBorders>
          </w:tcPr>
          <w:p w14:paraId="6506336F"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Observations</w:t>
            </w:r>
          </w:p>
        </w:tc>
        <w:tc>
          <w:tcPr>
            <w:tcW w:w="1155" w:type="dxa"/>
            <w:tcBorders>
              <w:top w:val="nil"/>
              <w:left w:val="nil"/>
              <w:bottom w:val="nil"/>
              <w:right w:val="nil"/>
            </w:tcBorders>
          </w:tcPr>
          <w:p w14:paraId="39F00783"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1,130</w:t>
            </w:r>
          </w:p>
        </w:tc>
        <w:tc>
          <w:tcPr>
            <w:tcW w:w="1215" w:type="dxa"/>
            <w:tcBorders>
              <w:top w:val="nil"/>
              <w:left w:val="nil"/>
              <w:bottom w:val="nil"/>
              <w:right w:val="nil"/>
            </w:tcBorders>
          </w:tcPr>
          <w:p w14:paraId="485CEC6E"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1,088</w:t>
            </w:r>
          </w:p>
        </w:tc>
        <w:tc>
          <w:tcPr>
            <w:tcW w:w="1215" w:type="dxa"/>
            <w:tcBorders>
              <w:top w:val="nil"/>
              <w:left w:val="nil"/>
              <w:bottom w:val="nil"/>
              <w:right w:val="nil"/>
            </w:tcBorders>
          </w:tcPr>
          <w:p w14:paraId="2FE70883"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1,130</w:t>
            </w:r>
          </w:p>
        </w:tc>
        <w:tc>
          <w:tcPr>
            <w:tcW w:w="1440" w:type="dxa"/>
            <w:gridSpan w:val="2"/>
            <w:tcBorders>
              <w:top w:val="nil"/>
              <w:left w:val="nil"/>
              <w:bottom w:val="nil"/>
              <w:right w:val="nil"/>
            </w:tcBorders>
          </w:tcPr>
          <w:p w14:paraId="4D3E472E" w14:textId="77777777" w:rsidR="00815ACA" w:rsidRPr="00B051E5" w:rsidRDefault="00815ACA" w:rsidP="00815ACA">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lang w:val="en-US" w:eastAsia="en-US"/>
              </w:rPr>
              <w:t>1,088</w:t>
            </w:r>
          </w:p>
        </w:tc>
      </w:tr>
      <w:tr w:rsidR="00B051E5" w:rsidRPr="00B051E5" w14:paraId="565B004E" w14:textId="77777777" w:rsidTr="00E94BDF">
        <w:tblPrEx>
          <w:tblBorders>
            <w:bottom w:val="single" w:sz="6" w:space="0" w:color="auto"/>
          </w:tblBorders>
        </w:tblPrEx>
        <w:trPr>
          <w:gridAfter w:val="1"/>
          <w:wAfter w:w="10" w:type="dxa"/>
          <w:trHeight w:val="1288"/>
        </w:trPr>
        <w:tc>
          <w:tcPr>
            <w:tcW w:w="10018" w:type="dxa"/>
            <w:gridSpan w:val="6"/>
            <w:tcBorders>
              <w:top w:val="double" w:sz="4" w:space="0" w:color="auto"/>
              <w:left w:val="nil"/>
              <w:bottom w:val="nil"/>
              <w:right w:val="nil"/>
            </w:tcBorders>
          </w:tcPr>
          <w:p w14:paraId="7A98E375" w14:textId="351575EF" w:rsidR="00815ACA" w:rsidRPr="00B051E5" w:rsidRDefault="00815ACA" w:rsidP="00815ACA">
            <w:pPr>
              <w:spacing w:after="160" w:line="259" w:lineRule="auto"/>
              <w:jc w:val="both"/>
              <w:rPr>
                <w:rFonts w:ascii="Garamond" w:eastAsia="Calibri" w:hAnsi="Garamond"/>
                <w:color w:val="000000" w:themeColor="text1"/>
                <w:sz w:val="20"/>
                <w:szCs w:val="20"/>
                <w:lang w:eastAsia="en-US"/>
              </w:rPr>
            </w:pPr>
            <w:r w:rsidRPr="00B051E5">
              <w:rPr>
                <w:rFonts w:ascii="Garamond" w:hAnsi="Garamond"/>
                <w:bCs/>
                <w:color w:val="000000" w:themeColor="text1"/>
                <w:sz w:val="20"/>
                <w:szCs w:val="20"/>
              </w:rPr>
              <w:t>This table reports the regression estimates from OLS regressions of stock price informativeness on risk information and other controls. All these estimates are given subject to the firms’ strength of corporate governance. Strongly (weakly) governed firms are identified based on whether the firm’s governance score, obtained from</w:t>
            </w:r>
            <w:r w:rsidRPr="00B051E5">
              <w:rPr>
                <w:rFonts w:ascii="Garamond" w:eastAsia="Calibri" w:hAnsi="Garamond" w:cs="Arial"/>
                <w:bCs/>
                <w:color w:val="000000" w:themeColor="text1"/>
                <w:sz w:val="20"/>
                <w:szCs w:val="20"/>
                <w:lang w:eastAsia="en-US"/>
              </w:rPr>
              <w:t xml:space="preserve"> the Datastrem database</w:t>
            </w:r>
            <w:r w:rsidRPr="00B051E5">
              <w:rPr>
                <w:rFonts w:ascii="Garamond" w:hAnsi="Garamond"/>
                <w:bCs/>
                <w:color w:val="000000" w:themeColor="text1"/>
                <w:sz w:val="20"/>
                <w:szCs w:val="20"/>
              </w:rPr>
              <w:t>, is above (below) the median governance score. Estimates for strongly governed firms are given in the odd-numbered models, and those for weakly governed firms in the even-numbered models.</w:t>
            </w:r>
            <w:r w:rsidRPr="00B051E5">
              <w:rPr>
                <w:rFonts w:ascii="Garamond" w:eastAsia="Calibri" w:hAnsi="Garamond"/>
                <w:color w:val="000000" w:themeColor="text1"/>
                <w:sz w:val="20"/>
                <w:szCs w:val="20"/>
                <w:lang w:eastAsia="en-US"/>
              </w:rPr>
              <w:t xml:space="preserve"> Other specifications as provided in Table 3.</w:t>
            </w:r>
          </w:p>
        </w:tc>
      </w:tr>
    </w:tbl>
    <w:p w14:paraId="0220854D" w14:textId="34A685E8" w:rsidR="00683E92" w:rsidRPr="00B051E5" w:rsidRDefault="00683E92" w:rsidP="00C42CF0">
      <w:pPr>
        <w:spacing w:after="160" w:line="259" w:lineRule="auto"/>
        <w:rPr>
          <w:rFonts w:ascii="Garamond" w:hAnsi="Garamond"/>
          <w:b/>
          <w:color w:val="000000" w:themeColor="text1"/>
          <w:sz w:val="20"/>
          <w:szCs w:val="20"/>
        </w:rPr>
      </w:pPr>
    </w:p>
    <w:p w14:paraId="19219C03" w14:textId="396AE466" w:rsidR="00683E92" w:rsidRPr="00B051E5" w:rsidRDefault="00683E92" w:rsidP="00C42CF0">
      <w:pPr>
        <w:spacing w:after="160" w:line="259" w:lineRule="auto"/>
        <w:rPr>
          <w:rFonts w:ascii="Garamond" w:hAnsi="Garamond"/>
          <w:b/>
          <w:color w:val="000000" w:themeColor="text1"/>
          <w:sz w:val="20"/>
          <w:szCs w:val="20"/>
        </w:rPr>
      </w:pPr>
    </w:p>
    <w:p w14:paraId="54C8F791" w14:textId="3CCE5FB3" w:rsidR="00683E92" w:rsidRPr="00B051E5" w:rsidRDefault="00683E92" w:rsidP="00C42CF0">
      <w:pPr>
        <w:spacing w:after="160" w:line="259" w:lineRule="auto"/>
        <w:rPr>
          <w:rFonts w:ascii="Garamond" w:hAnsi="Garamond"/>
          <w:b/>
          <w:color w:val="000000" w:themeColor="text1"/>
          <w:sz w:val="20"/>
          <w:szCs w:val="20"/>
        </w:rPr>
      </w:pPr>
    </w:p>
    <w:p w14:paraId="543A30B1" w14:textId="576AC7E6" w:rsidR="00683E92" w:rsidRPr="00B051E5" w:rsidRDefault="00683E92" w:rsidP="00C42CF0">
      <w:pPr>
        <w:spacing w:after="160" w:line="259" w:lineRule="auto"/>
        <w:rPr>
          <w:rFonts w:ascii="Garamond" w:hAnsi="Garamond"/>
          <w:b/>
          <w:color w:val="000000" w:themeColor="text1"/>
          <w:sz w:val="20"/>
          <w:szCs w:val="20"/>
        </w:rPr>
      </w:pPr>
    </w:p>
    <w:p w14:paraId="368394FA" w14:textId="70F70D2A" w:rsidR="00683E92" w:rsidRPr="00B051E5" w:rsidRDefault="00683E92" w:rsidP="00C42CF0">
      <w:pPr>
        <w:spacing w:after="160" w:line="259" w:lineRule="auto"/>
        <w:rPr>
          <w:rFonts w:ascii="Garamond" w:hAnsi="Garamond"/>
          <w:b/>
          <w:color w:val="000000" w:themeColor="text1"/>
          <w:sz w:val="20"/>
          <w:szCs w:val="20"/>
        </w:rPr>
      </w:pPr>
    </w:p>
    <w:tbl>
      <w:tblPr>
        <w:tblStyle w:val="TableGrid2"/>
        <w:tblpPr w:leftFromText="180" w:rightFromText="180" w:vertAnchor="page" w:horzAnchor="margin" w:tblpX="-851" w:tblpY="1201"/>
        <w:tblW w:w="10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6"/>
        <w:gridCol w:w="4796"/>
      </w:tblGrid>
      <w:tr w:rsidR="00B051E5" w:rsidRPr="00B051E5" w14:paraId="3053A760" w14:textId="77777777" w:rsidTr="00B764F0">
        <w:trPr>
          <w:trHeight w:val="626"/>
        </w:trPr>
        <w:tc>
          <w:tcPr>
            <w:tcW w:w="10972" w:type="dxa"/>
            <w:gridSpan w:val="2"/>
          </w:tcPr>
          <w:p w14:paraId="620F25CB" w14:textId="135A2C31" w:rsidR="00683E92" w:rsidRPr="00B051E5" w:rsidRDefault="00683E92" w:rsidP="00B764F0">
            <w:pPr>
              <w:pBdr>
                <w:bottom w:val="single" w:sz="4" w:space="1" w:color="auto"/>
              </w:pBdr>
              <w:spacing w:after="160"/>
              <w:rPr>
                <w:rFonts w:ascii="Garamond" w:eastAsia="Calibri" w:hAnsi="Garamond"/>
                <w:b/>
                <w:bCs/>
                <w:color w:val="000000" w:themeColor="text1"/>
                <w:sz w:val="20"/>
                <w:szCs w:val="20"/>
              </w:rPr>
            </w:pPr>
            <w:bookmarkStart w:id="8" w:name="OLE_LINK1"/>
            <w:bookmarkStart w:id="9" w:name="OLE_LINK2"/>
            <w:r w:rsidRPr="00B051E5">
              <w:rPr>
                <w:rFonts w:ascii="Garamond" w:eastAsia="Calibri" w:hAnsi="Garamond"/>
                <w:b/>
                <w:bCs/>
                <w:color w:val="000000" w:themeColor="text1"/>
                <w:sz w:val="20"/>
                <w:szCs w:val="20"/>
              </w:rPr>
              <w:lastRenderedPageBreak/>
              <w:t>Table 6.</w:t>
            </w:r>
            <w:r w:rsidRPr="00B051E5">
              <w:rPr>
                <w:rFonts w:ascii="Garamond" w:eastAsia="Calibri" w:hAnsi="Garamond"/>
                <w:color w:val="000000" w:themeColor="text1"/>
                <w:sz w:val="20"/>
                <w:szCs w:val="20"/>
              </w:rPr>
              <w:t xml:space="preserve"> Yearly i</w:t>
            </w:r>
            <w:r w:rsidRPr="00B051E5">
              <w:rPr>
                <w:rFonts w:ascii="Garamond" w:hAnsi="Garamond"/>
                <w:color w:val="000000" w:themeColor="text1"/>
                <w:kern w:val="24"/>
                <w:sz w:val="20"/>
                <w:szCs w:val="20"/>
              </w:rPr>
              <w:t>nformativeness</w:t>
            </w:r>
            <w:r w:rsidRPr="00B051E5">
              <w:rPr>
                <w:rFonts w:ascii="Garamond" w:eastAsia="Calibri" w:hAnsi="Garamond"/>
                <w:color w:val="000000" w:themeColor="text1"/>
                <w:sz w:val="20"/>
                <w:szCs w:val="20"/>
              </w:rPr>
              <w:t xml:space="preserve"> and aggregate risk disclosure and its time-orientation</w:t>
            </w:r>
          </w:p>
          <w:p w14:paraId="7A29CABD" w14:textId="77777777" w:rsidR="00683E92" w:rsidRPr="00B051E5" w:rsidRDefault="00683E92" w:rsidP="00B764F0">
            <w:pPr>
              <w:spacing w:after="160"/>
              <w:rPr>
                <w:rFonts w:ascii="Garamond" w:eastAsia="Calibri" w:hAnsi="Garamond"/>
                <w:color w:val="000000" w:themeColor="text1"/>
                <w:sz w:val="20"/>
                <w:szCs w:val="20"/>
              </w:rPr>
            </w:pPr>
            <w:r w:rsidRPr="00B051E5">
              <w:rPr>
                <w:rFonts w:ascii="Garamond" w:eastAsia="Calibri" w:hAnsi="Garamond"/>
                <w:b/>
                <w:bCs/>
                <w:color w:val="000000" w:themeColor="text1"/>
                <w:sz w:val="20"/>
                <w:szCs w:val="20"/>
              </w:rPr>
              <w:t>Panel A</w:t>
            </w:r>
            <w:r w:rsidRPr="00B051E5">
              <w:rPr>
                <w:rFonts w:ascii="Garamond" w:eastAsia="Calibri" w:hAnsi="Garamond"/>
                <w:color w:val="000000" w:themeColor="text1"/>
                <w:sz w:val="20"/>
                <w:szCs w:val="20"/>
              </w:rPr>
              <w:t>: Graph of yearly i</w:t>
            </w:r>
            <w:r w:rsidRPr="00B051E5">
              <w:rPr>
                <w:rFonts w:ascii="Garamond" w:hAnsi="Garamond"/>
                <w:color w:val="000000" w:themeColor="text1"/>
                <w:kern w:val="24"/>
                <w:sz w:val="20"/>
                <w:szCs w:val="20"/>
              </w:rPr>
              <w:t>nformativeness</w:t>
            </w:r>
            <w:r w:rsidRPr="00B051E5">
              <w:rPr>
                <w:rFonts w:ascii="Garamond" w:eastAsia="Calibri" w:hAnsi="Garamond"/>
                <w:color w:val="000000" w:themeColor="text1"/>
                <w:kern w:val="24"/>
                <w:sz w:val="20"/>
                <w:szCs w:val="20"/>
              </w:rPr>
              <w:t>,</w:t>
            </w:r>
            <w:r w:rsidRPr="00B051E5">
              <w:rPr>
                <w:rFonts w:ascii="Garamond" w:eastAsia="Calibri" w:hAnsi="Garamond"/>
                <w:color w:val="000000" w:themeColor="text1"/>
                <w:sz w:val="20"/>
                <w:szCs w:val="20"/>
              </w:rPr>
              <w:t xml:space="preserve"> aggregate risk disclosure, and its time-orientation</w:t>
            </w:r>
          </w:p>
        </w:tc>
      </w:tr>
      <w:tr w:rsidR="00B051E5" w:rsidRPr="00B051E5" w14:paraId="37E1714F" w14:textId="77777777" w:rsidTr="00B764F0">
        <w:trPr>
          <w:trHeight w:val="2337"/>
        </w:trPr>
        <w:tc>
          <w:tcPr>
            <w:tcW w:w="6176" w:type="dxa"/>
          </w:tcPr>
          <w:p w14:paraId="1448EB50" w14:textId="77777777" w:rsidR="00683E92" w:rsidRPr="00B051E5" w:rsidRDefault="00683E92" w:rsidP="00B764F0">
            <w:pPr>
              <w:spacing w:after="160" w:line="259" w:lineRule="auto"/>
              <w:rPr>
                <w:rFonts w:ascii="Garamond" w:eastAsia="Calibri" w:hAnsi="Garamond"/>
                <w:color w:val="000000" w:themeColor="text1"/>
                <w:sz w:val="20"/>
                <w:szCs w:val="20"/>
              </w:rPr>
            </w:pPr>
            <w:r w:rsidRPr="00B051E5">
              <w:rPr>
                <w:rFonts w:ascii="Garamond" w:eastAsia="Calibri" w:hAnsi="Garamond"/>
                <w:noProof/>
                <w:color w:val="000000" w:themeColor="text1"/>
                <w:sz w:val="20"/>
                <w:szCs w:val="20"/>
              </w:rPr>
              <w:drawing>
                <wp:inline distT="0" distB="0" distL="0" distR="0" wp14:anchorId="742FF25B" wp14:editId="6E71877D">
                  <wp:extent cx="3769995" cy="1728592"/>
                  <wp:effectExtent l="0" t="0" r="14605" b="11430"/>
                  <wp:docPr id="10" name="Chart 10">
                    <a:extLst xmlns:a="http://schemas.openxmlformats.org/drawingml/2006/main">
                      <a:ext uri="{FF2B5EF4-FFF2-40B4-BE49-F238E27FC236}">
                        <a16:creationId xmlns:a16="http://schemas.microsoft.com/office/drawing/2014/main" id="{2821CC3B-6534-454C-9BAE-A8F6195F77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796" w:type="dxa"/>
            <w:vMerge w:val="restart"/>
          </w:tcPr>
          <w:p w14:paraId="4C7822F2" w14:textId="77777777" w:rsidR="00683E92" w:rsidRPr="00B051E5" w:rsidRDefault="00683E92" w:rsidP="00B764F0">
            <w:pPr>
              <w:spacing w:after="160" w:line="259" w:lineRule="auto"/>
              <w:rPr>
                <w:rFonts w:ascii="Garamond" w:eastAsia="Calibri" w:hAnsi="Garamond"/>
                <w:color w:val="000000" w:themeColor="text1"/>
                <w:sz w:val="20"/>
                <w:szCs w:val="20"/>
              </w:rPr>
            </w:pPr>
            <w:r w:rsidRPr="00B051E5">
              <w:rPr>
                <w:rFonts w:ascii="Garamond" w:eastAsia="Calibri" w:hAnsi="Garamond"/>
                <w:noProof/>
                <w:color w:val="000000" w:themeColor="text1"/>
                <w:sz w:val="20"/>
                <w:szCs w:val="20"/>
              </w:rPr>
              <w:drawing>
                <wp:inline distT="0" distB="0" distL="0" distR="0" wp14:anchorId="1467BF1F" wp14:editId="6B1BD3B6">
                  <wp:extent cx="2893174" cy="3444240"/>
                  <wp:effectExtent l="0" t="0" r="15240" b="10160"/>
                  <wp:docPr id="8" name="Chart 8">
                    <a:extLst xmlns:a="http://schemas.openxmlformats.org/drawingml/2006/main">
                      <a:ext uri="{FF2B5EF4-FFF2-40B4-BE49-F238E27FC236}">
                        <a16:creationId xmlns:a16="http://schemas.microsoft.com/office/drawing/2014/main" id="{265480FE-1F16-6447-8242-46BCA1FFC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B051E5" w:rsidRPr="00B051E5" w14:paraId="379368EF" w14:textId="77777777" w:rsidTr="00B764F0">
        <w:trPr>
          <w:trHeight w:val="1755"/>
        </w:trPr>
        <w:tc>
          <w:tcPr>
            <w:tcW w:w="6176" w:type="dxa"/>
          </w:tcPr>
          <w:p w14:paraId="5EC4C3E8" w14:textId="77777777" w:rsidR="00683E92" w:rsidRPr="00B051E5" w:rsidRDefault="00683E92" w:rsidP="00B764F0">
            <w:pPr>
              <w:spacing w:after="160" w:line="259" w:lineRule="auto"/>
              <w:rPr>
                <w:rFonts w:ascii="Garamond" w:eastAsia="Calibri" w:hAnsi="Garamond"/>
                <w:noProof/>
                <w:color w:val="000000" w:themeColor="text1"/>
                <w:sz w:val="20"/>
                <w:szCs w:val="20"/>
              </w:rPr>
            </w:pPr>
            <w:r w:rsidRPr="00B051E5">
              <w:rPr>
                <w:rFonts w:ascii="Garamond" w:eastAsia="Calibri" w:hAnsi="Garamond"/>
                <w:noProof/>
                <w:color w:val="000000" w:themeColor="text1"/>
                <w:sz w:val="20"/>
                <w:szCs w:val="20"/>
              </w:rPr>
              <w:drawing>
                <wp:inline distT="0" distB="0" distL="0" distR="0" wp14:anchorId="2595E9F3" wp14:editId="033CDA6F">
                  <wp:extent cx="3769995" cy="2128520"/>
                  <wp:effectExtent l="0" t="0" r="14605" b="17780"/>
                  <wp:docPr id="11" name="Chart 11">
                    <a:extLst xmlns:a="http://schemas.openxmlformats.org/drawingml/2006/main">
                      <a:ext uri="{FF2B5EF4-FFF2-40B4-BE49-F238E27FC236}">
                        <a16:creationId xmlns:a16="http://schemas.microsoft.com/office/drawing/2014/main" id="{825D934A-D247-524E-B0CE-5CC106D81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96" w:type="dxa"/>
            <w:vMerge/>
          </w:tcPr>
          <w:p w14:paraId="3D9C7DD0" w14:textId="77777777" w:rsidR="00683E92" w:rsidRPr="00B051E5" w:rsidRDefault="00683E92" w:rsidP="00B764F0">
            <w:pPr>
              <w:spacing w:after="160" w:line="259" w:lineRule="auto"/>
              <w:rPr>
                <w:rFonts w:ascii="Garamond" w:eastAsia="Calibri" w:hAnsi="Garamond"/>
                <w:noProof/>
                <w:color w:val="000000" w:themeColor="text1"/>
                <w:sz w:val="20"/>
                <w:szCs w:val="20"/>
              </w:rPr>
            </w:pPr>
          </w:p>
        </w:tc>
      </w:tr>
      <w:tr w:rsidR="00B051E5" w:rsidRPr="00B051E5" w14:paraId="2BE46629" w14:textId="77777777" w:rsidTr="00B764F0">
        <w:trPr>
          <w:trHeight w:val="2337"/>
        </w:trPr>
        <w:tc>
          <w:tcPr>
            <w:tcW w:w="10972" w:type="dxa"/>
            <w:gridSpan w:val="2"/>
          </w:tcPr>
          <w:tbl>
            <w:tblPr>
              <w:tblpPr w:leftFromText="180" w:rightFromText="180" w:vertAnchor="text" w:horzAnchor="margin" w:tblpY="74"/>
              <w:tblOverlap w:val="never"/>
              <w:tblW w:w="10065" w:type="dxa"/>
              <w:tblLook w:val="04A0" w:firstRow="1" w:lastRow="0" w:firstColumn="1" w:lastColumn="0" w:noHBand="0" w:noVBand="1"/>
            </w:tblPr>
            <w:tblGrid>
              <w:gridCol w:w="1772"/>
              <w:gridCol w:w="591"/>
              <w:gridCol w:w="650"/>
              <w:gridCol w:w="889"/>
              <w:gridCol w:w="237"/>
              <w:gridCol w:w="498"/>
              <w:gridCol w:w="650"/>
              <w:gridCol w:w="1319"/>
              <w:gridCol w:w="1554"/>
              <w:gridCol w:w="1905"/>
            </w:tblGrid>
            <w:tr w:rsidR="00B051E5" w:rsidRPr="00B051E5" w14:paraId="40DD14BA" w14:textId="77777777" w:rsidTr="00B764F0">
              <w:trPr>
                <w:trHeight w:val="171"/>
              </w:trPr>
              <w:tc>
                <w:tcPr>
                  <w:tcW w:w="10065" w:type="dxa"/>
                  <w:gridSpan w:val="10"/>
                  <w:tcBorders>
                    <w:bottom w:val="single" w:sz="4" w:space="0" w:color="auto"/>
                  </w:tcBorders>
                  <w:shd w:val="clear" w:color="auto" w:fill="auto"/>
                  <w:noWrap/>
                  <w:vAlign w:val="center"/>
                  <w:hideMark/>
                </w:tcPr>
                <w:p w14:paraId="2D2D6088" w14:textId="77777777" w:rsidR="00683E92" w:rsidRPr="00B051E5" w:rsidRDefault="00683E92" w:rsidP="00B764F0">
                  <w:pPr>
                    <w:rPr>
                      <w:rFonts w:ascii="Garamond" w:eastAsia="SimSun" w:hAnsi="Garamond"/>
                      <w:b/>
                      <w:color w:val="000000" w:themeColor="text1"/>
                      <w:sz w:val="20"/>
                      <w:szCs w:val="20"/>
                      <w:lang w:val="en-US" w:eastAsia="zh-CN"/>
                    </w:rPr>
                  </w:pPr>
                  <w:r w:rsidRPr="00B051E5">
                    <w:rPr>
                      <w:rFonts w:ascii="Garamond" w:eastAsia="SimSun" w:hAnsi="Garamond"/>
                      <w:b/>
                      <w:color w:val="000000" w:themeColor="text1"/>
                      <w:sz w:val="20"/>
                      <w:szCs w:val="20"/>
                      <w:lang w:val="en-US" w:eastAsia="zh-CN"/>
                    </w:rPr>
                    <w:t xml:space="preserve">Panel B: </w:t>
                  </w:r>
                  <w:r w:rsidRPr="00B051E5">
                    <w:rPr>
                      <w:rFonts w:ascii="Garamond" w:eastAsia="SimSun" w:hAnsi="Garamond"/>
                      <w:bCs/>
                      <w:color w:val="000000" w:themeColor="text1"/>
                      <w:sz w:val="20"/>
                      <w:szCs w:val="20"/>
                      <w:lang w:val="en-US" w:eastAsia="zh-CN"/>
                    </w:rPr>
                    <w:t xml:space="preserve">Descriptive statistics for main variables during financial crisis period and during other years </w:t>
                  </w:r>
                </w:p>
              </w:tc>
            </w:tr>
            <w:tr w:rsidR="00B051E5" w:rsidRPr="00B051E5" w14:paraId="35D4345E" w14:textId="77777777" w:rsidTr="00B764F0">
              <w:trPr>
                <w:trHeight w:val="116"/>
              </w:trPr>
              <w:tc>
                <w:tcPr>
                  <w:tcW w:w="1772" w:type="dxa"/>
                  <w:tcBorders>
                    <w:top w:val="single" w:sz="4" w:space="0" w:color="auto"/>
                    <w:bottom w:val="single" w:sz="4" w:space="0" w:color="auto"/>
                  </w:tcBorders>
                  <w:shd w:val="clear" w:color="auto" w:fill="auto"/>
                  <w:noWrap/>
                  <w:vAlign w:val="center"/>
                  <w:hideMark/>
                </w:tcPr>
                <w:p w14:paraId="7C70FCCE" w14:textId="77777777" w:rsidR="00683E92" w:rsidRPr="00B051E5" w:rsidRDefault="00683E92" w:rsidP="00B764F0">
                  <w:pPr>
                    <w:rPr>
                      <w:rFonts w:ascii="Garamond" w:eastAsia="SimSun" w:hAnsi="Garamond"/>
                      <w:color w:val="000000" w:themeColor="text1"/>
                      <w:sz w:val="20"/>
                      <w:szCs w:val="20"/>
                      <w:lang w:val="en-US" w:eastAsia="zh-CN"/>
                    </w:rPr>
                  </w:pPr>
                </w:p>
              </w:tc>
              <w:tc>
                <w:tcPr>
                  <w:tcW w:w="2130" w:type="dxa"/>
                  <w:gridSpan w:val="3"/>
                  <w:tcBorders>
                    <w:top w:val="single" w:sz="4" w:space="0" w:color="auto"/>
                    <w:bottom w:val="single" w:sz="4" w:space="0" w:color="auto"/>
                  </w:tcBorders>
                  <w:shd w:val="clear" w:color="auto" w:fill="auto"/>
                  <w:noWrap/>
                  <w:vAlign w:val="center"/>
                  <w:hideMark/>
                </w:tcPr>
                <w:p w14:paraId="159F77DB"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 xml:space="preserve">Outside financial crisis </w:t>
                  </w:r>
                </w:p>
              </w:tc>
              <w:tc>
                <w:tcPr>
                  <w:tcW w:w="237" w:type="dxa"/>
                  <w:tcBorders>
                    <w:top w:val="single" w:sz="4" w:space="0" w:color="auto"/>
                    <w:left w:val="nil"/>
                  </w:tcBorders>
                  <w:shd w:val="clear" w:color="auto" w:fill="auto"/>
                  <w:vAlign w:val="center"/>
                </w:tcPr>
                <w:p w14:paraId="21C5BA58" w14:textId="77777777" w:rsidR="00683E92" w:rsidRPr="00B051E5" w:rsidRDefault="00683E92" w:rsidP="00B764F0">
                  <w:pPr>
                    <w:rPr>
                      <w:rFonts w:ascii="Garamond" w:eastAsia="SimSun" w:hAnsi="Garamond"/>
                      <w:color w:val="000000" w:themeColor="text1"/>
                      <w:sz w:val="20"/>
                      <w:szCs w:val="20"/>
                      <w:lang w:val="en-US" w:eastAsia="zh-CN"/>
                    </w:rPr>
                  </w:pPr>
                </w:p>
              </w:tc>
              <w:tc>
                <w:tcPr>
                  <w:tcW w:w="2467" w:type="dxa"/>
                  <w:gridSpan w:val="3"/>
                  <w:tcBorders>
                    <w:top w:val="single" w:sz="4" w:space="0" w:color="auto"/>
                    <w:bottom w:val="single" w:sz="4" w:space="0" w:color="auto"/>
                  </w:tcBorders>
                  <w:shd w:val="clear" w:color="auto" w:fill="auto"/>
                  <w:vAlign w:val="center"/>
                </w:tcPr>
                <w:p w14:paraId="398A74C5"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 xml:space="preserve">Within financial crisis </w:t>
                  </w:r>
                </w:p>
              </w:tc>
              <w:tc>
                <w:tcPr>
                  <w:tcW w:w="3459" w:type="dxa"/>
                  <w:gridSpan w:val="2"/>
                  <w:tcBorders>
                    <w:top w:val="single" w:sz="4" w:space="0" w:color="auto"/>
                    <w:left w:val="nil"/>
                  </w:tcBorders>
                  <w:shd w:val="clear" w:color="auto" w:fill="auto"/>
                  <w:vAlign w:val="center"/>
                </w:tcPr>
                <w:p w14:paraId="0FAE8941" w14:textId="77777777" w:rsidR="00683E92" w:rsidRPr="00B051E5" w:rsidRDefault="00683E92" w:rsidP="00B764F0">
                  <w:pPr>
                    <w:rPr>
                      <w:rFonts w:ascii="Garamond" w:eastAsia="SimSun" w:hAnsi="Garamond"/>
                      <w:color w:val="000000" w:themeColor="text1"/>
                      <w:sz w:val="20"/>
                      <w:szCs w:val="20"/>
                      <w:lang w:val="en-US" w:eastAsia="zh-CN"/>
                    </w:rPr>
                  </w:pPr>
                </w:p>
              </w:tc>
            </w:tr>
            <w:tr w:rsidR="00B051E5" w:rsidRPr="00B051E5" w14:paraId="69105020" w14:textId="77777777" w:rsidTr="00B764F0">
              <w:trPr>
                <w:trHeight w:val="116"/>
              </w:trPr>
              <w:tc>
                <w:tcPr>
                  <w:tcW w:w="1772" w:type="dxa"/>
                  <w:tcBorders>
                    <w:bottom w:val="single" w:sz="4" w:space="0" w:color="auto"/>
                  </w:tcBorders>
                  <w:shd w:val="clear" w:color="auto" w:fill="auto"/>
                  <w:noWrap/>
                  <w:vAlign w:val="center"/>
                  <w:hideMark/>
                </w:tcPr>
                <w:p w14:paraId="28E9C501" w14:textId="77777777" w:rsidR="00683E92" w:rsidRPr="00B051E5" w:rsidRDefault="00683E92" w:rsidP="00B764F0">
                  <w:pPr>
                    <w:rPr>
                      <w:rFonts w:ascii="Garamond" w:eastAsia="SimSun" w:hAnsi="Garamond"/>
                      <w:b/>
                      <w:iCs/>
                      <w:color w:val="000000" w:themeColor="text1"/>
                      <w:sz w:val="20"/>
                      <w:szCs w:val="20"/>
                      <w:lang w:val="en-US" w:eastAsia="zh-CN"/>
                    </w:rPr>
                  </w:pPr>
                  <w:r w:rsidRPr="00B051E5">
                    <w:rPr>
                      <w:rFonts w:ascii="Garamond" w:eastAsia="SimSun" w:hAnsi="Garamond"/>
                      <w:b/>
                      <w:iCs/>
                      <w:color w:val="000000" w:themeColor="text1"/>
                      <w:sz w:val="20"/>
                      <w:szCs w:val="20"/>
                      <w:lang w:val="en-US" w:eastAsia="zh-CN"/>
                    </w:rPr>
                    <w:t xml:space="preserve">Main variables </w:t>
                  </w:r>
                </w:p>
              </w:tc>
              <w:tc>
                <w:tcPr>
                  <w:tcW w:w="591" w:type="dxa"/>
                  <w:tcBorders>
                    <w:bottom w:val="single" w:sz="4" w:space="0" w:color="auto"/>
                  </w:tcBorders>
                  <w:shd w:val="clear" w:color="auto" w:fill="auto"/>
                  <w:noWrap/>
                  <w:vAlign w:val="center"/>
                  <w:hideMark/>
                </w:tcPr>
                <w:p w14:paraId="2B377C73"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N</w:t>
                  </w:r>
                </w:p>
              </w:tc>
              <w:tc>
                <w:tcPr>
                  <w:tcW w:w="650" w:type="dxa"/>
                  <w:tcBorders>
                    <w:bottom w:val="single" w:sz="4" w:space="0" w:color="auto"/>
                  </w:tcBorders>
                  <w:shd w:val="clear" w:color="auto" w:fill="auto"/>
                  <w:noWrap/>
                  <w:vAlign w:val="center"/>
                  <w:hideMark/>
                </w:tcPr>
                <w:p w14:paraId="0AAE0D64"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Mean</w:t>
                  </w:r>
                </w:p>
              </w:tc>
              <w:tc>
                <w:tcPr>
                  <w:tcW w:w="889" w:type="dxa"/>
                  <w:tcBorders>
                    <w:bottom w:val="single" w:sz="4" w:space="0" w:color="auto"/>
                  </w:tcBorders>
                  <w:shd w:val="clear" w:color="auto" w:fill="auto"/>
                  <w:noWrap/>
                  <w:vAlign w:val="center"/>
                  <w:hideMark/>
                </w:tcPr>
                <w:p w14:paraId="52445EFD"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Std.Dev.</w:t>
                  </w:r>
                </w:p>
              </w:tc>
              <w:tc>
                <w:tcPr>
                  <w:tcW w:w="237" w:type="dxa"/>
                  <w:tcBorders>
                    <w:left w:val="nil"/>
                  </w:tcBorders>
                  <w:shd w:val="clear" w:color="auto" w:fill="auto"/>
                  <w:noWrap/>
                  <w:vAlign w:val="center"/>
                </w:tcPr>
                <w:p w14:paraId="23FCE974" w14:textId="77777777" w:rsidR="00683E92" w:rsidRPr="00B051E5" w:rsidRDefault="00683E92" w:rsidP="00B764F0">
                  <w:pPr>
                    <w:rPr>
                      <w:rFonts w:ascii="Garamond" w:eastAsia="SimSun" w:hAnsi="Garamond"/>
                      <w:color w:val="000000" w:themeColor="text1"/>
                      <w:sz w:val="20"/>
                      <w:szCs w:val="20"/>
                      <w:lang w:val="en-US" w:eastAsia="zh-CN"/>
                    </w:rPr>
                  </w:pPr>
                </w:p>
              </w:tc>
              <w:tc>
                <w:tcPr>
                  <w:tcW w:w="498" w:type="dxa"/>
                  <w:tcBorders>
                    <w:top w:val="single" w:sz="4" w:space="0" w:color="auto"/>
                    <w:bottom w:val="single" w:sz="4" w:space="0" w:color="auto"/>
                  </w:tcBorders>
                  <w:shd w:val="clear" w:color="auto" w:fill="auto"/>
                  <w:vAlign w:val="center"/>
                </w:tcPr>
                <w:p w14:paraId="3894BCF1"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 xml:space="preserve">       N</w:t>
                  </w:r>
                </w:p>
              </w:tc>
              <w:tc>
                <w:tcPr>
                  <w:tcW w:w="650" w:type="dxa"/>
                  <w:tcBorders>
                    <w:top w:val="single" w:sz="4" w:space="0" w:color="auto"/>
                    <w:bottom w:val="single" w:sz="4" w:space="0" w:color="auto"/>
                  </w:tcBorders>
                  <w:shd w:val="clear" w:color="auto" w:fill="auto"/>
                  <w:noWrap/>
                  <w:vAlign w:val="center"/>
                </w:tcPr>
                <w:p w14:paraId="3D212D10"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Mean</w:t>
                  </w:r>
                </w:p>
              </w:tc>
              <w:tc>
                <w:tcPr>
                  <w:tcW w:w="1319" w:type="dxa"/>
                  <w:tcBorders>
                    <w:top w:val="single" w:sz="4" w:space="0" w:color="auto"/>
                    <w:bottom w:val="single" w:sz="4" w:space="0" w:color="auto"/>
                  </w:tcBorders>
                  <w:shd w:val="clear" w:color="auto" w:fill="auto"/>
                  <w:noWrap/>
                  <w:vAlign w:val="center"/>
                </w:tcPr>
                <w:p w14:paraId="3CCA8B8A"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Std.Dev.</w:t>
                  </w:r>
                </w:p>
              </w:tc>
              <w:tc>
                <w:tcPr>
                  <w:tcW w:w="3459" w:type="dxa"/>
                  <w:gridSpan w:val="2"/>
                  <w:tcBorders>
                    <w:left w:val="nil"/>
                    <w:bottom w:val="single" w:sz="4" w:space="0" w:color="auto"/>
                  </w:tcBorders>
                  <w:shd w:val="clear" w:color="auto" w:fill="auto"/>
                  <w:noWrap/>
                  <w:vAlign w:val="center"/>
                </w:tcPr>
                <w:p w14:paraId="415806F9" w14:textId="77777777" w:rsidR="00683E92" w:rsidRPr="00B051E5" w:rsidRDefault="00683E92" w:rsidP="00B764F0">
                  <w:pPr>
                    <w:rPr>
                      <w:rFonts w:ascii="Garamond" w:eastAsia="SimSun" w:hAnsi="Garamond"/>
                      <w:color w:val="000000" w:themeColor="text1"/>
                      <w:sz w:val="20"/>
                      <w:szCs w:val="20"/>
                      <w:lang w:val="en-US" w:eastAsia="zh-CN"/>
                    </w:rPr>
                  </w:pPr>
                  <w:r w:rsidRPr="00B051E5">
                    <w:rPr>
                      <w:rFonts w:ascii="Garamond" w:eastAsia="SimSun" w:hAnsi="Garamond"/>
                      <w:color w:val="000000" w:themeColor="text1"/>
                      <w:sz w:val="20"/>
                      <w:szCs w:val="20"/>
                      <w:lang w:val="en-US" w:eastAsia="zh-CN"/>
                    </w:rPr>
                    <w:t>t-statistics</w:t>
                  </w:r>
                </w:p>
              </w:tc>
            </w:tr>
            <w:tr w:rsidR="00B051E5" w:rsidRPr="00B051E5" w14:paraId="4AC7DDA9" w14:textId="77777777" w:rsidTr="00B764F0">
              <w:trPr>
                <w:trHeight w:val="116"/>
              </w:trPr>
              <w:tc>
                <w:tcPr>
                  <w:tcW w:w="1772" w:type="dxa"/>
                  <w:noWrap/>
                  <w:vAlign w:val="bottom"/>
                </w:tcPr>
                <w:p w14:paraId="31DEDB61" w14:textId="77777777" w:rsidR="00683E92" w:rsidRPr="00B051E5" w:rsidRDefault="00683E92" w:rsidP="00B764F0">
                  <w:pPr>
                    <w:widowControl w:val="0"/>
                    <w:jc w:val="both"/>
                    <w:rPr>
                      <w:rFonts w:ascii="Garamond" w:eastAsia="SimSun" w:hAnsi="Garamond"/>
                      <w:i/>
                      <w:color w:val="000000" w:themeColor="text1"/>
                      <w:sz w:val="20"/>
                      <w:szCs w:val="20"/>
                      <w:lang w:val="en-US" w:eastAsia="zh-CN"/>
                    </w:rPr>
                  </w:pPr>
                  <w:r w:rsidRPr="00B051E5">
                    <w:rPr>
                      <w:rFonts w:ascii="Garamond" w:hAnsi="Garamond"/>
                      <w:bCs/>
                      <w:color w:val="000000" w:themeColor="text1"/>
                      <w:sz w:val="20"/>
                      <w:szCs w:val="20"/>
                    </w:rPr>
                    <w:t xml:space="preserve">SYNCH </w:t>
                  </w:r>
                </w:p>
              </w:tc>
              <w:tc>
                <w:tcPr>
                  <w:tcW w:w="591" w:type="dxa"/>
                  <w:noWrap/>
                </w:tcPr>
                <w:p w14:paraId="4D92E677"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1722</w:t>
                  </w:r>
                </w:p>
              </w:tc>
              <w:tc>
                <w:tcPr>
                  <w:tcW w:w="650" w:type="dxa"/>
                  <w:noWrap/>
                </w:tcPr>
                <w:p w14:paraId="17A02EFC"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0.133</w:t>
                  </w:r>
                </w:p>
              </w:tc>
              <w:tc>
                <w:tcPr>
                  <w:tcW w:w="889" w:type="dxa"/>
                  <w:tcBorders>
                    <w:top w:val="single" w:sz="4" w:space="0" w:color="auto"/>
                  </w:tcBorders>
                  <w:noWrap/>
                </w:tcPr>
                <w:p w14:paraId="77374585"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1.17</w:t>
                  </w:r>
                </w:p>
              </w:tc>
              <w:tc>
                <w:tcPr>
                  <w:tcW w:w="237" w:type="dxa"/>
                  <w:tcBorders>
                    <w:left w:val="nil"/>
                  </w:tcBorders>
                  <w:noWrap/>
                </w:tcPr>
                <w:p w14:paraId="1E730690"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p>
              </w:tc>
              <w:tc>
                <w:tcPr>
                  <w:tcW w:w="498" w:type="dxa"/>
                  <w:tcBorders>
                    <w:left w:val="nil"/>
                  </w:tcBorders>
                </w:tcPr>
                <w:p w14:paraId="3DCF96E8"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496</w:t>
                  </w:r>
                </w:p>
              </w:tc>
              <w:tc>
                <w:tcPr>
                  <w:tcW w:w="650" w:type="dxa"/>
                  <w:noWrap/>
                </w:tcPr>
                <w:p w14:paraId="5FDD1EE4"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0.348</w:t>
                  </w:r>
                </w:p>
              </w:tc>
              <w:tc>
                <w:tcPr>
                  <w:tcW w:w="1319" w:type="dxa"/>
                  <w:noWrap/>
                </w:tcPr>
                <w:p w14:paraId="40F6FE26"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1.23</w:t>
                  </w:r>
                </w:p>
              </w:tc>
              <w:tc>
                <w:tcPr>
                  <w:tcW w:w="1554" w:type="dxa"/>
                  <w:tcBorders>
                    <w:left w:val="nil"/>
                  </w:tcBorders>
                  <w:noWrap/>
                  <w:vAlign w:val="center"/>
                </w:tcPr>
                <w:p w14:paraId="5E80D22B"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sz w:val="20"/>
                      <w:szCs w:val="20"/>
                      <w:lang w:val="en-US" w:eastAsia="zh-CN"/>
                    </w:rPr>
                    <w:t>-3.555***</w:t>
                  </w:r>
                </w:p>
              </w:tc>
              <w:tc>
                <w:tcPr>
                  <w:tcW w:w="1905" w:type="dxa"/>
                  <w:noWrap/>
                </w:tcPr>
                <w:p w14:paraId="0F0B97B6"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p>
              </w:tc>
            </w:tr>
            <w:tr w:rsidR="00B051E5" w:rsidRPr="00B051E5" w14:paraId="1D00B02D" w14:textId="77777777" w:rsidTr="00B764F0">
              <w:trPr>
                <w:trHeight w:val="116"/>
              </w:trPr>
              <w:tc>
                <w:tcPr>
                  <w:tcW w:w="1772" w:type="dxa"/>
                  <w:noWrap/>
                  <w:vAlign w:val="bottom"/>
                </w:tcPr>
                <w:p w14:paraId="708F6D3D" w14:textId="77777777" w:rsidR="00683E92" w:rsidRPr="00B051E5" w:rsidRDefault="00683E92" w:rsidP="00B764F0">
                  <w:pPr>
                    <w:widowControl w:val="0"/>
                    <w:jc w:val="both"/>
                    <w:rPr>
                      <w:rFonts w:ascii="Garamond" w:eastAsia="SimSun" w:hAnsi="Garamond"/>
                      <w:i/>
                      <w:color w:val="000000" w:themeColor="text1"/>
                      <w:sz w:val="20"/>
                      <w:szCs w:val="20"/>
                      <w:lang w:val="en-US" w:eastAsia="zh-CN"/>
                    </w:rPr>
                  </w:pPr>
                  <w:r w:rsidRPr="00B051E5">
                    <w:rPr>
                      <w:rFonts w:ascii="Garamond" w:hAnsi="Garamond"/>
                      <w:bCs/>
                      <w:color w:val="000000" w:themeColor="text1"/>
                      <w:sz w:val="20"/>
                      <w:szCs w:val="20"/>
                    </w:rPr>
                    <w:t xml:space="preserve">PARD </w:t>
                  </w:r>
                </w:p>
              </w:tc>
              <w:tc>
                <w:tcPr>
                  <w:tcW w:w="591" w:type="dxa"/>
                  <w:noWrap/>
                </w:tcPr>
                <w:p w14:paraId="495EBCFD"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1722</w:t>
                  </w:r>
                </w:p>
              </w:tc>
              <w:tc>
                <w:tcPr>
                  <w:tcW w:w="650" w:type="dxa"/>
                  <w:noWrap/>
                </w:tcPr>
                <w:p w14:paraId="52850B41"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0.176</w:t>
                  </w:r>
                </w:p>
              </w:tc>
              <w:tc>
                <w:tcPr>
                  <w:tcW w:w="889" w:type="dxa"/>
                  <w:noWrap/>
                </w:tcPr>
                <w:p w14:paraId="550D922E"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0.03</w:t>
                  </w:r>
                </w:p>
              </w:tc>
              <w:tc>
                <w:tcPr>
                  <w:tcW w:w="237" w:type="dxa"/>
                  <w:noWrap/>
                </w:tcPr>
                <w:p w14:paraId="04ADD930"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p>
              </w:tc>
              <w:tc>
                <w:tcPr>
                  <w:tcW w:w="498" w:type="dxa"/>
                  <w:tcBorders>
                    <w:left w:val="nil"/>
                  </w:tcBorders>
                </w:tcPr>
                <w:p w14:paraId="1C71BE30"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496</w:t>
                  </w:r>
                </w:p>
              </w:tc>
              <w:tc>
                <w:tcPr>
                  <w:tcW w:w="650" w:type="dxa"/>
                  <w:noWrap/>
                </w:tcPr>
                <w:p w14:paraId="5299F04F"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0.179</w:t>
                  </w:r>
                </w:p>
              </w:tc>
              <w:tc>
                <w:tcPr>
                  <w:tcW w:w="1319" w:type="dxa"/>
                  <w:noWrap/>
                </w:tcPr>
                <w:p w14:paraId="76A4DB5D"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0.04</w:t>
                  </w:r>
                </w:p>
              </w:tc>
              <w:tc>
                <w:tcPr>
                  <w:tcW w:w="1554" w:type="dxa"/>
                  <w:tcBorders>
                    <w:left w:val="nil"/>
                  </w:tcBorders>
                  <w:noWrap/>
                  <w:vAlign w:val="center"/>
                </w:tcPr>
                <w:p w14:paraId="2D8088BB"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sz w:val="20"/>
                      <w:szCs w:val="20"/>
                      <w:lang w:val="en-US" w:eastAsia="zh-CN"/>
                    </w:rPr>
                    <w:t>-1.730*</w:t>
                  </w:r>
                </w:p>
              </w:tc>
              <w:tc>
                <w:tcPr>
                  <w:tcW w:w="1905" w:type="dxa"/>
                  <w:noWrap/>
                </w:tcPr>
                <w:p w14:paraId="370A30D8"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p>
              </w:tc>
            </w:tr>
            <w:tr w:rsidR="00B051E5" w:rsidRPr="00B051E5" w14:paraId="156A5B02" w14:textId="77777777" w:rsidTr="00B764F0">
              <w:trPr>
                <w:trHeight w:val="116"/>
              </w:trPr>
              <w:tc>
                <w:tcPr>
                  <w:tcW w:w="1772" w:type="dxa"/>
                  <w:noWrap/>
                  <w:vAlign w:val="bottom"/>
                </w:tcPr>
                <w:p w14:paraId="3E7382CB" w14:textId="77777777" w:rsidR="00683E92" w:rsidRPr="00B051E5" w:rsidRDefault="00683E92" w:rsidP="00B764F0">
                  <w:pPr>
                    <w:widowControl w:val="0"/>
                    <w:jc w:val="both"/>
                    <w:rPr>
                      <w:rFonts w:ascii="Garamond" w:eastAsia="SimSun" w:hAnsi="Garamond"/>
                      <w:i/>
                      <w:color w:val="000000" w:themeColor="text1"/>
                      <w:sz w:val="20"/>
                      <w:szCs w:val="20"/>
                      <w:lang w:val="en-US" w:eastAsia="zh-CN"/>
                    </w:rPr>
                  </w:pPr>
                  <w:r w:rsidRPr="00B051E5">
                    <w:rPr>
                      <w:rFonts w:ascii="Garamond" w:hAnsi="Garamond"/>
                      <w:bCs/>
                      <w:color w:val="000000" w:themeColor="text1"/>
                      <w:sz w:val="20"/>
                      <w:szCs w:val="20"/>
                    </w:rPr>
                    <w:t xml:space="preserve">PFLRD </w:t>
                  </w:r>
                </w:p>
              </w:tc>
              <w:tc>
                <w:tcPr>
                  <w:tcW w:w="591" w:type="dxa"/>
                  <w:noWrap/>
                </w:tcPr>
                <w:p w14:paraId="706D746B"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1722</w:t>
                  </w:r>
                </w:p>
              </w:tc>
              <w:tc>
                <w:tcPr>
                  <w:tcW w:w="650" w:type="dxa"/>
                  <w:noWrap/>
                </w:tcPr>
                <w:p w14:paraId="3218226F"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0.208</w:t>
                  </w:r>
                </w:p>
              </w:tc>
              <w:tc>
                <w:tcPr>
                  <w:tcW w:w="889" w:type="dxa"/>
                  <w:noWrap/>
                </w:tcPr>
                <w:p w14:paraId="62EDD603"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0.07</w:t>
                  </w:r>
                </w:p>
              </w:tc>
              <w:tc>
                <w:tcPr>
                  <w:tcW w:w="237" w:type="dxa"/>
                  <w:noWrap/>
                </w:tcPr>
                <w:p w14:paraId="59381B30"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p>
              </w:tc>
              <w:tc>
                <w:tcPr>
                  <w:tcW w:w="498" w:type="dxa"/>
                  <w:tcBorders>
                    <w:left w:val="nil"/>
                  </w:tcBorders>
                </w:tcPr>
                <w:p w14:paraId="5877E211"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496</w:t>
                  </w:r>
                </w:p>
              </w:tc>
              <w:tc>
                <w:tcPr>
                  <w:tcW w:w="650" w:type="dxa"/>
                  <w:noWrap/>
                </w:tcPr>
                <w:p w14:paraId="0A289A05"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0.199</w:t>
                  </w:r>
                </w:p>
              </w:tc>
              <w:tc>
                <w:tcPr>
                  <w:tcW w:w="1319" w:type="dxa"/>
                  <w:noWrap/>
                </w:tcPr>
                <w:p w14:paraId="52A95E40"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0.06</w:t>
                  </w:r>
                </w:p>
              </w:tc>
              <w:tc>
                <w:tcPr>
                  <w:tcW w:w="1554" w:type="dxa"/>
                  <w:noWrap/>
                  <w:vAlign w:val="center"/>
                </w:tcPr>
                <w:p w14:paraId="46918C13"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sz w:val="20"/>
                      <w:szCs w:val="20"/>
                      <w:lang w:val="en-US" w:eastAsia="zh-CN"/>
                    </w:rPr>
                    <w:t>2.520***</w:t>
                  </w:r>
                </w:p>
              </w:tc>
              <w:tc>
                <w:tcPr>
                  <w:tcW w:w="1905" w:type="dxa"/>
                  <w:noWrap/>
                </w:tcPr>
                <w:p w14:paraId="58B79209"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p>
              </w:tc>
            </w:tr>
            <w:tr w:rsidR="00B051E5" w:rsidRPr="00B051E5" w14:paraId="428E3E9A" w14:textId="77777777" w:rsidTr="00B764F0">
              <w:trPr>
                <w:trHeight w:val="169"/>
              </w:trPr>
              <w:tc>
                <w:tcPr>
                  <w:tcW w:w="1772" w:type="dxa"/>
                  <w:tcBorders>
                    <w:bottom w:val="single" w:sz="4" w:space="0" w:color="auto"/>
                  </w:tcBorders>
                  <w:noWrap/>
                  <w:vAlign w:val="bottom"/>
                </w:tcPr>
                <w:p w14:paraId="2C32193F" w14:textId="77777777" w:rsidR="00683E92" w:rsidRPr="00B051E5" w:rsidRDefault="00683E92" w:rsidP="00B764F0">
                  <w:pPr>
                    <w:widowControl w:val="0"/>
                    <w:jc w:val="both"/>
                    <w:rPr>
                      <w:rFonts w:ascii="Garamond" w:eastAsia="SimSun" w:hAnsi="Garamond"/>
                      <w:i/>
                      <w:color w:val="000000" w:themeColor="text1"/>
                      <w:sz w:val="20"/>
                      <w:szCs w:val="20"/>
                      <w:lang w:val="en-US" w:eastAsia="zh-CN"/>
                    </w:rPr>
                  </w:pPr>
                  <w:r w:rsidRPr="00B051E5">
                    <w:rPr>
                      <w:rFonts w:ascii="Garamond" w:hAnsi="Garamond"/>
                      <w:bCs/>
                      <w:color w:val="000000" w:themeColor="text1"/>
                      <w:sz w:val="20"/>
                      <w:szCs w:val="20"/>
                    </w:rPr>
                    <w:t xml:space="preserve">PNFLRD </w:t>
                  </w:r>
                </w:p>
              </w:tc>
              <w:tc>
                <w:tcPr>
                  <w:tcW w:w="591" w:type="dxa"/>
                  <w:tcBorders>
                    <w:bottom w:val="single" w:sz="4" w:space="0" w:color="auto"/>
                  </w:tcBorders>
                  <w:noWrap/>
                </w:tcPr>
                <w:p w14:paraId="18FF3E3C"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1722</w:t>
                  </w:r>
                </w:p>
              </w:tc>
              <w:tc>
                <w:tcPr>
                  <w:tcW w:w="650" w:type="dxa"/>
                  <w:tcBorders>
                    <w:bottom w:val="single" w:sz="4" w:space="0" w:color="auto"/>
                  </w:tcBorders>
                  <w:noWrap/>
                </w:tcPr>
                <w:p w14:paraId="13034E0E"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0.791</w:t>
                  </w:r>
                </w:p>
              </w:tc>
              <w:tc>
                <w:tcPr>
                  <w:tcW w:w="889" w:type="dxa"/>
                  <w:tcBorders>
                    <w:bottom w:val="single" w:sz="4" w:space="0" w:color="auto"/>
                  </w:tcBorders>
                  <w:noWrap/>
                </w:tcPr>
                <w:p w14:paraId="00D622CA"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0.07</w:t>
                  </w:r>
                </w:p>
              </w:tc>
              <w:tc>
                <w:tcPr>
                  <w:tcW w:w="735" w:type="dxa"/>
                  <w:gridSpan w:val="2"/>
                  <w:tcBorders>
                    <w:bottom w:val="single" w:sz="4" w:space="0" w:color="auto"/>
                  </w:tcBorders>
                  <w:noWrap/>
                </w:tcPr>
                <w:p w14:paraId="32015F99"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 xml:space="preserve">    496</w:t>
                  </w:r>
                </w:p>
              </w:tc>
              <w:tc>
                <w:tcPr>
                  <w:tcW w:w="650" w:type="dxa"/>
                  <w:tcBorders>
                    <w:bottom w:val="single" w:sz="4" w:space="0" w:color="auto"/>
                  </w:tcBorders>
                  <w:noWrap/>
                </w:tcPr>
                <w:p w14:paraId="79BD3D9B"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0.800</w:t>
                  </w:r>
                </w:p>
              </w:tc>
              <w:tc>
                <w:tcPr>
                  <w:tcW w:w="1319" w:type="dxa"/>
                  <w:tcBorders>
                    <w:bottom w:val="single" w:sz="4" w:space="0" w:color="auto"/>
                  </w:tcBorders>
                  <w:noWrap/>
                </w:tcPr>
                <w:p w14:paraId="6BF16485" w14:textId="7777777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kern w:val="2"/>
                      <w:sz w:val="20"/>
                      <w:szCs w:val="20"/>
                      <w:lang w:val="en-US" w:eastAsia="zh-CN"/>
                    </w:rPr>
                    <w:t>0.06</w:t>
                  </w:r>
                </w:p>
              </w:tc>
              <w:tc>
                <w:tcPr>
                  <w:tcW w:w="1554" w:type="dxa"/>
                  <w:tcBorders>
                    <w:bottom w:val="single" w:sz="4" w:space="0" w:color="auto"/>
                  </w:tcBorders>
                  <w:noWrap/>
                  <w:vAlign w:val="center"/>
                </w:tcPr>
                <w:p w14:paraId="26AA38A1"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sz w:val="20"/>
                      <w:szCs w:val="20"/>
                      <w:lang w:val="en-US" w:eastAsia="zh-CN"/>
                    </w:rPr>
                    <w:t>-2.520***</w:t>
                  </w:r>
                </w:p>
              </w:tc>
              <w:tc>
                <w:tcPr>
                  <w:tcW w:w="1905" w:type="dxa"/>
                  <w:tcBorders>
                    <w:bottom w:val="single" w:sz="4" w:space="0" w:color="auto"/>
                  </w:tcBorders>
                  <w:noWrap/>
                </w:tcPr>
                <w:p w14:paraId="6B4B4B22" w14:textId="77777777" w:rsidR="00683E92" w:rsidRPr="00B051E5" w:rsidRDefault="00683E92" w:rsidP="00B764F0">
                  <w:pPr>
                    <w:widowControl w:val="0"/>
                    <w:rPr>
                      <w:rFonts w:ascii="Garamond" w:eastAsia="SimSun" w:hAnsi="Garamond"/>
                      <w:color w:val="000000" w:themeColor="text1"/>
                      <w:kern w:val="2"/>
                      <w:sz w:val="20"/>
                      <w:szCs w:val="20"/>
                      <w:lang w:val="en-US" w:eastAsia="zh-CN"/>
                    </w:rPr>
                  </w:pPr>
                </w:p>
              </w:tc>
            </w:tr>
            <w:tr w:rsidR="00B051E5" w:rsidRPr="00B051E5" w14:paraId="559B2384" w14:textId="77777777" w:rsidTr="00B764F0">
              <w:trPr>
                <w:trHeight w:val="283"/>
              </w:trPr>
              <w:tc>
                <w:tcPr>
                  <w:tcW w:w="10065" w:type="dxa"/>
                  <w:gridSpan w:val="10"/>
                  <w:tcBorders>
                    <w:top w:val="single" w:sz="4" w:space="0" w:color="auto"/>
                  </w:tcBorders>
                  <w:noWrap/>
                </w:tcPr>
                <w:p w14:paraId="66047F79" w14:textId="055E0987" w:rsidR="00683E92" w:rsidRPr="00B051E5" w:rsidRDefault="00683E92" w:rsidP="00B764F0">
                  <w:pPr>
                    <w:widowControl w:val="0"/>
                    <w:jc w:val="both"/>
                    <w:rPr>
                      <w:rFonts w:ascii="Garamond" w:eastAsia="SimSun" w:hAnsi="Garamond"/>
                      <w:color w:val="000000" w:themeColor="text1"/>
                      <w:kern w:val="2"/>
                      <w:sz w:val="20"/>
                      <w:szCs w:val="20"/>
                      <w:lang w:val="en-US" w:eastAsia="zh-CN"/>
                    </w:rPr>
                  </w:pPr>
                  <w:r w:rsidRPr="00B051E5">
                    <w:rPr>
                      <w:rFonts w:ascii="Garamond" w:eastAsia="SimSun" w:hAnsi="Garamond"/>
                      <w:color w:val="000000" w:themeColor="text1"/>
                      <w:sz w:val="20"/>
                      <w:szCs w:val="20"/>
                      <w:lang w:val="en-US" w:eastAsia="zh-CN"/>
                    </w:rPr>
                    <w:t xml:space="preserve">This table gives distribution of this paper’s main variables over years in two panels. Panel A graphs </w:t>
                  </w:r>
                  <w:r w:rsidRPr="00B051E5">
                    <w:rPr>
                      <w:rFonts w:ascii="Garamond" w:eastAsia="Calibri" w:hAnsi="Garamond" w:cs="Arial"/>
                      <w:color w:val="000000" w:themeColor="text1"/>
                      <w:sz w:val="20"/>
                      <w:szCs w:val="20"/>
                      <w:lang w:eastAsia="en-US"/>
                    </w:rPr>
                    <w:t>yearly i</w:t>
                  </w:r>
                  <w:r w:rsidRPr="00B051E5">
                    <w:rPr>
                      <w:rFonts w:ascii="Garamond" w:hAnsi="Garamond" w:cs="Arial"/>
                      <w:color w:val="000000" w:themeColor="text1"/>
                      <w:kern w:val="24"/>
                      <w:sz w:val="20"/>
                      <w:szCs w:val="20"/>
                      <w:lang w:eastAsia="en-US"/>
                    </w:rPr>
                    <w:t>nformativeness</w:t>
                  </w:r>
                  <w:r w:rsidRPr="00B051E5">
                    <w:rPr>
                      <w:rFonts w:ascii="Garamond" w:eastAsia="Calibri" w:hAnsi="Garamond" w:cs="Arial"/>
                      <w:color w:val="000000" w:themeColor="text1"/>
                      <w:kern w:val="24"/>
                      <w:sz w:val="20"/>
                      <w:szCs w:val="20"/>
                      <w:lang w:eastAsia="en-US"/>
                    </w:rPr>
                    <w:t>,</w:t>
                  </w:r>
                  <w:r w:rsidRPr="00B051E5">
                    <w:rPr>
                      <w:rFonts w:ascii="Garamond" w:eastAsia="Calibri" w:hAnsi="Garamond" w:cs="Arial"/>
                      <w:color w:val="000000" w:themeColor="text1"/>
                      <w:sz w:val="20"/>
                      <w:szCs w:val="20"/>
                      <w:lang w:eastAsia="en-US"/>
                    </w:rPr>
                    <w:t xml:space="preserve"> aggregate risk disclosure, and its time-orientation. </w:t>
                  </w:r>
                  <w:r w:rsidRPr="00B051E5">
                    <w:rPr>
                      <w:rFonts w:ascii="Garamond" w:eastAsia="SimSun" w:hAnsi="Garamond"/>
                      <w:color w:val="000000" w:themeColor="text1"/>
                      <w:sz w:val="20"/>
                      <w:szCs w:val="20"/>
                      <w:lang w:val="en-US" w:eastAsia="zh-CN"/>
                    </w:rPr>
                    <w:t xml:space="preserve">Panel B gives the differences in main variables of interest between the period of financial crisis (2008-2009) and other years. The difference t-statistics are shown in the last column. </w:t>
                  </w:r>
                  <w:r w:rsidRPr="00B051E5">
                    <w:rPr>
                      <w:rFonts w:ascii="Garamond" w:hAnsi="Garamond"/>
                      <w:bCs/>
                      <w:color w:val="000000" w:themeColor="text1"/>
                      <w:sz w:val="20"/>
                      <w:szCs w:val="20"/>
                    </w:rPr>
                    <w:t>***, **, and * indicate the 1%, 5%, and 10% significance levels respectively</w:t>
                  </w:r>
                  <w:r w:rsidRPr="00B051E5">
                    <w:rPr>
                      <w:rFonts w:ascii="Garamond" w:eastAsia="SimSun" w:hAnsi="Garamond"/>
                      <w:color w:val="000000" w:themeColor="text1"/>
                      <w:sz w:val="20"/>
                      <w:szCs w:val="20"/>
                      <w:lang w:val="en-US" w:eastAsia="zh-CN"/>
                    </w:rPr>
                    <w:t xml:space="preserve">. All continuous variables are winsorized at 1% on both tails. </w:t>
                  </w:r>
                  <w:r w:rsidRPr="00B051E5">
                    <w:rPr>
                      <w:rFonts w:ascii="Garamond" w:eastAsia="Calibri" w:hAnsi="Garamond"/>
                      <w:color w:val="000000" w:themeColor="text1"/>
                      <w:sz w:val="20"/>
                      <w:szCs w:val="20"/>
                      <w:lang w:eastAsia="en-US"/>
                    </w:rPr>
                    <w:t xml:space="preserve">All variables definitions, measures and sources are provided in Appendix </w:t>
                  </w:r>
                  <w:r w:rsidR="00770E81" w:rsidRPr="00B051E5">
                    <w:rPr>
                      <w:rFonts w:ascii="Garamond" w:eastAsia="Calibri" w:hAnsi="Garamond"/>
                      <w:color w:val="000000" w:themeColor="text1"/>
                      <w:sz w:val="20"/>
                      <w:szCs w:val="20"/>
                      <w:lang w:eastAsia="en-US"/>
                    </w:rPr>
                    <w:t>2</w:t>
                  </w:r>
                  <w:r w:rsidRPr="00B051E5">
                    <w:rPr>
                      <w:rFonts w:ascii="Garamond" w:eastAsia="Calibri" w:hAnsi="Garamond"/>
                      <w:color w:val="000000" w:themeColor="text1"/>
                      <w:sz w:val="20"/>
                      <w:szCs w:val="20"/>
                      <w:lang w:eastAsia="en-US"/>
                    </w:rPr>
                    <w:t>.</w:t>
                  </w:r>
                </w:p>
              </w:tc>
            </w:tr>
          </w:tbl>
          <w:p w14:paraId="3BAE61A2" w14:textId="77777777" w:rsidR="00683E92" w:rsidRPr="00B051E5" w:rsidRDefault="00683E92" w:rsidP="00B764F0">
            <w:pPr>
              <w:rPr>
                <w:rFonts w:ascii="Garamond" w:eastAsia="SimSun" w:hAnsi="Garamond"/>
                <w:b/>
                <w:color w:val="000000" w:themeColor="text1"/>
                <w:sz w:val="20"/>
                <w:szCs w:val="20"/>
                <w:lang w:val="en-US" w:eastAsia="zh-CN"/>
              </w:rPr>
            </w:pPr>
          </w:p>
        </w:tc>
      </w:tr>
      <w:bookmarkEnd w:id="8"/>
      <w:bookmarkEnd w:id="9"/>
    </w:tbl>
    <w:p w14:paraId="50C0F600" w14:textId="15AA2DA7" w:rsidR="00683E92" w:rsidRPr="00B051E5" w:rsidRDefault="00683E92" w:rsidP="00C42CF0">
      <w:pPr>
        <w:spacing w:after="160" w:line="259" w:lineRule="auto"/>
        <w:rPr>
          <w:rFonts w:ascii="Garamond" w:hAnsi="Garamond"/>
          <w:b/>
          <w:color w:val="000000" w:themeColor="text1"/>
          <w:sz w:val="20"/>
          <w:szCs w:val="20"/>
        </w:rPr>
      </w:pPr>
    </w:p>
    <w:p w14:paraId="3CA6165E" w14:textId="4AB4DE8D" w:rsidR="00683E92" w:rsidRPr="00B051E5" w:rsidRDefault="00683E92" w:rsidP="00C42CF0">
      <w:pPr>
        <w:spacing w:after="160" w:line="259" w:lineRule="auto"/>
        <w:rPr>
          <w:rFonts w:ascii="Garamond" w:hAnsi="Garamond"/>
          <w:b/>
          <w:color w:val="000000" w:themeColor="text1"/>
          <w:sz w:val="20"/>
          <w:szCs w:val="20"/>
        </w:rPr>
      </w:pPr>
    </w:p>
    <w:p w14:paraId="5A6C8BCD" w14:textId="113C1583" w:rsidR="00683E92" w:rsidRPr="00B051E5" w:rsidRDefault="00683E92" w:rsidP="00C42CF0">
      <w:pPr>
        <w:spacing w:after="160" w:line="259" w:lineRule="auto"/>
        <w:rPr>
          <w:rFonts w:ascii="Garamond" w:hAnsi="Garamond"/>
          <w:b/>
          <w:color w:val="000000" w:themeColor="text1"/>
          <w:sz w:val="20"/>
          <w:szCs w:val="20"/>
        </w:rPr>
      </w:pPr>
    </w:p>
    <w:p w14:paraId="4911F47E" w14:textId="50DD5E90" w:rsidR="00683E92" w:rsidRPr="00B051E5" w:rsidRDefault="00683E92" w:rsidP="00C42CF0">
      <w:pPr>
        <w:spacing w:after="160" w:line="259" w:lineRule="auto"/>
        <w:rPr>
          <w:rFonts w:ascii="Garamond" w:hAnsi="Garamond"/>
          <w:b/>
          <w:color w:val="000000" w:themeColor="text1"/>
          <w:sz w:val="20"/>
          <w:szCs w:val="20"/>
        </w:rPr>
      </w:pPr>
    </w:p>
    <w:p w14:paraId="4A9949F6" w14:textId="17AA6F04" w:rsidR="00683E92" w:rsidRPr="00B051E5" w:rsidRDefault="00683E92" w:rsidP="00C42CF0">
      <w:pPr>
        <w:widowControl w:val="0"/>
        <w:autoSpaceDE w:val="0"/>
        <w:autoSpaceDN w:val="0"/>
        <w:adjustRightInd w:val="0"/>
        <w:rPr>
          <w:rFonts w:ascii="Garamond" w:hAnsi="Garamond"/>
          <w:color w:val="000000" w:themeColor="text1"/>
          <w:sz w:val="20"/>
          <w:szCs w:val="20"/>
          <w:u w:val="double"/>
        </w:rPr>
        <w:sectPr w:rsidR="00683E92" w:rsidRPr="00B051E5" w:rsidSect="00195944">
          <w:footerReference w:type="default" r:id="rId18"/>
          <w:pgSz w:w="11906" w:h="16838"/>
          <w:pgMar w:top="1440" w:right="1440" w:bottom="1440" w:left="1440" w:header="708" w:footer="708" w:gutter="0"/>
          <w:cols w:space="708"/>
          <w:docGrid w:linePitch="360"/>
        </w:sectPr>
      </w:pPr>
    </w:p>
    <w:tbl>
      <w:tblPr>
        <w:tblpPr w:leftFromText="180" w:rightFromText="180" w:vertAnchor="page" w:horzAnchor="margin" w:tblpXSpec="center" w:tblpY="2101"/>
        <w:tblW w:w="15877" w:type="dxa"/>
        <w:tblLayout w:type="fixed"/>
        <w:tblCellMar>
          <w:left w:w="75" w:type="dxa"/>
          <w:right w:w="75" w:type="dxa"/>
        </w:tblCellMar>
        <w:tblLook w:val="0000" w:firstRow="0" w:lastRow="0" w:firstColumn="0" w:lastColumn="0" w:noHBand="0" w:noVBand="0"/>
      </w:tblPr>
      <w:tblGrid>
        <w:gridCol w:w="1702"/>
        <w:gridCol w:w="567"/>
        <w:gridCol w:w="992"/>
        <w:gridCol w:w="992"/>
        <w:gridCol w:w="993"/>
        <w:gridCol w:w="1062"/>
        <w:gridCol w:w="355"/>
        <w:gridCol w:w="992"/>
        <w:gridCol w:w="993"/>
        <w:gridCol w:w="992"/>
        <w:gridCol w:w="1134"/>
        <w:gridCol w:w="425"/>
        <w:gridCol w:w="1134"/>
        <w:gridCol w:w="1134"/>
        <w:gridCol w:w="1134"/>
        <w:gridCol w:w="1276"/>
      </w:tblGrid>
      <w:tr w:rsidR="00B051E5" w:rsidRPr="00B051E5" w14:paraId="1395D785" w14:textId="77777777" w:rsidTr="00195944">
        <w:trPr>
          <w:trHeight w:val="142"/>
        </w:trPr>
        <w:tc>
          <w:tcPr>
            <w:tcW w:w="15877" w:type="dxa"/>
            <w:gridSpan w:val="16"/>
            <w:tcBorders>
              <w:left w:val="nil"/>
              <w:bottom w:val="single" w:sz="4" w:space="0" w:color="auto"/>
            </w:tcBorders>
          </w:tcPr>
          <w:p w14:paraId="75B749C4" w14:textId="155121FC" w:rsidR="00C42CF0" w:rsidRPr="00B051E5" w:rsidRDefault="00C42CF0" w:rsidP="00C42CF0">
            <w:pPr>
              <w:spacing w:after="160" w:line="259" w:lineRule="auto"/>
              <w:rPr>
                <w:rFonts w:ascii="Garamond" w:hAnsi="Garamond"/>
                <w:b/>
                <w:color w:val="000000" w:themeColor="text1"/>
                <w:sz w:val="20"/>
                <w:szCs w:val="20"/>
              </w:rPr>
            </w:pPr>
            <w:r w:rsidRPr="00B051E5">
              <w:rPr>
                <w:rFonts w:ascii="Garamond" w:hAnsi="Garamond"/>
                <w:b/>
                <w:bCs/>
                <w:color w:val="000000" w:themeColor="text1"/>
                <w:sz w:val="20"/>
                <w:szCs w:val="20"/>
              </w:rPr>
              <w:lastRenderedPageBreak/>
              <w:t xml:space="preserve">Table </w:t>
            </w:r>
            <w:r w:rsidR="00815ACA" w:rsidRPr="00B051E5">
              <w:rPr>
                <w:rFonts w:ascii="Garamond" w:hAnsi="Garamond"/>
                <w:b/>
                <w:bCs/>
                <w:color w:val="000000" w:themeColor="text1"/>
                <w:sz w:val="20"/>
                <w:szCs w:val="20"/>
              </w:rPr>
              <w:t>7</w:t>
            </w:r>
            <w:r w:rsidRPr="00B051E5">
              <w:rPr>
                <w:rFonts w:ascii="Garamond" w:hAnsi="Garamond"/>
                <w:b/>
                <w:bCs/>
                <w:color w:val="000000" w:themeColor="text1"/>
                <w:sz w:val="20"/>
                <w:szCs w:val="20"/>
              </w:rPr>
              <w:t>.</w:t>
            </w:r>
            <w:r w:rsidRPr="00B051E5">
              <w:rPr>
                <w:rFonts w:ascii="Garamond" w:eastAsia="Calibri" w:hAnsi="Garamond"/>
                <w:color w:val="000000" w:themeColor="text1"/>
                <w:sz w:val="20"/>
                <w:szCs w:val="20"/>
                <w:lang w:eastAsia="en-US"/>
              </w:rPr>
              <w:t xml:space="preserve"> Stock price informativeness of aggregate, forward, and non-forward-looking risk disclosure after accounting for global financial crisis </w:t>
            </w:r>
          </w:p>
        </w:tc>
      </w:tr>
      <w:tr w:rsidR="00B051E5" w:rsidRPr="00B051E5" w14:paraId="78058086" w14:textId="77777777" w:rsidTr="00195944">
        <w:trPr>
          <w:trHeight w:val="180"/>
        </w:trPr>
        <w:tc>
          <w:tcPr>
            <w:tcW w:w="1702" w:type="dxa"/>
            <w:vMerge w:val="restart"/>
            <w:tcBorders>
              <w:top w:val="single" w:sz="4" w:space="0" w:color="auto"/>
              <w:left w:val="nil"/>
            </w:tcBorders>
          </w:tcPr>
          <w:p w14:paraId="7679D1C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Independent variables</w:t>
            </w:r>
          </w:p>
          <w:p w14:paraId="3A71653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567" w:type="dxa"/>
            <w:vMerge w:val="restart"/>
            <w:tcBorders>
              <w:top w:val="single" w:sz="4" w:space="0" w:color="auto"/>
              <w:right w:val="nil"/>
            </w:tcBorders>
          </w:tcPr>
          <w:p w14:paraId="2B4478C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E.S</w:t>
            </w:r>
          </w:p>
        </w:tc>
        <w:tc>
          <w:tcPr>
            <w:tcW w:w="13608" w:type="dxa"/>
            <w:gridSpan w:val="14"/>
            <w:tcBorders>
              <w:top w:val="single" w:sz="4" w:space="0" w:color="auto"/>
              <w:left w:val="nil"/>
              <w:bottom w:val="single" w:sz="4" w:space="0" w:color="auto"/>
              <w:right w:val="nil"/>
            </w:tcBorders>
          </w:tcPr>
          <w:p w14:paraId="7CDAFC14" w14:textId="77777777" w:rsidR="00C42CF0" w:rsidRPr="00B051E5" w:rsidRDefault="00C42CF0" w:rsidP="00C42CF0">
            <w:pPr>
              <w:widowControl w:val="0"/>
              <w:autoSpaceDE w:val="0"/>
              <w:autoSpaceDN w:val="0"/>
              <w:adjustRightInd w:val="0"/>
              <w:jc w:val="center"/>
              <w:rPr>
                <w:rFonts w:ascii="Garamond" w:hAnsi="Garamond"/>
                <w:color w:val="000000" w:themeColor="text1"/>
                <w:sz w:val="20"/>
                <w:szCs w:val="20"/>
              </w:rPr>
            </w:pPr>
            <w:r w:rsidRPr="00B051E5">
              <w:rPr>
                <w:rFonts w:ascii="Garamond" w:hAnsi="Garamond"/>
                <w:color w:val="000000" w:themeColor="text1"/>
                <w:sz w:val="20"/>
                <w:szCs w:val="20"/>
              </w:rPr>
              <w:t xml:space="preserve">Dependent variable: </w:t>
            </w:r>
            <w:r w:rsidRPr="00B051E5">
              <w:rPr>
                <w:rFonts w:ascii="Garamond" w:eastAsia="Calibri" w:hAnsi="Garamond"/>
                <w:b/>
                <w:iCs/>
                <w:color w:val="000000" w:themeColor="text1"/>
                <w:sz w:val="20"/>
                <w:szCs w:val="20"/>
                <w:lang w:eastAsia="en-US"/>
              </w:rPr>
              <w:t xml:space="preserve"> SYNCH</w:t>
            </w:r>
          </w:p>
        </w:tc>
      </w:tr>
      <w:tr w:rsidR="00B051E5" w:rsidRPr="00B051E5" w14:paraId="1838AAD7" w14:textId="77777777" w:rsidTr="00195944">
        <w:trPr>
          <w:trHeight w:val="180"/>
        </w:trPr>
        <w:tc>
          <w:tcPr>
            <w:tcW w:w="1702" w:type="dxa"/>
            <w:vMerge/>
            <w:tcBorders>
              <w:left w:val="nil"/>
            </w:tcBorders>
          </w:tcPr>
          <w:p w14:paraId="06209F3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567" w:type="dxa"/>
            <w:vMerge/>
            <w:tcBorders>
              <w:right w:val="nil"/>
            </w:tcBorders>
          </w:tcPr>
          <w:p w14:paraId="2C89220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4394" w:type="dxa"/>
            <w:gridSpan w:val="5"/>
            <w:tcBorders>
              <w:top w:val="single" w:sz="4" w:space="0" w:color="auto"/>
              <w:left w:val="nil"/>
              <w:right w:val="nil"/>
            </w:tcBorders>
          </w:tcPr>
          <w:p w14:paraId="23EA411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Prior crisis (2005-2007)</w:t>
            </w:r>
          </w:p>
        </w:tc>
        <w:tc>
          <w:tcPr>
            <w:tcW w:w="4536" w:type="dxa"/>
            <w:gridSpan w:val="5"/>
            <w:tcBorders>
              <w:top w:val="single" w:sz="4" w:space="0" w:color="auto"/>
              <w:left w:val="nil"/>
            </w:tcBorders>
          </w:tcPr>
          <w:p w14:paraId="6CD059E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During the crisis (2008-2009)</w:t>
            </w:r>
          </w:p>
        </w:tc>
        <w:tc>
          <w:tcPr>
            <w:tcW w:w="4678" w:type="dxa"/>
            <w:gridSpan w:val="4"/>
            <w:tcBorders>
              <w:top w:val="single" w:sz="4" w:space="0" w:color="auto"/>
              <w:left w:val="nil"/>
              <w:bottom w:val="single" w:sz="4" w:space="0" w:color="auto"/>
              <w:right w:val="nil"/>
            </w:tcBorders>
          </w:tcPr>
          <w:p w14:paraId="1015325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Post crisis (2010-2014)</w:t>
            </w:r>
          </w:p>
        </w:tc>
      </w:tr>
      <w:tr w:rsidR="00B051E5" w:rsidRPr="00B051E5" w14:paraId="7967E8B0" w14:textId="77777777" w:rsidTr="00195944">
        <w:trPr>
          <w:trHeight w:val="104"/>
        </w:trPr>
        <w:tc>
          <w:tcPr>
            <w:tcW w:w="1702" w:type="dxa"/>
            <w:vMerge/>
            <w:tcBorders>
              <w:left w:val="nil"/>
              <w:bottom w:val="single" w:sz="4" w:space="0" w:color="auto"/>
            </w:tcBorders>
          </w:tcPr>
          <w:p w14:paraId="50FECA4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567" w:type="dxa"/>
            <w:vMerge/>
            <w:tcBorders>
              <w:bottom w:val="single" w:sz="4" w:space="0" w:color="auto"/>
              <w:right w:val="nil"/>
            </w:tcBorders>
          </w:tcPr>
          <w:p w14:paraId="59A2ED4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992" w:type="dxa"/>
            <w:tcBorders>
              <w:top w:val="single" w:sz="4" w:space="0" w:color="auto"/>
              <w:left w:val="nil"/>
              <w:bottom w:val="single" w:sz="4" w:space="0" w:color="auto"/>
              <w:right w:val="nil"/>
            </w:tcBorders>
          </w:tcPr>
          <w:p w14:paraId="5A7543F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w:t>
            </w:r>
          </w:p>
        </w:tc>
        <w:tc>
          <w:tcPr>
            <w:tcW w:w="992" w:type="dxa"/>
            <w:tcBorders>
              <w:top w:val="single" w:sz="4" w:space="0" w:color="auto"/>
              <w:left w:val="nil"/>
              <w:bottom w:val="single" w:sz="4" w:space="0" w:color="auto"/>
              <w:right w:val="nil"/>
            </w:tcBorders>
          </w:tcPr>
          <w:p w14:paraId="5FBE052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(2)</w:t>
            </w:r>
          </w:p>
        </w:tc>
        <w:tc>
          <w:tcPr>
            <w:tcW w:w="993" w:type="dxa"/>
            <w:tcBorders>
              <w:top w:val="single" w:sz="4" w:space="0" w:color="auto"/>
              <w:left w:val="nil"/>
              <w:bottom w:val="single" w:sz="4" w:space="0" w:color="auto"/>
              <w:right w:val="nil"/>
            </w:tcBorders>
          </w:tcPr>
          <w:p w14:paraId="17D92EA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(3)</w:t>
            </w:r>
          </w:p>
        </w:tc>
        <w:tc>
          <w:tcPr>
            <w:tcW w:w="1062" w:type="dxa"/>
            <w:tcBorders>
              <w:top w:val="single" w:sz="4" w:space="0" w:color="auto"/>
              <w:left w:val="nil"/>
              <w:bottom w:val="single" w:sz="4" w:space="0" w:color="auto"/>
            </w:tcBorders>
          </w:tcPr>
          <w:p w14:paraId="01E02D1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(4)</w:t>
            </w:r>
          </w:p>
        </w:tc>
        <w:tc>
          <w:tcPr>
            <w:tcW w:w="355" w:type="dxa"/>
            <w:vMerge w:val="restart"/>
            <w:tcBorders>
              <w:left w:val="nil"/>
              <w:right w:val="nil"/>
            </w:tcBorders>
          </w:tcPr>
          <w:p w14:paraId="102F86F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992" w:type="dxa"/>
            <w:tcBorders>
              <w:top w:val="single" w:sz="4" w:space="0" w:color="auto"/>
              <w:left w:val="nil"/>
              <w:bottom w:val="single" w:sz="4" w:space="0" w:color="auto"/>
              <w:right w:val="nil"/>
            </w:tcBorders>
          </w:tcPr>
          <w:p w14:paraId="0A591B2F"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(7)</w:t>
            </w:r>
          </w:p>
        </w:tc>
        <w:tc>
          <w:tcPr>
            <w:tcW w:w="993" w:type="dxa"/>
            <w:tcBorders>
              <w:top w:val="single" w:sz="4" w:space="0" w:color="auto"/>
              <w:left w:val="nil"/>
              <w:bottom w:val="single" w:sz="4" w:space="0" w:color="auto"/>
              <w:right w:val="nil"/>
            </w:tcBorders>
          </w:tcPr>
          <w:p w14:paraId="17748AB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(8)</w:t>
            </w:r>
          </w:p>
        </w:tc>
        <w:tc>
          <w:tcPr>
            <w:tcW w:w="992" w:type="dxa"/>
            <w:tcBorders>
              <w:top w:val="single" w:sz="4" w:space="0" w:color="auto"/>
              <w:left w:val="nil"/>
              <w:bottom w:val="single" w:sz="4" w:space="0" w:color="auto"/>
              <w:right w:val="nil"/>
            </w:tcBorders>
          </w:tcPr>
          <w:p w14:paraId="6CF9F0C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(9)</w:t>
            </w:r>
          </w:p>
        </w:tc>
        <w:tc>
          <w:tcPr>
            <w:tcW w:w="1134" w:type="dxa"/>
            <w:tcBorders>
              <w:top w:val="single" w:sz="4" w:space="0" w:color="auto"/>
              <w:left w:val="nil"/>
              <w:bottom w:val="single" w:sz="4" w:space="0" w:color="auto"/>
            </w:tcBorders>
          </w:tcPr>
          <w:p w14:paraId="4B9811B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(10)</w:t>
            </w:r>
          </w:p>
        </w:tc>
        <w:tc>
          <w:tcPr>
            <w:tcW w:w="425" w:type="dxa"/>
            <w:vMerge w:val="restart"/>
            <w:tcBorders>
              <w:left w:val="nil"/>
            </w:tcBorders>
          </w:tcPr>
          <w:p w14:paraId="23ED3FB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1134" w:type="dxa"/>
            <w:tcBorders>
              <w:top w:val="single" w:sz="4" w:space="0" w:color="auto"/>
              <w:left w:val="nil"/>
              <w:bottom w:val="single" w:sz="4" w:space="0" w:color="auto"/>
            </w:tcBorders>
          </w:tcPr>
          <w:p w14:paraId="5FB281A9"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(11)</w:t>
            </w:r>
          </w:p>
        </w:tc>
        <w:tc>
          <w:tcPr>
            <w:tcW w:w="1134" w:type="dxa"/>
            <w:tcBorders>
              <w:top w:val="single" w:sz="4" w:space="0" w:color="auto"/>
              <w:left w:val="nil"/>
              <w:bottom w:val="single" w:sz="4" w:space="0" w:color="auto"/>
            </w:tcBorders>
          </w:tcPr>
          <w:p w14:paraId="5E2507F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(12)</w:t>
            </w:r>
          </w:p>
        </w:tc>
        <w:tc>
          <w:tcPr>
            <w:tcW w:w="1134" w:type="dxa"/>
            <w:tcBorders>
              <w:top w:val="single" w:sz="4" w:space="0" w:color="auto"/>
              <w:left w:val="nil"/>
              <w:bottom w:val="single" w:sz="4" w:space="0" w:color="auto"/>
            </w:tcBorders>
          </w:tcPr>
          <w:p w14:paraId="4DB03559"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(13)</w:t>
            </w:r>
          </w:p>
        </w:tc>
        <w:tc>
          <w:tcPr>
            <w:tcW w:w="1276" w:type="dxa"/>
            <w:tcBorders>
              <w:top w:val="single" w:sz="4" w:space="0" w:color="auto"/>
              <w:left w:val="nil"/>
              <w:bottom w:val="single" w:sz="4" w:space="0" w:color="auto"/>
              <w:right w:val="nil"/>
            </w:tcBorders>
          </w:tcPr>
          <w:p w14:paraId="7BFB794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Model (14)</w:t>
            </w:r>
          </w:p>
        </w:tc>
      </w:tr>
      <w:tr w:rsidR="00B051E5" w:rsidRPr="00B051E5" w14:paraId="7FEDAB3D" w14:textId="77777777" w:rsidTr="00195944">
        <w:trPr>
          <w:trHeight w:val="269"/>
        </w:trPr>
        <w:tc>
          <w:tcPr>
            <w:tcW w:w="1702" w:type="dxa"/>
            <w:tcBorders>
              <w:top w:val="single" w:sz="4" w:space="0" w:color="auto"/>
              <w:left w:val="nil"/>
              <w:bottom w:val="nil"/>
            </w:tcBorders>
          </w:tcPr>
          <w:p w14:paraId="225690C4"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 xml:space="preserve">PARD  </w:t>
            </w:r>
          </w:p>
        </w:tc>
        <w:tc>
          <w:tcPr>
            <w:tcW w:w="567" w:type="dxa"/>
            <w:tcBorders>
              <w:top w:val="single" w:sz="4" w:space="0" w:color="auto"/>
              <w:bottom w:val="nil"/>
              <w:right w:val="nil"/>
            </w:tcBorders>
          </w:tcPr>
          <w:p w14:paraId="6DFC672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070EF72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-0.864</w:t>
            </w:r>
          </w:p>
        </w:tc>
        <w:tc>
          <w:tcPr>
            <w:tcW w:w="992" w:type="dxa"/>
            <w:tcBorders>
              <w:top w:val="nil"/>
              <w:left w:val="nil"/>
              <w:bottom w:val="nil"/>
              <w:right w:val="nil"/>
            </w:tcBorders>
          </w:tcPr>
          <w:p w14:paraId="642B4F1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single" w:sz="4" w:space="0" w:color="auto"/>
              <w:left w:val="nil"/>
              <w:bottom w:val="nil"/>
              <w:right w:val="nil"/>
            </w:tcBorders>
          </w:tcPr>
          <w:p w14:paraId="6C85A4E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062" w:type="dxa"/>
            <w:tcBorders>
              <w:top w:val="single" w:sz="4" w:space="0" w:color="auto"/>
              <w:left w:val="nil"/>
              <w:bottom w:val="nil"/>
            </w:tcBorders>
          </w:tcPr>
          <w:p w14:paraId="5E142EA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355" w:type="dxa"/>
            <w:vMerge/>
            <w:tcBorders>
              <w:left w:val="nil"/>
              <w:bottom w:val="nil"/>
              <w:right w:val="nil"/>
            </w:tcBorders>
          </w:tcPr>
          <w:p w14:paraId="474F66F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single" w:sz="4" w:space="0" w:color="auto"/>
              <w:left w:val="nil"/>
              <w:bottom w:val="nil"/>
              <w:right w:val="nil"/>
            </w:tcBorders>
          </w:tcPr>
          <w:p w14:paraId="4C2DA31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-0.100</w:t>
            </w:r>
          </w:p>
        </w:tc>
        <w:tc>
          <w:tcPr>
            <w:tcW w:w="993" w:type="dxa"/>
            <w:tcBorders>
              <w:top w:val="single" w:sz="4" w:space="0" w:color="auto"/>
              <w:left w:val="nil"/>
              <w:bottom w:val="nil"/>
              <w:right w:val="nil"/>
            </w:tcBorders>
          </w:tcPr>
          <w:p w14:paraId="0DD76EC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single" w:sz="4" w:space="0" w:color="auto"/>
              <w:left w:val="nil"/>
              <w:bottom w:val="nil"/>
              <w:right w:val="nil"/>
            </w:tcBorders>
          </w:tcPr>
          <w:p w14:paraId="1CC1503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single" w:sz="4" w:space="0" w:color="auto"/>
              <w:left w:val="nil"/>
              <w:bottom w:val="nil"/>
            </w:tcBorders>
          </w:tcPr>
          <w:p w14:paraId="3F2FF16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425" w:type="dxa"/>
            <w:vMerge/>
            <w:tcBorders>
              <w:left w:val="nil"/>
              <w:bottom w:val="nil"/>
            </w:tcBorders>
          </w:tcPr>
          <w:p w14:paraId="2D4BD91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single" w:sz="4" w:space="0" w:color="auto"/>
              <w:left w:val="nil"/>
              <w:bottom w:val="nil"/>
            </w:tcBorders>
          </w:tcPr>
          <w:p w14:paraId="51D388A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0.065</w:t>
            </w:r>
          </w:p>
        </w:tc>
        <w:tc>
          <w:tcPr>
            <w:tcW w:w="1134" w:type="dxa"/>
            <w:tcBorders>
              <w:top w:val="single" w:sz="4" w:space="0" w:color="auto"/>
              <w:bottom w:val="nil"/>
            </w:tcBorders>
          </w:tcPr>
          <w:p w14:paraId="3B2DD42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single" w:sz="4" w:space="0" w:color="auto"/>
              <w:left w:val="nil"/>
              <w:bottom w:val="nil"/>
            </w:tcBorders>
          </w:tcPr>
          <w:p w14:paraId="68305DB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228914B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10B7D13C" w14:textId="77777777" w:rsidTr="00195944">
        <w:trPr>
          <w:trHeight w:val="269"/>
        </w:trPr>
        <w:tc>
          <w:tcPr>
            <w:tcW w:w="1702" w:type="dxa"/>
            <w:tcBorders>
              <w:top w:val="nil"/>
              <w:left w:val="nil"/>
              <w:bottom w:val="nil"/>
            </w:tcBorders>
          </w:tcPr>
          <w:p w14:paraId="5BCF4AC7"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3A74ABC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992" w:type="dxa"/>
            <w:tcBorders>
              <w:top w:val="nil"/>
              <w:left w:val="nil"/>
              <w:bottom w:val="nil"/>
              <w:right w:val="nil"/>
            </w:tcBorders>
          </w:tcPr>
          <w:p w14:paraId="28EFCCD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(-0.602)</w:t>
            </w:r>
          </w:p>
        </w:tc>
        <w:tc>
          <w:tcPr>
            <w:tcW w:w="992" w:type="dxa"/>
            <w:tcBorders>
              <w:top w:val="nil"/>
              <w:left w:val="nil"/>
              <w:bottom w:val="nil"/>
              <w:right w:val="nil"/>
            </w:tcBorders>
          </w:tcPr>
          <w:p w14:paraId="12910C4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6190A28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062" w:type="dxa"/>
            <w:tcBorders>
              <w:top w:val="nil"/>
              <w:left w:val="nil"/>
              <w:bottom w:val="nil"/>
            </w:tcBorders>
          </w:tcPr>
          <w:p w14:paraId="04B92C9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355" w:type="dxa"/>
            <w:tcBorders>
              <w:top w:val="nil"/>
              <w:left w:val="nil"/>
              <w:bottom w:val="nil"/>
              <w:right w:val="nil"/>
            </w:tcBorders>
          </w:tcPr>
          <w:p w14:paraId="4EF0016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6873C6B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(-0.068)</w:t>
            </w:r>
          </w:p>
        </w:tc>
        <w:tc>
          <w:tcPr>
            <w:tcW w:w="993" w:type="dxa"/>
            <w:tcBorders>
              <w:top w:val="nil"/>
              <w:left w:val="nil"/>
              <w:bottom w:val="nil"/>
              <w:right w:val="nil"/>
            </w:tcBorders>
          </w:tcPr>
          <w:p w14:paraId="3C9BD1B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40CA4FB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2C62378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425" w:type="dxa"/>
            <w:tcBorders>
              <w:top w:val="nil"/>
              <w:left w:val="nil"/>
              <w:bottom w:val="nil"/>
            </w:tcBorders>
          </w:tcPr>
          <w:p w14:paraId="4EF98B3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565E8DE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(0.086)</w:t>
            </w:r>
          </w:p>
        </w:tc>
        <w:tc>
          <w:tcPr>
            <w:tcW w:w="1134" w:type="dxa"/>
            <w:tcBorders>
              <w:top w:val="nil"/>
              <w:bottom w:val="nil"/>
            </w:tcBorders>
          </w:tcPr>
          <w:p w14:paraId="0476B75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5964C8C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0A76F59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01002370" w14:textId="77777777" w:rsidTr="00195944">
        <w:trPr>
          <w:trHeight w:val="269"/>
        </w:trPr>
        <w:tc>
          <w:tcPr>
            <w:tcW w:w="1702" w:type="dxa"/>
            <w:tcBorders>
              <w:top w:val="nil"/>
              <w:left w:val="nil"/>
              <w:bottom w:val="nil"/>
            </w:tcBorders>
          </w:tcPr>
          <w:p w14:paraId="76E2B38D"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PFLRD</w:t>
            </w:r>
          </w:p>
        </w:tc>
        <w:tc>
          <w:tcPr>
            <w:tcW w:w="567" w:type="dxa"/>
            <w:tcBorders>
              <w:top w:val="nil"/>
              <w:bottom w:val="nil"/>
              <w:right w:val="nil"/>
            </w:tcBorders>
          </w:tcPr>
          <w:p w14:paraId="720F105F"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46F3F8E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18A1BC5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2.525***</w:t>
            </w:r>
          </w:p>
        </w:tc>
        <w:tc>
          <w:tcPr>
            <w:tcW w:w="993" w:type="dxa"/>
            <w:tcBorders>
              <w:top w:val="nil"/>
              <w:left w:val="nil"/>
              <w:bottom w:val="nil"/>
              <w:right w:val="nil"/>
            </w:tcBorders>
          </w:tcPr>
          <w:p w14:paraId="0FC4504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062" w:type="dxa"/>
            <w:tcBorders>
              <w:top w:val="nil"/>
              <w:left w:val="nil"/>
              <w:bottom w:val="nil"/>
            </w:tcBorders>
          </w:tcPr>
          <w:p w14:paraId="7949278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355" w:type="dxa"/>
            <w:tcBorders>
              <w:top w:val="nil"/>
              <w:left w:val="nil"/>
              <w:bottom w:val="nil"/>
              <w:right w:val="nil"/>
            </w:tcBorders>
          </w:tcPr>
          <w:p w14:paraId="067E87E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3F2FF67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2E10103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-0.647</w:t>
            </w:r>
          </w:p>
        </w:tc>
        <w:tc>
          <w:tcPr>
            <w:tcW w:w="992" w:type="dxa"/>
            <w:tcBorders>
              <w:top w:val="nil"/>
              <w:left w:val="nil"/>
              <w:bottom w:val="nil"/>
              <w:right w:val="nil"/>
            </w:tcBorders>
          </w:tcPr>
          <w:p w14:paraId="394C1DE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3822DDD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425" w:type="dxa"/>
            <w:tcBorders>
              <w:top w:val="nil"/>
              <w:left w:val="nil"/>
              <w:bottom w:val="nil"/>
            </w:tcBorders>
          </w:tcPr>
          <w:p w14:paraId="2CA43A5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335E39C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40DA4C0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-0.572</w:t>
            </w:r>
          </w:p>
        </w:tc>
        <w:tc>
          <w:tcPr>
            <w:tcW w:w="1134" w:type="dxa"/>
            <w:tcBorders>
              <w:top w:val="nil"/>
              <w:left w:val="nil"/>
              <w:bottom w:val="nil"/>
            </w:tcBorders>
          </w:tcPr>
          <w:p w14:paraId="11A4454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66024AE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5025F6D9" w14:textId="77777777" w:rsidTr="00195944">
        <w:trPr>
          <w:trHeight w:val="269"/>
        </w:trPr>
        <w:tc>
          <w:tcPr>
            <w:tcW w:w="1702" w:type="dxa"/>
            <w:tcBorders>
              <w:top w:val="nil"/>
              <w:left w:val="nil"/>
              <w:bottom w:val="nil"/>
            </w:tcBorders>
          </w:tcPr>
          <w:p w14:paraId="7D5C36E8"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55B35D7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992" w:type="dxa"/>
            <w:tcBorders>
              <w:top w:val="nil"/>
              <w:left w:val="nil"/>
              <w:bottom w:val="nil"/>
              <w:right w:val="nil"/>
            </w:tcBorders>
          </w:tcPr>
          <w:p w14:paraId="5D1574E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1B3361A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(4.879)</w:t>
            </w:r>
          </w:p>
        </w:tc>
        <w:tc>
          <w:tcPr>
            <w:tcW w:w="993" w:type="dxa"/>
            <w:tcBorders>
              <w:top w:val="nil"/>
              <w:left w:val="nil"/>
              <w:bottom w:val="nil"/>
              <w:right w:val="nil"/>
            </w:tcBorders>
          </w:tcPr>
          <w:p w14:paraId="1D35BD9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062" w:type="dxa"/>
            <w:tcBorders>
              <w:top w:val="nil"/>
              <w:left w:val="nil"/>
              <w:bottom w:val="nil"/>
            </w:tcBorders>
          </w:tcPr>
          <w:p w14:paraId="31B77B7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355" w:type="dxa"/>
            <w:tcBorders>
              <w:top w:val="nil"/>
              <w:left w:val="nil"/>
              <w:bottom w:val="nil"/>
              <w:right w:val="nil"/>
            </w:tcBorders>
          </w:tcPr>
          <w:p w14:paraId="67073DE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1BDE5B9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3C6CDB8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(-0.757)</w:t>
            </w:r>
          </w:p>
        </w:tc>
        <w:tc>
          <w:tcPr>
            <w:tcW w:w="992" w:type="dxa"/>
            <w:tcBorders>
              <w:top w:val="nil"/>
              <w:left w:val="nil"/>
              <w:bottom w:val="nil"/>
              <w:right w:val="nil"/>
            </w:tcBorders>
          </w:tcPr>
          <w:p w14:paraId="372E361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02DEC43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425" w:type="dxa"/>
            <w:tcBorders>
              <w:top w:val="nil"/>
              <w:left w:val="nil"/>
              <w:bottom w:val="nil"/>
            </w:tcBorders>
          </w:tcPr>
          <w:p w14:paraId="371B198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25AE05F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2027A3A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(-1.015)</w:t>
            </w:r>
          </w:p>
        </w:tc>
        <w:tc>
          <w:tcPr>
            <w:tcW w:w="1134" w:type="dxa"/>
            <w:tcBorders>
              <w:top w:val="nil"/>
              <w:left w:val="nil"/>
              <w:bottom w:val="nil"/>
            </w:tcBorders>
          </w:tcPr>
          <w:p w14:paraId="2BBD3B9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15A4037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147AE6A9" w14:textId="77777777" w:rsidTr="00195944">
        <w:trPr>
          <w:trHeight w:val="269"/>
        </w:trPr>
        <w:tc>
          <w:tcPr>
            <w:tcW w:w="1702" w:type="dxa"/>
            <w:tcBorders>
              <w:top w:val="nil"/>
              <w:left w:val="nil"/>
              <w:bottom w:val="nil"/>
            </w:tcBorders>
          </w:tcPr>
          <w:p w14:paraId="5B7BBE05"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PNFLRD</w:t>
            </w:r>
          </w:p>
        </w:tc>
        <w:tc>
          <w:tcPr>
            <w:tcW w:w="567" w:type="dxa"/>
            <w:tcBorders>
              <w:top w:val="nil"/>
              <w:bottom w:val="nil"/>
              <w:right w:val="nil"/>
            </w:tcBorders>
          </w:tcPr>
          <w:p w14:paraId="3535A1D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658E1DF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181FEE9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1C11AFC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-2.525***</w:t>
            </w:r>
          </w:p>
        </w:tc>
        <w:tc>
          <w:tcPr>
            <w:tcW w:w="1062" w:type="dxa"/>
            <w:tcBorders>
              <w:top w:val="nil"/>
              <w:left w:val="nil"/>
              <w:bottom w:val="nil"/>
            </w:tcBorders>
          </w:tcPr>
          <w:p w14:paraId="6D90A48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355" w:type="dxa"/>
            <w:tcBorders>
              <w:top w:val="nil"/>
              <w:left w:val="nil"/>
              <w:bottom w:val="nil"/>
              <w:right w:val="nil"/>
            </w:tcBorders>
          </w:tcPr>
          <w:p w14:paraId="6105B7D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3369E43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006494D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2DAE5F1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0.647</w:t>
            </w:r>
          </w:p>
        </w:tc>
        <w:tc>
          <w:tcPr>
            <w:tcW w:w="1134" w:type="dxa"/>
            <w:tcBorders>
              <w:top w:val="nil"/>
              <w:left w:val="nil"/>
              <w:bottom w:val="nil"/>
            </w:tcBorders>
          </w:tcPr>
          <w:p w14:paraId="158383B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425" w:type="dxa"/>
            <w:tcBorders>
              <w:top w:val="nil"/>
              <w:left w:val="nil"/>
              <w:bottom w:val="nil"/>
            </w:tcBorders>
          </w:tcPr>
          <w:p w14:paraId="716039A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13917EE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4FBE7B3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5989231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0.572</w:t>
            </w:r>
          </w:p>
        </w:tc>
        <w:tc>
          <w:tcPr>
            <w:tcW w:w="1276" w:type="dxa"/>
            <w:tcBorders>
              <w:top w:val="nil"/>
              <w:left w:val="nil"/>
              <w:bottom w:val="nil"/>
              <w:right w:val="nil"/>
            </w:tcBorders>
          </w:tcPr>
          <w:p w14:paraId="7D14728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47159B83" w14:textId="77777777" w:rsidTr="00195944">
        <w:trPr>
          <w:trHeight w:val="269"/>
        </w:trPr>
        <w:tc>
          <w:tcPr>
            <w:tcW w:w="1702" w:type="dxa"/>
            <w:tcBorders>
              <w:top w:val="nil"/>
              <w:left w:val="nil"/>
              <w:bottom w:val="nil"/>
            </w:tcBorders>
          </w:tcPr>
          <w:p w14:paraId="49EFA2A8"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093FE8E4"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73D62ED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7AD0014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18CD5DA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(-4.879)</w:t>
            </w:r>
          </w:p>
        </w:tc>
        <w:tc>
          <w:tcPr>
            <w:tcW w:w="1417" w:type="dxa"/>
            <w:gridSpan w:val="2"/>
            <w:tcBorders>
              <w:top w:val="nil"/>
              <w:left w:val="nil"/>
              <w:bottom w:val="nil"/>
              <w:right w:val="nil"/>
            </w:tcBorders>
          </w:tcPr>
          <w:p w14:paraId="198EA25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0FF5BE5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6192E87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5BEC07A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(0.757)</w:t>
            </w:r>
          </w:p>
        </w:tc>
        <w:tc>
          <w:tcPr>
            <w:tcW w:w="1559" w:type="dxa"/>
            <w:gridSpan w:val="2"/>
            <w:tcBorders>
              <w:top w:val="nil"/>
              <w:left w:val="nil"/>
              <w:bottom w:val="nil"/>
            </w:tcBorders>
          </w:tcPr>
          <w:p w14:paraId="08EF3C6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5CED435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153D271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66125A7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(1.015)</w:t>
            </w:r>
          </w:p>
        </w:tc>
        <w:tc>
          <w:tcPr>
            <w:tcW w:w="1276" w:type="dxa"/>
            <w:tcBorders>
              <w:top w:val="nil"/>
              <w:left w:val="nil"/>
              <w:bottom w:val="nil"/>
              <w:right w:val="nil"/>
            </w:tcBorders>
          </w:tcPr>
          <w:p w14:paraId="6924E29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r>
      <w:tr w:rsidR="00B051E5" w:rsidRPr="00B051E5" w14:paraId="6DEE13AC" w14:textId="77777777" w:rsidTr="00195944">
        <w:trPr>
          <w:trHeight w:val="269"/>
        </w:trPr>
        <w:tc>
          <w:tcPr>
            <w:tcW w:w="1702" w:type="dxa"/>
            <w:tcBorders>
              <w:top w:val="nil"/>
              <w:left w:val="nil"/>
              <w:bottom w:val="nil"/>
            </w:tcBorders>
          </w:tcPr>
          <w:p w14:paraId="22FBD692"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PFLRD_1</w:t>
            </w:r>
          </w:p>
        </w:tc>
        <w:tc>
          <w:tcPr>
            <w:tcW w:w="567" w:type="dxa"/>
            <w:tcBorders>
              <w:top w:val="nil"/>
              <w:bottom w:val="nil"/>
              <w:right w:val="nil"/>
            </w:tcBorders>
          </w:tcPr>
          <w:p w14:paraId="32635AAF"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289AB58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5232E09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04DF1E4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417" w:type="dxa"/>
            <w:gridSpan w:val="2"/>
            <w:tcBorders>
              <w:top w:val="nil"/>
              <w:left w:val="nil"/>
              <w:bottom w:val="nil"/>
              <w:right w:val="nil"/>
            </w:tcBorders>
          </w:tcPr>
          <w:p w14:paraId="7E997BA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11.068***</w:t>
            </w:r>
          </w:p>
        </w:tc>
        <w:tc>
          <w:tcPr>
            <w:tcW w:w="992" w:type="dxa"/>
            <w:tcBorders>
              <w:top w:val="nil"/>
              <w:left w:val="nil"/>
              <w:bottom w:val="nil"/>
              <w:right w:val="nil"/>
            </w:tcBorders>
          </w:tcPr>
          <w:p w14:paraId="612AC60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40FB280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7E3C2EB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59" w:type="dxa"/>
            <w:gridSpan w:val="2"/>
            <w:tcBorders>
              <w:top w:val="nil"/>
              <w:left w:val="nil"/>
              <w:bottom w:val="nil"/>
            </w:tcBorders>
          </w:tcPr>
          <w:p w14:paraId="65D94B4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-4.823</w:t>
            </w:r>
          </w:p>
        </w:tc>
        <w:tc>
          <w:tcPr>
            <w:tcW w:w="1134" w:type="dxa"/>
            <w:tcBorders>
              <w:top w:val="nil"/>
              <w:bottom w:val="nil"/>
            </w:tcBorders>
          </w:tcPr>
          <w:p w14:paraId="5C2A5F3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60940BE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2A98D8C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44C252C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-4.439*</w:t>
            </w:r>
          </w:p>
        </w:tc>
      </w:tr>
      <w:tr w:rsidR="00B051E5" w:rsidRPr="00B051E5" w14:paraId="7BAC37B3" w14:textId="77777777" w:rsidTr="00195944">
        <w:trPr>
          <w:trHeight w:val="269"/>
        </w:trPr>
        <w:tc>
          <w:tcPr>
            <w:tcW w:w="1702" w:type="dxa"/>
            <w:tcBorders>
              <w:top w:val="nil"/>
              <w:left w:val="nil"/>
              <w:bottom w:val="nil"/>
            </w:tcBorders>
          </w:tcPr>
          <w:p w14:paraId="6175B1F5"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7B38E33C"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50726FD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5138FBB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121E9F2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417" w:type="dxa"/>
            <w:gridSpan w:val="2"/>
            <w:tcBorders>
              <w:top w:val="nil"/>
              <w:left w:val="nil"/>
              <w:bottom w:val="nil"/>
              <w:right w:val="nil"/>
            </w:tcBorders>
          </w:tcPr>
          <w:p w14:paraId="3BCCBA6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(3.853)</w:t>
            </w:r>
          </w:p>
        </w:tc>
        <w:tc>
          <w:tcPr>
            <w:tcW w:w="992" w:type="dxa"/>
            <w:tcBorders>
              <w:top w:val="nil"/>
              <w:left w:val="nil"/>
              <w:bottom w:val="nil"/>
              <w:right w:val="nil"/>
            </w:tcBorders>
          </w:tcPr>
          <w:p w14:paraId="381767A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74EFEC3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3345306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59" w:type="dxa"/>
            <w:gridSpan w:val="2"/>
            <w:tcBorders>
              <w:top w:val="nil"/>
              <w:left w:val="nil"/>
              <w:bottom w:val="nil"/>
            </w:tcBorders>
          </w:tcPr>
          <w:p w14:paraId="005EAB2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(-1.136)</w:t>
            </w:r>
          </w:p>
        </w:tc>
        <w:tc>
          <w:tcPr>
            <w:tcW w:w="1134" w:type="dxa"/>
            <w:tcBorders>
              <w:top w:val="nil"/>
              <w:bottom w:val="nil"/>
            </w:tcBorders>
          </w:tcPr>
          <w:p w14:paraId="4AD982F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1581F84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361D922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277CD96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(-1.655)</w:t>
            </w:r>
          </w:p>
        </w:tc>
      </w:tr>
      <w:tr w:rsidR="00B051E5" w:rsidRPr="00B051E5" w14:paraId="514243E4" w14:textId="77777777" w:rsidTr="00195944">
        <w:trPr>
          <w:trHeight w:val="269"/>
        </w:trPr>
        <w:tc>
          <w:tcPr>
            <w:tcW w:w="1702" w:type="dxa"/>
            <w:tcBorders>
              <w:top w:val="nil"/>
              <w:left w:val="nil"/>
              <w:bottom w:val="nil"/>
            </w:tcBorders>
          </w:tcPr>
          <w:p w14:paraId="18E1C996"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PNFLRD_1</w:t>
            </w:r>
          </w:p>
        </w:tc>
        <w:tc>
          <w:tcPr>
            <w:tcW w:w="567" w:type="dxa"/>
            <w:tcBorders>
              <w:top w:val="nil"/>
              <w:bottom w:val="nil"/>
              <w:right w:val="nil"/>
            </w:tcBorders>
          </w:tcPr>
          <w:p w14:paraId="28FF4733"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645B42D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1C20581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1FDF913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417" w:type="dxa"/>
            <w:gridSpan w:val="2"/>
            <w:tcBorders>
              <w:top w:val="nil"/>
              <w:left w:val="nil"/>
              <w:bottom w:val="nil"/>
              <w:right w:val="nil"/>
            </w:tcBorders>
          </w:tcPr>
          <w:p w14:paraId="5ED1D8C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-3.674**</w:t>
            </w:r>
          </w:p>
        </w:tc>
        <w:tc>
          <w:tcPr>
            <w:tcW w:w="992" w:type="dxa"/>
            <w:tcBorders>
              <w:top w:val="nil"/>
              <w:left w:val="nil"/>
              <w:bottom w:val="nil"/>
              <w:right w:val="nil"/>
            </w:tcBorders>
          </w:tcPr>
          <w:p w14:paraId="3376D55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70E32C2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562244F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59" w:type="dxa"/>
            <w:gridSpan w:val="2"/>
            <w:tcBorders>
              <w:top w:val="nil"/>
              <w:left w:val="nil"/>
              <w:bottom w:val="nil"/>
            </w:tcBorders>
          </w:tcPr>
          <w:p w14:paraId="7BBD6FF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1.026</w:t>
            </w:r>
          </w:p>
        </w:tc>
        <w:tc>
          <w:tcPr>
            <w:tcW w:w="1134" w:type="dxa"/>
            <w:tcBorders>
              <w:top w:val="nil"/>
              <w:bottom w:val="nil"/>
            </w:tcBorders>
          </w:tcPr>
          <w:p w14:paraId="2D7CDFE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2AA54E2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22B3BD0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6466A7D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-1.188</w:t>
            </w:r>
          </w:p>
        </w:tc>
      </w:tr>
      <w:tr w:rsidR="00B051E5" w:rsidRPr="00B051E5" w14:paraId="3D5A7E24" w14:textId="77777777" w:rsidTr="00195944">
        <w:trPr>
          <w:trHeight w:val="269"/>
        </w:trPr>
        <w:tc>
          <w:tcPr>
            <w:tcW w:w="1702" w:type="dxa"/>
            <w:tcBorders>
              <w:top w:val="nil"/>
              <w:left w:val="nil"/>
              <w:bottom w:val="nil"/>
            </w:tcBorders>
          </w:tcPr>
          <w:p w14:paraId="763358AB"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2ADD85F8"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0F6939A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52D5D59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706F1F5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417" w:type="dxa"/>
            <w:gridSpan w:val="2"/>
            <w:tcBorders>
              <w:top w:val="nil"/>
              <w:left w:val="nil"/>
              <w:bottom w:val="nil"/>
              <w:right w:val="nil"/>
            </w:tcBorders>
          </w:tcPr>
          <w:p w14:paraId="7211927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(-2.424)</w:t>
            </w:r>
          </w:p>
        </w:tc>
        <w:tc>
          <w:tcPr>
            <w:tcW w:w="992" w:type="dxa"/>
            <w:tcBorders>
              <w:top w:val="nil"/>
              <w:left w:val="nil"/>
              <w:bottom w:val="nil"/>
              <w:right w:val="nil"/>
            </w:tcBorders>
          </w:tcPr>
          <w:p w14:paraId="272C948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3" w:type="dxa"/>
            <w:tcBorders>
              <w:top w:val="nil"/>
              <w:left w:val="nil"/>
              <w:bottom w:val="nil"/>
              <w:right w:val="nil"/>
            </w:tcBorders>
          </w:tcPr>
          <w:p w14:paraId="7449F86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992" w:type="dxa"/>
            <w:tcBorders>
              <w:top w:val="nil"/>
              <w:left w:val="nil"/>
              <w:bottom w:val="nil"/>
              <w:right w:val="nil"/>
            </w:tcBorders>
          </w:tcPr>
          <w:p w14:paraId="54CB2B3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559" w:type="dxa"/>
            <w:gridSpan w:val="2"/>
            <w:tcBorders>
              <w:top w:val="nil"/>
              <w:left w:val="nil"/>
              <w:bottom w:val="nil"/>
            </w:tcBorders>
          </w:tcPr>
          <w:p w14:paraId="1146700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(0.568)</w:t>
            </w:r>
          </w:p>
        </w:tc>
        <w:tc>
          <w:tcPr>
            <w:tcW w:w="1134" w:type="dxa"/>
            <w:tcBorders>
              <w:top w:val="nil"/>
              <w:bottom w:val="nil"/>
            </w:tcBorders>
          </w:tcPr>
          <w:p w14:paraId="5645284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bottom w:val="nil"/>
            </w:tcBorders>
          </w:tcPr>
          <w:p w14:paraId="3626A37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134" w:type="dxa"/>
            <w:tcBorders>
              <w:top w:val="nil"/>
              <w:left w:val="nil"/>
              <w:bottom w:val="nil"/>
            </w:tcBorders>
          </w:tcPr>
          <w:p w14:paraId="035A52F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p>
        </w:tc>
        <w:tc>
          <w:tcPr>
            <w:tcW w:w="1276" w:type="dxa"/>
            <w:tcBorders>
              <w:top w:val="nil"/>
              <w:left w:val="nil"/>
              <w:bottom w:val="nil"/>
              <w:right w:val="nil"/>
            </w:tcBorders>
          </w:tcPr>
          <w:p w14:paraId="3B2CB64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(-1.136)</w:t>
            </w:r>
          </w:p>
        </w:tc>
      </w:tr>
      <w:tr w:rsidR="00B051E5" w:rsidRPr="00B051E5" w14:paraId="72DC7F25" w14:textId="77777777" w:rsidTr="00195944">
        <w:trPr>
          <w:trHeight w:val="269"/>
        </w:trPr>
        <w:tc>
          <w:tcPr>
            <w:tcW w:w="1702" w:type="dxa"/>
            <w:tcBorders>
              <w:top w:val="nil"/>
              <w:left w:val="nil"/>
              <w:bottom w:val="nil"/>
            </w:tcBorders>
          </w:tcPr>
          <w:p w14:paraId="53A60092"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SIZE</w:t>
            </w:r>
          </w:p>
        </w:tc>
        <w:tc>
          <w:tcPr>
            <w:tcW w:w="567" w:type="dxa"/>
            <w:tcBorders>
              <w:top w:val="nil"/>
              <w:bottom w:val="nil"/>
              <w:right w:val="nil"/>
            </w:tcBorders>
          </w:tcPr>
          <w:p w14:paraId="2270C48C"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5B30EAB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0.186***</w:t>
            </w:r>
          </w:p>
        </w:tc>
        <w:tc>
          <w:tcPr>
            <w:tcW w:w="992" w:type="dxa"/>
            <w:tcBorders>
              <w:top w:val="nil"/>
              <w:left w:val="nil"/>
              <w:bottom w:val="nil"/>
              <w:right w:val="nil"/>
            </w:tcBorders>
          </w:tcPr>
          <w:p w14:paraId="7EA9C06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0.186***</w:t>
            </w:r>
          </w:p>
        </w:tc>
        <w:tc>
          <w:tcPr>
            <w:tcW w:w="993" w:type="dxa"/>
            <w:tcBorders>
              <w:top w:val="nil"/>
              <w:left w:val="nil"/>
              <w:bottom w:val="nil"/>
              <w:right w:val="nil"/>
            </w:tcBorders>
          </w:tcPr>
          <w:p w14:paraId="5148142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0.186***</w:t>
            </w:r>
          </w:p>
        </w:tc>
        <w:tc>
          <w:tcPr>
            <w:tcW w:w="1417" w:type="dxa"/>
            <w:gridSpan w:val="2"/>
            <w:tcBorders>
              <w:top w:val="nil"/>
              <w:left w:val="nil"/>
              <w:bottom w:val="nil"/>
              <w:right w:val="nil"/>
            </w:tcBorders>
          </w:tcPr>
          <w:p w14:paraId="5539EE1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0.187***</w:t>
            </w:r>
          </w:p>
        </w:tc>
        <w:tc>
          <w:tcPr>
            <w:tcW w:w="992" w:type="dxa"/>
            <w:tcBorders>
              <w:top w:val="nil"/>
              <w:left w:val="nil"/>
              <w:bottom w:val="nil"/>
              <w:right w:val="nil"/>
            </w:tcBorders>
          </w:tcPr>
          <w:p w14:paraId="2A6ECA1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0.157***</w:t>
            </w:r>
          </w:p>
        </w:tc>
        <w:tc>
          <w:tcPr>
            <w:tcW w:w="993" w:type="dxa"/>
            <w:tcBorders>
              <w:top w:val="nil"/>
              <w:left w:val="nil"/>
              <w:bottom w:val="nil"/>
              <w:right w:val="nil"/>
            </w:tcBorders>
          </w:tcPr>
          <w:p w14:paraId="774C560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0.161***</w:t>
            </w:r>
          </w:p>
        </w:tc>
        <w:tc>
          <w:tcPr>
            <w:tcW w:w="992" w:type="dxa"/>
            <w:tcBorders>
              <w:top w:val="nil"/>
              <w:left w:val="nil"/>
              <w:bottom w:val="nil"/>
              <w:right w:val="nil"/>
            </w:tcBorders>
          </w:tcPr>
          <w:p w14:paraId="468D642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0.161***</w:t>
            </w:r>
          </w:p>
        </w:tc>
        <w:tc>
          <w:tcPr>
            <w:tcW w:w="1559" w:type="dxa"/>
            <w:gridSpan w:val="2"/>
            <w:tcBorders>
              <w:top w:val="nil"/>
              <w:left w:val="nil"/>
              <w:bottom w:val="nil"/>
            </w:tcBorders>
          </w:tcPr>
          <w:p w14:paraId="3947C75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0.162***</w:t>
            </w:r>
          </w:p>
        </w:tc>
        <w:tc>
          <w:tcPr>
            <w:tcW w:w="1134" w:type="dxa"/>
            <w:tcBorders>
              <w:top w:val="nil"/>
              <w:bottom w:val="nil"/>
            </w:tcBorders>
          </w:tcPr>
          <w:p w14:paraId="11B8388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-0.009</w:t>
            </w:r>
          </w:p>
        </w:tc>
        <w:tc>
          <w:tcPr>
            <w:tcW w:w="1134" w:type="dxa"/>
            <w:tcBorders>
              <w:top w:val="nil"/>
              <w:bottom w:val="nil"/>
            </w:tcBorders>
          </w:tcPr>
          <w:p w14:paraId="635CF1D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w:t>
            </w:r>
          </w:p>
        </w:tc>
        <w:tc>
          <w:tcPr>
            <w:tcW w:w="1134" w:type="dxa"/>
            <w:tcBorders>
              <w:top w:val="nil"/>
              <w:left w:val="nil"/>
              <w:bottom w:val="nil"/>
            </w:tcBorders>
          </w:tcPr>
          <w:p w14:paraId="7FB7001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w:t>
            </w:r>
          </w:p>
        </w:tc>
        <w:tc>
          <w:tcPr>
            <w:tcW w:w="1276" w:type="dxa"/>
            <w:tcBorders>
              <w:top w:val="nil"/>
              <w:left w:val="nil"/>
              <w:bottom w:val="nil"/>
              <w:right w:val="nil"/>
            </w:tcBorders>
          </w:tcPr>
          <w:p w14:paraId="2A8CB3D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-0.011</w:t>
            </w:r>
          </w:p>
        </w:tc>
      </w:tr>
      <w:tr w:rsidR="00B051E5" w:rsidRPr="00B051E5" w14:paraId="6C3F4244" w14:textId="77777777" w:rsidTr="00195944">
        <w:trPr>
          <w:trHeight w:val="269"/>
        </w:trPr>
        <w:tc>
          <w:tcPr>
            <w:tcW w:w="1702" w:type="dxa"/>
            <w:tcBorders>
              <w:top w:val="nil"/>
              <w:left w:val="nil"/>
              <w:bottom w:val="nil"/>
            </w:tcBorders>
          </w:tcPr>
          <w:p w14:paraId="10069D30"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68C8FFE5"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020DDCA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(4.737)</w:t>
            </w:r>
          </w:p>
        </w:tc>
        <w:tc>
          <w:tcPr>
            <w:tcW w:w="992" w:type="dxa"/>
            <w:tcBorders>
              <w:top w:val="nil"/>
              <w:left w:val="nil"/>
              <w:bottom w:val="nil"/>
              <w:right w:val="nil"/>
            </w:tcBorders>
          </w:tcPr>
          <w:p w14:paraId="68D6615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(4.789)</w:t>
            </w:r>
          </w:p>
        </w:tc>
        <w:tc>
          <w:tcPr>
            <w:tcW w:w="993" w:type="dxa"/>
            <w:tcBorders>
              <w:top w:val="nil"/>
              <w:left w:val="nil"/>
              <w:bottom w:val="nil"/>
              <w:right w:val="nil"/>
            </w:tcBorders>
          </w:tcPr>
          <w:p w14:paraId="0361E1D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(4.789)</w:t>
            </w:r>
          </w:p>
        </w:tc>
        <w:tc>
          <w:tcPr>
            <w:tcW w:w="1417" w:type="dxa"/>
            <w:gridSpan w:val="2"/>
            <w:tcBorders>
              <w:top w:val="nil"/>
              <w:left w:val="nil"/>
              <w:bottom w:val="nil"/>
              <w:right w:val="nil"/>
            </w:tcBorders>
          </w:tcPr>
          <w:p w14:paraId="5D21B04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(4.808)</w:t>
            </w:r>
          </w:p>
        </w:tc>
        <w:tc>
          <w:tcPr>
            <w:tcW w:w="992" w:type="dxa"/>
            <w:tcBorders>
              <w:top w:val="nil"/>
              <w:left w:val="nil"/>
              <w:bottom w:val="nil"/>
              <w:right w:val="nil"/>
            </w:tcBorders>
          </w:tcPr>
          <w:p w14:paraId="7075407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(3.516)</w:t>
            </w:r>
          </w:p>
        </w:tc>
        <w:tc>
          <w:tcPr>
            <w:tcW w:w="993" w:type="dxa"/>
            <w:tcBorders>
              <w:top w:val="nil"/>
              <w:left w:val="nil"/>
              <w:bottom w:val="nil"/>
              <w:right w:val="nil"/>
            </w:tcBorders>
          </w:tcPr>
          <w:p w14:paraId="5D37859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(3.535)</w:t>
            </w:r>
          </w:p>
        </w:tc>
        <w:tc>
          <w:tcPr>
            <w:tcW w:w="992" w:type="dxa"/>
            <w:tcBorders>
              <w:top w:val="nil"/>
              <w:left w:val="nil"/>
              <w:bottom w:val="nil"/>
              <w:right w:val="nil"/>
            </w:tcBorders>
          </w:tcPr>
          <w:p w14:paraId="360D336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(3.535)</w:t>
            </w:r>
          </w:p>
        </w:tc>
        <w:tc>
          <w:tcPr>
            <w:tcW w:w="1559" w:type="dxa"/>
            <w:gridSpan w:val="2"/>
            <w:tcBorders>
              <w:top w:val="nil"/>
              <w:left w:val="nil"/>
              <w:bottom w:val="nil"/>
            </w:tcBorders>
          </w:tcPr>
          <w:p w14:paraId="33798A5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(3.561)</w:t>
            </w:r>
          </w:p>
        </w:tc>
        <w:tc>
          <w:tcPr>
            <w:tcW w:w="1134" w:type="dxa"/>
            <w:tcBorders>
              <w:top w:val="nil"/>
              <w:bottom w:val="nil"/>
            </w:tcBorders>
          </w:tcPr>
          <w:p w14:paraId="58BD5E4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(-0.323)</w:t>
            </w:r>
          </w:p>
        </w:tc>
        <w:tc>
          <w:tcPr>
            <w:tcW w:w="1134" w:type="dxa"/>
            <w:tcBorders>
              <w:top w:val="nil"/>
              <w:bottom w:val="nil"/>
            </w:tcBorders>
          </w:tcPr>
          <w:p w14:paraId="73D7DEB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(-0.364)</w:t>
            </w:r>
          </w:p>
        </w:tc>
        <w:tc>
          <w:tcPr>
            <w:tcW w:w="1134" w:type="dxa"/>
            <w:tcBorders>
              <w:top w:val="nil"/>
              <w:left w:val="nil"/>
              <w:bottom w:val="nil"/>
            </w:tcBorders>
          </w:tcPr>
          <w:p w14:paraId="3B878FB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(-0.364)</w:t>
            </w:r>
          </w:p>
        </w:tc>
        <w:tc>
          <w:tcPr>
            <w:tcW w:w="1276" w:type="dxa"/>
            <w:tcBorders>
              <w:top w:val="nil"/>
              <w:left w:val="nil"/>
              <w:bottom w:val="nil"/>
              <w:right w:val="nil"/>
            </w:tcBorders>
          </w:tcPr>
          <w:p w14:paraId="5AA0F76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(-0.422)</w:t>
            </w:r>
          </w:p>
        </w:tc>
      </w:tr>
      <w:tr w:rsidR="00B051E5" w:rsidRPr="00B051E5" w14:paraId="6BEDAB6F" w14:textId="77777777" w:rsidTr="00195944">
        <w:trPr>
          <w:trHeight w:val="269"/>
        </w:trPr>
        <w:tc>
          <w:tcPr>
            <w:tcW w:w="1702" w:type="dxa"/>
            <w:tcBorders>
              <w:top w:val="nil"/>
              <w:left w:val="nil"/>
              <w:bottom w:val="nil"/>
            </w:tcBorders>
          </w:tcPr>
          <w:p w14:paraId="51DE1879"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LEV</w:t>
            </w:r>
          </w:p>
        </w:tc>
        <w:tc>
          <w:tcPr>
            <w:tcW w:w="567" w:type="dxa"/>
            <w:tcBorders>
              <w:top w:val="nil"/>
              <w:bottom w:val="nil"/>
              <w:right w:val="nil"/>
            </w:tcBorders>
          </w:tcPr>
          <w:p w14:paraId="505DB7D7"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3662A3C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w:t>
            </w:r>
          </w:p>
        </w:tc>
        <w:tc>
          <w:tcPr>
            <w:tcW w:w="992" w:type="dxa"/>
            <w:tcBorders>
              <w:top w:val="nil"/>
              <w:left w:val="nil"/>
              <w:bottom w:val="nil"/>
              <w:right w:val="nil"/>
            </w:tcBorders>
          </w:tcPr>
          <w:p w14:paraId="0132AA2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0.026</w:t>
            </w:r>
          </w:p>
        </w:tc>
        <w:tc>
          <w:tcPr>
            <w:tcW w:w="993" w:type="dxa"/>
            <w:tcBorders>
              <w:top w:val="nil"/>
              <w:left w:val="nil"/>
              <w:bottom w:val="nil"/>
              <w:right w:val="nil"/>
            </w:tcBorders>
          </w:tcPr>
          <w:p w14:paraId="0FB6098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0.026</w:t>
            </w:r>
          </w:p>
        </w:tc>
        <w:tc>
          <w:tcPr>
            <w:tcW w:w="1417" w:type="dxa"/>
            <w:gridSpan w:val="2"/>
            <w:tcBorders>
              <w:top w:val="nil"/>
              <w:left w:val="nil"/>
              <w:bottom w:val="nil"/>
              <w:right w:val="nil"/>
            </w:tcBorders>
          </w:tcPr>
          <w:p w14:paraId="55989A2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0.026</w:t>
            </w:r>
          </w:p>
        </w:tc>
        <w:tc>
          <w:tcPr>
            <w:tcW w:w="992" w:type="dxa"/>
            <w:tcBorders>
              <w:top w:val="nil"/>
              <w:left w:val="nil"/>
              <w:bottom w:val="nil"/>
              <w:right w:val="nil"/>
            </w:tcBorders>
          </w:tcPr>
          <w:p w14:paraId="5A5F615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-0.017</w:t>
            </w:r>
          </w:p>
        </w:tc>
        <w:tc>
          <w:tcPr>
            <w:tcW w:w="993" w:type="dxa"/>
            <w:tcBorders>
              <w:top w:val="nil"/>
              <w:left w:val="nil"/>
              <w:bottom w:val="nil"/>
              <w:right w:val="nil"/>
            </w:tcBorders>
          </w:tcPr>
          <w:p w14:paraId="18251B9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-0.018</w:t>
            </w:r>
          </w:p>
        </w:tc>
        <w:tc>
          <w:tcPr>
            <w:tcW w:w="992" w:type="dxa"/>
            <w:tcBorders>
              <w:top w:val="nil"/>
              <w:left w:val="nil"/>
              <w:bottom w:val="nil"/>
              <w:right w:val="nil"/>
            </w:tcBorders>
          </w:tcPr>
          <w:p w14:paraId="62A1694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-0.018</w:t>
            </w:r>
          </w:p>
        </w:tc>
        <w:tc>
          <w:tcPr>
            <w:tcW w:w="1559" w:type="dxa"/>
            <w:gridSpan w:val="2"/>
            <w:tcBorders>
              <w:top w:val="nil"/>
              <w:left w:val="nil"/>
              <w:bottom w:val="nil"/>
            </w:tcBorders>
          </w:tcPr>
          <w:p w14:paraId="655052F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-0.019</w:t>
            </w:r>
          </w:p>
        </w:tc>
        <w:tc>
          <w:tcPr>
            <w:tcW w:w="1134" w:type="dxa"/>
            <w:tcBorders>
              <w:top w:val="nil"/>
              <w:bottom w:val="nil"/>
            </w:tcBorders>
          </w:tcPr>
          <w:p w14:paraId="558C5BF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-0.088***</w:t>
            </w:r>
          </w:p>
        </w:tc>
        <w:tc>
          <w:tcPr>
            <w:tcW w:w="1134" w:type="dxa"/>
            <w:tcBorders>
              <w:top w:val="nil"/>
              <w:bottom w:val="nil"/>
            </w:tcBorders>
          </w:tcPr>
          <w:p w14:paraId="04B2264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-0.089***</w:t>
            </w:r>
          </w:p>
        </w:tc>
        <w:tc>
          <w:tcPr>
            <w:tcW w:w="1134" w:type="dxa"/>
            <w:tcBorders>
              <w:top w:val="nil"/>
              <w:left w:val="nil"/>
              <w:bottom w:val="nil"/>
            </w:tcBorders>
          </w:tcPr>
          <w:p w14:paraId="4173F13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-0.089***</w:t>
            </w:r>
          </w:p>
        </w:tc>
        <w:tc>
          <w:tcPr>
            <w:tcW w:w="1276" w:type="dxa"/>
            <w:tcBorders>
              <w:top w:val="nil"/>
              <w:left w:val="nil"/>
              <w:bottom w:val="nil"/>
              <w:right w:val="nil"/>
            </w:tcBorders>
          </w:tcPr>
          <w:p w14:paraId="17F9F9B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-0.089***</w:t>
            </w:r>
          </w:p>
        </w:tc>
      </w:tr>
      <w:tr w:rsidR="00B051E5" w:rsidRPr="00B051E5" w14:paraId="2C70E0E6" w14:textId="77777777" w:rsidTr="00195944">
        <w:trPr>
          <w:trHeight w:val="269"/>
        </w:trPr>
        <w:tc>
          <w:tcPr>
            <w:tcW w:w="1702" w:type="dxa"/>
            <w:tcBorders>
              <w:top w:val="nil"/>
              <w:left w:val="nil"/>
              <w:bottom w:val="nil"/>
            </w:tcBorders>
          </w:tcPr>
          <w:p w14:paraId="17D6A5E1"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20A67997"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2D9348F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(0.993)</w:t>
            </w:r>
          </w:p>
        </w:tc>
        <w:tc>
          <w:tcPr>
            <w:tcW w:w="992" w:type="dxa"/>
            <w:tcBorders>
              <w:top w:val="nil"/>
              <w:left w:val="nil"/>
              <w:bottom w:val="nil"/>
              <w:right w:val="nil"/>
            </w:tcBorders>
          </w:tcPr>
          <w:p w14:paraId="0662B43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(0.893)</w:t>
            </w:r>
          </w:p>
        </w:tc>
        <w:tc>
          <w:tcPr>
            <w:tcW w:w="993" w:type="dxa"/>
            <w:tcBorders>
              <w:top w:val="nil"/>
              <w:left w:val="nil"/>
              <w:bottom w:val="nil"/>
              <w:right w:val="nil"/>
            </w:tcBorders>
          </w:tcPr>
          <w:p w14:paraId="13A7D02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(0.893)</w:t>
            </w:r>
          </w:p>
        </w:tc>
        <w:tc>
          <w:tcPr>
            <w:tcW w:w="1417" w:type="dxa"/>
            <w:gridSpan w:val="2"/>
            <w:tcBorders>
              <w:top w:val="nil"/>
              <w:left w:val="nil"/>
              <w:bottom w:val="nil"/>
              <w:right w:val="nil"/>
            </w:tcBorders>
          </w:tcPr>
          <w:p w14:paraId="27E9814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(0.898)</w:t>
            </w:r>
          </w:p>
        </w:tc>
        <w:tc>
          <w:tcPr>
            <w:tcW w:w="992" w:type="dxa"/>
            <w:tcBorders>
              <w:top w:val="nil"/>
              <w:left w:val="nil"/>
              <w:bottom w:val="nil"/>
              <w:right w:val="nil"/>
            </w:tcBorders>
          </w:tcPr>
          <w:p w14:paraId="44102B3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(-0.495)</w:t>
            </w:r>
          </w:p>
        </w:tc>
        <w:tc>
          <w:tcPr>
            <w:tcW w:w="993" w:type="dxa"/>
            <w:tcBorders>
              <w:top w:val="nil"/>
              <w:left w:val="nil"/>
              <w:bottom w:val="nil"/>
              <w:right w:val="nil"/>
            </w:tcBorders>
          </w:tcPr>
          <w:p w14:paraId="3B57F62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(-0.532)</w:t>
            </w:r>
          </w:p>
        </w:tc>
        <w:tc>
          <w:tcPr>
            <w:tcW w:w="992" w:type="dxa"/>
            <w:tcBorders>
              <w:top w:val="nil"/>
              <w:left w:val="nil"/>
              <w:bottom w:val="nil"/>
              <w:right w:val="nil"/>
            </w:tcBorders>
          </w:tcPr>
          <w:p w14:paraId="388B80C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(-0.532)</w:t>
            </w:r>
          </w:p>
        </w:tc>
        <w:tc>
          <w:tcPr>
            <w:tcW w:w="1559" w:type="dxa"/>
            <w:gridSpan w:val="2"/>
            <w:tcBorders>
              <w:top w:val="nil"/>
              <w:left w:val="nil"/>
              <w:bottom w:val="nil"/>
            </w:tcBorders>
          </w:tcPr>
          <w:p w14:paraId="5AD80BC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(-0.566)</w:t>
            </w:r>
          </w:p>
        </w:tc>
        <w:tc>
          <w:tcPr>
            <w:tcW w:w="1134" w:type="dxa"/>
            <w:tcBorders>
              <w:top w:val="nil"/>
              <w:bottom w:val="nil"/>
            </w:tcBorders>
          </w:tcPr>
          <w:p w14:paraId="2D481DE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(-2.657)</w:t>
            </w:r>
          </w:p>
        </w:tc>
        <w:tc>
          <w:tcPr>
            <w:tcW w:w="1134" w:type="dxa"/>
            <w:tcBorders>
              <w:top w:val="nil"/>
              <w:bottom w:val="nil"/>
            </w:tcBorders>
          </w:tcPr>
          <w:p w14:paraId="42AF9CC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(-2.665)</w:t>
            </w:r>
          </w:p>
        </w:tc>
        <w:tc>
          <w:tcPr>
            <w:tcW w:w="1134" w:type="dxa"/>
            <w:tcBorders>
              <w:top w:val="nil"/>
              <w:left w:val="nil"/>
              <w:bottom w:val="nil"/>
            </w:tcBorders>
          </w:tcPr>
          <w:p w14:paraId="661F50A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(-2.665)</w:t>
            </w:r>
          </w:p>
        </w:tc>
        <w:tc>
          <w:tcPr>
            <w:tcW w:w="1276" w:type="dxa"/>
            <w:tcBorders>
              <w:top w:val="nil"/>
              <w:left w:val="nil"/>
              <w:bottom w:val="nil"/>
              <w:right w:val="nil"/>
            </w:tcBorders>
          </w:tcPr>
          <w:p w14:paraId="5A66950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(-2.695)</w:t>
            </w:r>
          </w:p>
        </w:tc>
      </w:tr>
      <w:tr w:rsidR="00B051E5" w:rsidRPr="00B051E5" w14:paraId="6C2BAEBC" w14:textId="77777777" w:rsidTr="00195944">
        <w:trPr>
          <w:trHeight w:val="253"/>
        </w:trPr>
        <w:tc>
          <w:tcPr>
            <w:tcW w:w="1702" w:type="dxa"/>
            <w:tcBorders>
              <w:top w:val="nil"/>
              <w:left w:val="nil"/>
              <w:bottom w:val="nil"/>
            </w:tcBorders>
          </w:tcPr>
          <w:p w14:paraId="0170B4D8"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VOL</w:t>
            </w:r>
          </w:p>
        </w:tc>
        <w:tc>
          <w:tcPr>
            <w:tcW w:w="567" w:type="dxa"/>
            <w:tcBorders>
              <w:top w:val="nil"/>
              <w:bottom w:val="nil"/>
              <w:right w:val="nil"/>
            </w:tcBorders>
          </w:tcPr>
          <w:p w14:paraId="5BD67B6A"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4E496D2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0.064*</w:t>
            </w:r>
          </w:p>
        </w:tc>
        <w:tc>
          <w:tcPr>
            <w:tcW w:w="992" w:type="dxa"/>
            <w:tcBorders>
              <w:top w:val="nil"/>
              <w:left w:val="nil"/>
              <w:bottom w:val="nil"/>
              <w:right w:val="nil"/>
            </w:tcBorders>
          </w:tcPr>
          <w:p w14:paraId="71ED0F5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0.056</w:t>
            </w:r>
          </w:p>
        </w:tc>
        <w:tc>
          <w:tcPr>
            <w:tcW w:w="993" w:type="dxa"/>
            <w:tcBorders>
              <w:top w:val="nil"/>
              <w:left w:val="nil"/>
              <w:bottom w:val="nil"/>
              <w:right w:val="nil"/>
            </w:tcBorders>
          </w:tcPr>
          <w:p w14:paraId="2E73445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0.056</w:t>
            </w:r>
          </w:p>
        </w:tc>
        <w:tc>
          <w:tcPr>
            <w:tcW w:w="1417" w:type="dxa"/>
            <w:gridSpan w:val="2"/>
            <w:tcBorders>
              <w:top w:val="nil"/>
              <w:left w:val="nil"/>
              <w:bottom w:val="nil"/>
              <w:right w:val="nil"/>
            </w:tcBorders>
          </w:tcPr>
          <w:p w14:paraId="1711AAA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0.055</w:t>
            </w:r>
          </w:p>
        </w:tc>
        <w:tc>
          <w:tcPr>
            <w:tcW w:w="992" w:type="dxa"/>
            <w:tcBorders>
              <w:top w:val="nil"/>
              <w:left w:val="nil"/>
              <w:bottom w:val="nil"/>
              <w:right w:val="nil"/>
            </w:tcBorders>
          </w:tcPr>
          <w:p w14:paraId="1BCBA0F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0.037</w:t>
            </w:r>
          </w:p>
        </w:tc>
        <w:tc>
          <w:tcPr>
            <w:tcW w:w="993" w:type="dxa"/>
            <w:tcBorders>
              <w:top w:val="nil"/>
              <w:left w:val="nil"/>
              <w:bottom w:val="nil"/>
              <w:right w:val="nil"/>
            </w:tcBorders>
          </w:tcPr>
          <w:p w14:paraId="6DEB836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0.037</w:t>
            </w:r>
          </w:p>
        </w:tc>
        <w:tc>
          <w:tcPr>
            <w:tcW w:w="992" w:type="dxa"/>
            <w:tcBorders>
              <w:top w:val="nil"/>
              <w:left w:val="nil"/>
              <w:bottom w:val="nil"/>
              <w:right w:val="nil"/>
            </w:tcBorders>
          </w:tcPr>
          <w:p w14:paraId="7F1C74B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0.037</w:t>
            </w:r>
          </w:p>
        </w:tc>
        <w:tc>
          <w:tcPr>
            <w:tcW w:w="1559" w:type="dxa"/>
            <w:gridSpan w:val="2"/>
            <w:tcBorders>
              <w:top w:val="nil"/>
              <w:left w:val="nil"/>
              <w:bottom w:val="nil"/>
            </w:tcBorders>
          </w:tcPr>
          <w:p w14:paraId="01B72F3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0.039</w:t>
            </w:r>
          </w:p>
        </w:tc>
        <w:tc>
          <w:tcPr>
            <w:tcW w:w="1134" w:type="dxa"/>
            <w:tcBorders>
              <w:top w:val="nil"/>
              <w:bottom w:val="nil"/>
            </w:tcBorders>
          </w:tcPr>
          <w:p w14:paraId="6B9BC9A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0.068</w:t>
            </w:r>
          </w:p>
        </w:tc>
        <w:tc>
          <w:tcPr>
            <w:tcW w:w="1134" w:type="dxa"/>
            <w:tcBorders>
              <w:top w:val="nil"/>
              <w:bottom w:val="nil"/>
            </w:tcBorders>
          </w:tcPr>
          <w:p w14:paraId="529479C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0.074</w:t>
            </w:r>
          </w:p>
        </w:tc>
        <w:tc>
          <w:tcPr>
            <w:tcW w:w="1134" w:type="dxa"/>
            <w:tcBorders>
              <w:top w:val="nil"/>
              <w:left w:val="nil"/>
              <w:bottom w:val="nil"/>
            </w:tcBorders>
          </w:tcPr>
          <w:p w14:paraId="2511350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0.074</w:t>
            </w:r>
          </w:p>
        </w:tc>
        <w:tc>
          <w:tcPr>
            <w:tcW w:w="1276" w:type="dxa"/>
            <w:tcBorders>
              <w:top w:val="nil"/>
              <w:left w:val="nil"/>
              <w:bottom w:val="nil"/>
              <w:right w:val="nil"/>
            </w:tcBorders>
          </w:tcPr>
          <w:p w14:paraId="202CA7B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0.081</w:t>
            </w:r>
          </w:p>
        </w:tc>
      </w:tr>
      <w:tr w:rsidR="00B051E5" w:rsidRPr="00B051E5" w14:paraId="1A21FE68" w14:textId="77777777" w:rsidTr="00195944">
        <w:trPr>
          <w:trHeight w:val="269"/>
        </w:trPr>
        <w:tc>
          <w:tcPr>
            <w:tcW w:w="1702" w:type="dxa"/>
            <w:tcBorders>
              <w:top w:val="nil"/>
              <w:left w:val="nil"/>
              <w:bottom w:val="nil"/>
            </w:tcBorders>
          </w:tcPr>
          <w:p w14:paraId="62DB6186"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15393C02"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4FBFC28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(1.765)</w:t>
            </w:r>
          </w:p>
        </w:tc>
        <w:tc>
          <w:tcPr>
            <w:tcW w:w="992" w:type="dxa"/>
            <w:tcBorders>
              <w:top w:val="nil"/>
              <w:left w:val="nil"/>
              <w:bottom w:val="nil"/>
              <w:right w:val="nil"/>
            </w:tcBorders>
          </w:tcPr>
          <w:p w14:paraId="0A96E94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(1.547)</w:t>
            </w:r>
          </w:p>
        </w:tc>
        <w:tc>
          <w:tcPr>
            <w:tcW w:w="993" w:type="dxa"/>
            <w:tcBorders>
              <w:top w:val="nil"/>
              <w:left w:val="nil"/>
              <w:bottom w:val="nil"/>
              <w:right w:val="nil"/>
            </w:tcBorders>
          </w:tcPr>
          <w:p w14:paraId="5A7EE9C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(1.547)</w:t>
            </w:r>
          </w:p>
        </w:tc>
        <w:tc>
          <w:tcPr>
            <w:tcW w:w="1417" w:type="dxa"/>
            <w:gridSpan w:val="2"/>
            <w:tcBorders>
              <w:top w:val="nil"/>
              <w:left w:val="nil"/>
              <w:bottom w:val="nil"/>
              <w:right w:val="nil"/>
            </w:tcBorders>
          </w:tcPr>
          <w:p w14:paraId="51DC6E7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(1.542)</w:t>
            </w:r>
          </w:p>
        </w:tc>
        <w:tc>
          <w:tcPr>
            <w:tcW w:w="992" w:type="dxa"/>
            <w:tcBorders>
              <w:top w:val="nil"/>
              <w:left w:val="nil"/>
              <w:bottom w:val="nil"/>
              <w:right w:val="nil"/>
            </w:tcBorders>
          </w:tcPr>
          <w:p w14:paraId="10866A8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(0.898)</w:t>
            </w:r>
          </w:p>
        </w:tc>
        <w:tc>
          <w:tcPr>
            <w:tcW w:w="993" w:type="dxa"/>
            <w:tcBorders>
              <w:top w:val="nil"/>
              <w:left w:val="nil"/>
              <w:bottom w:val="nil"/>
              <w:right w:val="nil"/>
            </w:tcBorders>
          </w:tcPr>
          <w:p w14:paraId="0FB27A3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(0.925)</w:t>
            </w:r>
          </w:p>
        </w:tc>
        <w:tc>
          <w:tcPr>
            <w:tcW w:w="992" w:type="dxa"/>
            <w:tcBorders>
              <w:top w:val="nil"/>
              <w:left w:val="nil"/>
              <w:bottom w:val="nil"/>
              <w:right w:val="nil"/>
            </w:tcBorders>
          </w:tcPr>
          <w:p w14:paraId="4D07656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(0.925)</w:t>
            </w:r>
          </w:p>
        </w:tc>
        <w:tc>
          <w:tcPr>
            <w:tcW w:w="1559" w:type="dxa"/>
            <w:gridSpan w:val="2"/>
            <w:tcBorders>
              <w:top w:val="nil"/>
              <w:left w:val="nil"/>
              <w:bottom w:val="nil"/>
            </w:tcBorders>
          </w:tcPr>
          <w:p w14:paraId="2FC9D69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(0.954)</w:t>
            </w:r>
          </w:p>
        </w:tc>
        <w:tc>
          <w:tcPr>
            <w:tcW w:w="1134" w:type="dxa"/>
            <w:tcBorders>
              <w:top w:val="nil"/>
              <w:bottom w:val="nil"/>
            </w:tcBorders>
          </w:tcPr>
          <w:p w14:paraId="6D3A453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(1.274)</w:t>
            </w:r>
          </w:p>
        </w:tc>
        <w:tc>
          <w:tcPr>
            <w:tcW w:w="1134" w:type="dxa"/>
            <w:tcBorders>
              <w:top w:val="nil"/>
              <w:bottom w:val="nil"/>
            </w:tcBorders>
          </w:tcPr>
          <w:p w14:paraId="6F7DE0B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(1.396)</w:t>
            </w:r>
          </w:p>
        </w:tc>
        <w:tc>
          <w:tcPr>
            <w:tcW w:w="1134" w:type="dxa"/>
            <w:tcBorders>
              <w:top w:val="nil"/>
              <w:left w:val="nil"/>
              <w:bottom w:val="nil"/>
            </w:tcBorders>
          </w:tcPr>
          <w:p w14:paraId="4B238E7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(1.396)</w:t>
            </w:r>
          </w:p>
        </w:tc>
        <w:tc>
          <w:tcPr>
            <w:tcW w:w="1276" w:type="dxa"/>
            <w:tcBorders>
              <w:top w:val="nil"/>
              <w:left w:val="nil"/>
              <w:bottom w:val="nil"/>
              <w:right w:val="nil"/>
            </w:tcBorders>
          </w:tcPr>
          <w:p w14:paraId="2E1C98E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(1.532)</w:t>
            </w:r>
          </w:p>
        </w:tc>
      </w:tr>
      <w:tr w:rsidR="00B051E5" w:rsidRPr="00B051E5" w14:paraId="41CF6C91" w14:textId="77777777" w:rsidTr="00195944">
        <w:trPr>
          <w:trHeight w:val="269"/>
        </w:trPr>
        <w:tc>
          <w:tcPr>
            <w:tcW w:w="1702" w:type="dxa"/>
            <w:tcBorders>
              <w:top w:val="nil"/>
              <w:left w:val="nil"/>
              <w:bottom w:val="nil"/>
            </w:tcBorders>
          </w:tcPr>
          <w:p w14:paraId="25298944"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MTB</w:t>
            </w:r>
          </w:p>
        </w:tc>
        <w:tc>
          <w:tcPr>
            <w:tcW w:w="567" w:type="dxa"/>
            <w:tcBorders>
              <w:top w:val="nil"/>
              <w:bottom w:val="nil"/>
              <w:right w:val="nil"/>
            </w:tcBorders>
          </w:tcPr>
          <w:p w14:paraId="4583B2FF"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6876AA7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-0.002</w:t>
            </w:r>
          </w:p>
        </w:tc>
        <w:tc>
          <w:tcPr>
            <w:tcW w:w="992" w:type="dxa"/>
            <w:tcBorders>
              <w:top w:val="nil"/>
              <w:left w:val="nil"/>
              <w:bottom w:val="nil"/>
              <w:right w:val="nil"/>
            </w:tcBorders>
          </w:tcPr>
          <w:p w14:paraId="2B7587A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-0.002</w:t>
            </w:r>
          </w:p>
        </w:tc>
        <w:tc>
          <w:tcPr>
            <w:tcW w:w="993" w:type="dxa"/>
            <w:tcBorders>
              <w:top w:val="nil"/>
              <w:left w:val="nil"/>
              <w:bottom w:val="nil"/>
              <w:right w:val="nil"/>
            </w:tcBorders>
          </w:tcPr>
          <w:p w14:paraId="56E2840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-0.002</w:t>
            </w:r>
          </w:p>
        </w:tc>
        <w:tc>
          <w:tcPr>
            <w:tcW w:w="1417" w:type="dxa"/>
            <w:gridSpan w:val="2"/>
            <w:tcBorders>
              <w:top w:val="nil"/>
              <w:left w:val="nil"/>
              <w:bottom w:val="nil"/>
              <w:right w:val="nil"/>
            </w:tcBorders>
          </w:tcPr>
          <w:p w14:paraId="4AF1249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-0.002</w:t>
            </w:r>
          </w:p>
        </w:tc>
        <w:tc>
          <w:tcPr>
            <w:tcW w:w="992" w:type="dxa"/>
            <w:tcBorders>
              <w:top w:val="nil"/>
              <w:left w:val="nil"/>
              <w:bottom w:val="nil"/>
              <w:right w:val="nil"/>
            </w:tcBorders>
          </w:tcPr>
          <w:p w14:paraId="2015995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-0.004</w:t>
            </w:r>
          </w:p>
        </w:tc>
        <w:tc>
          <w:tcPr>
            <w:tcW w:w="993" w:type="dxa"/>
            <w:tcBorders>
              <w:top w:val="nil"/>
              <w:left w:val="nil"/>
              <w:bottom w:val="nil"/>
              <w:right w:val="nil"/>
            </w:tcBorders>
          </w:tcPr>
          <w:p w14:paraId="77A841F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-0.004</w:t>
            </w:r>
          </w:p>
        </w:tc>
        <w:tc>
          <w:tcPr>
            <w:tcW w:w="992" w:type="dxa"/>
            <w:tcBorders>
              <w:top w:val="nil"/>
              <w:left w:val="nil"/>
              <w:bottom w:val="nil"/>
              <w:right w:val="nil"/>
            </w:tcBorders>
          </w:tcPr>
          <w:p w14:paraId="0CF7BD1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-0.004</w:t>
            </w:r>
          </w:p>
        </w:tc>
        <w:tc>
          <w:tcPr>
            <w:tcW w:w="1559" w:type="dxa"/>
            <w:gridSpan w:val="2"/>
            <w:tcBorders>
              <w:top w:val="nil"/>
              <w:left w:val="nil"/>
              <w:bottom w:val="nil"/>
            </w:tcBorders>
          </w:tcPr>
          <w:p w14:paraId="171E91F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-0.004</w:t>
            </w:r>
          </w:p>
        </w:tc>
        <w:tc>
          <w:tcPr>
            <w:tcW w:w="1134" w:type="dxa"/>
            <w:tcBorders>
              <w:top w:val="nil"/>
              <w:bottom w:val="nil"/>
            </w:tcBorders>
          </w:tcPr>
          <w:p w14:paraId="0AD1C24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0.005</w:t>
            </w:r>
          </w:p>
        </w:tc>
        <w:tc>
          <w:tcPr>
            <w:tcW w:w="1134" w:type="dxa"/>
            <w:tcBorders>
              <w:top w:val="nil"/>
              <w:bottom w:val="nil"/>
            </w:tcBorders>
          </w:tcPr>
          <w:p w14:paraId="2C174E6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0.005</w:t>
            </w:r>
          </w:p>
        </w:tc>
        <w:tc>
          <w:tcPr>
            <w:tcW w:w="1134" w:type="dxa"/>
            <w:tcBorders>
              <w:top w:val="nil"/>
              <w:left w:val="nil"/>
              <w:bottom w:val="nil"/>
            </w:tcBorders>
          </w:tcPr>
          <w:p w14:paraId="15277DC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0.005</w:t>
            </w:r>
          </w:p>
        </w:tc>
        <w:tc>
          <w:tcPr>
            <w:tcW w:w="1276" w:type="dxa"/>
            <w:tcBorders>
              <w:top w:val="nil"/>
              <w:left w:val="nil"/>
              <w:bottom w:val="nil"/>
              <w:right w:val="nil"/>
            </w:tcBorders>
          </w:tcPr>
          <w:p w14:paraId="2710927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0.005</w:t>
            </w:r>
          </w:p>
        </w:tc>
      </w:tr>
      <w:tr w:rsidR="00B051E5" w:rsidRPr="00B051E5" w14:paraId="09506B9B" w14:textId="77777777" w:rsidTr="00195944">
        <w:trPr>
          <w:trHeight w:val="269"/>
        </w:trPr>
        <w:tc>
          <w:tcPr>
            <w:tcW w:w="1702" w:type="dxa"/>
            <w:tcBorders>
              <w:top w:val="nil"/>
              <w:left w:val="nil"/>
              <w:bottom w:val="nil"/>
            </w:tcBorders>
          </w:tcPr>
          <w:p w14:paraId="4D84DD41"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7D28D3A3"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224C09E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(-0.616)</w:t>
            </w:r>
          </w:p>
        </w:tc>
        <w:tc>
          <w:tcPr>
            <w:tcW w:w="992" w:type="dxa"/>
            <w:tcBorders>
              <w:top w:val="nil"/>
              <w:left w:val="nil"/>
              <w:bottom w:val="nil"/>
              <w:right w:val="nil"/>
            </w:tcBorders>
          </w:tcPr>
          <w:p w14:paraId="5A25B0B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(-0.525)</w:t>
            </w:r>
          </w:p>
        </w:tc>
        <w:tc>
          <w:tcPr>
            <w:tcW w:w="993" w:type="dxa"/>
            <w:tcBorders>
              <w:top w:val="nil"/>
              <w:left w:val="nil"/>
              <w:bottom w:val="nil"/>
              <w:right w:val="nil"/>
            </w:tcBorders>
          </w:tcPr>
          <w:p w14:paraId="72F98B1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(-0.525)</w:t>
            </w:r>
          </w:p>
        </w:tc>
        <w:tc>
          <w:tcPr>
            <w:tcW w:w="1417" w:type="dxa"/>
            <w:gridSpan w:val="2"/>
            <w:tcBorders>
              <w:top w:val="nil"/>
              <w:left w:val="nil"/>
              <w:bottom w:val="nil"/>
              <w:right w:val="nil"/>
            </w:tcBorders>
          </w:tcPr>
          <w:p w14:paraId="6A58C73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(-0.551)</w:t>
            </w:r>
          </w:p>
        </w:tc>
        <w:tc>
          <w:tcPr>
            <w:tcW w:w="992" w:type="dxa"/>
            <w:tcBorders>
              <w:top w:val="nil"/>
              <w:left w:val="nil"/>
              <w:bottom w:val="nil"/>
              <w:right w:val="nil"/>
            </w:tcBorders>
          </w:tcPr>
          <w:p w14:paraId="6ADE8FA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(-1.074)</w:t>
            </w:r>
          </w:p>
        </w:tc>
        <w:tc>
          <w:tcPr>
            <w:tcW w:w="993" w:type="dxa"/>
            <w:tcBorders>
              <w:top w:val="nil"/>
              <w:left w:val="nil"/>
              <w:bottom w:val="nil"/>
              <w:right w:val="nil"/>
            </w:tcBorders>
          </w:tcPr>
          <w:p w14:paraId="773A906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(-1.031)</w:t>
            </w:r>
          </w:p>
        </w:tc>
        <w:tc>
          <w:tcPr>
            <w:tcW w:w="992" w:type="dxa"/>
            <w:tcBorders>
              <w:top w:val="nil"/>
              <w:left w:val="nil"/>
              <w:bottom w:val="nil"/>
              <w:right w:val="nil"/>
            </w:tcBorders>
          </w:tcPr>
          <w:p w14:paraId="1CC28DD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(-1.031)</w:t>
            </w:r>
          </w:p>
        </w:tc>
        <w:tc>
          <w:tcPr>
            <w:tcW w:w="1559" w:type="dxa"/>
            <w:gridSpan w:val="2"/>
            <w:tcBorders>
              <w:top w:val="nil"/>
              <w:left w:val="nil"/>
              <w:bottom w:val="nil"/>
            </w:tcBorders>
          </w:tcPr>
          <w:p w14:paraId="6EC95E6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(-1.004)</w:t>
            </w:r>
          </w:p>
        </w:tc>
        <w:tc>
          <w:tcPr>
            <w:tcW w:w="1134" w:type="dxa"/>
            <w:tcBorders>
              <w:top w:val="nil"/>
              <w:bottom w:val="nil"/>
            </w:tcBorders>
          </w:tcPr>
          <w:p w14:paraId="3E369C2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(0.716)</w:t>
            </w:r>
          </w:p>
        </w:tc>
        <w:tc>
          <w:tcPr>
            <w:tcW w:w="1134" w:type="dxa"/>
            <w:tcBorders>
              <w:top w:val="nil"/>
              <w:bottom w:val="nil"/>
            </w:tcBorders>
          </w:tcPr>
          <w:p w14:paraId="5012951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(0.748)</w:t>
            </w:r>
          </w:p>
        </w:tc>
        <w:tc>
          <w:tcPr>
            <w:tcW w:w="1134" w:type="dxa"/>
            <w:tcBorders>
              <w:top w:val="nil"/>
              <w:left w:val="nil"/>
              <w:bottom w:val="nil"/>
            </w:tcBorders>
          </w:tcPr>
          <w:p w14:paraId="73EF2B6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(0.748)</w:t>
            </w:r>
          </w:p>
        </w:tc>
        <w:tc>
          <w:tcPr>
            <w:tcW w:w="1276" w:type="dxa"/>
            <w:tcBorders>
              <w:top w:val="nil"/>
              <w:left w:val="nil"/>
              <w:bottom w:val="nil"/>
              <w:right w:val="nil"/>
            </w:tcBorders>
          </w:tcPr>
          <w:p w14:paraId="3962407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(0.782)</w:t>
            </w:r>
          </w:p>
        </w:tc>
      </w:tr>
      <w:tr w:rsidR="00B051E5" w:rsidRPr="00B051E5" w14:paraId="36DBE504" w14:textId="77777777" w:rsidTr="00195944">
        <w:trPr>
          <w:trHeight w:val="269"/>
        </w:trPr>
        <w:tc>
          <w:tcPr>
            <w:tcW w:w="1702" w:type="dxa"/>
            <w:tcBorders>
              <w:top w:val="nil"/>
              <w:left w:val="nil"/>
              <w:bottom w:val="nil"/>
            </w:tcBorders>
          </w:tcPr>
          <w:p w14:paraId="6D3CC045"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VOLATILITY</w:t>
            </w:r>
          </w:p>
        </w:tc>
        <w:tc>
          <w:tcPr>
            <w:tcW w:w="567" w:type="dxa"/>
            <w:tcBorders>
              <w:top w:val="nil"/>
              <w:bottom w:val="nil"/>
              <w:right w:val="nil"/>
            </w:tcBorders>
          </w:tcPr>
          <w:p w14:paraId="4EA9024A"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44C9A80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-0.282</w:t>
            </w:r>
          </w:p>
        </w:tc>
        <w:tc>
          <w:tcPr>
            <w:tcW w:w="992" w:type="dxa"/>
            <w:tcBorders>
              <w:top w:val="nil"/>
              <w:left w:val="nil"/>
              <w:bottom w:val="nil"/>
              <w:right w:val="nil"/>
            </w:tcBorders>
          </w:tcPr>
          <w:p w14:paraId="073FD18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-0.434</w:t>
            </w:r>
          </w:p>
        </w:tc>
        <w:tc>
          <w:tcPr>
            <w:tcW w:w="993" w:type="dxa"/>
            <w:tcBorders>
              <w:top w:val="nil"/>
              <w:left w:val="nil"/>
              <w:bottom w:val="nil"/>
              <w:right w:val="nil"/>
            </w:tcBorders>
          </w:tcPr>
          <w:p w14:paraId="3656491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-0.434</w:t>
            </w:r>
          </w:p>
        </w:tc>
        <w:tc>
          <w:tcPr>
            <w:tcW w:w="1417" w:type="dxa"/>
            <w:gridSpan w:val="2"/>
            <w:tcBorders>
              <w:top w:val="nil"/>
              <w:left w:val="nil"/>
              <w:bottom w:val="nil"/>
              <w:right w:val="nil"/>
            </w:tcBorders>
          </w:tcPr>
          <w:p w14:paraId="273DD1E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-0.42</w:t>
            </w:r>
          </w:p>
        </w:tc>
        <w:tc>
          <w:tcPr>
            <w:tcW w:w="992" w:type="dxa"/>
            <w:tcBorders>
              <w:top w:val="nil"/>
              <w:left w:val="nil"/>
              <w:bottom w:val="nil"/>
              <w:right w:val="nil"/>
            </w:tcBorders>
          </w:tcPr>
          <w:p w14:paraId="09AAD57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0.098</w:t>
            </w:r>
          </w:p>
        </w:tc>
        <w:tc>
          <w:tcPr>
            <w:tcW w:w="993" w:type="dxa"/>
            <w:tcBorders>
              <w:top w:val="nil"/>
              <w:left w:val="nil"/>
              <w:bottom w:val="nil"/>
              <w:right w:val="nil"/>
            </w:tcBorders>
          </w:tcPr>
          <w:p w14:paraId="79CB75A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0.108</w:t>
            </w:r>
          </w:p>
        </w:tc>
        <w:tc>
          <w:tcPr>
            <w:tcW w:w="992" w:type="dxa"/>
            <w:tcBorders>
              <w:top w:val="nil"/>
              <w:left w:val="nil"/>
              <w:bottom w:val="nil"/>
              <w:right w:val="nil"/>
            </w:tcBorders>
          </w:tcPr>
          <w:p w14:paraId="0D6CFEC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0.108</w:t>
            </w:r>
          </w:p>
        </w:tc>
        <w:tc>
          <w:tcPr>
            <w:tcW w:w="1559" w:type="dxa"/>
            <w:gridSpan w:val="2"/>
            <w:tcBorders>
              <w:top w:val="nil"/>
              <w:left w:val="nil"/>
              <w:bottom w:val="nil"/>
            </w:tcBorders>
          </w:tcPr>
          <w:p w14:paraId="2975F46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0.115</w:t>
            </w:r>
          </w:p>
        </w:tc>
        <w:tc>
          <w:tcPr>
            <w:tcW w:w="1134" w:type="dxa"/>
            <w:tcBorders>
              <w:top w:val="nil"/>
              <w:bottom w:val="nil"/>
            </w:tcBorders>
          </w:tcPr>
          <w:p w14:paraId="2D2EC9E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0.247</w:t>
            </w:r>
          </w:p>
        </w:tc>
        <w:tc>
          <w:tcPr>
            <w:tcW w:w="1134" w:type="dxa"/>
            <w:tcBorders>
              <w:top w:val="nil"/>
              <w:bottom w:val="nil"/>
            </w:tcBorders>
          </w:tcPr>
          <w:p w14:paraId="770531C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0.262</w:t>
            </w:r>
          </w:p>
        </w:tc>
        <w:tc>
          <w:tcPr>
            <w:tcW w:w="1134" w:type="dxa"/>
            <w:tcBorders>
              <w:top w:val="nil"/>
              <w:left w:val="nil"/>
              <w:bottom w:val="nil"/>
            </w:tcBorders>
          </w:tcPr>
          <w:p w14:paraId="1D53B7B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0.262</w:t>
            </w:r>
          </w:p>
        </w:tc>
        <w:tc>
          <w:tcPr>
            <w:tcW w:w="1276" w:type="dxa"/>
            <w:tcBorders>
              <w:top w:val="nil"/>
              <w:left w:val="nil"/>
              <w:bottom w:val="nil"/>
              <w:right w:val="nil"/>
            </w:tcBorders>
          </w:tcPr>
          <w:p w14:paraId="2FBB133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0.279</w:t>
            </w:r>
          </w:p>
        </w:tc>
      </w:tr>
      <w:tr w:rsidR="00B051E5" w:rsidRPr="00B051E5" w14:paraId="504DB34D" w14:textId="77777777" w:rsidTr="00195944">
        <w:trPr>
          <w:trHeight w:val="269"/>
        </w:trPr>
        <w:tc>
          <w:tcPr>
            <w:tcW w:w="1702" w:type="dxa"/>
            <w:tcBorders>
              <w:top w:val="nil"/>
              <w:left w:val="nil"/>
              <w:bottom w:val="nil"/>
            </w:tcBorders>
          </w:tcPr>
          <w:p w14:paraId="2CED965B"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31ADFAF9"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7A81FB1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(-0.751)</w:t>
            </w:r>
          </w:p>
        </w:tc>
        <w:tc>
          <w:tcPr>
            <w:tcW w:w="992" w:type="dxa"/>
            <w:tcBorders>
              <w:top w:val="nil"/>
              <w:left w:val="nil"/>
              <w:bottom w:val="nil"/>
              <w:right w:val="nil"/>
            </w:tcBorders>
          </w:tcPr>
          <w:p w14:paraId="678AC35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(-1.186)</w:t>
            </w:r>
          </w:p>
        </w:tc>
        <w:tc>
          <w:tcPr>
            <w:tcW w:w="993" w:type="dxa"/>
            <w:tcBorders>
              <w:top w:val="nil"/>
              <w:left w:val="nil"/>
              <w:bottom w:val="nil"/>
              <w:right w:val="nil"/>
            </w:tcBorders>
          </w:tcPr>
          <w:p w14:paraId="5175227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(-1.186)</w:t>
            </w:r>
          </w:p>
        </w:tc>
        <w:tc>
          <w:tcPr>
            <w:tcW w:w="1417" w:type="dxa"/>
            <w:gridSpan w:val="2"/>
            <w:tcBorders>
              <w:top w:val="nil"/>
              <w:left w:val="nil"/>
              <w:bottom w:val="nil"/>
              <w:right w:val="nil"/>
            </w:tcBorders>
          </w:tcPr>
          <w:p w14:paraId="15B7459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(-1.140)</w:t>
            </w:r>
          </w:p>
        </w:tc>
        <w:tc>
          <w:tcPr>
            <w:tcW w:w="992" w:type="dxa"/>
            <w:tcBorders>
              <w:top w:val="nil"/>
              <w:left w:val="nil"/>
              <w:bottom w:val="nil"/>
              <w:right w:val="nil"/>
            </w:tcBorders>
          </w:tcPr>
          <w:p w14:paraId="32F53AA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(0.251)</w:t>
            </w:r>
          </w:p>
        </w:tc>
        <w:tc>
          <w:tcPr>
            <w:tcW w:w="993" w:type="dxa"/>
            <w:tcBorders>
              <w:top w:val="nil"/>
              <w:left w:val="nil"/>
              <w:bottom w:val="nil"/>
              <w:right w:val="nil"/>
            </w:tcBorders>
          </w:tcPr>
          <w:p w14:paraId="04D6C94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(0.277)</w:t>
            </w:r>
          </w:p>
        </w:tc>
        <w:tc>
          <w:tcPr>
            <w:tcW w:w="992" w:type="dxa"/>
            <w:tcBorders>
              <w:top w:val="nil"/>
              <w:left w:val="nil"/>
              <w:bottom w:val="nil"/>
              <w:right w:val="nil"/>
            </w:tcBorders>
          </w:tcPr>
          <w:p w14:paraId="3EF417E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(0.277)</w:t>
            </w:r>
          </w:p>
        </w:tc>
        <w:tc>
          <w:tcPr>
            <w:tcW w:w="1559" w:type="dxa"/>
            <w:gridSpan w:val="2"/>
            <w:tcBorders>
              <w:top w:val="nil"/>
              <w:left w:val="nil"/>
              <w:bottom w:val="nil"/>
            </w:tcBorders>
          </w:tcPr>
          <w:p w14:paraId="35470AA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(0.294)</w:t>
            </w:r>
          </w:p>
        </w:tc>
        <w:tc>
          <w:tcPr>
            <w:tcW w:w="1134" w:type="dxa"/>
            <w:tcBorders>
              <w:top w:val="nil"/>
              <w:bottom w:val="nil"/>
            </w:tcBorders>
          </w:tcPr>
          <w:p w14:paraId="0171B3C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(1.102)</w:t>
            </w:r>
          </w:p>
        </w:tc>
        <w:tc>
          <w:tcPr>
            <w:tcW w:w="1134" w:type="dxa"/>
            <w:tcBorders>
              <w:top w:val="nil"/>
              <w:bottom w:val="nil"/>
            </w:tcBorders>
          </w:tcPr>
          <w:p w14:paraId="020A380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(1.167)</w:t>
            </w:r>
          </w:p>
        </w:tc>
        <w:tc>
          <w:tcPr>
            <w:tcW w:w="1134" w:type="dxa"/>
            <w:tcBorders>
              <w:top w:val="nil"/>
              <w:left w:val="nil"/>
              <w:bottom w:val="nil"/>
            </w:tcBorders>
          </w:tcPr>
          <w:p w14:paraId="5D14258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(1.167)</w:t>
            </w:r>
          </w:p>
        </w:tc>
        <w:tc>
          <w:tcPr>
            <w:tcW w:w="1276" w:type="dxa"/>
            <w:tcBorders>
              <w:top w:val="nil"/>
              <w:left w:val="nil"/>
              <w:bottom w:val="nil"/>
              <w:right w:val="nil"/>
            </w:tcBorders>
          </w:tcPr>
          <w:p w14:paraId="68EFBDB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(1.241)</w:t>
            </w:r>
          </w:p>
        </w:tc>
      </w:tr>
      <w:tr w:rsidR="00B051E5" w:rsidRPr="00B051E5" w14:paraId="55DAE087" w14:textId="77777777" w:rsidTr="00195944">
        <w:trPr>
          <w:trHeight w:val="269"/>
        </w:trPr>
        <w:tc>
          <w:tcPr>
            <w:tcW w:w="1702" w:type="dxa"/>
            <w:tcBorders>
              <w:top w:val="nil"/>
              <w:left w:val="nil"/>
              <w:bottom w:val="nil"/>
            </w:tcBorders>
          </w:tcPr>
          <w:p w14:paraId="4FE4760D"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ROA</w:t>
            </w:r>
          </w:p>
        </w:tc>
        <w:tc>
          <w:tcPr>
            <w:tcW w:w="567" w:type="dxa"/>
            <w:tcBorders>
              <w:top w:val="nil"/>
              <w:bottom w:val="nil"/>
              <w:right w:val="nil"/>
            </w:tcBorders>
          </w:tcPr>
          <w:p w14:paraId="0A91ABD7"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117A05C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992" w:type="dxa"/>
            <w:tcBorders>
              <w:top w:val="nil"/>
              <w:left w:val="nil"/>
              <w:bottom w:val="nil"/>
              <w:right w:val="nil"/>
            </w:tcBorders>
          </w:tcPr>
          <w:p w14:paraId="113CD01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993" w:type="dxa"/>
            <w:tcBorders>
              <w:top w:val="nil"/>
              <w:left w:val="nil"/>
              <w:bottom w:val="nil"/>
              <w:right w:val="nil"/>
            </w:tcBorders>
          </w:tcPr>
          <w:p w14:paraId="650763D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1417" w:type="dxa"/>
            <w:gridSpan w:val="2"/>
            <w:tcBorders>
              <w:top w:val="nil"/>
              <w:left w:val="nil"/>
              <w:bottom w:val="nil"/>
              <w:right w:val="nil"/>
            </w:tcBorders>
          </w:tcPr>
          <w:p w14:paraId="678ECB8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992" w:type="dxa"/>
            <w:tcBorders>
              <w:top w:val="nil"/>
              <w:left w:val="nil"/>
              <w:bottom w:val="nil"/>
              <w:right w:val="nil"/>
            </w:tcBorders>
          </w:tcPr>
          <w:p w14:paraId="6C230DB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993" w:type="dxa"/>
            <w:tcBorders>
              <w:top w:val="nil"/>
              <w:left w:val="nil"/>
              <w:bottom w:val="nil"/>
              <w:right w:val="nil"/>
            </w:tcBorders>
          </w:tcPr>
          <w:p w14:paraId="17D272F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992" w:type="dxa"/>
            <w:tcBorders>
              <w:top w:val="nil"/>
              <w:left w:val="nil"/>
              <w:bottom w:val="nil"/>
              <w:right w:val="nil"/>
            </w:tcBorders>
          </w:tcPr>
          <w:p w14:paraId="7F90170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1559" w:type="dxa"/>
            <w:gridSpan w:val="2"/>
            <w:tcBorders>
              <w:top w:val="nil"/>
              <w:left w:val="nil"/>
              <w:bottom w:val="nil"/>
            </w:tcBorders>
          </w:tcPr>
          <w:p w14:paraId="55D18B4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1134" w:type="dxa"/>
            <w:tcBorders>
              <w:top w:val="nil"/>
              <w:bottom w:val="nil"/>
            </w:tcBorders>
          </w:tcPr>
          <w:p w14:paraId="62D9850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0.007</w:t>
            </w:r>
          </w:p>
        </w:tc>
        <w:tc>
          <w:tcPr>
            <w:tcW w:w="1134" w:type="dxa"/>
            <w:tcBorders>
              <w:top w:val="nil"/>
              <w:bottom w:val="nil"/>
            </w:tcBorders>
          </w:tcPr>
          <w:p w14:paraId="4DD0392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0.007</w:t>
            </w:r>
          </w:p>
        </w:tc>
        <w:tc>
          <w:tcPr>
            <w:tcW w:w="1134" w:type="dxa"/>
            <w:tcBorders>
              <w:top w:val="nil"/>
              <w:left w:val="nil"/>
              <w:bottom w:val="nil"/>
            </w:tcBorders>
          </w:tcPr>
          <w:p w14:paraId="482D531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0.007</w:t>
            </w:r>
          </w:p>
        </w:tc>
        <w:tc>
          <w:tcPr>
            <w:tcW w:w="1276" w:type="dxa"/>
            <w:tcBorders>
              <w:top w:val="nil"/>
              <w:left w:val="nil"/>
              <w:bottom w:val="nil"/>
              <w:right w:val="nil"/>
            </w:tcBorders>
          </w:tcPr>
          <w:p w14:paraId="0DD8EBC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0.008</w:t>
            </w:r>
          </w:p>
        </w:tc>
      </w:tr>
      <w:tr w:rsidR="00B051E5" w:rsidRPr="00B051E5" w14:paraId="2879B1D5" w14:textId="77777777" w:rsidTr="00195944">
        <w:trPr>
          <w:trHeight w:val="269"/>
        </w:trPr>
        <w:tc>
          <w:tcPr>
            <w:tcW w:w="1702" w:type="dxa"/>
            <w:tcBorders>
              <w:top w:val="nil"/>
              <w:left w:val="nil"/>
              <w:bottom w:val="nil"/>
            </w:tcBorders>
          </w:tcPr>
          <w:p w14:paraId="48E478B4"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7FF76D2D"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522444B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(0.189)</w:t>
            </w:r>
          </w:p>
        </w:tc>
        <w:tc>
          <w:tcPr>
            <w:tcW w:w="992" w:type="dxa"/>
            <w:tcBorders>
              <w:top w:val="nil"/>
              <w:left w:val="nil"/>
              <w:bottom w:val="nil"/>
              <w:right w:val="nil"/>
            </w:tcBorders>
          </w:tcPr>
          <w:p w14:paraId="546E0E5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(0.133)</w:t>
            </w:r>
          </w:p>
        </w:tc>
        <w:tc>
          <w:tcPr>
            <w:tcW w:w="993" w:type="dxa"/>
            <w:tcBorders>
              <w:top w:val="nil"/>
              <w:left w:val="nil"/>
              <w:bottom w:val="nil"/>
              <w:right w:val="nil"/>
            </w:tcBorders>
          </w:tcPr>
          <w:p w14:paraId="1D29910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(0.133)</w:t>
            </w:r>
          </w:p>
        </w:tc>
        <w:tc>
          <w:tcPr>
            <w:tcW w:w="1417" w:type="dxa"/>
            <w:gridSpan w:val="2"/>
            <w:tcBorders>
              <w:top w:val="nil"/>
              <w:left w:val="nil"/>
              <w:bottom w:val="nil"/>
              <w:right w:val="nil"/>
            </w:tcBorders>
          </w:tcPr>
          <w:p w14:paraId="5EAD767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(0.139)</w:t>
            </w:r>
          </w:p>
        </w:tc>
        <w:tc>
          <w:tcPr>
            <w:tcW w:w="992" w:type="dxa"/>
            <w:tcBorders>
              <w:top w:val="nil"/>
              <w:left w:val="nil"/>
              <w:bottom w:val="nil"/>
              <w:right w:val="nil"/>
            </w:tcBorders>
          </w:tcPr>
          <w:p w14:paraId="3FA65A3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(0.055)</w:t>
            </w:r>
          </w:p>
        </w:tc>
        <w:tc>
          <w:tcPr>
            <w:tcW w:w="993" w:type="dxa"/>
            <w:tcBorders>
              <w:top w:val="nil"/>
              <w:left w:val="nil"/>
              <w:bottom w:val="nil"/>
              <w:right w:val="nil"/>
            </w:tcBorders>
          </w:tcPr>
          <w:p w14:paraId="6BDEF50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(0.078)</w:t>
            </w:r>
          </w:p>
        </w:tc>
        <w:tc>
          <w:tcPr>
            <w:tcW w:w="992" w:type="dxa"/>
            <w:tcBorders>
              <w:top w:val="nil"/>
              <w:left w:val="nil"/>
              <w:bottom w:val="nil"/>
              <w:right w:val="nil"/>
            </w:tcBorders>
          </w:tcPr>
          <w:p w14:paraId="636ABE3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(0.078)</w:t>
            </w:r>
          </w:p>
        </w:tc>
        <w:tc>
          <w:tcPr>
            <w:tcW w:w="1559" w:type="dxa"/>
            <w:gridSpan w:val="2"/>
            <w:tcBorders>
              <w:top w:val="nil"/>
              <w:left w:val="nil"/>
              <w:bottom w:val="nil"/>
            </w:tcBorders>
          </w:tcPr>
          <w:p w14:paraId="1111536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(0.078)</w:t>
            </w:r>
          </w:p>
        </w:tc>
        <w:tc>
          <w:tcPr>
            <w:tcW w:w="1134" w:type="dxa"/>
            <w:tcBorders>
              <w:top w:val="nil"/>
              <w:bottom w:val="nil"/>
            </w:tcBorders>
          </w:tcPr>
          <w:p w14:paraId="60BA3C9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(1.329)</w:t>
            </w:r>
          </w:p>
        </w:tc>
        <w:tc>
          <w:tcPr>
            <w:tcW w:w="1134" w:type="dxa"/>
            <w:tcBorders>
              <w:top w:val="nil"/>
              <w:bottom w:val="nil"/>
            </w:tcBorders>
          </w:tcPr>
          <w:p w14:paraId="63B324F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(1.384)</w:t>
            </w:r>
          </w:p>
        </w:tc>
        <w:tc>
          <w:tcPr>
            <w:tcW w:w="1134" w:type="dxa"/>
            <w:tcBorders>
              <w:top w:val="nil"/>
              <w:left w:val="nil"/>
              <w:bottom w:val="nil"/>
            </w:tcBorders>
          </w:tcPr>
          <w:p w14:paraId="6A9E668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(1.384)</w:t>
            </w:r>
          </w:p>
        </w:tc>
        <w:tc>
          <w:tcPr>
            <w:tcW w:w="1276" w:type="dxa"/>
            <w:tcBorders>
              <w:top w:val="nil"/>
              <w:left w:val="nil"/>
              <w:bottom w:val="nil"/>
              <w:right w:val="nil"/>
            </w:tcBorders>
          </w:tcPr>
          <w:p w14:paraId="59D055D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(1.417)</w:t>
            </w:r>
          </w:p>
        </w:tc>
      </w:tr>
      <w:tr w:rsidR="00B051E5" w:rsidRPr="00B051E5" w14:paraId="49EDD7B5" w14:textId="77777777" w:rsidTr="00195944">
        <w:trPr>
          <w:trHeight w:val="269"/>
        </w:trPr>
        <w:tc>
          <w:tcPr>
            <w:tcW w:w="1702" w:type="dxa"/>
            <w:tcBorders>
              <w:top w:val="nil"/>
              <w:left w:val="nil"/>
              <w:bottom w:val="nil"/>
            </w:tcBorders>
          </w:tcPr>
          <w:p w14:paraId="5FA80FF8"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BSIZE</w:t>
            </w:r>
          </w:p>
        </w:tc>
        <w:tc>
          <w:tcPr>
            <w:tcW w:w="567" w:type="dxa"/>
            <w:tcBorders>
              <w:top w:val="nil"/>
              <w:bottom w:val="nil"/>
              <w:right w:val="nil"/>
            </w:tcBorders>
          </w:tcPr>
          <w:p w14:paraId="4D7983E5"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49C5CA1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0.004</w:t>
            </w:r>
          </w:p>
        </w:tc>
        <w:tc>
          <w:tcPr>
            <w:tcW w:w="992" w:type="dxa"/>
            <w:tcBorders>
              <w:top w:val="nil"/>
              <w:left w:val="nil"/>
              <w:bottom w:val="nil"/>
              <w:right w:val="nil"/>
            </w:tcBorders>
          </w:tcPr>
          <w:p w14:paraId="43E7F09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-0.033</w:t>
            </w:r>
          </w:p>
        </w:tc>
        <w:tc>
          <w:tcPr>
            <w:tcW w:w="993" w:type="dxa"/>
            <w:tcBorders>
              <w:top w:val="nil"/>
              <w:left w:val="nil"/>
              <w:bottom w:val="nil"/>
              <w:right w:val="nil"/>
            </w:tcBorders>
          </w:tcPr>
          <w:p w14:paraId="3406795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-0.033</w:t>
            </w:r>
          </w:p>
        </w:tc>
        <w:tc>
          <w:tcPr>
            <w:tcW w:w="1417" w:type="dxa"/>
            <w:gridSpan w:val="2"/>
            <w:tcBorders>
              <w:top w:val="nil"/>
              <w:left w:val="nil"/>
              <w:bottom w:val="nil"/>
              <w:right w:val="nil"/>
            </w:tcBorders>
          </w:tcPr>
          <w:p w14:paraId="776A1BA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-0.029</w:t>
            </w:r>
          </w:p>
        </w:tc>
        <w:tc>
          <w:tcPr>
            <w:tcW w:w="992" w:type="dxa"/>
            <w:tcBorders>
              <w:top w:val="nil"/>
              <w:left w:val="nil"/>
              <w:bottom w:val="nil"/>
              <w:right w:val="nil"/>
            </w:tcBorders>
          </w:tcPr>
          <w:p w14:paraId="3CB3CB1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0.011</w:t>
            </w:r>
          </w:p>
        </w:tc>
        <w:tc>
          <w:tcPr>
            <w:tcW w:w="993" w:type="dxa"/>
            <w:tcBorders>
              <w:top w:val="nil"/>
              <w:left w:val="nil"/>
              <w:bottom w:val="nil"/>
              <w:right w:val="nil"/>
            </w:tcBorders>
          </w:tcPr>
          <w:p w14:paraId="5882B06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0.016</w:t>
            </w:r>
          </w:p>
        </w:tc>
        <w:tc>
          <w:tcPr>
            <w:tcW w:w="992" w:type="dxa"/>
            <w:tcBorders>
              <w:top w:val="nil"/>
              <w:left w:val="nil"/>
              <w:bottom w:val="nil"/>
              <w:right w:val="nil"/>
            </w:tcBorders>
          </w:tcPr>
          <w:p w14:paraId="28B56B9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0.016</w:t>
            </w:r>
          </w:p>
        </w:tc>
        <w:tc>
          <w:tcPr>
            <w:tcW w:w="1559" w:type="dxa"/>
            <w:gridSpan w:val="2"/>
            <w:tcBorders>
              <w:top w:val="nil"/>
              <w:left w:val="nil"/>
              <w:bottom w:val="nil"/>
            </w:tcBorders>
          </w:tcPr>
          <w:p w14:paraId="52ECEDA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0.016</w:t>
            </w:r>
          </w:p>
        </w:tc>
        <w:tc>
          <w:tcPr>
            <w:tcW w:w="1134" w:type="dxa"/>
            <w:tcBorders>
              <w:top w:val="nil"/>
              <w:bottom w:val="nil"/>
            </w:tcBorders>
          </w:tcPr>
          <w:p w14:paraId="6665CDD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w:t>
            </w:r>
          </w:p>
        </w:tc>
        <w:tc>
          <w:tcPr>
            <w:tcW w:w="1134" w:type="dxa"/>
            <w:tcBorders>
              <w:top w:val="nil"/>
              <w:bottom w:val="nil"/>
            </w:tcBorders>
          </w:tcPr>
          <w:p w14:paraId="6A95ED4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-0.02</w:t>
            </w:r>
          </w:p>
        </w:tc>
        <w:tc>
          <w:tcPr>
            <w:tcW w:w="1134" w:type="dxa"/>
            <w:tcBorders>
              <w:top w:val="nil"/>
              <w:left w:val="nil"/>
              <w:bottom w:val="nil"/>
            </w:tcBorders>
          </w:tcPr>
          <w:p w14:paraId="14BD47B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-0.02</w:t>
            </w:r>
          </w:p>
        </w:tc>
        <w:tc>
          <w:tcPr>
            <w:tcW w:w="1276" w:type="dxa"/>
            <w:tcBorders>
              <w:top w:val="nil"/>
              <w:left w:val="nil"/>
              <w:bottom w:val="nil"/>
              <w:right w:val="nil"/>
            </w:tcBorders>
          </w:tcPr>
          <w:p w14:paraId="3C7404E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-0.016</w:t>
            </w:r>
          </w:p>
        </w:tc>
      </w:tr>
      <w:tr w:rsidR="00B051E5" w:rsidRPr="00B051E5" w14:paraId="5D7BEF53" w14:textId="77777777" w:rsidTr="00195944">
        <w:trPr>
          <w:trHeight w:val="269"/>
        </w:trPr>
        <w:tc>
          <w:tcPr>
            <w:tcW w:w="1702" w:type="dxa"/>
            <w:tcBorders>
              <w:top w:val="nil"/>
              <w:left w:val="nil"/>
              <w:bottom w:val="nil"/>
            </w:tcBorders>
          </w:tcPr>
          <w:p w14:paraId="44790BE7"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72CA6BE4"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5A99F4E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(0.022)</w:t>
            </w:r>
          </w:p>
        </w:tc>
        <w:tc>
          <w:tcPr>
            <w:tcW w:w="992" w:type="dxa"/>
            <w:tcBorders>
              <w:top w:val="nil"/>
              <w:left w:val="nil"/>
              <w:bottom w:val="nil"/>
              <w:right w:val="nil"/>
            </w:tcBorders>
          </w:tcPr>
          <w:p w14:paraId="5F550B1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(-0.211)</w:t>
            </w:r>
          </w:p>
        </w:tc>
        <w:tc>
          <w:tcPr>
            <w:tcW w:w="993" w:type="dxa"/>
            <w:tcBorders>
              <w:top w:val="nil"/>
              <w:left w:val="nil"/>
              <w:bottom w:val="nil"/>
              <w:right w:val="nil"/>
            </w:tcBorders>
          </w:tcPr>
          <w:p w14:paraId="5C988FD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(-0.211)</w:t>
            </w:r>
          </w:p>
        </w:tc>
        <w:tc>
          <w:tcPr>
            <w:tcW w:w="1417" w:type="dxa"/>
            <w:gridSpan w:val="2"/>
            <w:tcBorders>
              <w:top w:val="nil"/>
              <w:left w:val="nil"/>
              <w:bottom w:val="nil"/>
              <w:right w:val="nil"/>
            </w:tcBorders>
          </w:tcPr>
          <w:p w14:paraId="63D3BE7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(-0.181)</w:t>
            </w:r>
          </w:p>
        </w:tc>
        <w:tc>
          <w:tcPr>
            <w:tcW w:w="992" w:type="dxa"/>
            <w:tcBorders>
              <w:top w:val="nil"/>
              <w:left w:val="nil"/>
              <w:bottom w:val="nil"/>
              <w:right w:val="nil"/>
            </w:tcBorders>
          </w:tcPr>
          <w:p w14:paraId="4D3EC96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(0.067)</w:t>
            </w:r>
          </w:p>
        </w:tc>
        <w:tc>
          <w:tcPr>
            <w:tcW w:w="993" w:type="dxa"/>
            <w:tcBorders>
              <w:top w:val="nil"/>
              <w:left w:val="nil"/>
              <w:bottom w:val="nil"/>
              <w:right w:val="nil"/>
            </w:tcBorders>
          </w:tcPr>
          <w:p w14:paraId="7CC0422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(0.097)</w:t>
            </w:r>
          </w:p>
        </w:tc>
        <w:tc>
          <w:tcPr>
            <w:tcW w:w="992" w:type="dxa"/>
            <w:tcBorders>
              <w:top w:val="nil"/>
              <w:left w:val="nil"/>
              <w:bottom w:val="nil"/>
              <w:right w:val="nil"/>
            </w:tcBorders>
          </w:tcPr>
          <w:p w14:paraId="76B71A6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(0.097)</w:t>
            </w:r>
          </w:p>
        </w:tc>
        <w:tc>
          <w:tcPr>
            <w:tcW w:w="1559" w:type="dxa"/>
            <w:gridSpan w:val="2"/>
            <w:tcBorders>
              <w:top w:val="nil"/>
              <w:left w:val="nil"/>
              <w:bottom w:val="nil"/>
            </w:tcBorders>
          </w:tcPr>
          <w:p w14:paraId="697BBBE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(0.095)</w:t>
            </w:r>
          </w:p>
        </w:tc>
        <w:tc>
          <w:tcPr>
            <w:tcW w:w="1134" w:type="dxa"/>
            <w:tcBorders>
              <w:top w:val="nil"/>
              <w:bottom w:val="nil"/>
            </w:tcBorders>
          </w:tcPr>
          <w:p w14:paraId="4AE45D7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(-0.285)</w:t>
            </w:r>
          </w:p>
        </w:tc>
        <w:tc>
          <w:tcPr>
            <w:tcW w:w="1134" w:type="dxa"/>
            <w:tcBorders>
              <w:top w:val="nil"/>
              <w:bottom w:val="nil"/>
            </w:tcBorders>
          </w:tcPr>
          <w:p w14:paraId="35E2823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(-0.192)</w:t>
            </w:r>
          </w:p>
        </w:tc>
        <w:tc>
          <w:tcPr>
            <w:tcW w:w="1134" w:type="dxa"/>
            <w:tcBorders>
              <w:top w:val="nil"/>
              <w:left w:val="nil"/>
              <w:bottom w:val="nil"/>
            </w:tcBorders>
          </w:tcPr>
          <w:p w14:paraId="4DA92AC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(-0.192)</w:t>
            </w:r>
          </w:p>
        </w:tc>
        <w:tc>
          <w:tcPr>
            <w:tcW w:w="1276" w:type="dxa"/>
            <w:tcBorders>
              <w:top w:val="nil"/>
              <w:left w:val="nil"/>
              <w:bottom w:val="nil"/>
              <w:right w:val="nil"/>
            </w:tcBorders>
          </w:tcPr>
          <w:p w14:paraId="6DD9F43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(-0.150)</w:t>
            </w:r>
          </w:p>
        </w:tc>
      </w:tr>
      <w:tr w:rsidR="00B051E5" w:rsidRPr="00B051E5" w14:paraId="023BF1D3" w14:textId="77777777" w:rsidTr="00195944">
        <w:trPr>
          <w:trHeight w:val="269"/>
        </w:trPr>
        <w:tc>
          <w:tcPr>
            <w:tcW w:w="1702" w:type="dxa"/>
            <w:tcBorders>
              <w:top w:val="nil"/>
              <w:left w:val="nil"/>
              <w:bottom w:val="nil"/>
            </w:tcBorders>
          </w:tcPr>
          <w:p w14:paraId="76992648"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t xml:space="preserve">BINDP </w:t>
            </w:r>
          </w:p>
        </w:tc>
        <w:tc>
          <w:tcPr>
            <w:tcW w:w="567" w:type="dxa"/>
            <w:tcBorders>
              <w:top w:val="nil"/>
              <w:bottom w:val="nil"/>
              <w:right w:val="nil"/>
            </w:tcBorders>
          </w:tcPr>
          <w:p w14:paraId="6C5E7DE8"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001120E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0.392**</w:t>
            </w:r>
          </w:p>
        </w:tc>
        <w:tc>
          <w:tcPr>
            <w:tcW w:w="992" w:type="dxa"/>
            <w:tcBorders>
              <w:top w:val="nil"/>
              <w:left w:val="nil"/>
              <w:bottom w:val="nil"/>
              <w:right w:val="nil"/>
            </w:tcBorders>
          </w:tcPr>
          <w:p w14:paraId="2C27D58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0.197</w:t>
            </w:r>
          </w:p>
        </w:tc>
        <w:tc>
          <w:tcPr>
            <w:tcW w:w="993" w:type="dxa"/>
            <w:tcBorders>
              <w:top w:val="nil"/>
              <w:left w:val="nil"/>
              <w:bottom w:val="nil"/>
              <w:right w:val="nil"/>
            </w:tcBorders>
          </w:tcPr>
          <w:p w14:paraId="0F37317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0.197</w:t>
            </w:r>
          </w:p>
        </w:tc>
        <w:tc>
          <w:tcPr>
            <w:tcW w:w="1417" w:type="dxa"/>
            <w:gridSpan w:val="2"/>
            <w:tcBorders>
              <w:top w:val="nil"/>
              <w:left w:val="nil"/>
              <w:bottom w:val="nil"/>
              <w:right w:val="nil"/>
            </w:tcBorders>
          </w:tcPr>
          <w:p w14:paraId="5371D47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0.196</w:t>
            </w:r>
          </w:p>
        </w:tc>
        <w:tc>
          <w:tcPr>
            <w:tcW w:w="992" w:type="dxa"/>
            <w:tcBorders>
              <w:top w:val="nil"/>
              <w:left w:val="nil"/>
              <w:bottom w:val="nil"/>
              <w:right w:val="nil"/>
            </w:tcBorders>
          </w:tcPr>
          <w:p w14:paraId="50F1779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-0.32</w:t>
            </w:r>
          </w:p>
        </w:tc>
        <w:tc>
          <w:tcPr>
            <w:tcW w:w="993" w:type="dxa"/>
            <w:tcBorders>
              <w:top w:val="nil"/>
              <w:left w:val="nil"/>
              <w:bottom w:val="nil"/>
              <w:right w:val="nil"/>
            </w:tcBorders>
          </w:tcPr>
          <w:p w14:paraId="5A8657F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-0.323</w:t>
            </w:r>
          </w:p>
        </w:tc>
        <w:tc>
          <w:tcPr>
            <w:tcW w:w="992" w:type="dxa"/>
            <w:tcBorders>
              <w:top w:val="nil"/>
              <w:left w:val="nil"/>
              <w:bottom w:val="nil"/>
              <w:right w:val="nil"/>
            </w:tcBorders>
          </w:tcPr>
          <w:p w14:paraId="6EEA673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-0.323</w:t>
            </w:r>
          </w:p>
        </w:tc>
        <w:tc>
          <w:tcPr>
            <w:tcW w:w="1559" w:type="dxa"/>
            <w:gridSpan w:val="2"/>
            <w:tcBorders>
              <w:top w:val="nil"/>
              <w:left w:val="nil"/>
              <w:bottom w:val="nil"/>
            </w:tcBorders>
          </w:tcPr>
          <w:p w14:paraId="31868EC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-0.325</w:t>
            </w:r>
          </w:p>
        </w:tc>
        <w:tc>
          <w:tcPr>
            <w:tcW w:w="1134" w:type="dxa"/>
            <w:tcBorders>
              <w:top w:val="nil"/>
              <w:bottom w:val="nil"/>
            </w:tcBorders>
          </w:tcPr>
          <w:p w14:paraId="12216F5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-0.18</w:t>
            </w:r>
          </w:p>
        </w:tc>
        <w:tc>
          <w:tcPr>
            <w:tcW w:w="1134" w:type="dxa"/>
            <w:tcBorders>
              <w:top w:val="nil"/>
              <w:bottom w:val="nil"/>
            </w:tcBorders>
          </w:tcPr>
          <w:p w14:paraId="27B95C2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-0.173</w:t>
            </w:r>
          </w:p>
        </w:tc>
        <w:tc>
          <w:tcPr>
            <w:tcW w:w="1134" w:type="dxa"/>
            <w:tcBorders>
              <w:top w:val="nil"/>
              <w:left w:val="nil"/>
              <w:bottom w:val="nil"/>
            </w:tcBorders>
          </w:tcPr>
          <w:p w14:paraId="0D10640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-0.173</w:t>
            </w:r>
          </w:p>
        </w:tc>
        <w:tc>
          <w:tcPr>
            <w:tcW w:w="1276" w:type="dxa"/>
            <w:tcBorders>
              <w:top w:val="nil"/>
              <w:left w:val="nil"/>
              <w:bottom w:val="nil"/>
              <w:right w:val="nil"/>
            </w:tcBorders>
          </w:tcPr>
          <w:p w14:paraId="48DA856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-0.167</w:t>
            </w:r>
          </w:p>
        </w:tc>
      </w:tr>
      <w:tr w:rsidR="00B051E5" w:rsidRPr="00B051E5" w14:paraId="7B36E74D" w14:textId="77777777" w:rsidTr="00195944">
        <w:trPr>
          <w:trHeight w:val="269"/>
        </w:trPr>
        <w:tc>
          <w:tcPr>
            <w:tcW w:w="1702" w:type="dxa"/>
            <w:tcBorders>
              <w:top w:val="nil"/>
              <w:left w:val="nil"/>
              <w:bottom w:val="nil"/>
            </w:tcBorders>
          </w:tcPr>
          <w:p w14:paraId="50B8CA5F"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5C388A7C"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p>
        </w:tc>
        <w:tc>
          <w:tcPr>
            <w:tcW w:w="992" w:type="dxa"/>
            <w:tcBorders>
              <w:top w:val="nil"/>
              <w:left w:val="nil"/>
              <w:bottom w:val="nil"/>
              <w:right w:val="nil"/>
            </w:tcBorders>
          </w:tcPr>
          <w:p w14:paraId="00259E1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(2.226)</w:t>
            </w:r>
          </w:p>
        </w:tc>
        <w:tc>
          <w:tcPr>
            <w:tcW w:w="992" w:type="dxa"/>
            <w:tcBorders>
              <w:top w:val="nil"/>
              <w:left w:val="nil"/>
              <w:bottom w:val="nil"/>
              <w:right w:val="nil"/>
            </w:tcBorders>
          </w:tcPr>
          <w:p w14:paraId="3E2E0F6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(1.102)</w:t>
            </w:r>
          </w:p>
        </w:tc>
        <w:tc>
          <w:tcPr>
            <w:tcW w:w="993" w:type="dxa"/>
            <w:tcBorders>
              <w:top w:val="nil"/>
              <w:left w:val="nil"/>
              <w:bottom w:val="nil"/>
              <w:right w:val="nil"/>
            </w:tcBorders>
          </w:tcPr>
          <w:p w14:paraId="0810B2D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(1.102)</w:t>
            </w:r>
          </w:p>
        </w:tc>
        <w:tc>
          <w:tcPr>
            <w:tcW w:w="1417" w:type="dxa"/>
            <w:gridSpan w:val="2"/>
            <w:tcBorders>
              <w:top w:val="nil"/>
              <w:left w:val="nil"/>
              <w:bottom w:val="nil"/>
              <w:right w:val="nil"/>
            </w:tcBorders>
          </w:tcPr>
          <w:p w14:paraId="03AA9A1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(1.091)</w:t>
            </w:r>
          </w:p>
        </w:tc>
        <w:tc>
          <w:tcPr>
            <w:tcW w:w="992" w:type="dxa"/>
            <w:tcBorders>
              <w:top w:val="nil"/>
              <w:left w:val="nil"/>
              <w:bottom w:val="nil"/>
              <w:right w:val="nil"/>
            </w:tcBorders>
          </w:tcPr>
          <w:p w14:paraId="42E6E52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(-1.126)</w:t>
            </w:r>
          </w:p>
        </w:tc>
        <w:tc>
          <w:tcPr>
            <w:tcW w:w="993" w:type="dxa"/>
            <w:tcBorders>
              <w:top w:val="nil"/>
              <w:left w:val="nil"/>
              <w:bottom w:val="nil"/>
              <w:right w:val="nil"/>
            </w:tcBorders>
          </w:tcPr>
          <w:p w14:paraId="2EF135B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(-1.149)</w:t>
            </w:r>
          </w:p>
        </w:tc>
        <w:tc>
          <w:tcPr>
            <w:tcW w:w="992" w:type="dxa"/>
            <w:tcBorders>
              <w:top w:val="nil"/>
              <w:left w:val="nil"/>
              <w:bottom w:val="nil"/>
              <w:right w:val="nil"/>
            </w:tcBorders>
          </w:tcPr>
          <w:p w14:paraId="76A5E08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(-1.149)</w:t>
            </w:r>
          </w:p>
        </w:tc>
        <w:tc>
          <w:tcPr>
            <w:tcW w:w="1559" w:type="dxa"/>
            <w:gridSpan w:val="2"/>
            <w:tcBorders>
              <w:top w:val="nil"/>
              <w:left w:val="nil"/>
              <w:bottom w:val="nil"/>
            </w:tcBorders>
          </w:tcPr>
          <w:p w14:paraId="54A3865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(-1.145)</w:t>
            </w:r>
          </w:p>
        </w:tc>
        <w:tc>
          <w:tcPr>
            <w:tcW w:w="1134" w:type="dxa"/>
            <w:tcBorders>
              <w:top w:val="nil"/>
              <w:bottom w:val="nil"/>
            </w:tcBorders>
          </w:tcPr>
          <w:p w14:paraId="206595A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(-1.086)</w:t>
            </w:r>
          </w:p>
        </w:tc>
        <w:tc>
          <w:tcPr>
            <w:tcW w:w="1134" w:type="dxa"/>
            <w:tcBorders>
              <w:top w:val="nil"/>
              <w:bottom w:val="nil"/>
            </w:tcBorders>
          </w:tcPr>
          <w:p w14:paraId="742A8CD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(-1.047)</w:t>
            </w:r>
          </w:p>
        </w:tc>
        <w:tc>
          <w:tcPr>
            <w:tcW w:w="1134" w:type="dxa"/>
            <w:tcBorders>
              <w:top w:val="nil"/>
              <w:left w:val="nil"/>
              <w:bottom w:val="nil"/>
            </w:tcBorders>
          </w:tcPr>
          <w:p w14:paraId="1F6A134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(-1.047)</w:t>
            </w:r>
          </w:p>
        </w:tc>
        <w:tc>
          <w:tcPr>
            <w:tcW w:w="1276" w:type="dxa"/>
            <w:tcBorders>
              <w:top w:val="nil"/>
              <w:left w:val="nil"/>
              <w:bottom w:val="nil"/>
              <w:right w:val="nil"/>
            </w:tcBorders>
          </w:tcPr>
          <w:p w14:paraId="4371AE4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(-1.013)</w:t>
            </w:r>
          </w:p>
        </w:tc>
      </w:tr>
      <w:tr w:rsidR="00B051E5" w:rsidRPr="00B051E5" w14:paraId="4985B713" w14:textId="77777777" w:rsidTr="00195944">
        <w:trPr>
          <w:trHeight w:val="269"/>
        </w:trPr>
        <w:tc>
          <w:tcPr>
            <w:tcW w:w="1702" w:type="dxa"/>
            <w:tcBorders>
              <w:top w:val="nil"/>
              <w:left w:val="nil"/>
              <w:bottom w:val="nil"/>
            </w:tcBorders>
          </w:tcPr>
          <w:p w14:paraId="04546033"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iCs/>
                <w:color w:val="000000" w:themeColor="text1"/>
                <w:sz w:val="20"/>
                <w:szCs w:val="20"/>
              </w:rPr>
              <w:lastRenderedPageBreak/>
              <w:t>CHSHAR</w:t>
            </w:r>
          </w:p>
        </w:tc>
        <w:tc>
          <w:tcPr>
            <w:tcW w:w="567" w:type="dxa"/>
            <w:tcBorders>
              <w:top w:val="nil"/>
              <w:bottom w:val="nil"/>
              <w:right w:val="nil"/>
            </w:tcBorders>
          </w:tcPr>
          <w:p w14:paraId="33FB354F"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4738D4B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c>
          <w:tcPr>
            <w:tcW w:w="992" w:type="dxa"/>
            <w:tcBorders>
              <w:top w:val="nil"/>
              <w:left w:val="nil"/>
              <w:bottom w:val="nil"/>
              <w:right w:val="nil"/>
            </w:tcBorders>
          </w:tcPr>
          <w:p w14:paraId="6A445E9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c>
          <w:tcPr>
            <w:tcW w:w="993" w:type="dxa"/>
            <w:tcBorders>
              <w:top w:val="nil"/>
              <w:left w:val="nil"/>
              <w:bottom w:val="nil"/>
              <w:right w:val="nil"/>
            </w:tcBorders>
          </w:tcPr>
          <w:p w14:paraId="5BEDD45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c>
          <w:tcPr>
            <w:tcW w:w="1417" w:type="dxa"/>
            <w:gridSpan w:val="2"/>
            <w:tcBorders>
              <w:top w:val="nil"/>
              <w:left w:val="nil"/>
              <w:bottom w:val="nil"/>
              <w:right w:val="nil"/>
            </w:tcBorders>
          </w:tcPr>
          <w:p w14:paraId="4DF7253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c>
          <w:tcPr>
            <w:tcW w:w="992" w:type="dxa"/>
            <w:tcBorders>
              <w:top w:val="nil"/>
              <w:left w:val="nil"/>
              <w:bottom w:val="nil"/>
              <w:right w:val="nil"/>
            </w:tcBorders>
          </w:tcPr>
          <w:p w14:paraId="1D5C214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993" w:type="dxa"/>
            <w:tcBorders>
              <w:top w:val="nil"/>
              <w:left w:val="nil"/>
              <w:bottom w:val="nil"/>
              <w:right w:val="nil"/>
            </w:tcBorders>
          </w:tcPr>
          <w:p w14:paraId="72764AC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992" w:type="dxa"/>
            <w:tcBorders>
              <w:top w:val="nil"/>
              <w:left w:val="nil"/>
              <w:bottom w:val="nil"/>
              <w:right w:val="nil"/>
            </w:tcBorders>
          </w:tcPr>
          <w:p w14:paraId="3F1FC34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1559" w:type="dxa"/>
            <w:gridSpan w:val="2"/>
            <w:tcBorders>
              <w:top w:val="nil"/>
              <w:left w:val="nil"/>
              <w:bottom w:val="nil"/>
            </w:tcBorders>
          </w:tcPr>
          <w:p w14:paraId="4092845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0.001</w:t>
            </w:r>
          </w:p>
        </w:tc>
        <w:tc>
          <w:tcPr>
            <w:tcW w:w="1134" w:type="dxa"/>
            <w:tcBorders>
              <w:top w:val="nil"/>
              <w:bottom w:val="nil"/>
            </w:tcBorders>
          </w:tcPr>
          <w:p w14:paraId="4FEB840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c>
          <w:tcPr>
            <w:tcW w:w="1134" w:type="dxa"/>
            <w:tcBorders>
              <w:top w:val="nil"/>
              <w:bottom w:val="nil"/>
            </w:tcBorders>
          </w:tcPr>
          <w:p w14:paraId="1935B20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c>
          <w:tcPr>
            <w:tcW w:w="1134" w:type="dxa"/>
            <w:tcBorders>
              <w:top w:val="nil"/>
              <w:left w:val="nil"/>
              <w:bottom w:val="nil"/>
            </w:tcBorders>
          </w:tcPr>
          <w:p w14:paraId="3BFB7F1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c>
          <w:tcPr>
            <w:tcW w:w="1276" w:type="dxa"/>
            <w:tcBorders>
              <w:top w:val="nil"/>
              <w:left w:val="nil"/>
              <w:bottom w:val="nil"/>
              <w:right w:val="nil"/>
            </w:tcBorders>
          </w:tcPr>
          <w:p w14:paraId="3A46CF2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-0.006***</w:t>
            </w:r>
          </w:p>
        </w:tc>
      </w:tr>
      <w:tr w:rsidR="00B051E5" w:rsidRPr="00B051E5" w14:paraId="5A035F32" w14:textId="77777777" w:rsidTr="00195944">
        <w:trPr>
          <w:trHeight w:val="269"/>
        </w:trPr>
        <w:tc>
          <w:tcPr>
            <w:tcW w:w="1702" w:type="dxa"/>
            <w:tcBorders>
              <w:top w:val="nil"/>
              <w:left w:val="nil"/>
              <w:bottom w:val="nil"/>
            </w:tcBorders>
          </w:tcPr>
          <w:p w14:paraId="29CD3EAD"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p>
        </w:tc>
        <w:tc>
          <w:tcPr>
            <w:tcW w:w="567" w:type="dxa"/>
            <w:tcBorders>
              <w:top w:val="nil"/>
              <w:bottom w:val="nil"/>
              <w:right w:val="nil"/>
            </w:tcBorders>
          </w:tcPr>
          <w:p w14:paraId="41EA467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992" w:type="dxa"/>
            <w:tcBorders>
              <w:top w:val="nil"/>
              <w:left w:val="nil"/>
              <w:bottom w:val="nil"/>
              <w:right w:val="nil"/>
            </w:tcBorders>
          </w:tcPr>
          <w:p w14:paraId="539E385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(-2.181)</w:t>
            </w:r>
          </w:p>
        </w:tc>
        <w:tc>
          <w:tcPr>
            <w:tcW w:w="992" w:type="dxa"/>
            <w:tcBorders>
              <w:top w:val="nil"/>
              <w:left w:val="nil"/>
              <w:bottom w:val="nil"/>
              <w:right w:val="nil"/>
            </w:tcBorders>
          </w:tcPr>
          <w:p w14:paraId="77E45E2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(-2.196)</w:t>
            </w:r>
          </w:p>
        </w:tc>
        <w:tc>
          <w:tcPr>
            <w:tcW w:w="993" w:type="dxa"/>
            <w:tcBorders>
              <w:top w:val="nil"/>
              <w:left w:val="nil"/>
              <w:bottom w:val="nil"/>
              <w:right w:val="nil"/>
            </w:tcBorders>
          </w:tcPr>
          <w:p w14:paraId="0EFC3A3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(-2.196)</w:t>
            </w:r>
          </w:p>
        </w:tc>
        <w:tc>
          <w:tcPr>
            <w:tcW w:w="1417" w:type="dxa"/>
            <w:gridSpan w:val="2"/>
            <w:tcBorders>
              <w:top w:val="nil"/>
              <w:left w:val="nil"/>
              <w:bottom w:val="nil"/>
              <w:right w:val="nil"/>
            </w:tcBorders>
          </w:tcPr>
          <w:p w14:paraId="7D51E6D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(-2.207)</w:t>
            </w:r>
          </w:p>
        </w:tc>
        <w:tc>
          <w:tcPr>
            <w:tcW w:w="992" w:type="dxa"/>
            <w:tcBorders>
              <w:top w:val="nil"/>
              <w:left w:val="nil"/>
              <w:bottom w:val="nil"/>
              <w:right w:val="nil"/>
            </w:tcBorders>
          </w:tcPr>
          <w:p w14:paraId="4A11629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(-0.108)</w:t>
            </w:r>
          </w:p>
        </w:tc>
        <w:tc>
          <w:tcPr>
            <w:tcW w:w="993" w:type="dxa"/>
            <w:tcBorders>
              <w:top w:val="nil"/>
              <w:left w:val="nil"/>
              <w:bottom w:val="nil"/>
              <w:right w:val="nil"/>
            </w:tcBorders>
          </w:tcPr>
          <w:p w14:paraId="17FFA28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(-0.094)</w:t>
            </w:r>
          </w:p>
        </w:tc>
        <w:tc>
          <w:tcPr>
            <w:tcW w:w="992" w:type="dxa"/>
            <w:tcBorders>
              <w:top w:val="nil"/>
              <w:left w:val="nil"/>
              <w:bottom w:val="nil"/>
              <w:right w:val="nil"/>
            </w:tcBorders>
          </w:tcPr>
          <w:p w14:paraId="450A076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(-0.094)</w:t>
            </w:r>
          </w:p>
        </w:tc>
        <w:tc>
          <w:tcPr>
            <w:tcW w:w="1559" w:type="dxa"/>
            <w:gridSpan w:val="2"/>
            <w:tcBorders>
              <w:top w:val="nil"/>
              <w:left w:val="nil"/>
              <w:bottom w:val="nil"/>
            </w:tcBorders>
          </w:tcPr>
          <w:p w14:paraId="2CCBD54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(-0.088)</w:t>
            </w:r>
          </w:p>
        </w:tc>
        <w:tc>
          <w:tcPr>
            <w:tcW w:w="1134" w:type="dxa"/>
            <w:tcBorders>
              <w:top w:val="nil"/>
              <w:bottom w:val="nil"/>
            </w:tcBorders>
          </w:tcPr>
          <w:p w14:paraId="22C13E1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(-3.223)</w:t>
            </w:r>
          </w:p>
        </w:tc>
        <w:tc>
          <w:tcPr>
            <w:tcW w:w="1134" w:type="dxa"/>
            <w:tcBorders>
              <w:top w:val="nil"/>
              <w:bottom w:val="nil"/>
            </w:tcBorders>
          </w:tcPr>
          <w:p w14:paraId="6A76B3A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(-3.248)</w:t>
            </w:r>
          </w:p>
        </w:tc>
        <w:tc>
          <w:tcPr>
            <w:tcW w:w="1134" w:type="dxa"/>
            <w:tcBorders>
              <w:top w:val="nil"/>
              <w:left w:val="nil"/>
              <w:bottom w:val="nil"/>
            </w:tcBorders>
          </w:tcPr>
          <w:p w14:paraId="66D7886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(-3.248)</w:t>
            </w:r>
          </w:p>
        </w:tc>
        <w:tc>
          <w:tcPr>
            <w:tcW w:w="1276" w:type="dxa"/>
            <w:tcBorders>
              <w:top w:val="nil"/>
              <w:left w:val="nil"/>
              <w:bottom w:val="nil"/>
              <w:right w:val="nil"/>
            </w:tcBorders>
          </w:tcPr>
          <w:p w14:paraId="7597C23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(-3.239)</w:t>
            </w:r>
          </w:p>
        </w:tc>
      </w:tr>
      <w:tr w:rsidR="00B051E5" w:rsidRPr="00B051E5" w14:paraId="01E37CB6" w14:textId="77777777" w:rsidTr="00195944">
        <w:trPr>
          <w:trHeight w:val="269"/>
        </w:trPr>
        <w:tc>
          <w:tcPr>
            <w:tcW w:w="1702" w:type="dxa"/>
            <w:tcBorders>
              <w:top w:val="nil"/>
              <w:left w:val="nil"/>
              <w:bottom w:val="nil"/>
            </w:tcBorders>
          </w:tcPr>
          <w:p w14:paraId="4E67F47A" w14:textId="77777777" w:rsidR="00C42CF0" w:rsidRPr="00B051E5" w:rsidRDefault="00C42CF0" w:rsidP="00C42CF0">
            <w:pPr>
              <w:widowControl w:val="0"/>
              <w:autoSpaceDE w:val="0"/>
              <w:autoSpaceDN w:val="0"/>
              <w:adjustRightInd w:val="0"/>
              <w:rPr>
                <w:rFonts w:ascii="Garamond" w:hAnsi="Garamond"/>
                <w:bCs/>
                <w:iCs/>
                <w:color w:val="000000" w:themeColor="text1"/>
                <w:sz w:val="20"/>
                <w:szCs w:val="20"/>
              </w:rPr>
            </w:pPr>
            <w:r w:rsidRPr="00B051E5">
              <w:rPr>
                <w:rFonts w:ascii="Garamond" w:hAnsi="Garamond"/>
                <w:bCs/>
                <w:color w:val="000000" w:themeColor="text1"/>
                <w:sz w:val="20"/>
                <w:szCs w:val="20"/>
              </w:rPr>
              <w:t>Intercept</w:t>
            </w:r>
          </w:p>
        </w:tc>
        <w:tc>
          <w:tcPr>
            <w:tcW w:w="567" w:type="dxa"/>
            <w:tcBorders>
              <w:top w:val="nil"/>
              <w:bottom w:val="nil"/>
              <w:right w:val="nil"/>
            </w:tcBorders>
          </w:tcPr>
          <w:p w14:paraId="051ADB11" w14:textId="77777777" w:rsidR="00C42CF0" w:rsidRPr="00B051E5" w:rsidRDefault="00C42CF0" w:rsidP="00C42CF0">
            <w:pPr>
              <w:widowControl w:val="0"/>
              <w:autoSpaceDE w:val="0"/>
              <w:autoSpaceDN w:val="0"/>
              <w:adjustRightInd w:val="0"/>
              <w:rPr>
                <w:rFonts w:ascii="Garamond" w:hAnsi="Garamond"/>
                <w:b/>
                <w:i/>
                <w:color w:val="000000" w:themeColor="text1"/>
                <w:sz w:val="20"/>
                <w:szCs w:val="20"/>
              </w:rPr>
            </w:pPr>
            <w:r w:rsidRPr="00B051E5">
              <w:rPr>
                <w:rFonts w:ascii="Garamond" w:hAnsi="Garamond"/>
                <w:color w:val="000000" w:themeColor="text1"/>
                <w:sz w:val="20"/>
                <w:szCs w:val="20"/>
              </w:rPr>
              <w:t>(?)</w:t>
            </w:r>
          </w:p>
        </w:tc>
        <w:tc>
          <w:tcPr>
            <w:tcW w:w="992" w:type="dxa"/>
            <w:tcBorders>
              <w:top w:val="nil"/>
              <w:left w:val="nil"/>
              <w:bottom w:val="nil"/>
              <w:right w:val="nil"/>
            </w:tcBorders>
          </w:tcPr>
          <w:p w14:paraId="7252E07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-2.289***</w:t>
            </w:r>
          </w:p>
        </w:tc>
        <w:tc>
          <w:tcPr>
            <w:tcW w:w="992" w:type="dxa"/>
            <w:tcBorders>
              <w:top w:val="nil"/>
              <w:left w:val="nil"/>
              <w:bottom w:val="nil"/>
              <w:right w:val="nil"/>
            </w:tcBorders>
          </w:tcPr>
          <w:p w14:paraId="707ACF8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-2.688***</w:t>
            </w:r>
          </w:p>
        </w:tc>
        <w:tc>
          <w:tcPr>
            <w:tcW w:w="993" w:type="dxa"/>
            <w:tcBorders>
              <w:top w:val="nil"/>
              <w:left w:val="nil"/>
              <w:bottom w:val="nil"/>
              <w:right w:val="nil"/>
            </w:tcBorders>
          </w:tcPr>
          <w:p w14:paraId="32798AF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-0.163</w:t>
            </w:r>
          </w:p>
        </w:tc>
        <w:tc>
          <w:tcPr>
            <w:tcW w:w="1417" w:type="dxa"/>
            <w:gridSpan w:val="2"/>
            <w:tcBorders>
              <w:top w:val="nil"/>
              <w:left w:val="nil"/>
              <w:bottom w:val="nil"/>
              <w:right w:val="nil"/>
            </w:tcBorders>
          </w:tcPr>
          <w:p w14:paraId="7BD54D3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-2.077***</w:t>
            </w:r>
          </w:p>
        </w:tc>
        <w:tc>
          <w:tcPr>
            <w:tcW w:w="992" w:type="dxa"/>
            <w:tcBorders>
              <w:top w:val="nil"/>
              <w:left w:val="nil"/>
              <w:bottom w:val="nil"/>
              <w:right w:val="nil"/>
            </w:tcBorders>
          </w:tcPr>
          <w:p w14:paraId="40FF4FB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-1.551*</w:t>
            </w:r>
          </w:p>
        </w:tc>
        <w:tc>
          <w:tcPr>
            <w:tcW w:w="993" w:type="dxa"/>
            <w:tcBorders>
              <w:top w:val="nil"/>
              <w:left w:val="nil"/>
              <w:bottom w:val="nil"/>
              <w:right w:val="nil"/>
            </w:tcBorders>
          </w:tcPr>
          <w:p w14:paraId="1DA2876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-1.483*</w:t>
            </w:r>
          </w:p>
        </w:tc>
        <w:tc>
          <w:tcPr>
            <w:tcW w:w="992" w:type="dxa"/>
            <w:tcBorders>
              <w:top w:val="nil"/>
              <w:left w:val="nil"/>
              <w:bottom w:val="nil"/>
              <w:right w:val="nil"/>
            </w:tcBorders>
          </w:tcPr>
          <w:p w14:paraId="7F309B4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-2.130*</w:t>
            </w:r>
          </w:p>
        </w:tc>
        <w:tc>
          <w:tcPr>
            <w:tcW w:w="1559" w:type="dxa"/>
            <w:gridSpan w:val="2"/>
            <w:tcBorders>
              <w:top w:val="nil"/>
              <w:left w:val="nil"/>
              <w:bottom w:val="nil"/>
            </w:tcBorders>
          </w:tcPr>
          <w:p w14:paraId="06C118F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-1.592*</w:t>
            </w:r>
          </w:p>
        </w:tc>
        <w:tc>
          <w:tcPr>
            <w:tcW w:w="1134" w:type="dxa"/>
            <w:tcBorders>
              <w:top w:val="nil"/>
              <w:bottom w:val="nil"/>
            </w:tcBorders>
          </w:tcPr>
          <w:p w14:paraId="38E72AB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0.418</w:t>
            </w:r>
          </w:p>
        </w:tc>
        <w:tc>
          <w:tcPr>
            <w:tcW w:w="1134" w:type="dxa"/>
            <w:tcBorders>
              <w:top w:val="nil"/>
              <w:bottom w:val="nil"/>
            </w:tcBorders>
          </w:tcPr>
          <w:p w14:paraId="175ECC22"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0.533</w:t>
            </w:r>
          </w:p>
        </w:tc>
        <w:tc>
          <w:tcPr>
            <w:tcW w:w="1134" w:type="dxa"/>
            <w:tcBorders>
              <w:top w:val="nil"/>
              <w:bottom w:val="nil"/>
            </w:tcBorders>
          </w:tcPr>
          <w:p w14:paraId="2AC9EE6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-0.039</w:t>
            </w:r>
          </w:p>
        </w:tc>
        <w:tc>
          <w:tcPr>
            <w:tcW w:w="1276" w:type="dxa"/>
            <w:tcBorders>
              <w:top w:val="nil"/>
              <w:left w:val="nil"/>
              <w:bottom w:val="nil"/>
              <w:right w:val="nil"/>
            </w:tcBorders>
          </w:tcPr>
          <w:p w14:paraId="1FCC764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0.417</w:t>
            </w:r>
          </w:p>
        </w:tc>
      </w:tr>
      <w:tr w:rsidR="00B051E5" w:rsidRPr="00B051E5" w14:paraId="475C9CB3" w14:textId="77777777" w:rsidTr="00195944">
        <w:trPr>
          <w:trHeight w:val="269"/>
        </w:trPr>
        <w:tc>
          <w:tcPr>
            <w:tcW w:w="1702" w:type="dxa"/>
            <w:tcBorders>
              <w:top w:val="nil"/>
              <w:left w:val="nil"/>
              <w:bottom w:val="nil"/>
            </w:tcBorders>
          </w:tcPr>
          <w:p w14:paraId="0F33F496"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567" w:type="dxa"/>
            <w:tcBorders>
              <w:top w:val="nil"/>
              <w:bottom w:val="nil"/>
              <w:right w:val="nil"/>
            </w:tcBorders>
          </w:tcPr>
          <w:p w14:paraId="573AE74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p>
        </w:tc>
        <w:tc>
          <w:tcPr>
            <w:tcW w:w="992" w:type="dxa"/>
            <w:tcBorders>
              <w:top w:val="nil"/>
              <w:left w:val="nil"/>
              <w:bottom w:val="nil"/>
              <w:right w:val="nil"/>
            </w:tcBorders>
          </w:tcPr>
          <w:p w14:paraId="09C65B0B"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(-3.439)</w:t>
            </w:r>
          </w:p>
        </w:tc>
        <w:tc>
          <w:tcPr>
            <w:tcW w:w="992" w:type="dxa"/>
            <w:tcBorders>
              <w:top w:val="nil"/>
              <w:left w:val="nil"/>
              <w:bottom w:val="nil"/>
              <w:right w:val="nil"/>
            </w:tcBorders>
          </w:tcPr>
          <w:p w14:paraId="199F71D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(-4.285)</w:t>
            </w:r>
          </w:p>
        </w:tc>
        <w:tc>
          <w:tcPr>
            <w:tcW w:w="993" w:type="dxa"/>
            <w:tcBorders>
              <w:top w:val="nil"/>
              <w:left w:val="nil"/>
              <w:bottom w:val="nil"/>
              <w:right w:val="nil"/>
            </w:tcBorders>
          </w:tcPr>
          <w:p w14:paraId="14DF0B77"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(-0.211)</w:t>
            </w:r>
          </w:p>
        </w:tc>
        <w:tc>
          <w:tcPr>
            <w:tcW w:w="1417" w:type="dxa"/>
            <w:gridSpan w:val="2"/>
            <w:tcBorders>
              <w:top w:val="nil"/>
              <w:left w:val="nil"/>
              <w:bottom w:val="nil"/>
              <w:right w:val="nil"/>
            </w:tcBorders>
          </w:tcPr>
          <w:p w14:paraId="4BC79D36"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(-3.177)</w:t>
            </w:r>
          </w:p>
        </w:tc>
        <w:tc>
          <w:tcPr>
            <w:tcW w:w="992" w:type="dxa"/>
            <w:tcBorders>
              <w:top w:val="nil"/>
              <w:left w:val="nil"/>
              <w:bottom w:val="nil"/>
              <w:right w:val="nil"/>
            </w:tcBorders>
          </w:tcPr>
          <w:p w14:paraId="43E6F74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(-1.926)</w:t>
            </w:r>
          </w:p>
        </w:tc>
        <w:tc>
          <w:tcPr>
            <w:tcW w:w="993" w:type="dxa"/>
            <w:tcBorders>
              <w:top w:val="nil"/>
              <w:left w:val="nil"/>
              <w:bottom w:val="nil"/>
              <w:right w:val="nil"/>
            </w:tcBorders>
          </w:tcPr>
          <w:p w14:paraId="0EAA719C"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(-1.926)</w:t>
            </w:r>
          </w:p>
        </w:tc>
        <w:tc>
          <w:tcPr>
            <w:tcW w:w="992" w:type="dxa"/>
            <w:tcBorders>
              <w:top w:val="nil"/>
              <w:left w:val="nil"/>
              <w:bottom w:val="nil"/>
              <w:right w:val="nil"/>
            </w:tcBorders>
          </w:tcPr>
          <w:p w14:paraId="3BD5345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(-1.852)</w:t>
            </w:r>
          </w:p>
        </w:tc>
        <w:tc>
          <w:tcPr>
            <w:tcW w:w="1559" w:type="dxa"/>
            <w:gridSpan w:val="2"/>
            <w:tcBorders>
              <w:top w:val="nil"/>
              <w:left w:val="nil"/>
              <w:bottom w:val="nil"/>
            </w:tcBorders>
          </w:tcPr>
          <w:p w14:paraId="7D455F5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(-1.954)</w:t>
            </w:r>
          </w:p>
        </w:tc>
        <w:tc>
          <w:tcPr>
            <w:tcW w:w="1134" w:type="dxa"/>
            <w:tcBorders>
              <w:top w:val="nil"/>
              <w:bottom w:val="nil"/>
            </w:tcBorders>
          </w:tcPr>
          <w:p w14:paraId="696885B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(0.884)</w:t>
            </w:r>
          </w:p>
        </w:tc>
        <w:tc>
          <w:tcPr>
            <w:tcW w:w="1134" w:type="dxa"/>
            <w:tcBorders>
              <w:top w:val="nil"/>
              <w:bottom w:val="nil"/>
            </w:tcBorders>
          </w:tcPr>
          <w:p w14:paraId="69DEC55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(1.119)</w:t>
            </w:r>
          </w:p>
        </w:tc>
        <w:tc>
          <w:tcPr>
            <w:tcW w:w="1134" w:type="dxa"/>
            <w:tcBorders>
              <w:top w:val="nil"/>
              <w:bottom w:val="nil"/>
            </w:tcBorders>
          </w:tcPr>
          <w:p w14:paraId="2244E70F"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(-0.061)</w:t>
            </w:r>
          </w:p>
        </w:tc>
        <w:tc>
          <w:tcPr>
            <w:tcW w:w="1276" w:type="dxa"/>
            <w:tcBorders>
              <w:top w:val="nil"/>
              <w:left w:val="nil"/>
              <w:bottom w:val="nil"/>
              <w:right w:val="nil"/>
            </w:tcBorders>
          </w:tcPr>
          <w:p w14:paraId="4860DF2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(0.882)</w:t>
            </w:r>
          </w:p>
        </w:tc>
      </w:tr>
      <w:tr w:rsidR="00B051E5" w:rsidRPr="00B051E5" w14:paraId="4E73064D" w14:textId="77777777" w:rsidTr="00195944">
        <w:trPr>
          <w:trHeight w:val="269"/>
        </w:trPr>
        <w:tc>
          <w:tcPr>
            <w:tcW w:w="2269" w:type="dxa"/>
            <w:gridSpan w:val="2"/>
            <w:tcBorders>
              <w:top w:val="nil"/>
              <w:left w:val="nil"/>
              <w:bottom w:val="nil"/>
              <w:right w:val="nil"/>
            </w:tcBorders>
          </w:tcPr>
          <w:p w14:paraId="46F4633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Industry-fixed effects</w:t>
            </w:r>
          </w:p>
        </w:tc>
        <w:tc>
          <w:tcPr>
            <w:tcW w:w="992" w:type="dxa"/>
            <w:tcBorders>
              <w:top w:val="nil"/>
              <w:left w:val="nil"/>
              <w:bottom w:val="nil"/>
              <w:right w:val="nil"/>
            </w:tcBorders>
          </w:tcPr>
          <w:p w14:paraId="288EBC7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992" w:type="dxa"/>
            <w:tcBorders>
              <w:top w:val="nil"/>
              <w:left w:val="nil"/>
              <w:bottom w:val="nil"/>
              <w:right w:val="nil"/>
            </w:tcBorders>
          </w:tcPr>
          <w:p w14:paraId="06E14E1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993" w:type="dxa"/>
            <w:tcBorders>
              <w:top w:val="nil"/>
              <w:left w:val="nil"/>
              <w:bottom w:val="nil"/>
              <w:right w:val="nil"/>
            </w:tcBorders>
          </w:tcPr>
          <w:p w14:paraId="0C7DA3E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417" w:type="dxa"/>
            <w:gridSpan w:val="2"/>
            <w:tcBorders>
              <w:top w:val="nil"/>
              <w:left w:val="nil"/>
              <w:bottom w:val="nil"/>
              <w:right w:val="nil"/>
            </w:tcBorders>
          </w:tcPr>
          <w:p w14:paraId="4B0646D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992" w:type="dxa"/>
            <w:tcBorders>
              <w:top w:val="nil"/>
              <w:left w:val="nil"/>
              <w:bottom w:val="nil"/>
              <w:right w:val="nil"/>
            </w:tcBorders>
          </w:tcPr>
          <w:p w14:paraId="4AD9539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993" w:type="dxa"/>
            <w:tcBorders>
              <w:top w:val="nil"/>
              <w:left w:val="nil"/>
              <w:bottom w:val="nil"/>
              <w:right w:val="nil"/>
            </w:tcBorders>
          </w:tcPr>
          <w:p w14:paraId="0E69AB3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992" w:type="dxa"/>
            <w:tcBorders>
              <w:top w:val="nil"/>
              <w:left w:val="nil"/>
              <w:bottom w:val="nil"/>
              <w:right w:val="nil"/>
            </w:tcBorders>
          </w:tcPr>
          <w:p w14:paraId="06DB310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559" w:type="dxa"/>
            <w:gridSpan w:val="2"/>
            <w:tcBorders>
              <w:top w:val="nil"/>
              <w:left w:val="nil"/>
              <w:bottom w:val="nil"/>
            </w:tcBorders>
          </w:tcPr>
          <w:p w14:paraId="21F3D82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134" w:type="dxa"/>
            <w:tcBorders>
              <w:top w:val="nil"/>
              <w:bottom w:val="nil"/>
            </w:tcBorders>
          </w:tcPr>
          <w:p w14:paraId="22B7C2AF"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134" w:type="dxa"/>
            <w:tcBorders>
              <w:top w:val="nil"/>
              <w:bottom w:val="nil"/>
            </w:tcBorders>
          </w:tcPr>
          <w:p w14:paraId="7EB472B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134" w:type="dxa"/>
            <w:tcBorders>
              <w:top w:val="nil"/>
              <w:bottom w:val="nil"/>
            </w:tcBorders>
          </w:tcPr>
          <w:p w14:paraId="6BA29B3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c>
          <w:tcPr>
            <w:tcW w:w="1276" w:type="dxa"/>
            <w:tcBorders>
              <w:top w:val="nil"/>
              <w:left w:val="nil"/>
              <w:bottom w:val="nil"/>
              <w:right w:val="nil"/>
            </w:tcBorders>
          </w:tcPr>
          <w:p w14:paraId="5829962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Yes</w:t>
            </w:r>
          </w:p>
        </w:tc>
      </w:tr>
      <w:tr w:rsidR="00B051E5" w:rsidRPr="00B051E5" w14:paraId="423E029A" w14:textId="77777777" w:rsidTr="00195944">
        <w:trPr>
          <w:trHeight w:val="269"/>
        </w:trPr>
        <w:tc>
          <w:tcPr>
            <w:tcW w:w="2269" w:type="dxa"/>
            <w:gridSpan w:val="2"/>
            <w:tcBorders>
              <w:top w:val="nil"/>
              <w:left w:val="nil"/>
              <w:bottom w:val="nil"/>
              <w:right w:val="nil"/>
            </w:tcBorders>
          </w:tcPr>
          <w:p w14:paraId="2DC59C8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Average VIF</w:t>
            </w:r>
          </w:p>
        </w:tc>
        <w:tc>
          <w:tcPr>
            <w:tcW w:w="992" w:type="dxa"/>
            <w:tcBorders>
              <w:top w:val="nil"/>
              <w:left w:val="nil"/>
              <w:bottom w:val="nil"/>
              <w:right w:val="nil"/>
            </w:tcBorders>
          </w:tcPr>
          <w:p w14:paraId="1112B7B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1.82</w:t>
            </w:r>
          </w:p>
        </w:tc>
        <w:tc>
          <w:tcPr>
            <w:tcW w:w="992" w:type="dxa"/>
            <w:tcBorders>
              <w:top w:val="nil"/>
              <w:left w:val="nil"/>
              <w:bottom w:val="nil"/>
              <w:right w:val="nil"/>
            </w:tcBorders>
          </w:tcPr>
          <w:p w14:paraId="161FBF8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1.86</w:t>
            </w:r>
          </w:p>
        </w:tc>
        <w:tc>
          <w:tcPr>
            <w:tcW w:w="993" w:type="dxa"/>
            <w:tcBorders>
              <w:top w:val="nil"/>
              <w:left w:val="nil"/>
              <w:bottom w:val="nil"/>
              <w:right w:val="nil"/>
            </w:tcBorders>
          </w:tcPr>
          <w:p w14:paraId="5B0461A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1.86</w:t>
            </w:r>
          </w:p>
        </w:tc>
        <w:tc>
          <w:tcPr>
            <w:tcW w:w="1417" w:type="dxa"/>
            <w:gridSpan w:val="2"/>
            <w:tcBorders>
              <w:top w:val="nil"/>
              <w:left w:val="nil"/>
              <w:bottom w:val="nil"/>
              <w:right w:val="nil"/>
            </w:tcBorders>
          </w:tcPr>
          <w:p w14:paraId="5223574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1.82</w:t>
            </w:r>
          </w:p>
        </w:tc>
        <w:tc>
          <w:tcPr>
            <w:tcW w:w="992" w:type="dxa"/>
            <w:tcBorders>
              <w:top w:val="nil"/>
              <w:left w:val="nil"/>
              <w:bottom w:val="nil"/>
              <w:right w:val="nil"/>
            </w:tcBorders>
          </w:tcPr>
          <w:p w14:paraId="30D8123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1.81</w:t>
            </w:r>
          </w:p>
        </w:tc>
        <w:tc>
          <w:tcPr>
            <w:tcW w:w="993" w:type="dxa"/>
            <w:tcBorders>
              <w:top w:val="nil"/>
              <w:left w:val="nil"/>
              <w:bottom w:val="nil"/>
              <w:right w:val="nil"/>
            </w:tcBorders>
          </w:tcPr>
          <w:p w14:paraId="6C3E9BA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1.82</w:t>
            </w:r>
          </w:p>
        </w:tc>
        <w:tc>
          <w:tcPr>
            <w:tcW w:w="992" w:type="dxa"/>
            <w:tcBorders>
              <w:top w:val="nil"/>
              <w:left w:val="nil"/>
              <w:bottom w:val="nil"/>
              <w:right w:val="nil"/>
            </w:tcBorders>
          </w:tcPr>
          <w:p w14:paraId="38E5EB79"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1.82</w:t>
            </w:r>
          </w:p>
        </w:tc>
        <w:tc>
          <w:tcPr>
            <w:tcW w:w="1559" w:type="dxa"/>
            <w:gridSpan w:val="2"/>
            <w:tcBorders>
              <w:top w:val="nil"/>
              <w:left w:val="nil"/>
              <w:bottom w:val="nil"/>
            </w:tcBorders>
          </w:tcPr>
          <w:p w14:paraId="67875566"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1.80</w:t>
            </w:r>
          </w:p>
        </w:tc>
        <w:tc>
          <w:tcPr>
            <w:tcW w:w="1134" w:type="dxa"/>
            <w:tcBorders>
              <w:top w:val="nil"/>
              <w:bottom w:val="nil"/>
            </w:tcBorders>
          </w:tcPr>
          <w:p w14:paraId="4DE41F1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1.86</w:t>
            </w:r>
          </w:p>
        </w:tc>
        <w:tc>
          <w:tcPr>
            <w:tcW w:w="1134" w:type="dxa"/>
            <w:tcBorders>
              <w:top w:val="nil"/>
              <w:bottom w:val="nil"/>
            </w:tcBorders>
          </w:tcPr>
          <w:p w14:paraId="4389AAE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1.86</w:t>
            </w:r>
          </w:p>
        </w:tc>
        <w:tc>
          <w:tcPr>
            <w:tcW w:w="1134" w:type="dxa"/>
            <w:tcBorders>
              <w:top w:val="nil"/>
              <w:bottom w:val="nil"/>
            </w:tcBorders>
          </w:tcPr>
          <w:p w14:paraId="136ED2FD"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1.86</w:t>
            </w:r>
          </w:p>
        </w:tc>
        <w:tc>
          <w:tcPr>
            <w:tcW w:w="1276" w:type="dxa"/>
            <w:tcBorders>
              <w:top w:val="nil"/>
              <w:left w:val="nil"/>
              <w:bottom w:val="nil"/>
              <w:right w:val="nil"/>
            </w:tcBorders>
          </w:tcPr>
          <w:p w14:paraId="1DA0F0A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olor w:val="000000" w:themeColor="text1"/>
                <w:sz w:val="20"/>
                <w:szCs w:val="20"/>
                <w:lang w:eastAsia="en-US"/>
              </w:rPr>
              <w:t>1.84</w:t>
            </w:r>
          </w:p>
        </w:tc>
      </w:tr>
      <w:tr w:rsidR="00B051E5" w:rsidRPr="00B051E5" w14:paraId="065D84AA" w14:textId="77777777" w:rsidTr="00195944">
        <w:trPr>
          <w:trHeight w:val="269"/>
        </w:trPr>
        <w:tc>
          <w:tcPr>
            <w:tcW w:w="2269" w:type="dxa"/>
            <w:gridSpan w:val="2"/>
            <w:tcBorders>
              <w:top w:val="nil"/>
              <w:left w:val="nil"/>
              <w:bottom w:val="nil"/>
              <w:right w:val="nil"/>
            </w:tcBorders>
          </w:tcPr>
          <w:p w14:paraId="5FF69B0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Max VIF</w:t>
            </w:r>
          </w:p>
        </w:tc>
        <w:tc>
          <w:tcPr>
            <w:tcW w:w="992" w:type="dxa"/>
            <w:tcBorders>
              <w:top w:val="nil"/>
              <w:left w:val="nil"/>
              <w:bottom w:val="nil"/>
              <w:right w:val="nil"/>
            </w:tcBorders>
          </w:tcPr>
          <w:p w14:paraId="12A6F1A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2.04</w:t>
            </w:r>
          </w:p>
        </w:tc>
        <w:tc>
          <w:tcPr>
            <w:tcW w:w="992" w:type="dxa"/>
            <w:tcBorders>
              <w:top w:val="nil"/>
              <w:left w:val="nil"/>
              <w:bottom w:val="nil"/>
              <w:right w:val="nil"/>
            </w:tcBorders>
          </w:tcPr>
          <w:p w14:paraId="29925D4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2.03</w:t>
            </w:r>
          </w:p>
        </w:tc>
        <w:tc>
          <w:tcPr>
            <w:tcW w:w="993" w:type="dxa"/>
            <w:tcBorders>
              <w:top w:val="nil"/>
              <w:left w:val="nil"/>
              <w:bottom w:val="nil"/>
              <w:right w:val="nil"/>
            </w:tcBorders>
          </w:tcPr>
          <w:p w14:paraId="6F11480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2.03</w:t>
            </w:r>
          </w:p>
        </w:tc>
        <w:tc>
          <w:tcPr>
            <w:tcW w:w="1417" w:type="dxa"/>
            <w:gridSpan w:val="2"/>
            <w:tcBorders>
              <w:top w:val="nil"/>
              <w:left w:val="nil"/>
              <w:bottom w:val="nil"/>
              <w:right w:val="nil"/>
            </w:tcBorders>
          </w:tcPr>
          <w:p w14:paraId="0506241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2.04</w:t>
            </w:r>
          </w:p>
        </w:tc>
        <w:tc>
          <w:tcPr>
            <w:tcW w:w="992" w:type="dxa"/>
            <w:tcBorders>
              <w:top w:val="nil"/>
              <w:left w:val="nil"/>
              <w:bottom w:val="nil"/>
              <w:right w:val="nil"/>
            </w:tcBorders>
          </w:tcPr>
          <w:p w14:paraId="57A2781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1.74</w:t>
            </w:r>
          </w:p>
        </w:tc>
        <w:tc>
          <w:tcPr>
            <w:tcW w:w="993" w:type="dxa"/>
            <w:tcBorders>
              <w:top w:val="nil"/>
              <w:left w:val="nil"/>
              <w:bottom w:val="nil"/>
              <w:right w:val="nil"/>
            </w:tcBorders>
          </w:tcPr>
          <w:p w14:paraId="0EE5007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1.75</w:t>
            </w:r>
          </w:p>
        </w:tc>
        <w:tc>
          <w:tcPr>
            <w:tcW w:w="992" w:type="dxa"/>
            <w:tcBorders>
              <w:top w:val="nil"/>
              <w:left w:val="nil"/>
              <w:bottom w:val="nil"/>
              <w:right w:val="nil"/>
            </w:tcBorders>
          </w:tcPr>
          <w:p w14:paraId="02508CD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1.75</w:t>
            </w:r>
          </w:p>
        </w:tc>
        <w:tc>
          <w:tcPr>
            <w:tcW w:w="1559" w:type="dxa"/>
            <w:gridSpan w:val="2"/>
            <w:tcBorders>
              <w:top w:val="nil"/>
              <w:left w:val="nil"/>
              <w:bottom w:val="nil"/>
            </w:tcBorders>
          </w:tcPr>
          <w:p w14:paraId="6738986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1.75</w:t>
            </w:r>
          </w:p>
        </w:tc>
        <w:tc>
          <w:tcPr>
            <w:tcW w:w="1134" w:type="dxa"/>
            <w:tcBorders>
              <w:top w:val="nil"/>
              <w:bottom w:val="nil"/>
            </w:tcBorders>
          </w:tcPr>
          <w:p w14:paraId="013BA86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1.84</w:t>
            </w:r>
          </w:p>
        </w:tc>
        <w:tc>
          <w:tcPr>
            <w:tcW w:w="1134" w:type="dxa"/>
            <w:tcBorders>
              <w:top w:val="nil"/>
              <w:bottom w:val="nil"/>
            </w:tcBorders>
          </w:tcPr>
          <w:p w14:paraId="68B7262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1.84</w:t>
            </w:r>
          </w:p>
        </w:tc>
        <w:tc>
          <w:tcPr>
            <w:tcW w:w="1134" w:type="dxa"/>
            <w:tcBorders>
              <w:top w:val="nil"/>
              <w:bottom w:val="nil"/>
            </w:tcBorders>
          </w:tcPr>
          <w:p w14:paraId="553F26E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1.84</w:t>
            </w:r>
          </w:p>
        </w:tc>
        <w:tc>
          <w:tcPr>
            <w:tcW w:w="1276" w:type="dxa"/>
            <w:tcBorders>
              <w:top w:val="nil"/>
              <w:left w:val="nil"/>
              <w:bottom w:val="nil"/>
              <w:right w:val="nil"/>
            </w:tcBorders>
          </w:tcPr>
          <w:p w14:paraId="72C4E3A1"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1.84</w:t>
            </w:r>
          </w:p>
        </w:tc>
      </w:tr>
      <w:tr w:rsidR="00B051E5" w:rsidRPr="00B051E5" w14:paraId="1397E82F" w14:textId="77777777" w:rsidTr="00195944">
        <w:trPr>
          <w:trHeight w:val="269"/>
        </w:trPr>
        <w:tc>
          <w:tcPr>
            <w:tcW w:w="2269" w:type="dxa"/>
            <w:gridSpan w:val="2"/>
            <w:tcBorders>
              <w:top w:val="nil"/>
              <w:left w:val="nil"/>
              <w:right w:val="nil"/>
            </w:tcBorders>
          </w:tcPr>
          <w:p w14:paraId="4CB713E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 xml:space="preserve">F-statistics </w:t>
            </w:r>
          </w:p>
        </w:tc>
        <w:tc>
          <w:tcPr>
            <w:tcW w:w="992" w:type="dxa"/>
            <w:tcBorders>
              <w:top w:val="nil"/>
              <w:left w:val="nil"/>
              <w:right w:val="nil"/>
            </w:tcBorders>
          </w:tcPr>
          <w:p w14:paraId="2683237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6.67***</w:t>
            </w:r>
          </w:p>
        </w:tc>
        <w:tc>
          <w:tcPr>
            <w:tcW w:w="992" w:type="dxa"/>
            <w:tcBorders>
              <w:top w:val="nil"/>
              <w:left w:val="nil"/>
              <w:right w:val="nil"/>
            </w:tcBorders>
          </w:tcPr>
          <w:p w14:paraId="0FF5507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8.25***</w:t>
            </w:r>
          </w:p>
        </w:tc>
        <w:tc>
          <w:tcPr>
            <w:tcW w:w="993" w:type="dxa"/>
            <w:tcBorders>
              <w:top w:val="nil"/>
              <w:left w:val="nil"/>
              <w:right w:val="nil"/>
            </w:tcBorders>
          </w:tcPr>
          <w:p w14:paraId="511BFDA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8.25***</w:t>
            </w:r>
          </w:p>
        </w:tc>
        <w:tc>
          <w:tcPr>
            <w:tcW w:w="1417" w:type="dxa"/>
            <w:gridSpan w:val="2"/>
            <w:tcBorders>
              <w:top w:val="nil"/>
              <w:left w:val="nil"/>
              <w:right w:val="nil"/>
            </w:tcBorders>
          </w:tcPr>
          <w:p w14:paraId="39DFD500"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7.80***</w:t>
            </w:r>
          </w:p>
        </w:tc>
        <w:tc>
          <w:tcPr>
            <w:tcW w:w="992" w:type="dxa"/>
            <w:tcBorders>
              <w:top w:val="nil"/>
              <w:left w:val="nil"/>
              <w:right w:val="nil"/>
            </w:tcBorders>
          </w:tcPr>
          <w:p w14:paraId="5AFB443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2.16***</w:t>
            </w:r>
          </w:p>
        </w:tc>
        <w:tc>
          <w:tcPr>
            <w:tcW w:w="993" w:type="dxa"/>
            <w:tcBorders>
              <w:top w:val="nil"/>
              <w:left w:val="nil"/>
              <w:right w:val="nil"/>
            </w:tcBorders>
          </w:tcPr>
          <w:p w14:paraId="74746B9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2.21***</w:t>
            </w:r>
          </w:p>
        </w:tc>
        <w:tc>
          <w:tcPr>
            <w:tcW w:w="992" w:type="dxa"/>
            <w:tcBorders>
              <w:top w:val="nil"/>
              <w:left w:val="nil"/>
              <w:right w:val="nil"/>
            </w:tcBorders>
          </w:tcPr>
          <w:p w14:paraId="31512F0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2.21***</w:t>
            </w:r>
          </w:p>
        </w:tc>
        <w:tc>
          <w:tcPr>
            <w:tcW w:w="1559" w:type="dxa"/>
            <w:gridSpan w:val="2"/>
            <w:tcBorders>
              <w:top w:val="nil"/>
              <w:left w:val="nil"/>
            </w:tcBorders>
          </w:tcPr>
          <w:p w14:paraId="1285834C"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2.13***</w:t>
            </w:r>
          </w:p>
        </w:tc>
        <w:tc>
          <w:tcPr>
            <w:tcW w:w="1134" w:type="dxa"/>
            <w:tcBorders>
              <w:top w:val="nil"/>
            </w:tcBorders>
          </w:tcPr>
          <w:p w14:paraId="270AC218"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2.31</w:t>
            </w:r>
          </w:p>
        </w:tc>
        <w:tc>
          <w:tcPr>
            <w:tcW w:w="1134" w:type="dxa"/>
            <w:tcBorders>
              <w:top w:val="nil"/>
            </w:tcBorders>
          </w:tcPr>
          <w:p w14:paraId="62C4D12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2.35**</w:t>
            </w:r>
          </w:p>
        </w:tc>
        <w:tc>
          <w:tcPr>
            <w:tcW w:w="1134" w:type="dxa"/>
            <w:tcBorders>
              <w:top w:val="nil"/>
            </w:tcBorders>
          </w:tcPr>
          <w:p w14:paraId="3397EAF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2.35***</w:t>
            </w:r>
          </w:p>
        </w:tc>
        <w:tc>
          <w:tcPr>
            <w:tcW w:w="1276" w:type="dxa"/>
            <w:tcBorders>
              <w:top w:val="nil"/>
              <w:left w:val="nil"/>
              <w:right w:val="nil"/>
            </w:tcBorders>
          </w:tcPr>
          <w:p w14:paraId="661D782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2.39***</w:t>
            </w:r>
          </w:p>
        </w:tc>
      </w:tr>
      <w:tr w:rsidR="00B051E5" w:rsidRPr="00B051E5" w14:paraId="5D59C528" w14:textId="77777777" w:rsidTr="00195944">
        <w:trPr>
          <w:trHeight w:val="269"/>
        </w:trPr>
        <w:tc>
          <w:tcPr>
            <w:tcW w:w="2269" w:type="dxa"/>
            <w:gridSpan w:val="2"/>
            <w:tcBorders>
              <w:top w:val="nil"/>
              <w:left w:val="nil"/>
              <w:right w:val="nil"/>
            </w:tcBorders>
          </w:tcPr>
          <w:p w14:paraId="45B30F6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Adj. R-squared as %</w:t>
            </w:r>
          </w:p>
        </w:tc>
        <w:tc>
          <w:tcPr>
            <w:tcW w:w="992" w:type="dxa"/>
            <w:tcBorders>
              <w:top w:val="nil"/>
              <w:left w:val="nil"/>
              <w:right w:val="nil"/>
            </w:tcBorders>
          </w:tcPr>
          <w:p w14:paraId="016251A3"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10.9</w:t>
            </w:r>
          </w:p>
        </w:tc>
        <w:tc>
          <w:tcPr>
            <w:tcW w:w="992" w:type="dxa"/>
            <w:tcBorders>
              <w:top w:val="nil"/>
              <w:left w:val="nil"/>
              <w:right w:val="nil"/>
            </w:tcBorders>
          </w:tcPr>
          <w:p w14:paraId="33E299AE"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13.5</w:t>
            </w:r>
          </w:p>
        </w:tc>
        <w:tc>
          <w:tcPr>
            <w:tcW w:w="993" w:type="dxa"/>
            <w:tcBorders>
              <w:top w:val="nil"/>
              <w:left w:val="nil"/>
              <w:right w:val="nil"/>
            </w:tcBorders>
          </w:tcPr>
          <w:p w14:paraId="172E7C49"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13.5</w:t>
            </w:r>
          </w:p>
        </w:tc>
        <w:tc>
          <w:tcPr>
            <w:tcW w:w="1417" w:type="dxa"/>
            <w:gridSpan w:val="2"/>
            <w:tcBorders>
              <w:top w:val="nil"/>
              <w:left w:val="nil"/>
              <w:right w:val="nil"/>
            </w:tcBorders>
          </w:tcPr>
          <w:p w14:paraId="6D62B3DA"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13.4</w:t>
            </w:r>
          </w:p>
        </w:tc>
        <w:tc>
          <w:tcPr>
            <w:tcW w:w="992" w:type="dxa"/>
            <w:tcBorders>
              <w:top w:val="nil"/>
              <w:left w:val="nil"/>
              <w:right w:val="nil"/>
            </w:tcBorders>
          </w:tcPr>
          <w:p w14:paraId="7E9AA4A5"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4.9</w:t>
            </w:r>
          </w:p>
        </w:tc>
        <w:tc>
          <w:tcPr>
            <w:tcW w:w="993" w:type="dxa"/>
            <w:tcBorders>
              <w:top w:val="nil"/>
              <w:left w:val="nil"/>
              <w:right w:val="nil"/>
            </w:tcBorders>
          </w:tcPr>
          <w:p w14:paraId="0DAB4C8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5.0</w:t>
            </w:r>
          </w:p>
        </w:tc>
        <w:tc>
          <w:tcPr>
            <w:tcW w:w="992" w:type="dxa"/>
            <w:tcBorders>
              <w:top w:val="nil"/>
              <w:left w:val="nil"/>
              <w:right w:val="nil"/>
            </w:tcBorders>
          </w:tcPr>
          <w:p w14:paraId="7FA27608"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5.0</w:t>
            </w:r>
          </w:p>
        </w:tc>
        <w:tc>
          <w:tcPr>
            <w:tcW w:w="1559" w:type="dxa"/>
            <w:gridSpan w:val="2"/>
            <w:tcBorders>
              <w:top w:val="nil"/>
              <w:left w:val="nil"/>
            </w:tcBorders>
          </w:tcPr>
          <w:p w14:paraId="1696FF34"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5.0</w:t>
            </w:r>
          </w:p>
        </w:tc>
        <w:tc>
          <w:tcPr>
            <w:tcW w:w="1134" w:type="dxa"/>
            <w:tcBorders>
              <w:top w:val="nil"/>
            </w:tcBorders>
          </w:tcPr>
          <w:p w14:paraId="39C92FC1"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2,2</w:t>
            </w:r>
          </w:p>
        </w:tc>
        <w:tc>
          <w:tcPr>
            <w:tcW w:w="1134" w:type="dxa"/>
            <w:tcBorders>
              <w:top w:val="nil"/>
            </w:tcBorders>
          </w:tcPr>
          <w:p w14:paraId="7639CBFD"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2.3</w:t>
            </w:r>
          </w:p>
        </w:tc>
        <w:tc>
          <w:tcPr>
            <w:tcW w:w="1134" w:type="dxa"/>
            <w:tcBorders>
              <w:top w:val="nil"/>
            </w:tcBorders>
          </w:tcPr>
          <w:p w14:paraId="225390B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2.3</w:t>
            </w:r>
          </w:p>
        </w:tc>
        <w:tc>
          <w:tcPr>
            <w:tcW w:w="1276" w:type="dxa"/>
            <w:tcBorders>
              <w:top w:val="nil"/>
              <w:left w:val="nil"/>
              <w:right w:val="nil"/>
            </w:tcBorders>
          </w:tcPr>
          <w:p w14:paraId="7AE27970" w14:textId="77777777" w:rsidR="00C42CF0" w:rsidRPr="00B051E5" w:rsidRDefault="00C42CF0" w:rsidP="00C42CF0">
            <w:pPr>
              <w:widowControl w:val="0"/>
              <w:autoSpaceDE w:val="0"/>
              <w:autoSpaceDN w:val="0"/>
              <w:adjustRightInd w:val="0"/>
              <w:rPr>
                <w:rFonts w:ascii="Garamond" w:eastAsia="Calibri" w:hAnsi="Garamond"/>
                <w:color w:val="000000" w:themeColor="text1"/>
                <w:sz w:val="20"/>
                <w:szCs w:val="20"/>
                <w:lang w:eastAsia="en-US"/>
              </w:rPr>
            </w:pPr>
            <w:r w:rsidRPr="00B051E5">
              <w:rPr>
                <w:rFonts w:ascii="Garamond" w:eastAsia="Calibri" w:hAnsi="Garamond" w:cs="Calibri"/>
                <w:color w:val="000000" w:themeColor="text1"/>
                <w:sz w:val="20"/>
                <w:szCs w:val="20"/>
                <w:lang w:eastAsia="en-US"/>
              </w:rPr>
              <w:t>2.4</w:t>
            </w:r>
          </w:p>
        </w:tc>
      </w:tr>
      <w:tr w:rsidR="00B051E5" w:rsidRPr="00B051E5" w14:paraId="32BC7934" w14:textId="77777777" w:rsidTr="00195944">
        <w:trPr>
          <w:trHeight w:val="269"/>
        </w:trPr>
        <w:tc>
          <w:tcPr>
            <w:tcW w:w="2269" w:type="dxa"/>
            <w:gridSpan w:val="2"/>
            <w:tcBorders>
              <w:top w:val="nil"/>
              <w:left w:val="nil"/>
              <w:bottom w:val="nil"/>
              <w:right w:val="nil"/>
            </w:tcBorders>
          </w:tcPr>
          <w:p w14:paraId="57ED78F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hAnsi="Garamond"/>
                <w:color w:val="000000" w:themeColor="text1"/>
                <w:sz w:val="20"/>
                <w:szCs w:val="20"/>
              </w:rPr>
              <w:t>Observations</w:t>
            </w:r>
          </w:p>
        </w:tc>
        <w:tc>
          <w:tcPr>
            <w:tcW w:w="992" w:type="dxa"/>
            <w:tcBorders>
              <w:top w:val="nil"/>
              <w:left w:val="nil"/>
              <w:bottom w:val="nil"/>
              <w:right w:val="nil"/>
            </w:tcBorders>
          </w:tcPr>
          <w:p w14:paraId="4C461849"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753</w:t>
            </w:r>
          </w:p>
        </w:tc>
        <w:tc>
          <w:tcPr>
            <w:tcW w:w="992" w:type="dxa"/>
            <w:tcBorders>
              <w:top w:val="nil"/>
              <w:left w:val="nil"/>
              <w:bottom w:val="nil"/>
              <w:right w:val="nil"/>
            </w:tcBorders>
          </w:tcPr>
          <w:p w14:paraId="381E74B9"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753</w:t>
            </w:r>
          </w:p>
        </w:tc>
        <w:tc>
          <w:tcPr>
            <w:tcW w:w="993" w:type="dxa"/>
            <w:tcBorders>
              <w:top w:val="nil"/>
              <w:left w:val="nil"/>
              <w:bottom w:val="nil"/>
              <w:right w:val="nil"/>
            </w:tcBorders>
          </w:tcPr>
          <w:p w14:paraId="0370ACA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753</w:t>
            </w:r>
          </w:p>
        </w:tc>
        <w:tc>
          <w:tcPr>
            <w:tcW w:w="1417" w:type="dxa"/>
            <w:gridSpan w:val="2"/>
            <w:tcBorders>
              <w:top w:val="nil"/>
              <w:left w:val="nil"/>
              <w:bottom w:val="nil"/>
              <w:right w:val="nil"/>
            </w:tcBorders>
          </w:tcPr>
          <w:p w14:paraId="149B8B03"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753</w:t>
            </w:r>
          </w:p>
        </w:tc>
        <w:tc>
          <w:tcPr>
            <w:tcW w:w="992" w:type="dxa"/>
            <w:tcBorders>
              <w:top w:val="nil"/>
              <w:left w:val="nil"/>
              <w:bottom w:val="nil"/>
              <w:right w:val="nil"/>
            </w:tcBorders>
          </w:tcPr>
          <w:p w14:paraId="2E30A27F"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496</w:t>
            </w:r>
          </w:p>
        </w:tc>
        <w:tc>
          <w:tcPr>
            <w:tcW w:w="993" w:type="dxa"/>
            <w:tcBorders>
              <w:top w:val="nil"/>
              <w:left w:val="nil"/>
              <w:bottom w:val="nil"/>
              <w:right w:val="nil"/>
            </w:tcBorders>
          </w:tcPr>
          <w:p w14:paraId="1AD6A2A7"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496</w:t>
            </w:r>
          </w:p>
        </w:tc>
        <w:tc>
          <w:tcPr>
            <w:tcW w:w="992" w:type="dxa"/>
            <w:tcBorders>
              <w:top w:val="nil"/>
              <w:left w:val="nil"/>
              <w:bottom w:val="nil"/>
              <w:right w:val="nil"/>
            </w:tcBorders>
          </w:tcPr>
          <w:p w14:paraId="372AA335"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496</w:t>
            </w:r>
          </w:p>
        </w:tc>
        <w:tc>
          <w:tcPr>
            <w:tcW w:w="1559" w:type="dxa"/>
            <w:gridSpan w:val="2"/>
            <w:tcBorders>
              <w:top w:val="nil"/>
              <w:left w:val="nil"/>
              <w:bottom w:val="nil"/>
            </w:tcBorders>
          </w:tcPr>
          <w:p w14:paraId="79C3E71E"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496</w:t>
            </w:r>
          </w:p>
        </w:tc>
        <w:tc>
          <w:tcPr>
            <w:tcW w:w="1134" w:type="dxa"/>
            <w:tcBorders>
              <w:top w:val="nil"/>
              <w:bottom w:val="nil"/>
            </w:tcBorders>
          </w:tcPr>
          <w:p w14:paraId="6B8652F2"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969</w:t>
            </w:r>
          </w:p>
        </w:tc>
        <w:tc>
          <w:tcPr>
            <w:tcW w:w="1134" w:type="dxa"/>
            <w:tcBorders>
              <w:top w:val="nil"/>
              <w:left w:val="nil"/>
              <w:bottom w:val="nil"/>
            </w:tcBorders>
          </w:tcPr>
          <w:p w14:paraId="1B29013B"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969</w:t>
            </w:r>
          </w:p>
        </w:tc>
        <w:tc>
          <w:tcPr>
            <w:tcW w:w="1134" w:type="dxa"/>
            <w:tcBorders>
              <w:top w:val="nil"/>
              <w:left w:val="nil"/>
              <w:bottom w:val="nil"/>
            </w:tcBorders>
          </w:tcPr>
          <w:p w14:paraId="0F20FCE4"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969</w:t>
            </w:r>
          </w:p>
        </w:tc>
        <w:tc>
          <w:tcPr>
            <w:tcW w:w="1276" w:type="dxa"/>
            <w:tcBorders>
              <w:top w:val="nil"/>
              <w:left w:val="nil"/>
              <w:bottom w:val="nil"/>
            </w:tcBorders>
          </w:tcPr>
          <w:p w14:paraId="7F92831A" w14:textId="77777777" w:rsidR="00C42CF0" w:rsidRPr="00B051E5" w:rsidRDefault="00C42CF0" w:rsidP="00C42CF0">
            <w:pPr>
              <w:widowControl w:val="0"/>
              <w:autoSpaceDE w:val="0"/>
              <w:autoSpaceDN w:val="0"/>
              <w:adjustRightInd w:val="0"/>
              <w:rPr>
                <w:rFonts w:ascii="Garamond" w:hAnsi="Garamond"/>
                <w:color w:val="000000" w:themeColor="text1"/>
                <w:sz w:val="20"/>
                <w:szCs w:val="20"/>
              </w:rPr>
            </w:pPr>
            <w:r w:rsidRPr="00B051E5">
              <w:rPr>
                <w:rFonts w:ascii="Garamond" w:eastAsia="Calibri" w:hAnsi="Garamond" w:cs="Calibri"/>
                <w:color w:val="000000" w:themeColor="text1"/>
                <w:sz w:val="20"/>
                <w:szCs w:val="20"/>
                <w:lang w:eastAsia="en-US"/>
              </w:rPr>
              <w:t>969</w:t>
            </w:r>
          </w:p>
        </w:tc>
      </w:tr>
      <w:tr w:rsidR="00B051E5" w:rsidRPr="00B051E5" w14:paraId="410ED21C" w14:textId="77777777" w:rsidTr="00195944">
        <w:tblPrEx>
          <w:tblBorders>
            <w:bottom w:val="single" w:sz="6" w:space="0" w:color="auto"/>
          </w:tblBorders>
        </w:tblPrEx>
        <w:trPr>
          <w:trHeight w:val="269"/>
        </w:trPr>
        <w:tc>
          <w:tcPr>
            <w:tcW w:w="15877" w:type="dxa"/>
            <w:gridSpan w:val="16"/>
            <w:tcBorders>
              <w:top w:val="double" w:sz="4" w:space="0" w:color="auto"/>
              <w:left w:val="nil"/>
              <w:bottom w:val="nil"/>
              <w:right w:val="nil"/>
            </w:tcBorders>
          </w:tcPr>
          <w:p w14:paraId="03828401" w14:textId="75E54A6E" w:rsidR="00C42CF0" w:rsidRPr="00B051E5" w:rsidRDefault="00C42CF0" w:rsidP="00C42CF0">
            <w:pPr>
              <w:spacing w:after="160" w:line="259" w:lineRule="auto"/>
              <w:jc w:val="both"/>
              <w:rPr>
                <w:rFonts w:ascii="Garamond" w:eastAsia="Calibri" w:hAnsi="Garamond"/>
                <w:color w:val="000000" w:themeColor="text1"/>
                <w:sz w:val="20"/>
                <w:szCs w:val="20"/>
                <w:lang w:eastAsia="en-US"/>
              </w:rPr>
            </w:pPr>
            <w:r w:rsidRPr="00B051E5">
              <w:rPr>
                <w:rFonts w:ascii="Garamond" w:hAnsi="Garamond"/>
                <w:bCs/>
                <w:color w:val="000000" w:themeColor="text1"/>
                <w:sz w:val="20"/>
                <w:szCs w:val="20"/>
              </w:rPr>
              <w:t xml:space="preserve">This table reports the regression estimates from OLS regressions of stock price informativeness on risk information and other controls. All these estimates are given in three different periods: prior crisis period that includes 2005-2007, during crisis period that includes 2008 and 2009, and post crisis period that includes 2010-2014. </w:t>
            </w:r>
            <w:r w:rsidR="006300F6" w:rsidRPr="00B051E5">
              <w:rPr>
                <w:rFonts w:ascii="Garamond" w:eastAsia="Calibri" w:hAnsi="Garamond"/>
                <w:color w:val="000000" w:themeColor="text1"/>
                <w:sz w:val="20"/>
                <w:szCs w:val="20"/>
                <w:lang w:eastAsia="en-US"/>
              </w:rPr>
              <w:t>Other specifications as provided in Table 3.</w:t>
            </w:r>
          </w:p>
        </w:tc>
      </w:tr>
    </w:tbl>
    <w:p w14:paraId="7A718FFF" w14:textId="77777777" w:rsidR="00C42CF0" w:rsidRPr="00B051E5" w:rsidRDefault="00C42CF0" w:rsidP="00C42CF0">
      <w:pPr>
        <w:spacing w:line="259" w:lineRule="auto"/>
        <w:rPr>
          <w:rFonts w:ascii="Garamond" w:hAnsi="Garamond"/>
          <w:b/>
          <w:color w:val="000000" w:themeColor="text1"/>
          <w:sz w:val="20"/>
          <w:szCs w:val="20"/>
          <w:lang w:eastAsia="en-US"/>
        </w:rPr>
        <w:sectPr w:rsidR="00C42CF0" w:rsidRPr="00B051E5" w:rsidSect="00195944">
          <w:pgSz w:w="16820" w:h="11900" w:orient="landscape"/>
          <w:pgMar w:top="1440" w:right="1440" w:bottom="1440" w:left="1440" w:header="708" w:footer="708" w:gutter="0"/>
          <w:cols w:space="708"/>
          <w:docGrid w:linePitch="360"/>
        </w:sectPr>
      </w:pPr>
    </w:p>
    <w:p w14:paraId="7B2BB440" w14:textId="3848D4AC" w:rsidR="00C42CF0" w:rsidRPr="00B051E5" w:rsidRDefault="00C42CF0" w:rsidP="00C42CF0">
      <w:pPr>
        <w:spacing w:after="160" w:line="259" w:lineRule="auto"/>
        <w:rPr>
          <w:rFonts w:ascii="Garamond" w:eastAsia="Calibri" w:hAnsi="Garamond" w:cs="Arial"/>
          <w:b/>
          <w:bCs/>
          <w:color w:val="000000" w:themeColor="text1"/>
          <w:sz w:val="20"/>
          <w:szCs w:val="20"/>
          <w:lang w:eastAsia="en-US"/>
        </w:rPr>
      </w:pPr>
    </w:p>
    <w:p w14:paraId="56AF0531" w14:textId="77777777" w:rsidR="00C42CF0" w:rsidRPr="00B051E5" w:rsidRDefault="00C42CF0" w:rsidP="00C42CF0">
      <w:pPr>
        <w:spacing w:after="160" w:line="259" w:lineRule="auto"/>
        <w:rPr>
          <w:rFonts w:ascii="Garamond" w:eastAsia="Calibri" w:hAnsi="Garamond" w:cs="Arial"/>
          <w:color w:val="000000" w:themeColor="text1"/>
          <w:sz w:val="20"/>
          <w:szCs w:val="20"/>
          <w:lang w:eastAsia="en-US"/>
        </w:rPr>
      </w:pPr>
      <w:r w:rsidRPr="00B051E5">
        <w:rPr>
          <w:rFonts w:ascii="Garamond" w:eastAsia="Calibri" w:hAnsi="Garamond" w:cs="Arial"/>
          <w:b/>
          <w:bCs/>
          <w:color w:val="000000" w:themeColor="text1"/>
          <w:sz w:val="20"/>
          <w:szCs w:val="20"/>
          <w:lang w:eastAsia="en-US"/>
        </w:rPr>
        <w:t xml:space="preserve">Figure 1. </w:t>
      </w:r>
      <w:r w:rsidRPr="00B051E5">
        <w:rPr>
          <w:rFonts w:ascii="Garamond" w:eastAsia="Calibri" w:hAnsi="Garamond" w:cs="Arial"/>
          <w:color w:val="000000" w:themeColor="text1"/>
          <w:sz w:val="20"/>
          <w:szCs w:val="20"/>
          <w:lang w:eastAsia="en-US"/>
        </w:rPr>
        <w:t>Measuring risk disclosure and its time orientation using textual analysis</w:t>
      </w:r>
    </w:p>
    <w:p w14:paraId="6E034E51" w14:textId="6A87F704" w:rsidR="00F04E75" w:rsidRPr="00B051E5" w:rsidRDefault="00F04E75" w:rsidP="00C42CF0">
      <w:pPr>
        <w:spacing w:after="160" w:line="259" w:lineRule="auto"/>
        <w:rPr>
          <w:rFonts w:ascii="Garamond" w:eastAsia="Calibri" w:hAnsi="Garamond" w:cs="Arial"/>
          <w:color w:val="000000" w:themeColor="text1"/>
          <w:sz w:val="20"/>
          <w:szCs w:val="20"/>
          <w:lang w:eastAsia="en-US"/>
        </w:rPr>
      </w:pPr>
    </w:p>
    <w:tbl>
      <w:tblPr>
        <w:tblStyle w:val="TableGrid"/>
        <w:tblW w:w="1119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6601"/>
        <w:gridCol w:w="2306"/>
      </w:tblGrid>
      <w:tr w:rsidR="00B051E5" w:rsidRPr="00B051E5" w14:paraId="68F593C6" w14:textId="77777777" w:rsidTr="00D90385">
        <w:trPr>
          <w:trHeight w:val="10450"/>
        </w:trPr>
        <w:tc>
          <w:tcPr>
            <w:tcW w:w="2292" w:type="dxa"/>
          </w:tcPr>
          <w:p w14:paraId="62A8137E" w14:textId="1FE035A3" w:rsidR="00CC32A6" w:rsidRPr="00B051E5" w:rsidRDefault="00EC77C3" w:rsidP="00502034">
            <w:pPr>
              <w:rPr>
                <w:rFonts w:ascii="Garamond" w:eastAsia="Calibri" w:hAnsi="Garamond"/>
                <w:color w:val="000000" w:themeColor="text1"/>
                <w:sz w:val="20"/>
                <w:szCs w:val="20"/>
              </w:rPr>
            </w:pPr>
            <w:r w:rsidRPr="00B051E5">
              <w:rPr>
                <w:rFonts w:ascii="Garamond" w:eastAsia="Calibri" w:hAnsi="Garamond"/>
                <w:bCs/>
                <w:iCs/>
                <w:noProof/>
                <w:color w:val="000000" w:themeColor="text1"/>
                <w:sz w:val="20"/>
                <w:szCs w:val="20"/>
              </w:rPr>
              <mc:AlternateContent>
                <mc:Choice Requires="wps">
                  <w:drawing>
                    <wp:anchor distT="0" distB="0" distL="114300" distR="114300" simplePos="0" relativeHeight="251659264" behindDoc="0" locked="0" layoutInCell="1" allowOverlap="1" wp14:anchorId="4508B46C" wp14:editId="1B258FB4">
                      <wp:simplePos x="0" y="0"/>
                      <wp:positionH relativeFrom="column">
                        <wp:posOffset>1147302</wp:posOffset>
                      </wp:positionH>
                      <wp:positionV relativeFrom="paragraph">
                        <wp:posOffset>-3642</wp:posOffset>
                      </wp:positionV>
                      <wp:extent cx="458470" cy="3634105"/>
                      <wp:effectExtent l="0" t="0" r="55880" b="23495"/>
                      <wp:wrapNone/>
                      <wp:docPr id="1" name="Right Brace 1"/>
                      <wp:cNvGraphicFramePr/>
                      <a:graphic xmlns:a="http://schemas.openxmlformats.org/drawingml/2006/main">
                        <a:graphicData uri="http://schemas.microsoft.com/office/word/2010/wordprocessingShape">
                          <wps:wsp>
                            <wps:cNvSpPr/>
                            <wps:spPr>
                              <a:xfrm>
                                <a:off x="0" y="0"/>
                                <a:ext cx="458470" cy="3634105"/>
                              </a:xfrm>
                              <a:prstGeom prst="rightBrace">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3B382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90.35pt;margin-top:-.3pt;width:36.1pt;height:28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" adj="227" strokecolor="black [3200]" strokeweight="1.5pt">
                      <v:stroke joinstyle="miter"/>
                    </v:shape>
                  </w:pict>
                </mc:Fallback>
              </mc:AlternateContent>
            </w:r>
            <w:r w:rsidR="00574340" w:rsidRPr="00B051E5">
              <w:rPr>
                <w:rFonts w:ascii="Garamond" w:eastAsia="Calibri" w:hAnsi="Garamond"/>
                <w:color w:val="000000" w:themeColor="text1"/>
                <w:sz w:val="20"/>
                <w:szCs w:val="20"/>
              </w:rPr>
              <w:t xml:space="preserve">Our final </w:t>
            </w:r>
            <w:r w:rsidR="00CC32A6" w:rsidRPr="00B051E5">
              <w:rPr>
                <w:rFonts w:ascii="Garamond" w:eastAsia="Calibri" w:hAnsi="Garamond"/>
                <w:color w:val="000000" w:themeColor="text1"/>
                <w:sz w:val="20"/>
                <w:szCs w:val="20"/>
              </w:rPr>
              <w:t xml:space="preserve">risk </w:t>
            </w:r>
            <w:r w:rsidR="00574340" w:rsidRPr="00B051E5">
              <w:rPr>
                <w:rFonts w:ascii="Garamond" w:eastAsia="Calibri" w:hAnsi="Garamond"/>
                <w:color w:val="000000" w:themeColor="text1"/>
                <w:sz w:val="20"/>
                <w:szCs w:val="20"/>
              </w:rPr>
              <w:t xml:space="preserve">word list includes the following words: </w:t>
            </w:r>
          </w:p>
          <w:p w14:paraId="71884579" w14:textId="77777777" w:rsidR="00CC32A6" w:rsidRPr="00B051E5" w:rsidRDefault="00CC32A6" w:rsidP="00502034">
            <w:pPr>
              <w:rPr>
                <w:rFonts w:ascii="Garamond" w:eastAsia="Calibri" w:hAnsi="Garamond"/>
                <w:color w:val="000000" w:themeColor="text1"/>
                <w:sz w:val="20"/>
                <w:szCs w:val="20"/>
              </w:rPr>
            </w:pPr>
          </w:p>
          <w:p w14:paraId="66A45919" w14:textId="39EF9319" w:rsidR="00CC32A6" w:rsidRPr="00B051E5" w:rsidRDefault="00574340" w:rsidP="00502034">
            <w:pPr>
              <w:rPr>
                <w:rFonts w:ascii="Garamond" w:eastAsia="Calibri" w:hAnsi="Garamond"/>
                <w:bCs/>
                <w:color w:val="000000" w:themeColor="text1"/>
                <w:sz w:val="20"/>
                <w:szCs w:val="20"/>
                <w:lang w:val="en-US"/>
              </w:rPr>
            </w:pPr>
            <w:r w:rsidRPr="00B051E5">
              <w:rPr>
                <w:rFonts w:ascii="Garamond" w:eastAsia="Calibri" w:hAnsi="Garamond"/>
                <w:bCs/>
                <w:color w:val="000000" w:themeColor="text1"/>
                <w:sz w:val="20"/>
                <w:szCs w:val="20"/>
                <w:lang w:val="en-US"/>
              </w:rPr>
              <w:t>against, catastrophe (catastrophic), challenge (challenges), chance (chances), decline (declined), decrease (decreased), differ*, diversify*, fail (failure), fluctuate*, gain (gains), increase (increased), less, loss*, low*, peak (peaked), probable*, risk*, shortage, significant*, threat, unable, uncertain (uncertainty; uncertainties), reverse (reversed) and viable.</w:t>
            </w:r>
          </w:p>
          <w:p w14:paraId="3EA818D1" w14:textId="77777777" w:rsidR="00CC32A6" w:rsidRPr="00B051E5" w:rsidRDefault="00CC32A6" w:rsidP="00502034">
            <w:pPr>
              <w:rPr>
                <w:rFonts w:ascii="Garamond" w:eastAsia="Calibri" w:hAnsi="Garamond"/>
                <w:bCs/>
                <w:color w:val="000000" w:themeColor="text1"/>
                <w:sz w:val="20"/>
                <w:szCs w:val="20"/>
                <w:lang w:val="en-US"/>
              </w:rPr>
            </w:pPr>
          </w:p>
          <w:p w14:paraId="2DCC4782" w14:textId="49FB097F" w:rsidR="00574340" w:rsidRPr="00B051E5" w:rsidRDefault="00574340" w:rsidP="00502034">
            <w:pPr>
              <w:rPr>
                <w:rFonts w:ascii="Garamond" w:eastAsia="Calibri" w:hAnsi="Garamond"/>
                <w:color w:val="000000" w:themeColor="text1"/>
                <w:sz w:val="20"/>
                <w:szCs w:val="20"/>
              </w:rPr>
            </w:pPr>
            <w:r w:rsidRPr="00B051E5">
              <w:rPr>
                <w:rFonts w:ascii="Garamond" w:eastAsia="Calibri" w:hAnsi="Garamond"/>
                <w:bCs/>
                <w:color w:val="000000" w:themeColor="text1"/>
                <w:sz w:val="20"/>
                <w:szCs w:val="20"/>
                <w:lang w:val="en-US"/>
              </w:rPr>
              <w:t>Words marked with a ‘*’ also include derivatives of the original.</w:t>
            </w:r>
          </w:p>
          <w:p w14:paraId="01F524E5" w14:textId="78F3CD11" w:rsidR="00F04E75" w:rsidRPr="00B051E5" w:rsidRDefault="00F04E75" w:rsidP="00C42CF0">
            <w:pPr>
              <w:spacing w:after="160" w:line="259" w:lineRule="auto"/>
              <w:rPr>
                <w:rFonts w:ascii="Garamond" w:eastAsia="Calibri" w:hAnsi="Garamond" w:cs="Arial"/>
                <w:color w:val="000000" w:themeColor="text1"/>
                <w:sz w:val="20"/>
                <w:szCs w:val="20"/>
                <w:lang w:eastAsia="en-US"/>
              </w:rPr>
            </w:pPr>
          </w:p>
        </w:tc>
        <w:tc>
          <w:tcPr>
            <w:tcW w:w="6601" w:type="dxa"/>
          </w:tcPr>
          <w:p w14:paraId="349512C0" w14:textId="6043C797" w:rsidR="00F04E75" w:rsidRPr="00B051E5" w:rsidRDefault="00EC77C3" w:rsidP="00C42CF0">
            <w:pPr>
              <w:spacing w:after="160" w:line="259" w:lineRule="auto"/>
              <w:rPr>
                <w:rFonts w:ascii="Garamond" w:eastAsia="Calibri" w:hAnsi="Garamond" w:cs="Arial"/>
                <w:color w:val="000000" w:themeColor="text1"/>
                <w:sz w:val="20"/>
                <w:szCs w:val="20"/>
                <w:lang w:eastAsia="en-US"/>
              </w:rPr>
            </w:pPr>
            <w:r w:rsidRPr="00B051E5">
              <w:rPr>
                <w:rFonts w:ascii="Garamond" w:eastAsia="Calibri" w:hAnsi="Garamond" w:cs="Arial"/>
                <w:noProof/>
                <w:color w:val="000000" w:themeColor="text1"/>
                <w:sz w:val="20"/>
                <w:szCs w:val="20"/>
                <w:lang w:eastAsia="en-US"/>
              </w:rPr>
              <mc:AlternateContent>
                <mc:Choice Requires="wps">
                  <w:drawing>
                    <wp:anchor distT="0" distB="0" distL="114300" distR="114300" simplePos="0" relativeHeight="251660288" behindDoc="0" locked="0" layoutInCell="1" allowOverlap="1" wp14:anchorId="6D9E013D" wp14:editId="4339D041">
                      <wp:simplePos x="0" y="0"/>
                      <wp:positionH relativeFrom="column">
                        <wp:posOffset>3669030</wp:posOffset>
                      </wp:positionH>
                      <wp:positionV relativeFrom="paragraph">
                        <wp:posOffset>2109</wp:posOffset>
                      </wp:positionV>
                      <wp:extent cx="1000125" cy="6492240"/>
                      <wp:effectExtent l="38100" t="0" r="28575" b="22860"/>
                      <wp:wrapNone/>
                      <wp:docPr id="3" name="Left Brace 3"/>
                      <wp:cNvGraphicFramePr/>
                      <a:graphic xmlns:a="http://schemas.openxmlformats.org/drawingml/2006/main">
                        <a:graphicData uri="http://schemas.microsoft.com/office/word/2010/wordprocessingShape">
                          <wps:wsp>
                            <wps:cNvSpPr/>
                            <wps:spPr>
                              <a:xfrm>
                                <a:off x="0" y="0"/>
                                <a:ext cx="1000125" cy="6492240"/>
                              </a:xfrm>
                              <a:prstGeom prst="leftBrace">
                                <a:avLst>
                                  <a:gd name="adj1" fmla="val 8333"/>
                                  <a:gd name="adj2" fmla="val 80299"/>
                                </a:avLst>
                              </a:prstGeom>
                              <a:ln>
                                <a:solidFill>
                                  <a:schemeClr val="tx1"/>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703B88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288.9pt;margin-top:.15pt;width:78.75pt;height:5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" adj="277,17345" strokecolor="black [3213]" strokeweight="1.5pt">
                      <v:stroke joinstyle="miter"/>
                    </v:shape>
                  </w:pict>
                </mc:Fallback>
              </mc:AlternateContent>
            </w:r>
            <w:r w:rsidR="00F04E75" w:rsidRPr="00B051E5">
              <w:rPr>
                <w:rFonts w:ascii="Garamond" w:eastAsia="Calibri" w:hAnsi="Garamond" w:cs="Arial"/>
                <w:noProof/>
                <w:color w:val="000000" w:themeColor="text1"/>
                <w:sz w:val="20"/>
                <w:szCs w:val="20"/>
                <w:lang w:eastAsia="en-US"/>
              </w:rPr>
              <w:drawing>
                <wp:inline distT="0" distB="0" distL="0" distR="0" wp14:anchorId="0FADB8AC" wp14:editId="7B14F6A2">
                  <wp:extent cx="3965223" cy="6492240"/>
                  <wp:effectExtent l="19050" t="0" r="5461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c>
          <w:tcPr>
            <w:tcW w:w="2306" w:type="dxa"/>
          </w:tcPr>
          <w:p w14:paraId="4520E5DE" w14:textId="52FD7379" w:rsidR="00CC32A6" w:rsidRPr="00B051E5" w:rsidRDefault="00CC32A6" w:rsidP="00574340">
            <w:pPr>
              <w:jc w:val="both"/>
              <w:rPr>
                <w:rFonts w:ascii="Garamond" w:eastAsia="Calibri" w:hAnsi="Garamond"/>
                <w:color w:val="000000" w:themeColor="text1"/>
                <w:sz w:val="20"/>
                <w:szCs w:val="20"/>
              </w:rPr>
            </w:pPr>
          </w:p>
          <w:p w14:paraId="1A1F4D8B" w14:textId="42750CA3" w:rsidR="00CC32A6" w:rsidRPr="00B051E5" w:rsidRDefault="00CC32A6" w:rsidP="00CC32A6">
            <w:pPr>
              <w:jc w:val="both"/>
              <w:rPr>
                <w:rFonts w:ascii="Garamond" w:eastAsia="Calibri" w:hAnsi="Garamond"/>
                <w:color w:val="000000" w:themeColor="text1"/>
                <w:sz w:val="20"/>
                <w:szCs w:val="20"/>
              </w:rPr>
            </w:pPr>
            <w:r w:rsidRPr="00B051E5">
              <w:rPr>
                <w:rFonts w:ascii="Garamond" w:eastAsia="Calibri" w:hAnsi="Garamond"/>
                <w:color w:val="000000" w:themeColor="text1"/>
                <w:sz w:val="20"/>
                <w:szCs w:val="20"/>
              </w:rPr>
              <w:t xml:space="preserve">Our final forward-looking word list includes the following words: </w:t>
            </w:r>
          </w:p>
          <w:p w14:paraId="56258A0B" w14:textId="18126A03" w:rsidR="00016C0D" w:rsidRPr="00B051E5" w:rsidRDefault="00016C0D" w:rsidP="00574340">
            <w:pPr>
              <w:jc w:val="both"/>
              <w:rPr>
                <w:rFonts w:ascii="Garamond" w:eastAsia="Calibri" w:hAnsi="Garamond"/>
                <w:color w:val="000000" w:themeColor="text1"/>
                <w:sz w:val="20"/>
                <w:szCs w:val="20"/>
              </w:rPr>
            </w:pPr>
          </w:p>
          <w:p w14:paraId="50ECCE50" w14:textId="7E0A3F7C" w:rsidR="00016C0D" w:rsidRPr="00B051E5" w:rsidRDefault="00016C0D" w:rsidP="00574340">
            <w:pPr>
              <w:jc w:val="both"/>
              <w:rPr>
                <w:rFonts w:ascii="Garamond" w:eastAsia="Calibri" w:hAnsi="Garamond"/>
                <w:color w:val="000000" w:themeColor="text1"/>
                <w:sz w:val="20"/>
                <w:szCs w:val="20"/>
              </w:rPr>
            </w:pPr>
            <w:r w:rsidRPr="00B051E5">
              <w:rPr>
                <w:rFonts w:ascii="Garamond" w:eastAsia="Calibri" w:hAnsi="Garamond"/>
                <w:color w:val="000000" w:themeColor="text1"/>
                <w:sz w:val="20"/>
                <w:szCs w:val="20"/>
              </w:rPr>
              <w:t xml:space="preserve">(1) </w:t>
            </w:r>
            <w:r w:rsidR="00574340" w:rsidRPr="00B051E5">
              <w:rPr>
                <w:rFonts w:ascii="Garamond" w:eastAsia="Calibri" w:hAnsi="Garamond"/>
                <w:color w:val="000000" w:themeColor="text1"/>
                <w:sz w:val="20"/>
                <w:szCs w:val="20"/>
              </w:rPr>
              <w:t>forward-looking words:</w:t>
            </w:r>
          </w:p>
          <w:p w14:paraId="31BAFA13" w14:textId="6B1533D1" w:rsidR="00016C0D" w:rsidRPr="00B051E5" w:rsidRDefault="00574340" w:rsidP="00574340">
            <w:pPr>
              <w:jc w:val="both"/>
              <w:rPr>
                <w:rFonts w:ascii="Garamond" w:eastAsia="Calibri" w:hAnsi="Garamond"/>
                <w:color w:val="000000" w:themeColor="text1"/>
                <w:sz w:val="20"/>
                <w:szCs w:val="20"/>
              </w:rPr>
            </w:pPr>
            <w:r w:rsidRPr="00B051E5">
              <w:rPr>
                <w:rFonts w:ascii="Garamond" w:eastAsia="Calibri" w:hAnsi="Garamond"/>
                <w:color w:val="000000" w:themeColor="text1"/>
                <w:sz w:val="20"/>
                <w:szCs w:val="20"/>
              </w:rPr>
              <w:t xml:space="preserve"> coming (financial) year(s), coming month(s),</w:t>
            </w:r>
            <w:r w:rsidRPr="00B051E5">
              <w:rPr>
                <w:rFonts w:ascii="Garamond" w:eastAsia="Calibri" w:hAnsi="Garamond"/>
                <w:bCs/>
                <w:iCs/>
                <w:color w:val="000000" w:themeColor="text1"/>
                <w:sz w:val="20"/>
                <w:szCs w:val="20"/>
              </w:rPr>
              <w:t xml:space="preserve"> confidence (or confident), forecasting, </w:t>
            </w:r>
            <w:r w:rsidRPr="00B051E5">
              <w:rPr>
                <w:rFonts w:ascii="Garamond" w:eastAsia="Calibri" w:hAnsi="Garamond"/>
                <w:color w:val="000000" w:themeColor="text1"/>
                <w:sz w:val="20"/>
                <w:szCs w:val="20"/>
              </w:rPr>
              <w:t xml:space="preserve">forthcoming, future, look-forward, look-ahead, </w:t>
            </w:r>
            <w:r w:rsidRPr="00B051E5">
              <w:rPr>
                <w:rFonts w:ascii="Garamond" w:eastAsia="Calibri" w:hAnsi="Garamond"/>
                <w:bCs/>
                <w:iCs/>
                <w:color w:val="000000" w:themeColor="text1"/>
                <w:sz w:val="20"/>
                <w:szCs w:val="20"/>
              </w:rPr>
              <w:t xml:space="preserve">optimistic, </w:t>
            </w:r>
            <w:r w:rsidRPr="00B051E5">
              <w:rPr>
                <w:rFonts w:ascii="Garamond" w:eastAsia="Calibri" w:hAnsi="Garamond"/>
                <w:color w:val="000000" w:themeColor="text1"/>
                <w:sz w:val="20"/>
                <w:szCs w:val="20"/>
              </w:rPr>
              <w:t>outlook,</w:t>
            </w:r>
            <w:r w:rsidRPr="00B051E5">
              <w:rPr>
                <w:rFonts w:ascii="Garamond" w:eastAsia="Calibri" w:hAnsi="Garamond"/>
                <w:bCs/>
                <w:iCs/>
                <w:color w:val="000000" w:themeColor="text1"/>
                <w:sz w:val="20"/>
                <w:szCs w:val="20"/>
              </w:rPr>
              <w:t xml:space="preserve"> prospect,</w:t>
            </w:r>
            <w:r w:rsidRPr="00B051E5">
              <w:rPr>
                <w:rFonts w:ascii="Garamond" w:eastAsia="Calibri" w:hAnsi="Garamond"/>
                <w:color w:val="000000" w:themeColor="text1"/>
                <w:sz w:val="20"/>
                <w:szCs w:val="20"/>
              </w:rPr>
              <w:t xml:space="preserve"> next month(s), next year(s), </w:t>
            </w:r>
            <w:r w:rsidRPr="00B051E5">
              <w:rPr>
                <w:rFonts w:ascii="Garamond" w:eastAsia="Calibri" w:hAnsi="Garamond"/>
                <w:bCs/>
                <w:iCs/>
                <w:color w:val="000000" w:themeColor="text1"/>
                <w:sz w:val="20"/>
                <w:szCs w:val="20"/>
              </w:rPr>
              <w:t xml:space="preserve">novel, </w:t>
            </w:r>
            <w:r w:rsidRPr="00B051E5">
              <w:rPr>
                <w:rFonts w:ascii="Garamond" w:eastAsia="Calibri" w:hAnsi="Garamond"/>
                <w:color w:val="000000" w:themeColor="text1"/>
                <w:sz w:val="20"/>
                <w:szCs w:val="20"/>
              </w:rPr>
              <w:t>shortly, soon, and year(s)</w:t>
            </w:r>
            <w:r w:rsidR="00CB3A62" w:rsidRPr="00B051E5">
              <w:rPr>
                <w:rFonts w:ascii="Garamond" w:eastAsia="Calibri" w:hAnsi="Garamond"/>
                <w:color w:val="000000" w:themeColor="text1"/>
                <w:sz w:val="20"/>
                <w:szCs w:val="20"/>
              </w:rPr>
              <w:t xml:space="preserve"> </w:t>
            </w:r>
            <w:r w:rsidRPr="00B051E5">
              <w:rPr>
                <w:rFonts w:ascii="Garamond" w:eastAsia="Calibri" w:hAnsi="Garamond"/>
                <w:color w:val="000000" w:themeColor="text1"/>
                <w:sz w:val="20"/>
                <w:szCs w:val="20"/>
              </w:rPr>
              <w:t xml:space="preserve">ahead; </w:t>
            </w:r>
          </w:p>
          <w:p w14:paraId="60C5FD66" w14:textId="77777777" w:rsidR="00016C0D" w:rsidRPr="00B051E5" w:rsidRDefault="00016C0D" w:rsidP="00574340">
            <w:pPr>
              <w:jc w:val="both"/>
              <w:rPr>
                <w:rFonts w:ascii="Garamond" w:eastAsia="Calibri" w:hAnsi="Garamond"/>
                <w:color w:val="000000" w:themeColor="text1"/>
                <w:sz w:val="20"/>
                <w:szCs w:val="20"/>
              </w:rPr>
            </w:pPr>
          </w:p>
          <w:p w14:paraId="10F16558" w14:textId="77777777" w:rsidR="00016C0D" w:rsidRPr="00B051E5" w:rsidRDefault="00574340" w:rsidP="00574340">
            <w:pPr>
              <w:jc w:val="both"/>
              <w:rPr>
                <w:rFonts w:ascii="Garamond" w:eastAsia="Calibri" w:hAnsi="Garamond"/>
                <w:bCs/>
                <w:color w:val="000000" w:themeColor="text1"/>
                <w:sz w:val="20"/>
                <w:szCs w:val="20"/>
                <w:lang w:val="en-US"/>
              </w:rPr>
            </w:pPr>
            <w:r w:rsidRPr="00B051E5">
              <w:rPr>
                <w:rFonts w:ascii="Garamond" w:eastAsia="Calibri" w:hAnsi="Garamond"/>
                <w:color w:val="000000" w:themeColor="text1"/>
                <w:sz w:val="20"/>
                <w:szCs w:val="20"/>
              </w:rPr>
              <w:t>(2) counting any sentence that included any conjugations of the following verbs:</w:t>
            </w:r>
            <w:r w:rsidRPr="00B051E5">
              <w:rPr>
                <w:rFonts w:ascii="Garamond" w:eastAsia="Calibri" w:hAnsi="Garamond"/>
                <w:bCs/>
                <w:iCs/>
                <w:color w:val="000000" w:themeColor="text1"/>
                <w:sz w:val="20"/>
                <w:szCs w:val="20"/>
              </w:rPr>
              <w:t xml:space="preserve"> accelerate, anticipate, await, envisage, estimate, eventual, expect, forecast, intend (or intention), plan*, predict*, remain*, renew*, and will</w:t>
            </w:r>
            <w:r w:rsidRPr="00B051E5">
              <w:rPr>
                <w:rFonts w:ascii="Garamond" w:eastAsia="Calibri" w:hAnsi="Garamond"/>
                <w:color w:val="000000" w:themeColor="text1"/>
                <w:sz w:val="20"/>
                <w:szCs w:val="20"/>
              </w:rPr>
              <w:t xml:space="preserve"> (for </w:t>
            </w:r>
            <w:r w:rsidRPr="00B051E5">
              <w:rPr>
                <w:rFonts w:ascii="Garamond" w:eastAsia="Calibri" w:hAnsi="Garamond"/>
                <w:bCs/>
                <w:color w:val="000000" w:themeColor="text1"/>
                <w:sz w:val="20"/>
                <w:szCs w:val="20"/>
                <w:lang w:val="en-US"/>
              </w:rPr>
              <w:t>words marked with a ‘*’ we also included derivatives of the original); and</w:t>
            </w:r>
          </w:p>
          <w:p w14:paraId="29ACFDF8" w14:textId="77777777" w:rsidR="00016C0D" w:rsidRPr="00B051E5" w:rsidRDefault="00016C0D" w:rsidP="00574340">
            <w:pPr>
              <w:jc w:val="both"/>
              <w:rPr>
                <w:rFonts w:ascii="Garamond" w:eastAsia="Calibri" w:hAnsi="Garamond"/>
                <w:bCs/>
                <w:color w:val="000000" w:themeColor="text1"/>
                <w:sz w:val="20"/>
                <w:szCs w:val="20"/>
                <w:lang w:val="en-US"/>
              </w:rPr>
            </w:pPr>
          </w:p>
          <w:p w14:paraId="55FD1403" w14:textId="5FE0935E" w:rsidR="00F04E75" w:rsidRPr="00B051E5" w:rsidRDefault="00574340" w:rsidP="00016C0D">
            <w:pPr>
              <w:jc w:val="both"/>
              <w:rPr>
                <w:rFonts w:ascii="Garamond" w:eastAsia="Calibri" w:hAnsi="Garamond" w:cs="Arial"/>
                <w:color w:val="000000" w:themeColor="text1"/>
                <w:sz w:val="20"/>
                <w:szCs w:val="20"/>
                <w:lang w:eastAsia="en-US"/>
              </w:rPr>
            </w:pPr>
            <w:r w:rsidRPr="00B051E5">
              <w:rPr>
                <w:rFonts w:ascii="Garamond" w:eastAsia="Calibri" w:hAnsi="Garamond"/>
                <w:bCs/>
                <w:color w:val="000000" w:themeColor="text1"/>
                <w:sz w:val="20"/>
                <w:szCs w:val="20"/>
                <w:lang w:val="en-US"/>
              </w:rPr>
              <w:t xml:space="preserve"> (3) counting any</w:t>
            </w:r>
            <w:r w:rsidRPr="00B051E5">
              <w:rPr>
                <w:rFonts w:ascii="Garamond" w:eastAsia="Calibri" w:hAnsi="Garamond"/>
                <w:color w:val="000000" w:themeColor="text1"/>
                <w:sz w:val="20"/>
                <w:szCs w:val="20"/>
              </w:rPr>
              <w:t xml:space="preserve"> sentence that contained a reference to a year later than the year of the analyzed annual report (e.g. the year 2007 in a company’s annual report for 2006 or 2005)</w:t>
            </w:r>
            <w:r w:rsidRPr="00B051E5">
              <w:rPr>
                <w:rFonts w:ascii="Garamond" w:eastAsia="Calibri" w:hAnsi="Garamond"/>
                <w:bCs/>
                <w:iCs/>
                <w:color w:val="000000" w:themeColor="text1"/>
                <w:sz w:val="20"/>
                <w:szCs w:val="20"/>
              </w:rPr>
              <w:t>.</w:t>
            </w:r>
            <w:r w:rsidRPr="00B051E5">
              <w:rPr>
                <w:rFonts w:ascii="Garamond" w:eastAsia="Calibri" w:hAnsi="Garamond"/>
                <w:color w:val="000000" w:themeColor="text1"/>
                <w:sz w:val="20"/>
                <w:szCs w:val="20"/>
              </w:rPr>
              <w:t xml:space="preserve"> </w:t>
            </w:r>
          </w:p>
        </w:tc>
      </w:tr>
    </w:tbl>
    <w:p w14:paraId="742D449B" w14:textId="10543333" w:rsidR="00C42CF0" w:rsidRPr="00B051E5" w:rsidRDefault="00C42CF0" w:rsidP="00C42CF0">
      <w:pPr>
        <w:spacing w:after="160" w:line="276" w:lineRule="auto"/>
        <w:rPr>
          <w:rFonts w:ascii="Garamond" w:eastAsia="Calibri" w:hAnsi="Garamond" w:cs="Arial"/>
          <w:color w:val="000000" w:themeColor="text1"/>
          <w:sz w:val="20"/>
          <w:szCs w:val="20"/>
          <w:lang w:eastAsia="en-US"/>
        </w:rPr>
      </w:pPr>
      <w:r w:rsidRPr="00B051E5">
        <w:rPr>
          <w:rFonts w:ascii="Garamond" w:eastAsia="Calibri" w:hAnsi="Garamond" w:cs="Arial"/>
          <w:color w:val="000000" w:themeColor="text1"/>
          <w:sz w:val="20"/>
          <w:szCs w:val="20"/>
          <w:lang w:eastAsia="en-US"/>
        </w:rPr>
        <w:t>This figure describes the three main steps taken to generate risk disclosure scores (aggregate and its time orientation)</w:t>
      </w:r>
      <w:r w:rsidR="00CB3A62" w:rsidRPr="00B051E5">
        <w:rPr>
          <w:rFonts w:ascii="Garamond" w:eastAsia="Calibri" w:hAnsi="Garamond" w:cs="Arial"/>
          <w:color w:val="000000" w:themeColor="text1"/>
          <w:sz w:val="20"/>
          <w:szCs w:val="20"/>
          <w:lang w:eastAsia="en-US"/>
        </w:rPr>
        <w:t>, it also provides our final risk and forward-looking word lists.</w:t>
      </w:r>
    </w:p>
    <w:p w14:paraId="093CD797" w14:textId="7E2767D6" w:rsidR="00B46B99" w:rsidRPr="00B051E5" w:rsidRDefault="00B46B99" w:rsidP="00C42CF0">
      <w:pPr>
        <w:spacing w:after="160" w:line="276" w:lineRule="auto"/>
        <w:rPr>
          <w:rFonts w:ascii="Garamond" w:hAnsi="Garamond" w:cs="Arial"/>
          <w:b/>
          <w:color w:val="000000" w:themeColor="text1"/>
          <w:sz w:val="20"/>
          <w:szCs w:val="20"/>
          <w:lang w:eastAsia="en-US"/>
        </w:rPr>
      </w:pPr>
    </w:p>
    <w:p w14:paraId="48C76E7C" w14:textId="25E65AB3" w:rsidR="00B46B99" w:rsidRPr="00B051E5" w:rsidRDefault="00B46B99" w:rsidP="00C42CF0">
      <w:pPr>
        <w:spacing w:after="160" w:line="276" w:lineRule="auto"/>
        <w:rPr>
          <w:rFonts w:ascii="Garamond" w:hAnsi="Garamond" w:cs="Arial"/>
          <w:b/>
          <w:color w:val="000000" w:themeColor="text1"/>
          <w:sz w:val="20"/>
          <w:szCs w:val="20"/>
          <w:lang w:eastAsia="en-US"/>
        </w:rPr>
      </w:pPr>
    </w:p>
    <w:p w14:paraId="11323BBA" w14:textId="4F2A18F9" w:rsidR="00B46B99" w:rsidRPr="00B051E5" w:rsidRDefault="00B46B99" w:rsidP="00C42CF0">
      <w:pPr>
        <w:spacing w:after="160" w:line="276" w:lineRule="auto"/>
        <w:rPr>
          <w:rFonts w:ascii="Garamond" w:hAnsi="Garamond" w:cs="Arial"/>
          <w:b/>
          <w:color w:val="000000" w:themeColor="text1"/>
          <w:sz w:val="20"/>
          <w:szCs w:val="20"/>
          <w:lang w:eastAsia="en-US"/>
        </w:rPr>
      </w:pPr>
    </w:p>
    <w:p w14:paraId="1D0CF076" w14:textId="147196D7" w:rsidR="00B46B99" w:rsidRPr="00B051E5" w:rsidRDefault="00B46B99" w:rsidP="00C42CF0">
      <w:pPr>
        <w:spacing w:after="160" w:line="276" w:lineRule="auto"/>
        <w:rPr>
          <w:rFonts w:ascii="Garamond" w:hAnsi="Garamond" w:cs="Arial"/>
          <w:b/>
          <w:color w:val="000000" w:themeColor="text1"/>
          <w:sz w:val="20"/>
          <w:szCs w:val="20"/>
          <w:lang w:eastAsia="en-US"/>
        </w:rPr>
      </w:pPr>
    </w:p>
    <w:tbl>
      <w:tblPr>
        <w:tblStyle w:val="TableGrid3"/>
        <w:tblpPr w:leftFromText="180" w:rightFromText="180" w:vertAnchor="page" w:horzAnchor="margin" w:tblpY="192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134"/>
      </w:tblGrid>
      <w:tr w:rsidR="00B051E5" w:rsidRPr="00B051E5" w14:paraId="67EFB737" w14:textId="77777777" w:rsidTr="00B621C7">
        <w:trPr>
          <w:trHeight w:val="275"/>
        </w:trPr>
        <w:tc>
          <w:tcPr>
            <w:tcW w:w="8647" w:type="dxa"/>
            <w:gridSpan w:val="2"/>
            <w:tcBorders>
              <w:top w:val="single" w:sz="4" w:space="0" w:color="auto"/>
              <w:bottom w:val="single" w:sz="4" w:space="0" w:color="auto"/>
            </w:tcBorders>
          </w:tcPr>
          <w:p w14:paraId="4AFD0683" w14:textId="77777777" w:rsidR="00B46B99" w:rsidRPr="00B051E5" w:rsidRDefault="00B46B99" w:rsidP="00C6393B">
            <w:pPr>
              <w:keepNext/>
              <w:keepLines/>
              <w:outlineLvl w:val="1"/>
              <w:rPr>
                <w:rFonts w:ascii="Garamond" w:hAnsi="Garamond"/>
                <w:bCs/>
                <w:color w:val="000000" w:themeColor="text1"/>
                <w:kern w:val="16"/>
                <w:sz w:val="20"/>
                <w:szCs w:val="20"/>
              </w:rPr>
            </w:pPr>
            <w:r w:rsidRPr="00B051E5">
              <w:rPr>
                <w:rFonts w:ascii="Garamond" w:hAnsi="Garamond"/>
                <w:b/>
                <w:bCs/>
                <w:color w:val="000000" w:themeColor="text1"/>
                <w:kern w:val="16"/>
                <w:sz w:val="20"/>
                <w:szCs w:val="20"/>
              </w:rPr>
              <w:lastRenderedPageBreak/>
              <w:t xml:space="preserve">Panel A. Sample selection </w:t>
            </w:r>
          </w:p>
        </w:tc>
      </w:tr>
      <w:tr w:rsidR="00B051E5" w:rsidRPr="00B051E5" w14:paraId="46BD2022" w14:textId="77777777" w:rsidTr="00B621C7">
        <w:trPr>
          <w:trHeight w:val="272"/>
        </w:trPr>
        <w:tc>
          <w:tcPr>
            <w:tcW w:w="7513" w:type="dxa"/>
            <w:tcBorders>
              <w:top w:val="single" w:sz="4" w:space="0" w:color="auto"/>
              <w:bottom w:val="single" w:sz="4" w:space="0" w:color="auto"/>
            </w:tcBorders>
          </w:tcPr>
          <w:p w14:paraId="72549AD6" w14:textId="77777777" w:rsidR="00B46B99" w:rsidRPr="00B051E5" w:rsidRDefault="00B46B99" w:rsidP="00C6393B">
            <w:pPr>
              <w:keepNext/>
              <w:keepLines/>
              <w:outlineLvl w:val="1"/>
              <w:rPr>
                <w:rFonts w:ascii="Garamond" w:hAnsi="Garamond"/>
                <w:color w:val="000000" w:themeColor="text1"/>
                <w:kern w:val="16"/>
                <w:sz w:val="20"/>
                <w:szCs w:val="20"/>
              </w:rPr>
            </w:pPr>
            <w:r w:rsidRPr="00B051E5">
              <w:rPr>
                <w:rFonts w:ascii="Garamond" w:hAnsi="Garamond"/>
                <w:color w:val="000000" w:themeColor="text1"/>
                <w:kern w:val="16"/>
                <w:sz w:val="20"/>
                <w:szCs w:val="20"/>
              </w:rPr>
              <w:t xml:space="preserve">FTSE All non-financial firms, obtained from Thomson One, from 2005 to 2014 </w:t>
            </w:r>
          </w:p>
        </w:tc>
        <w:tc>
          <w:tcPr>
            <w:tcW w:w="1134" w:type="dxa"/>
            <w:tcBorders>
              <w:top w:val="single" w:sz="4" w:space="0" w:color="auto"/>
              <w:bottom w:val="single" w:sz="4" w:space="0" w:color="auto"/>
            </w:tcBorders>
          </w:tcPr>
          <w:p w14:paraId="32C4E620" w14:textId="77777777" w:rsidR="00B46B99" w:rsidRPr="00B051E5" w:rsidRDefault="00B46B99" w:rsidP="00C6393B">
            <w:pPr>
              <w:keepNext/>
              <w:keepLines/>
              <w:jc w:val="right"/>
              <w:outlineLvl w:val="1"/>
              <w:rPr>
                <w:rFonts w:ascii="Garamond" w:hAnsi="Garamond"/>
                <w:bCs/>
                <w:color w:val="000000" w:themeColor="text1"/>
                <w:kern w:val="16"/>
                <w:sz w:val="20"/>
                <w:szCs w:val="20"/>
              </w:rPr>
            </w:pPr>
            <w:r w:rsidRPr="00B051E5">
              <w:rPr>
                <w:rFonts w:ascii="Garamond" w:eastAsia="Calibri" w:hAnsi="Garamond"/>
                <w:color w:val="000000" w:themeColor="text1"/>
                <w:sz w:val="20"/>
                <w:szCs w:val="20"/>
              </w:rPr>
              <w:t>3,390</w:t>
            </w:r>
          </w:p>
        </w:tc>
      </w:tr>
      <w:tr w:rsidR="00B051E5" w:rsidRPr="00B051E5" w14:paraId="2F0AD902" w14:textId="77777777" w:rsidTr="00B621C7">
        <w:trPr>
          <w:trHeight w:val="502"/>
        </w:trPr>
        <w:tc>
          <w:tcPr>
            <w:tcW w:w="7513" w:type="dxa"/>
            <w:tcBorders>
              <w:top w:val="single" w:sz="4" w:space="0" w:color="auto"/>
            </w:tcBorders>
          </w:tcPr>
          <w:p w14:paraId="60868F44" w14:textId="77777777" w:rsidR="00B46B99" w:rsidRPr="00B051E5" w:rsidRDefault="00B46B99" w:rsidP="00C6393B">
            <w:pPr>
              <w:keepNext/>
              <w:keepLines/>
              <w:outlineLvl w:val="1"/>
              <w:rPr>
                <w:rFonts w:ascii="Garamond" w:hAnsi="Garamond"/>
                <w:b/>
                <w:bCs/>
                <w:color w:val="000000" w:themeColor="text1"/>
                <w:kern w:val="16"/>
                <w:sz w:val="20"/>
                <w:szCs w:val="20"/>
              </w:rPr>
            </w:pPr>
            <w:r w:rsidRPr="00B051E5">
              <w:rPr>
                <w:rFonts w:ascii="Garamond" w:hAnsi="Garamond"/>
                <w:b/>
                <w:bCs/>
                <w:color w:val="000000" w:themeColor="text1"/>
                <w:kern w:val="16"/>
                <w:sz w:val="20"/>
                <w:szCs w:val="20"/>
              </w:rPr>
              <w:t>Exclude:</w:t>
            </w:r>
          </w:p>
          <w:p w14:paraId="25331885" w14:textId="77777777" w:rsidR="00B46B99" w:rsidRPr="00B051E5" w:rsidRDefault="00B46B99" w:rsidP="00C6393B">
            <w:pPr>
              <w:keepNext/>
              <w:keepLines/>
              <w:outlineLvl w:val="1"/>
              <w:rPr>
                <w:rFonts w:ascii="Garamond" w:hAnsi="Garamond"/>
                <w:b/>
                <w:bCs/>
                <w:color w:val="000000" w:themeColor="text1"/>
                <w:kern w:val="16"/>
                <w:sz w:val="20"/>
                <w:szCs w:val="20"/>
              </w:rPr>
            </w:pPr>
          </w:p>
          <w:p w14:paraId="3440609D" w14:textId="77777777" w:rsidR="00B46B99" w:rsidRPr="00B051E5" w:rsidRDefault="00B46B99" w:rsidP="00C6393B">
            <w:pPr>
              <w:keepNext/>
              <w:keepLines/>
              <w:outlineLvl w:val="1"/>
              <w:rPr>
                <w:rFonts w:ascii="Garamond" w:hAnsi="Garamond"/>
                <w:color w:val="000000" w:themeColor="text1"/>
                <w:kern w:val="16"/>
                <w:sz w:val="20"/>
                <w:szCs w:val="20"/>
              </w:rPr>
            </w:pPr>
            <w:r w:rsidRPr="00B051E5">
              <w:rPr>
                <w:rFonts w:ascii="Garamond" w:hAnsi="Garamond"/>
                <w:color w:val="000000" w:themeColor="text1"/>
                <w:kern w:val="16"/>
                <w:sz w:val="20"/>
                <w:szCs w:val="20"/>
              </w:rPr>
              <w:t xml:space="preserve">               Firms with unconvertible (into text) annual reports</w:t>
            </w:r>
          </w:p>
        </w:tc>
        <w:tc>
          <w:tcPr>
            <w:tcW w:w="1134" w:type="dxa"/>
            <w:tcBorders>
              <w:top w:val="single" w:sz="4" w:space="0" w:color="auto"/>
            </w:tcBorders>
          </w:tcPr>
          <w:p w14:paraId="24C726A7" w14:textId="77777777" w:rsidR="00B46B99" w:rsidRPr="00B051E5" w:rsidRDefault="00B46B99" w:rsidP="00C6393B">
            <w:pPr>
              <w:keepNext/>
              <w:keepLines/>
              <w:jc w:val="right"/>
              <w:outlineLvl w:val="1"/>
              <w:rPr>
                <w:rFonts w:ascii="Garamond" w:hAnsi="Garamond"/>
                <w:bCs/>
                <w:color w:val="000000" w:themeColor="text1"/>
                <w:kern w:val="16"/>
                <w:sz w:val="20"/>
                <w:szCs w:val="20"/>
              </w:rPr>
            </w:pPr>
          </w:p>
          <w:p w14:paraId="07229051" w14:textId="77777777" w:rsidR="00B46B99" w:rsidRPr="00B051E5" w:rsidRDefault="00B46B99" w:rsidP="00C6393B">
            <w:pPr>
              <w:keepNext/>
              <w:keepLines/>
              <w:jc w:val="right"/>
              <w:outlineLvl w:val="1"/>
              <w:rPr>
                <w:rFonts w:ascii="Garamond" w:hAnsi="Garamond"/>
                <w:bCs/>
                <w:color w:val="000000" w:themeColor="text1"/>
                <w:kern w:val="16"/>
                <w:sz w:val="20"/>
                <w:szCs w:val="20"/>
              </w:rPr>
            </w:pPr>
          </w:p>
          <w:p w14:paraId="54071704" w14:textId="77777777" w:rsidR="00B46B99" w:rsidRPr="00B051E5" w:rsidRDefault="00B46B99" w:rsidP="00C6393B">
            <w:pPr>
              <w:keepNext/>
              <w:keepLines/>
              <w:jc w:val="right"/>
              <w:outlineLvl w:val="1"/>
              <w:rPr>
                <w:rFonts w:ascii="Garamond" w:hAnsi="Garamond"/>
                <w:bCs/>
                <w:color w:val="000000" w:themeColor="text1"/>
                <w:kern w:val="16"/>
                <w:sz w:val="20"/>
                <w:szCs w:val="20"/>
              </w:rPr>
            </w:pPr>
            <w:r w:rsidRPr="00B051E5">
              <w:rPr>
                <w:rFonts w:ascii="Garamond" w:hAnsi="Garamond"/>
                <w:bCs/>
                <w:color w:val="000000" w:themeColor="text1"/>
                <w:kern w:val="16"/>
                <w:sz w:val="20"/>
                <w:szCs w:val="20"/>
              </w:rPr>
              <w:t>(</w:t>
            </w:r>
            <w:r w:rsidRPr="00B051E5">
              <w:rPr>
                <w:rFonts w:ascii="Garamond" w:eastAsia="Calibri" w:hAnsi="Garamond"/>
                <w:color w:val="000000" w:themeColor="text1"/>
                <w:sz w:val="20"/>
                <w:szCs w:val="20"/>
              </w:rPr>
              <w:t>506</w:t>
            </w:r>
            <w:r w:rsidRPr="00B051E5">
              <w:rPr>
                <w:rFonts w:ascii="Garamond" w:hAnsi="Garamond"/>
                <w:bCs/>
                <w:color w:val="000000" w:themeColor="text1"/>
                <w:kern w:val="16"/>
                <w:sz w:val="20"/>
                <w:szCs w:val="20"/>
              </w:rPr>
              <w:t>)</w:t>
            </w:r>
          </w:p>
        </w:tc>
      </w:tr>
      <w:tr w:rsidR="00B051E5" w:rsidRPr="00B051E5" w14:paraId="15FFA810" w14:textId="77777777" w:rsidTr="00B621C7">
        <w:trPr>
          <w:trHeight w:val="275"/>
        </w:trPr>
        <w:tc>
          <w:tcPr>
            <w:tcW w:w="7513" w:type="dxa"/>
            <w:tcBorders>
              <w:bottom w:val="single" w:sz="4" w:space="0" w:color="auto"/>
            </w:tcBorders>
          </w:tcPr>
          <w:p w14:paraId="4E33F26C" w14:textId="77777777" w:rsidR="00B46B99" w:rsidRPr="00B051E5" w:rsidRDefault="00B46B99" w:rsidP="00C6393B">
            <w:pPr>
              <w:keepNext/>
              <w:keepLines/>
              <w:outlineLvl w:val="1"/>
              <w:rPr>
                <w:rFonts w:ascii="Garamond" w:hAnsi="Garamond"/>
                <w:color w:val="000000" w:themeColor="text1"/>
                <w:kern w:val="16"/>
                <w:sz w:val="20"/>
                <w:szCs w:val="20"/>
              </w:rPr>
            </w:pPr>
            <w:r w:rsidRPr="00B051E5">
              <w:rPr>
                <w:rFonts w:ascii="Garamond" w:hAnsi="Garamond"/>
                <w:color w:val="000000" w:themeColor="text1"/>
                <w:kern w:val="16"/>
                <w:sz w:val="20"/>
                <w:szCs w:val="20"/>
              </w:rPr>
              <w:t xml:space="preserve">              Firms without a complete time series of both annual reports and market data </w:t>
            </w:r>
          </w:p>
        </w:tc>
        <w:tc>
          <w:tcPr>
            <w:tcW w:w="1134" w:type="dxa"/>
            <w:tcBorders>
              <w:bottom w:val="single" w:sz="4" w:space="0" w:color="auto"/>
            </w:tcBorders>
          </w:tcPr>
          <w:p w14:paraId="39E80B20" w14:textId="77777777" w:rsidR="00B46B99" w:rsidRPr="00B051E5" w:rsidRDefault="00B46B99" w:rsidP="00C6393B">
            <w:pPr>
              <w:keepNext/>
              <w:keepLines/>
              <w:jc w:val="right"/>
              <w:outlineLvl w:val="1"/>
              <w:rPr>
                <w:rFonts w:ascii="Garamond" w:hAnsi="Garamond"/>
                <w:bCs/>
                <w:color w:val="000000" w:themeColor="text1"/>
                <w:kern w:val="16"/>
                <w:sz w:val="20"/>
                <w:szCs w:val="20"/>
              </w:rPr>
            </w:pPr>
            <w:r w:rsidRPr="00B051E5">
              <w:rPr>
                <w:rFonts w:ascii="Garamond" w:hAnsi="Garamond"/>
                <w:bCs/>
                <w:color w:val="000000" w:themeColor="text1"/>
                <w:kern w:val="16"/>
                <w:sz w:val="20"/>
                <w:szCs w:val="20"/>
              </w:rPr>
              <w:t>(</w:t>
            </w:r>
            <w:r w:rsidRPr="00B051E5">
              <w:rPr>
                <w:rFonts w:ascii="Garamond" w:eastAsia="Calibri" w:hAnsi="Garamond"/>
                <w:color w:val="000000" w:themeColor="text1"/>
                <w:sz w:val="20"/>
                <w:szCs w:val="20"/>
              </w:rPr>
              <w:t>666</w:t>
            </w:r>
            <w:r w:rsidRPr="00B051E5">
              <w:rPr>
                <w:rFonts w:ascii="Garamond" w:hAnsi="Garamond"/>
                <w:bCs/>
                <w:color w:val="000000" w:themeColor="text1"/>
                <w:kern w:val="16"/>
                <w:sz w:val="20"/>
                <w:szCs w:val="20"/>
              </w:rPr>
              <w:t>)</w:t>
            </w:r>
          </w:p>
        </w:tc>
      </w:tr>
      <w:tr w:rsidR="00B051E5" w:rsidRPr="00B051E5" w14:paraId="3D0C73A8" w14:textId="77777777" w:rsidTr="00B621C7">
        <w:trPr>
          <w:trHeight w:val="282"/>
        </w:trPr>
        <w:tc>
          <w:tcPr>
            <w:tcW w:w="7513" w:type="dxa"/>
            <w:tcBorders>
              <w:top w:val="single" w:sz="4" w:space="0" w:color="auto"/>
              <w:bottom w:val="single" w:sz="4" w:space="0" w:color="auto"/>
            </w:tcBorders>
          </w:tcPr>
          <w:p w14:paraId="0BDF34B3" w14:textId="77777777" w:rsidR="00B46B99" w:rsidRPr="00B051E5" w:rsidRDefault="00B46B99" w:rsidP="00C6393B">
            <w:pPr>
              <w:keepNext/>
              <w:keepLines/>
              <w:outlineLvl w:val="1"/>
              <w:rPr>
                <w:rFonts w:ascii="Garamond" w:hAnsi="Garamond"/>
                <w:bCs/>
                <w:color w:val="000000" w:themeColor="text1"/>
                <w:kern w:val="16"/>
                <w:sz w:val="20"/>
                <w:szCs w:val="20"/>
              </w:rPr>
            </w:pPr>
            <w:r w:rsidRPr="00B051E5">
              <w:rPr>
                <w:rFonts w:ascii="Garamond" w:hAnsi="Garamond"/>
                <w:bCs/>
                <w:color w:val="000000" w:themeColor="text1"/>
                <w:kern w:val="16"/>
                <w:sz w:val="20"/>
                <w:szCs w:val="20"/>
              </w:rPr>
              <w:t xml:space="preserve">Final sample size (number of firms)/Firm-year observations </w:t>
            </w:r>
          </w:p>
        </w:tc>
        <w:tc>
          <w:tcPr>
            <w:tcW w:w="1134" w:type="dxa"/>
            <w:tcBorders>
              <w:top w:val="single" w:sz="4" w:space="0" w:color="auto"/>
              <w:bottom w:val="single" w:sz="4" w:space="0" w:color="auto"/>
            </w:tcBorders>
          </w:tcPr>
          <w:p w14:paraId="0CF56410" w14:textId="77777777" w:rsidR="00B46B99" w:rsidRPr="00B051E5" w:rsidRDefault="00B46B99" w:rsidP="00C6393B">
            <w:pPr>
              <w:keepNext/>
              <w:keepLines/>
              <w:jc w:val="right"/>
              <w:outlineLvl w:val="1"/>
              <w:rPr>
                <w:rFonts w:ascii="Garamond" w:hAnsi="Garamond"/>
                <w:bCs/>
                <w:color w:val="000000" w:themeColor="text1"/>
                <w:kern w:val="16"/>
                <w:sz w:val="20"/>
                <w:szCs w:val="20"/>
              </w:rPr>
            </w:pPr>
            <w:r w:rsidRPr="00B051E5">
              <w:rPr>
                <w:rFonts w:ascii="Garamond" w:eastAsia="Calibri" w:hAnsi="Garamond"/>
                <w:color w:val="000000" w:themeColor="text1"/>
                <w:sz w:val="20"/>
                <w:szCs w:val="20"/>
              </w:rPr>
              <w:t>2,218</w:t>
            </w:r>
          </w:p>
        </w:tc>
      </w:tr>
    </w:tbl>
    <w:p w14:paraId="21BDD690" w14:textId="523F0DBB" w:rsidR="00B46B99" w:rsidRPr="00B051E5" w:rsidRDefault="00B46B99" w:rsidP="00B46B99">
      <w:pPr>
        <w:spacing w:line="276" w:lineRule="auto"/>
        <w:ind w:left="360" w:hanging="360"/>
        <w:jc w:val="both"/>
        <w:rPr>
          <w:rFonts w:ascii="Garamond" w:hAnsi="Garamond"/>
          <w:b/>
          <w:bCs/>
          <w:color w:val="000000" w:themeColor="text1"/>
          <w:sz w:val="20"/>
          <w:szCs w:val="20"/>
          <w:lang w:val="en-US"/>
        </w:rPr>
      </w:pPr>
      <w:r w:rsidRPr="00B051E5">
        <w:rPr>
          <w:rFonts w:ascii="Garamond" w:hAnsi="Garamond"/>
          <w:b/>
          <w:bCs/>
          <w:color w:val="000000" w:themeColor="text1"/>
          <w:sz w:val="20"/>
          <w:szCs w:val="20"/>
          <w:lang w:val="en-US"/>
        </w:rPr>
        <w:t>Appendix 1. Sample selection and allocation</w:t>
      </w:r>
    </w:p>
    <w:p w14:paraId="0ADD26AF" w14:textId="77777777" w:rsidR="00B46B99" w:rsidRPr="00B051E5" w:rsidRDefault="00B46B99" w:rsidP="00B46B99">
      <w:pPr>
        <w:spacing w:line="276" w:lineRule="auto"/>
        <w:ind w:left="360" w:hanging="360"/>
        <w:jc w:val="both"/>
        <w:rPr>
          <w:rFonts w:ascii="Garamond" w:hAnsi="Garamond"/>
          <w:color w:val="000000" w:themeColor="text1"/>
          <w:sz w:val="20"/>
          <w:szCs w:val="20"/>
        </w:rPr>
      </w:pPr>
    </w:p>
    <w:tbl>
      <w:tblPr>
        <w:tblStyle w:val="TableGrid"/>
        <w:tblpPr w:leftFromText="180" w:rightFromText="180" w:vertAnchor="page" w:horzAnchor="margin" w:tblpY="40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134"/>
        <w:gridCol w:w="1276"/>
      </w:tblGrid>
      <w:tr w:rsidR="00B051E5" w:rsidRPr="00B051E5" w14:paraId="03FAD35A" w14:textId="77777777" w:rsidTr="00B621C7">
        <w:trPr>
          <w:trHeight w:val="324"/>
        </w:trPr>
        <w:tc>
          <w:tcPr>
            <w:tcW w:w="8647" w:type="dxa"/>
            <w:gridSpan w:val="3"/>
            <w:tcBorders>
              <w:top w:val="single" w:sz="4" w:space="0" w:color="auto"/>
              <w:bottom w:val="single" w:sz="4" w:space="0" w:color="auto"/>
            </w:tcBorders>
          </w:tcPr>
          <w:p w14:paraId="6C228951"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b/>
                <w:bCs/>
                <w:color w:val="000000" w:themeColor="text1"/>
                <w:sz w:val="20"/>
                <w:szCs w:val="20"/>
              </w:rPr>
              <w:t>Panel B</w:t>
            </w:r>
            <w:r w:rsidRPr="00B051E5">
              <w:rPr>
                <w:rFonts w:ascii="Garamond" w:hAnsi="Garamond"/>
                <w:color w:val="000000" w:themeColor="text1"/>
                <w:sz w:val="20"/>
                <w:szCs w:val="20"/>
              </w:rPr>
              <w:t>. Sample allocation over years</w:t>
            </w:r>
          </w:p>
        </w:tc>
      </w:tr>
      <w:tr w:rsidR="00B051E5" w:rsidRPr="00B051E5" w14:paraId="7942648B" w14:textId="77777777" w:rsidTr="00B621C7">
        <w:trPr>
          <w:trHeight w:val="324"/>
        </w:trPr>
        <w:tc>
          <w:tcPr>
            <w:tcW w:w="6237" w:type="dxa"/>
            <w:tcBorders>
              <w:top w:val="single" w:sz="4" w:space="0" w:color="auto"/>
              <w:bottom w:val="single" w:sz="4" w:space="0" w:color="auto"/>
            </w:tcBorders>
          </w:tcPr>
          <w:p w14:paraId="488ADEF7"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Year</w:t>
            </w:r>
          </w:p>
        </w:tc>
        <w:tc>
          <w:tcPr>
            <w:tcW w:w="1134" w:type="dxa"/>
            <w:tcBorders>
              <w:top w:val="single" w:sz="4" w:space="0" w:color="auto"/>
              <w:bottom w:val="single" w:sz="4" w:space="0" w:color="auto"/>
            </w:tcBorders>
          </w:tcPr>
          <w:p w14:paraId="12987736"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Freq.</w:t>
            </w:r>
          </w:p>
        </w:tc>
        <w:tc>
          <w:tcPr>
            <w:tcW w:w="1276" w:type="dxa"/>
            <w:tcBorders>
              <w:top w:val="single" w:sz="4" w:space="0" w:color="auto"/>
              <w:bottom w:val="single" w:sz="4" w:space="0" w:color="auto"/>
            </w:tcBorders>
          </w:tcPr>
          <w:p w14:paraId="7E21FF0C"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Percent</w:t>
            </w:r>
          </w:p>
        </w:tc>
      </w:tr>
      <w:tr w:rsidR="00B051E5" w:rsidRPr="00B051E5" w14:paraId="345F28EA" w14:textId="77777777" w:rsidTr="00B621C7">
        <w:trPr>
          <w:trHeight w:val="324"/>
        </w:trPr>
        <w:tc>
          <w:tcPr>
            <w:tcW w:w="6237" w:type="dxa"/>
            <w:tcBorders>
              <w:top w:val="single" w:sz="4" w:space="0" w:color="auto"/>
            </w:tcBorders>
          </w:tcPr>
          <w:p w14:paraId="03182C00"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2005</w:t>
            </w:r>
          </w:p>
        </w:tc>
        <w:tc>
          <w:tcPr>
            <w:tcW w:w="1134" w:type="dxa"/>
            <w:tcBorders>
              <w:top w:val="single" w:sz="4" w:space="0" w:color="auto"/>
            </w:tcBorders>
          </w:tcPr>
          <w:p w14:paraId="515CA715"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243</w:t>
            </w:r>
          </w:p>
        </w:tc>
        <w:tc>
          <w:tcPr>
            <w:tcW w:w="1276" w:type="dxa"/>
            <w:tcBorders>
              <w:top w:val="single" w:sz="4" w:space="0" w:color="auto"/>
            </w:tcBorders>
          </w:tcPr>
          <w:p w14:paraId="6A82BB7A"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10.96</w:t>
            </w:r>
          </w:p>
        </w:tc>
      </w:tr>
      <w:tr w:rsidR="00B051E5" w:rsidRPr="00B051E5" w14:paraId="68A38024" w14:textId="77777777" w:rsidTr="00B621C7">
        <w:trPr>
          <w:trHeight w:val="304"/>
        </w:trPr>
        <w:tc>
          <w:tcPr>
            <w:tcW w:w="6237" w:type="dxa"/>
          </w:tcPr>
          <w:p w14:paraId="41B15A92"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2006</w:t>
            </w:r>
          </w:p>
        </w:tc>
        <w:tc>
          <w:tcPr>
            <w:tcW w:w="1134" w:type="dxa"/>
          </w:tcPr>
          <w:p w14:paraId="4BEC6A68"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254</w:t>
            </w:r>
          </w:p>
        </w:tc>
        <w:tc>
          <w:tcPr>
            <w:tcW w:w="1276" w:type="dxa"/>
          </w:tcPr>
          <w:p w14:paraId="47BAE9AD"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11.45</w:t>
            </w:r>
          </w:p>
        </w:tc>
      </w:tr>
      <w:tr w:rsidR="00B051E5" w:rsidRPr="00B051E5" w14:paraId="2D98B51F" w14:textId="77777777" w:rsidTr="00B621C7">
        <w:trPr>
          <w:trHeight w:val="324"/>
        </w:trPr>
        <w:tc>
          <w:tcPr>
            <w:tcW w:w="6237" w:type="dxa"/>
          </w:tcPr>
          <w:p w14:paraId="6377CD4D"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2007</w:t>
            </w:r>
          </w:p>
        </w:tc>
        <w:tc>
          <w:tcPr>
            <w:tcW w:w="1134" w:type="dxa"/>
          </w:tcPr>
          <w:p w14:paraId="060BF637"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256</w:t>
            </w:r>
          </w:p>
        </w:tc>
        <w:tc>
          <w:tcPr>
            <w:tcW w:w="1276" w:type="dxa"/>
          </w:tcPr>
          <w:p w14:paraId="13F15D65"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11.54</w:t>
            </w:r>
          </w:p>
        </w:tc>
      </w:tr>
      <w:tr w:rsidR="00B051E5" w:rsidRPr="00B051E5" w14:paraId="5AEF0CEB" w14:textId="77777777" w:rsidTr="00B621C7">
        <w:trPr>
          <w:trHeight w:val="324"/>
        </w:trPr>
        <w:tc>
          <w:tcPr>
            <w:tcW w:w="6237" w:type="dxa"/>
          </w:tcPr>
          <w:p w14:paraId="56694066"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2008</w:t>
            </w:r>
          </w:p>
        </w:tc>
        <w:tc>
          <w:tcPr>
            <w:tcW w:w="1134" w:type="dxa"/>
          </w:tcPr>
          <w:p w14:paraId="1ED8769A"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257</w:t>
            </w:r>
          </w:p>
        </w:tc>
        <w:tc>
          <w:tcPr>
            <w:tcW w:w="1276" w:type="dxa"/>
          </w:tcPr>
          <w:p w14:paraId="714ABAD9"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11.59</w:t>
            </w:r>
          </w:p>
        </w:tc>
      </w:tr>
      <w:tr w:rsidR="00B051E5" w:rsidRPr="00B051E5" w14:paraId="4E99294E" w14:textId="77777777" w:rsidTr="00B621C7">
        <w:trPr>
          <w:trHeight w:val="324"/>
        </w:trPr>
        <w:tc>
          <w:tcPr>
            <w:tcW w:w="6237" w:type="dxa"/>
          </w:tcPr>
          <w:p w14:paraId="1FCF7767"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2009</w:t>
            </w:r>
          </w:p>
        </w:tc>
        <w:tc>
          <w:tcPr>
            <w:tcW w:w="1134" w:type="dxa"/>
          </w:tcPr>
          <w:p w14:paraId="752470B3"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239</w:t>
            </w:r>
          </w:p>
        </w:tc>
        <w:tc>
          <w:tcPr>
            <w:tcW w:w="1276" w:type="dxa"/>
          </w:tcPr>
          <w:p w14:paraId="12046B68"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10.78</w:t>
            </w:r>
          </w:p>
        </w:tc>
      </w:tr>
      <w:tr w:rsidR="00B051E5" w:rsidRPr="00B051E5" w14:paraId="209C81E6" w14:textId="77777777" w:rsidTr="00B621C7">
        <w:trPr>
          <w:trHeight w:val="324"/>
        </w:trPr>
        <w:tc>
          <w:tcPr>
            <w:tcW w:w="6237" w:type="dxa"/>
          </w:tcPr>
          <w:p w14:paraId="64D27BD6"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2010</w:t>
            </w:r>
          </w:p>
        </w:tc>
        <w:tc>
          <w:tcPr>
            <w:tcW w:w="1134" w:type="dxa"/>
          </w:tcPr>
          <w:p w14:paraId="79E5AD29"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207</w:t>
            </w:r>
          </w:p>
        </w:tc>
        <w:tc>
          <w:tcPr>
            <w:tcW w:w="1276" w:type="dxa"/>
          </w:tcPr>
          <w:p w14:paraId="7B30F7BA"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9.33</w:t>
            </w:r>
          </w:p>
        </w:tc>
      </w:tr>
      <w:tr w:rsidR="00B051E5" w:rsidRPr="00B051E5" w14:paraId="78E9560A" w14:textId="77777777" w:rsidTr="00B621C7">
        <w:trPr>
          <w:trHeight w:val="304"/>
        </w:trPr>
        <w:tc>
          <w:tcPr>
            <w:tcW w:w="6237" w:type="dxa"/>
          </w:tcPr>
          <w:p w14:paraId="2F301A9D"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2011</w:t>
            </w:r>
          </w:p>
        </w:tc>
        <w:tc>
          <w:tcPr>
            <w:tcW w:w="1134" w:type="dxa"/>
          </w:tcPr>
          <w:p w14:paraId="6379CC81"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195</w:t>
            </w:r>
          </w:p>
        </w:tc>
        <w:tc>
          <w:tcPr>
            <w:tcW w:w="1276" w:type="dxa"/>
          </w:tcPr>
          <w:p w14:paraId="52A7580A"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8.79</w:t>
            </w:r>
          </w:p>
        </w:tc>
      </w:tr>
      <w:tr w:rsidR="00B051E5" w:rsidRPr="00B051E5" w14:paraId="7CD13D07" w14:textId="77777777" w:rsidTr="00B621C7">
        <w:trPr>
          <w:trHeight w:val="324"/>
        </w:trPr>
        <w:tc>
          <w:tcPr>
            <w:tcW w:w="6237" w:type="dxa"/>
          </w:tcPr>
          <w:p w14:paraId="2A96B8BE"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2012</w:t>
            </w:r>
          </w:p>
        </w:tc>
        <w:tc>
          <w:tcPr>
            <w:tcW w:w="1134" w:type="dxa"/>
          </w:tcPr>
          <w:p w14:paraId="733A1548"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194</w:t>
            </w:r>
          </w:p>
        </w:tc>
        <w:tc>
          <w:tcPr>
            <w:tcW w:w="1276" w:type="dxa"/>
          </w:tcPr>
          <w:p w14:paraId="164F5735"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8.75</w:t>
            </w:r>
          </w:p>
        </w:tc>
      </w:tr>
      <w:tr w:rsidR="00B051E5" w:rsidRPr="00B051E5" w14:paraId="029C34DC" w14:textId="77777777" w:rsidTr="00B621C7">
        <w:trPr>
          <w:trHeight w:val="324"/>
        </w:trPr>
        <w:tc>
          <w:tcPr>
            <w:tcW w:w="6237" w:type="dxa"/>
          </w:tcPr>
          <w:p w14:paraId="021F3F44"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2013</w:t>
            </w:r>
          </w:p>
        </w:tc>
        <w:tc>
          <w:tcPr>
            <w:tcW w:w="1134" w:type="dxa"/>
          </w:tcPr>
          <w:p w14:paraId="03CAC1CA"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192</w:t>
            </w:r>
          </w:p>
        </w:tc>
        <w:tc>
          <w:tcPr>
            <w:tcW w:w="1276" w:type="dxa"/>
          </w:tcPr>
          <w:p w14:paraId="14790AB3"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8.66</w:t>
            </w:r>
          </w:p>
        </w:tc>
      </w:tr>
      <w:tr w:rsidR="00B051E5" w:rsidRPr="00B051E5" w14:paraId="376E8E5D" w14:textId="77777777" w:rsidTr="00B621C7">
        <w:trPr>
          <w:trHeight w:val="324"/>
        </w:trPr>
        <w:tc>
          <w:tcPr>
            <w:tcW w:w="6237" w:type="dxa"/>
          </w:tcPr>
          <w:p w14:paraId="3DA49D39"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2014</w:t>
            </w:r>
          </w:p>
        </w:tc>
        <w:tc>
          <w:tcPr>
            <w:tcW w:w="1134" w:type="dxa"/>
          </w:tcPr>
          <w:p w14:paraId="6F3065DE"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181</w:t>
            </w:r>
          </w:p>
        </w:tc>
        <w:tc>
          <w:tcPr>
            <w:tcW w:w="1276" w:type="dxa"/>
          </w:tcPr>
          <w:p w14:paraId="2EC0D9C1"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8.16</w:t>
            </w:r>
          </w:p>
        </w:tc>
      </w:tr>
      <w:tr w:rsidR="00B051E5" w:rsidRPr="00B051E5" w14:paraId="40EBA5E9" w14:textId="77777777" w:rsidTr="00B621C7">
        <w:trPr>
          <w:trHeight w:val="324"/>
        </w:trPr>
        <w:tc>
          <w:tcPr>
            <w:tcW w:w="6237" w:type="dxa"/>
            <w:tcBorders>
              <w:bottom w:val="single" w:sz="4" w:space="0" w:color="auto"/>
            </w:tcBorders>
          </w:tcPr>
          <w:p w14:paraId="27586A0B"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Total</w:t>
            </w:r>
          </w:p>
        </w:tc>
        <w:tc>
          <w:tcPr>
            <w:tcW w:w="1134" w:type="dxa"/>
            <w:tcBorders>
              <w:bottom w:val="single" w:sz="4" w:space="0" w:color="auto"/>
            </w:tcBorders>
          </w:tcPr>
          <w:p w14:paraId="05E8DCD3"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2,218</w:t>
            </w:r>
          </w:p>
        </w:tc>
        <w:tc>
          <w:tcPr>
            <w:tcW w:w="1276" w:type="dxa"/>
            <w:tcBorders>
              <w:bottom w:val="single" w:sz="4" w:space="0" w:color="auto"/>
            </w:tcBorders>
          </w:tcPr>
          <w:p w14:paraId="516C404D" w14:textId="77777777" w:rsidR="00B46B99" w:rsidRPr="00B051E5" w:rsidRDefault="00B46B99" w:rsidP="00B46B99">
            <w:pPr>
              <w:pStyle w:val="NormalWeb"/>
              <w:rPr>
                <w:rFonts w:ascii="Garamond" w:hAnsi="Garamond"/>
                <w:color w:val="000000" w:themeColor="text1"/>
                <w:sz w:val="20"/>
                <w:szCs w:val="20"/>
              </w:rPr>
            </w:pPr>
            <w:r w:rsidRPr="00B051E5">
              <w:rPr>
                <w:rFonts w:ascii="Garamond" w:hAnsi="Garamond"/>
                <w:color w:val="000000" w:themeColor="text1"/>
                <w:sz w:val="20"/>
                <w:szCs w:val="20"/>
              </w:rPr>
              <w:t>100.00</w:t>
            </w:r>
          </w:p>
        </w:tc>
      </w:tr>
    </w:tbl>
    <w:p w14:paraId="06B8C07D" w14:textId="77777777" w:rsidR="00B46B99" w:rsidRPr="00B051E5" w:rsidRDefault="00B46B99" w:rsidP="00B46B99">
      <w:pPr>
        <w:tabs>
          <w:tab w:val="left" w:pos="1300"/>
        </w:tabs>
        <w:rPr>
          <w:rFonts w:ascii="Garamond" w:hAnsi="Garamond"/>
          <w:b/>
          <w:bCs/>
          <w:color w:val="000000" w:themeColor="text1"/>
          <w:sz w:val="20"/>
          <w:szCs w:val="20"/>
        </w:rPr>
      </w:pPr>
    </w:p>
    <w:p w14:paraId="78BD3387" w14:textId="77777777" w:rsidR="00B46B99" w:rsidRPr="00B051E5" w:rsidRDefault="00B46B99" w:rsidP="00B46B99">
      <w:pPr>
        <w:tabs>
          <w:tab w:val="left" w:pos="1300"/>
        </w:tabs>
        <w:rPr>
          <w:rFonts w:ascii="Garamond" w:hAnsi="Garamond"/>
          <w:color w:val="000000" w:themeColor="text1"/>
          <w:sz w:val="20"/>
          <w:szCs w:val="20"/>
        </w:rPr>
      </w:pPr>
      <w:r w:rsidRPr="00B051E5">
        <w:rPr>
          <w:rFonts w:ascii="Garamond" w:hAnsi="Garamond"/>
          <w:b/>
          <w:bCs/>
          <w:color w:val="000000" w:themeColor="text1"/>
          <w:sz w:val="20"/>
          <w:szCs w:val="20"/>
        </w:rPr>
        <w:t>Panel C.</w:t>
      </w:r>
      <w:r w:rsidRPr="00B051E5">
        <w:rPr>
          <w:rFonts w:ascii="Garamond" w:hAnsi="Garamond"/>
          <w:color w:val="000000" w:themeColor="text1"/>
          <w:sz w:val="20"/>
          <w:szCs w:val="20"/>
        </w:rPr>
        <w:t xml:space="preserve"> Sample allocation across industries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134"/>
        <w:gridCol w:w="1340"/>
      </w:tblGrid>
      <w:tr w:rsidR="00B051E5" w:rsidRPr="00B051E5" w14:paraId="0179140E" w14:textId="77777777" w:rsidTr="00B621C7">
        <w:trPr>
          <w:trHeight w:val="245"/>
        </w:trPr>
        <w:tc>
          <w:tcPr>
            <w:tcW w:w="6237" w:type="dxa"/>
            <w:tcBorders>
              <w:top w:val="single" w:sz="4" w:space="0" w:color="auto"/>
              <w:bottom w:val="single" w:sz="4" w:space="0" w:color="auto"/>
            </w:tcBorders>
          </w:tcPr>
          <w:p w14:paraId="0D6EC41F"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Industry</w:t>
            </w:r>
          </w:p>
        </w:tc>
        <w:tc>
          <w:tcPr>
            <w:tcW w:w="1134" w:type="dxa"/>
            <w:tcBorders>
              <w:top w:val="single" w:sz="4" w:space="0" w:color="auto"/>
              <w:bottom w:val="single" w:sz="4" w:space="0" w:color="auto"/>
            </w:tcBorders>
          </w:tcPr>
          <w:p w14:paraId="6D669953"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Freq.</w:t>
            </w:r>
          </w:p>
        </w:tc>
        <w:tc>
          <w:tcPr>
            <w:tcW w:w="1340" w:type="dxa"/>
            <w:tcBorders>
              <w:top w:val="single" w:sz="4" w:space="0" w:color="auto"/>
              <w:bottom w:val="single" w:sz="4" w:space="0" w:color="auto"/>
            </w:tcBorders>
          </w:tcPr>
          <w:p w14:paraId="1414EA9C"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Percent</w:t>
            </w:r>
          </w:p>
        </w:tc>
      </w:tr>
      <w:tr w:rsidR="00B051E5" w:rsidRPr="00B051E5" w14:paraId="3BFA5B8A" w14:textId="77777777" w:rsidTr="00B621C7">
        <w:trPr>
          <w:trHeight w:val="265"/>
        </w:trPr>
        <w:tc>
          <w:tcPr>
            <w:tcW w:w="6237" w:type="dxa"/>
            <w:tcBorders>
              <w:top w:val="single" w:sz="4" w:space="0" w:color="auto"/>
            </w:tcBorders>
          </w:tcPr>
          <w:p w14:paraId="1D03051A"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Materials</w:t>
            </w:r>
          </w:p>
        </w:tc>
        <w:tc>
          <w:tcPr>
            <w:tcW w:w="1134" w:type="dxa"/>
            <w:tcBorders>
              <w:top w:val="single" w:sz="4" w:space="0" w:color="auto"/>
            </w:tcBorders>
          </w:tcPr>
          <w:p w14:paraId="17E769C6"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146</w:t>
            </w:r>
          </w:p>
        </w:tc>
        <w:tc>
          <w:tcPr>
            <w:tcW w:w="1340" w:type="dxa"/>
            <w:tcBorders>
              <w:top w:val="single" w:sz="4" w:space="0" w:color="auto"/>
            </w:tcBorders>
          </w:tcPr>
          <w:p w14:paraId="23D1A02B"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6.58</w:t>
            </w:r>
          </w:p>
        </w:tc>
      </w:tr>
      <w:tr w:rsidR="00B051E5" w:rsidRPr="00B051E5" w14:paraId="5B1C892D" w14:textId="77777777" w:rsidTr="00B621C7">
        <w:trPr>
          <w:trHeight w:val="245"/>
        </w:trPr>
        <w:tc>
          <w:tcPr>
            <w:tcW w:w="6237" w:type="dxa"/>
          </w:tcPr>
          <w:p w14:paraId="0E968B06"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Industrials</w:t>
            </w:r>
          </w:p>
        </w:tc>
        <w:tc>
          <w:tcPr>
            <w:tcW w:w="1134" w:type="dxa"/>
          </w:tcPr>
          <w:p w14:paraId="406024B8"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828</w:t>
            </w:r>
          </w:p>
        </w:tc>
        <w:tc>
          <w:tcPr>
            <w:tcW w:w="1340" w:type="dxa"/>
          </w:tcPr>
          <w:p w14:paraId="436D81E2"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37.33</w:t>
            </w:r>
          </w:p>
        </w:tc>
      </w:tr>
      <w:tr w:rsidR="00B051E5" w:rsidRPr="00B051E5" w14:paraId="2092C986" w14:textId="77777777" w:rsidTr="00B621C7">
        <w:trPr>
          <w:trHeight w:val="264"/>
        </w:trPr>
        <w:tc>
          <w:tcPr>
            <w:tcW w:w="6237" w:type="dxa"/>
          </w:tcPr>
          <w:p w14:paraId="70C76786"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Consumer goods</w:t>
            </w:r>
          </w:p>
        </w:tc>
        <w:tc>
          <w:tcPr>
            <w:tcW w:w="1134" w:type="dxa"/>
          </w:tcPr>
          <w:p w14:paraId="2CDB7A44"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291</w:t>
            </w:r>
          </w:p>
        </w:tc>
        <w:tc>
          <w:tcPr>
            <w:tcW w:w="1340" w:type="dxa"/>
          </w:tcPr>
          <w:p w14:paraId="7AEE3C78"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13.12</w:t>
            </w:r>
          </w:p>
        </w:tc>
      </w:tr>
      <w:tr w:rsidR="00B051E5" w:rsidRPr="00B051E5" w14:paraId="65187A23" w14:textId="77777777" w:rsidTr="00B621C7">
        <w:trPr>
          <w:trHeight w:val="245"/>
        </w:trPr>
        <w:tc>
          <w:tcPr>
            <w:tcW w:w="6237" w:type="dxa"/>
          </w:tcPr>
          <w:p w14:paraId="3A49CBF5"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Healthcare</w:t>
            </w:r>
          </w:p>
        </w:tc>
        <w:tc>
          <w:tcPr>
            <w:tcW w:w="1134" w:type="dxa"/>
          </w:tcPr>
          <w:p w14:paraId="3C224B46"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104</w:t>
            </w:r>
          </w:p>
        </w:tc>
        <w:tc>
          <w:tcPr>
            <w:tcW w:w="1340" w:type="dxa"/>
          </w:tcPr>
          <w:p w14:paraId="0AAE8B08"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4.69</w:t>
            </w:r>
          </w:p>
        </w:tc>
      </w:tr>
      <w:tr w:rsidR="00B051E5" w:rsidRPr="00B051E5" w14:paraId="33584AA9" w14:textId="77777777" w:rsidTr="00B621C7">
        <w:trPr>
          <w:trHeight w:val="245"/>
        </w:trPr>
        <w:tc>
          <w:tcPr>
            <w:tcW w:w="6237" w:type="dxa"/>
          </w:tcPr>
          <w:p w14:paraId="77126E72"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Consumer services</w:t>
            </w:r>
          </w:p>
        </w:tc>
        <w:tc>
          <w:tcPr>
            <w:tcW w:w="1134" w:type="dxa"/>
          </w:tcPr>
          <w:p w14:paraId="19241489"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602</w:t>
            </w:r>
          </w:p>
        </w:tc>
        <w:tc>
          <w:tcPr>
            <w:tcW w:w="1340" w:type="dxa"/>
          </w:tcPr>
          <w:p w14:paraId="18348ED5"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27.14</w:t>
            </w:r>
          </w:p>
        </w:tc>
      </w:tr>
      <w:tr w:rsidR="00B051E5" w:rsidRPr="00B051E5" w14:paraId="225062DF" w14:textId="77777777" w:rsidTr="00B621C7">
        <w:trPr>
          <w:trHeight w:val="265"/>
        </w:trPr>
        <w:tc>
          <w:tcPr>
            <w:tcW w:w="6237" w:type="dxa"/>
          </w:tcPr>
          <w:p w14:paraId="5D350198"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Telecommunication</w:t>
            </w:r>
          </w:p>
        </w:tc>
        <w:tc>
          <w:tcPr>
            <w:tcW w:w="1134" w:type="dxa"/>
          </w:tcPr>
          <w:p w14:paraId="558B1A01"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37</w:t>
            </w:r>
          </w:p>
        </w:tc>
        <w:tc>
          <w:tcPr>
            <w:tcW w:w="1340" w:type="dxa"/>
          </w:tcPr>
          <w:p w14:paraId="547186E2"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1.67</w:t>
            </w:r>
          </w:p>
        </w:tc>
      </w:tr>
      <w:tr w:rsidR="00B051E5" w:rsidRPr="00B051E5" w14:paraId="3BD90CCA" w14:textId="77777777" w:rsidTr="00B621C7">
        <w:trPr>
          <w:trHeight w:val="245"/>
        </w:trPr>
        <w:tc>
          <w:tcPr>
            <w:tcW w:w="6237" w:type="dxa"/>
          </w:tcPr>
          <w:p w14:paraId="00EDC587"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Utilities</w:t>
            </w:r>
          </w:p>
        </w:tc>
        <w:tc>
          <w:tcPr>
            <w:tcW w:w="1134" w:type="dxa"/>
          </w:tcPr>
          <w:p w14:paraId="3CBF8E94"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81</w:t>
            </w:r>
          </w:p>
        </w:tc>
        <w:tc>
          <w:tcPr>
            <w:tcW w:w="1340" w:type="dxa"/>
          </w:tcPr>
          <w:p w14:paraId="1BCDA8FF"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3.65</w:t>
            </w:r>
          </w:p>
        </w:tc>
      </w:tr>
      <w:tr w:rsidR="00B051E5" w:rsidRPr="00B051E5" w14:paraId="07A722BD" w14:textId="77777777" w:rsidTr="00B621C7">
        <w:trPr>
          <w:trHeight w:val="245"/>
        </w:trPr>
        <w:tc>
          <w:tcPr>
            <w:tcW w:w="6237" w:type="dxa"/>
          </w:tcPr>
          <w:p w14:paraId="10CC662C"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Technology</w:t>
            </w:r>
          </w:p>
        </w:tc>
        <w:tc>
          <w:tcPr>
            <w:tcW w:w="1134" w:type="dxa"/>
          </w:tcPr>
          <w:p w14:paraId="0C784FB9"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129</w:t>
            </w:r>
          </w:p>
        </w:tc>
        <w:tc>
          <w:tcPr>
            <w:tcW w:w="1340" w:type="dxa"/>
          </w:tcPr>
          <w:p w14:paraId="7E972659"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5.82</w:t>
            </w:r>
          </w:p>
        </w:tc>
      </w:tr>
      <w:tr w:rsidR="00B051E5" w:rsidRPr="00B051E5" w14:paraId="315460E5" w14:textId="77777777" w:rsidTr="00B621C7">
        <w:trPr>
          <w:trHeight w:val="245"/>
        </w:trPr>
        <w:tc>
          <w:tcPr>
            <w:tcW w:w="6237" w:type="dxa"/>
            <w:tcBorders>
              <w:bottom w:val="single" w:sz="4" w:space="0" w:color="auto"/>
            </w:tcBorders>
          </w:tcPr>
          <w:p w14:paraId="31EC709F" w14:textId="77777777" w:rsidR="00B46B99" w:rsidRPr="00B051E5" w:rsidRDefault="00B46B99"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Total</w:t>
            </w:r>
          </w:p>
        </w:tc>
        <w:tc>
          <w:tcPr>
            <w:tcW w:w="1134" w:type="dxa"/>
            <w:tcBorders>
              <w:bottom w:val="single" w:sz="4" w:space="0" w:color="auto"/>
            </w:tcBorders>
          </w:tcPr>
          <w:p w14:paraId="56A953EF"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2,218</w:t>
            </w:r>
          </w:p>
        </w:tc>
        <w:tc>
          <w:tcPr>
            <w:tcW w:w="1340" w:type="dxa"/>
            <w:tcBorders>
              <w:bottom w:val="single" w:sz="4" w:space="0" w:color="auto"/>
            </w:tcBorders>
          </w:tcPr>
          <w:p w14:paraId="3905DF4D" w14:textId="77777777" w:rsidR="00B46B99" w:rsidRPr="00B051E5" w:rsidRDefault="00B46B99" w:rsidP="00C6393B">
            <w:pPr>
              <w:pStyle w:val="NormalWeb"/>
              <w:rPr>
                <w:rFonts w:ascii="Garamond" w:hAnsi="Garamond"/>
                <w:color w:val="000000" w:themeColor="text1"/>
                <w:sz w:val="20"/>
                <w:szCs w:val="20"/>
              </w:rPr>
            </w:pPr>
            <w:r w:rsidRPr="00B051E5">
              <w:rPr>
                <w:rFonts w:ascii="Garamond" w:hAnsi="Garamond"/>
                <w:color w:val="000000" w:themeColor="text1"/>
                <w:sz w:val="20"/>
                <w:szCs w:val="20"/>
              </w:rPr>
              <w:t>100.00</w:t>
            </w:r>
          </w:p>
        </w:tc>
      </w:tr>
      <w:tr w:rsidR="00B46B99" w:rsidRPr="00B051E5" w14:paraId="1E7628D4" w14:textId="77777777" w:rsidTr="00A12589">
        <w:trPr>
          <w:trHeight w:val="914"/>
        </w:trPr>
        <w:tc>
          <w:tcPr>
            <w:tcW w:w="8711" w:type="dxa"/>
            <w:gridSpan w:val="3"/>
            <w:tcBorders>
              <w:top w:val="single" w:sz="4" w:space="0" w:color="auto"/>
              <w:bottom w:val="single" w:sz="4" w:space="0" w:color="auto"/>
            </w:tcBorders>
          </w:tcPr>
          <w:p w14:paraId="0D15F574" w14:textId="301113F9" w:rsidR="00B46B99" w:rsidRPr="00B051E5" w:rsidRDefault="00654DFC" w:rsidP="00C6393B">
            <w:pPr>
              <w:pStyle w:val="NormalWeb"/>
              <w:jc w:val="both"/>
              <w:rPr>
                <w:rFonts w:ascii="Garamond" w:hAnsi="Garamond"/>
                <w:color w:val="000000" w:themeColor="text1"/>
                <w:sz w:val="20"/>
                <w:szCs w:val="20"/>
              </w:rPr>
            </w:pPr>
            <w:r w:rsidRPr="00B051E5">
              <w:rPr>
                <w:rFonts w:ascii="Garamond" w:hAnsi="Garamond"/>
                <w:color w:val="000000" w:themeColor="text1"/>
                <w:sz w:val="20"/>
                <w:szCs w:val="20"/>
              </w:rPr>
              <w:t>Panel A of Appendix 1 shows the sample selection procedure resulting in 2,218 firm-year observations of FTSE all-share non-financial firms. Panel B shows the allocation of observations over the study period from 2005 to 2014. Panel C of Appendix 1 shows that these firms are allocated to eight industries, namely: materials, industrials, consumer goods, healthcare, consumer services, telecommunication, utilities, and technology.</w:t>
            </w:r>
          </w:p>
        </w:tc>
      </w:tr>
    </w:tbl>
    <w:p w14:paraId="64B483E1" w14:textId="7C343D67" w:rsidR="00B46B99" w:rsidRPr="00B051E5" w:rsidRDefault="00B46B99" w:rsidP="00C42CF0">
      <w:pPr>
        <w:spacing w:after="160" w:line="276" w:lineRule="auto"/>
        <w:rPr>
          <w:rFonts w:ascii="Garamond" w:hAnsi="Garamond" w:cs="Arial"/>
          <w:b/>
          <w:color w:val="000000" w:themeColor="text1"/>
          <w:sz w:val="20"/>
          <w:szCs w:val="20"/>
          <w:lang w:val="en-US" w:eastAsia="en-US"/>
        </w:rPr>
      </w:pPr>
    </w:p>
    <w:p w14:paraId="7B24A37B" w14:textId="77777777" w:rsidR="00B46B99" w:rsidRPr="00B051E5" w:rsidRDefault="00B46B99" w:rsidP="00C42CF0">
      <w:pPr>
        <w:spacing w:after="160" w:line="276" w:lineRule="auto"/>
        <w:rPr>
          <w:rFonts w:ascii="Garamond" w:hAnsi="Garamond" w:cs="Arial"/>
          <w:b/>
          <w:color w:val="000000" w:themeColor="text1"/>
          <w:sz w:val="20"/>
          <w:szCs w:val="20"/>
          <w:lang w:val="en-US" w:eastAsia="en-US"/>
        </w:rPr>
      </w:pPr>
    </w:p>
    <w:p w14:paraId="07ADE91F" w14:textId="03E2680A" w:rsidR="00C42CF0" w:rsidRPr="00B051E5" w:rsidRDefault="00C42CF0" w:rsidP="00C42CF0">
      <w:pPr>
        <w:spacing w:after="160" w:line="276" w:lineRule="auto"/>
        <w:rPr>
          <w:rFonts w:ascii="Garamond" w:hAnsi="Garamond" w:cs="Arial"/>
          <w:b/>
          <w:color w:val="000000" w:themeColor="text1"/>
          <w:sz w:val="20"/>
          <w:szCs w:val="20"/>
          <w:lang w:eastAsia="en-US"/>
        </w:rPr>
      </w:pPr>
    </w:p>
    <w:p w14:paraId="35D4F2A6" w14:textId="77777777" w:rsidR="00C42CF0" w:rsidRPr="00B051E5" w:rsidRDefault="00C42CF0" w:rsidP="00C42CF0">
      <w:pPr>
        <w:spacing w:after="160" w:line="276" w:lineRule="auto"/>
        <w:rPr>
          <w:rFonts w:ascii="Garamond" w:hAnsi="Garamond" w:cs="Arial"/>
          <w:b/>
          <w:color w:val="000000" w:themeColor="text1"/>
          <w:sz w:val="20"/>
          <w:szCs w:val="20"/>
          <w:lang w:eastAsia="en-US"/>
        </w:rPr>
      </w:pPr>
    </w:p>
    <w:p w14:paraId="456DA079" w14:textId="77777777" w:rsidR="00C42CF0" w:rsidRPr="00B051E5" w:rsidRDefault="00C42CF0" w:rsidP="00C42CF0">
      <w:pPr>
        <w:spacing w:after="160" w:line="276" w:lineRule="auto"/>
        <w:rPr>
          <w:rFonts w:ascii="Garamond" w:hAnsi="Garamond" w:cs="Arial"/>
          <w:b/>
          <w:color w:val="000000" w:themeColor="text1"/>
          <w:sz w:val="20"/>
          <w:szCs w:val="20"/>
          <w:lang w:eastAsia="en-US"/>
        </w:rPr>
      </w:pPr>
    </w:p>
    <w:p w14:paraId="4D901F36" w14:textId="77777777" w:rsidR="00C42CF0" w:rsidRPr="00B051E5" w:rsidRDefault="00C42CF0" w:rsidP="00C42CF0">
      <w:pPr>
        <w:spacing w:after="160" w:line="259" w:lineRule="auto"/>
        <w:rPr>
          <w:rFonts w:ascii="Garamond" w:eastAsia="Calibri" w:hAnsi="Garamond" w:cs="Arial"/>
          <w:color w:val="000000" w:themeColor="text1"/>
          <w:sz w:val="20"/>
          <w:szCs w:val="20"/>
          <w:lang w:eastAsia="en-US"/>
        </w:rPr>
      </w:pPr>
    </w:p>
    <w:tbl>
      <w:tblPr>
        <w:tblStyle w:val="TableGrid121"/>
        <w:tblpPr w:leftFromText="180" w:rightFromText="180" w:vertAnchor="page" w:horzAnchor="margin" w:tblpXSpec="center" w:tblpY="1099"/>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222"/>
        <w:gridCol w:w="1701"/>
      </w:tblGrid>
      <w:tr w:rsidR="00B051E5" w:rsidRPr="00B051E5" w14:paraId="7E6B1D11" w14:textId="77777777" w:rsidTr="00EB04BF">
        <w:trPr>
          <w:trHeight w:val="416"/>
        </w:trPr>
        <w:tc>
          <w:tcPr>
            <w:tcW w:w="11340" w:type="dxa"/>
            <w:gridSpan w:val="3"/>
            <w:tcBorders>
              <w:top w:val="single" w:sz="4" w:space="0" w:color="auto"/>
              <w:bottom w:val="single" w:sz="4" w:space="0" w:color="auto"/>
            </w:tcBorders>
          </w:tcPr>
          <w:p w14:paraId="2D0A47A4" w14:textId="57FEACED" w:rsidR="00C42CF0" w:rsidRPr="00B051E5" w:rsidRDefault="00C42CF0" w:rsidP="00C42CF0">
            <w:pPr>
              <w:spacing w:after="160" w:line="259" w:lineRule="auto"/>
              <w:jc w:val="both"/>
              <w:rPr>
                <w:rFonts w:ascii="Garamond" w:hAnsi="Garamond" w:cs="Arial"/>
                <w:b/>
                <w:color w:val="000000" w:themeColor="text1"/>
                <w:sz w:val="20"/>
                <w:szCs w:val="20"/>
              </w:rPr>
            </w:pPr>
            <w:r w:rsidRPr="00B051E5">
              <w:rPr>
                <w:rFonts w:ascii="Garamond" w:hAnsi="Garamond" w:cs="Arial"/>
                <w:b/>
                <w:bCs/>
                <w:color w:val="000000" w:themeColor="text1"/>
                <w:sz w:val="20"/>
                <w:szCs w:val="20"/>
              </w:rPr>
              <w:t xml:space="preserve">Appendix </w:t>
            </w:r>
            <w:r w:rsidR="00B46B99" w:rsidRPr="00B051E5">
              <w:rPr>
                <w:rFonts w:ascii="Garamond" w:hAnsi="Garamond" w:cs="Arial"/>
                <w:b/>
                <w:bCs/>
                <w:color w:val="000000" w:themeColor="text1"/>
                <w:sz w:val="20"/>
                <w:szCs w:val="20"/>
              </w:rPr>
              <w:t>2</w:t>
            </w:r>
            <w:r w:rsidRPr="00B051E5">
              <w:rPr>
                <w:rFonts w:ascii="Garamond" w:hAnsi="Garamond" w:cs="Arial"/>
                <w:b/>
                <w:bCs/>
                <w:color w:val="000000" w:themeColor="text1"/>
                <w:sz w:val="20"/>
                <w:szCs w:val="20"/>
              </w:rPr>
              <w:t xml:space="preserve">. </w:t>
            </w:r>
            <w:r w:rsidRPr="00B051E5">
              <w:rPr>
                <w:rFonts w:ascii="Garamond" w:hAnsi="Garamond" w:cs="Arial"/>
                <w:color w:val="000000" w:themeColor="text1"/>
                <w:sz w:val="20"/>
                <w:szCs w:val="20"/>
              </w:rPr>
              <w:t>Variable definitions, measures and sources</w:t>
            </w:r>
          </w:p>
        </w:tc>
      </w:tr>
      <w:tr w:rsidR="00B051E5" w:rsidRPr="00B051E5" w14:paraId="3F66A322" w14:textId="77777777" w:rsidTr="00EB04BF">
        <w:trPr>
          <w:trHeight w:val="276"/>
        </w:trPr>
        <w:tc>
          <w:tcPr>
            <w:tcW w:w="1417" w:type="dxa"/>
            <w:tcBorders>
              <w:top w:val="single" w:sz="4" w:space="0" w:color="auto"/>
              <w:bottom w:val="single" w:sz="4" w:space="0" w:color="auto"/>
            </w:tcBorders>
          </w:tcPr>
          <w:p w14:paraId="6E4701BF" w14:textId="77777777" w:rsidR="00C42CF0" w:rsidRPr="00B051E5" w:rsidRDefault="00C42CF0" w:rsidP="00C42CF0">
            <w:pPr>
              <w:spacing w:after="160" w:line="259" w:lineRule="auto"/>
              <w:jc w:val="both"/>
              <w:rPr>
                <w:rFonts w:ascii="Garamond" w:hAnsi="Garamond" w:cs="Arial"/>
                <w:b/>
                <w:color w:val="000000" w:themeColor="text1"/>
                <w:sz w:val="20"/>
                <w:szCs w:val="20"/>
              </w:rPr>
            </w:pPr>
            <w:r w:rsidRPr="00B051E5">
              <w:rPr>
                <w:rFonts w:ascii="Garamond" w:hAnsi="Garamond" w:cs="Arial"/>
                <w:b/>
                <w:color w:val="000000" w:themeColor="text1"/>
                <w:sz w:val="20"/>
                <w:szCs w:val="20"/>
              </w:rPr>
              <w:t>Variable</w:t>
            </w:r>
          </w:p>
        </w:tc>
        <w:tc>
          <w:tcPr>
            <w:tcW w:w="8222" w:type="dxa"/>
            <w:tcBorders>
              <w:top w:val="single" w:sz="4" w:space="0" w:color="auto"/>
              <w:bottom w:val="single" w:sz="4" w:space="0" w:color="auto"/>
            </w:tcBorders>
          </w:tcPr>
          <w:p w14:paraId="351ADDDF"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Definitions and measures</w:t>
            </w:r>
          </w:p>
        </w:tc>
        <w:tc>
          <w:tcPr>
            <w:tcW w:w="1701" w:type="dxa"/>
            <w:tcBorders>
              <w:top w:val="single" w:sz="4" w:space="0" w:color="auto"/>
              <w:bottom w:val="single" w:sz="4" w:space="0" w:color="auto"/>
            </w:tcBorders>
          </w:tcPr>
          <w:p w14:paraId="62BE73A0"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 xml:space="preserve">Source </w:t>
            </w:r>
          </w:p>
        </w:tc>
      </w:tr>
      <w:tr w:rsidR="00B051E5" w:rsidRPr="00B051E5" w14:paraId="0C4608BB" w14:textId="77777777" w:rsidTr="00EB04BF">
        <w:trPr>
          <w:trHeight w:val="507"/>
        </w:trPr>
        <w:tc>
          <w:tcPr>
            <w:tcW w:w="1417" w:type="dxa"/>
          </w:tcPr>
          <w:p w14:paraId="5F8D194E" w14:textId="77777777" w:rsidR="00C42CF0" w:rsidRPr="00B051E5" w:rsidRDefault="00C42CF0" w:rsidP="00C42CF0">
            <w:pPr>
              <w:spacing w:after="160" w:line="259" w:lineRule="auto"/>
              <w:jc w:val="both"/>
              <w:rPr>
                <w:rFonts w:ascii="Garamond" w:hAnsi="Garamond" w:cs="Arial"/>
                <w:iCs/>
                <w:color w:val="000000" w:themeColor="text1"/>
                <w:sz w:val="20"/>
                <w:szCs w:val="20"/>
              </w:rPr>
            </w:pPr>
            <w:r w:rsidRPr="00B051E5">
              <w:rPr>
                <w:rFonts w:ascii="Garamond" w:hAnsi="Garamond"/>
                <w:iCs/>
                <w:color w:val="000000" w:themeColor="text1"/>
                <w:sz w:val="20"/>
                <w:szCs w:val="20"/>
              </w:rPr>
              <w:t xml:space="preserve">SYNCH </w:t>
            </w:r>
          </w:p>
        </w:tc>
        <w:tc>
          <w:tcPr>
            <w:tcW w:w="8222" w:type="dxa"/>
          </w:tcPr>
          <w:tbl>
            <w:tblPr>
              <w:tblpPr w:leftFromText="180" w:rightFromText="180" w:vertAnchor="text" w:horzAnchor="margin" w:tblpY="506"/>
              <w:tblOverlap w:val="never"/>
              <w:tblW w:w="8530" w:type="dxa"/>
              <w:tblLayout w:type="fixed"/>
              <w:tblLook w:val="04A0" w:firstRow="1" w:lastRow="0" w:firstColumn="1" w:lastColumn="0" w:noHBand="0" w:noVBand="1"/>
            </w:tblPr>
            <w:tblGrid>
              <w:gridCol w:w="1081"/>
              <w:gridCol w:w="7449"/>
            </w:tblGrid>
            <w:tr w:rsidR="00B051E5" w:rsidRPr="00B051E5" w14:paraId="004DE693" w14:textId="77777777" w:rsidTr="00195944">
              <w:trPr>
                <w:trHeight w:val="523"/>
              </w:trPr>
              <w:tc>
                <w:tcPr>
                  <w:tcW w:w="1081" w:type="dxa"/>
                  <w:shd w:val="clear" w:color="auto" w:fill="auto"/>
                </w:tcPr>
                <w:p w14:paraId="4310A9E4" w14:textId="77777777" w:rsidR="00C42CF0" w:rsidRPr="00B051E5" w:rsidRDefault="0027215B" w:rsidP="00C42CF0">
                  <w:pPr>
                    <w:jc w:val="both"/>
                    <w:rPr>
                      <w:rFonts w:ascii="Garamond" w:eastAsia="Calibri" w:hAnsi="Garamond"/>
                      <w:b/>
                      <w:bCs/>
                      <w:color w:val="000000" w:themeColor="text1"/>
                      <w:sz w:val="20"/>
                      <w:szCs w:val="20"/>
                      <w:lang w:eastAsia="en-US"/>
                    </w:rPr>
                  </w:pPr>
                  <m:oMathPara>
                    <m:oMath>
                      <m:r>
                        <w:rPr>
                          <w:rFonts w:ascii="Cambria Math" w:eastAsia="Calibri" w:hAnsi="Cambria Math"/>
                          <w:noProof/>
                          <w:color w:val="000000" w:themeColor="text1"/>
                          <w:sz w:val="20"/>
                          <w:szCs w:val="20"/>
                          <w:lang w:eastAsia="en-US"/>
                        </w:rPr>
                        <m:t>RE</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T</m:t>
                          </m:r>
                        </m:e>
                        <m:sub>
                          <m:r>
                            <w:rPr>
                              <w:rFonts w:ascii="Cambria Math" w:eastAsia="Calibri" w:hAnsi="Cambria Math"/>
                              <w:noProof/>
                              <w:color w:val="000000" w:themeColor="text1"/>
                              <w:sz w:val="20"/>
                              <w:szCs w:val="20"/>
                              <w:lang w:eastAsia="en-US"/>
                            </w:rPr>
                            <m:t>i,t</m:t>
                          </m:r>
                        </m:sub>
                      </m:sSub>
                      <m:r>
                        <m:rPr>
                          <m:sty m:val="bi"/>
                        </m:rPr>
                        <w:rPr>
                          <w:rFonts w:ascii="Cambria Math" w:eastAsia="Calibri" w:hAnsi="Cambria Math"/>
                          <w:noProof/>
                          <w:color w:val="000000" w:themeColor="text1"/>
                          <w:sz w:val="20"/>
                          <w:szCs w:val="20"/>
                          <w:lang w:eastAsia="en-US"/>
                        </w:rPr>
                        <m:t>=</m:t>
                      </m:r>
                    </m:oMath>
                  </m:oMathPara>
                </w:p>
              </w:tc>
              <w:tc>
                <w:tcPr>
                  <w:tcW w:w="7449" w:type="dxa"/>
                  <w:shd w:val="clear" w:color="auto" w:fill="auto"/>
                </w:tcPr>
                <w:p w14:paraId="71526086" w14:textId="77777777" w:rsidR="00C42CF0" w:rsidRPr="00B051E5" w:rsidRDefault="0027215B" w:rsidP="00C42CF0">
                  <w:pPr>
                    <w:jc w:val="both"/>
                    <w:rPr>
                      <w:rFonts w:ascii="Garamond" w:eastAsia="Calibri" w:hAnsi="Garamond"/>
                      <w:b/>
                      <w:bCs/>
                      <w:color w:val="000000" w:themeColor="text1"/>
                      <w:sz w:val="20"/>
                      <w:szCs w:val="20"/>
                      <w:lang w:eastAsia="en-US"/>
                    </w:rPr>
                  </w:pPr>
                  <m:oMathPara>
                    <m:oMath>
                      <m:r>
                        <w:rPr>
                          <w:rFonts w:ascii="Cambria Math" w:eastAsia="Calibri" w:hAnsi="Cambria Math"/>
                          <w:noProof/>
                          <w:color w:val="000000" w:themeColor="text1"/>
                          <w:sz w:val="20"/>
                          <w:szCs w:val="20"/>
                          <w:lang w:eastAsia="en-US"/>
                        </w:rPr>
                        <m:t>α+</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β</m:t>
                          </m:r>
                        </m:e>
                        <m:sub>
                          <m:r>
                            <w:rPr>
                              <w:rFonts w:ascii="Cambria Math" w:eastAsia="Calibri" w:hAnsi="Cambria Math"/>
                              <w:noProof/>
                              <w:color w:val="000000" w:themeColor="text1"/>
                              <w:sz w:val="20"/>
                              <w:szCs w:val="20"/>
                              <w:lang w:eastAsia="en-US"/>
                            </w:rPr>
                            <m:t>1</m:t>
                          </m:r>
                        </m:sub>
                      </m:sSub>
                      <m:r>
                        <w:rPr>
                          <w:rFonts w:ascii="Cambria Math" w:eastAsia="Calibri" w:hAnsi="Cambria Math"/>
                          <w:noProof/>
                          <w:color w:val="000000" w:themeColor="text1"/>
                          <w:sz w:val="20"/>
                          <w:szCs w:val="20"/>
                          <w:lang w:eastAsia="en-US"/>
                        </w:rPr>
                        <m:t>MARE</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T</m:t>
                          </m:r>
                        </m:e>
                        <m:sub>
                          <m:r>
                            <w:rPr>
                              <w:rFonts w:ascii="Cambria Math" w:eastAsia="Calibri" w:hAnsi="Cambria Math"/>
                              <w:noProof/>
                              <w:color w:val="000000" w:themeColor="text1"/>
                              <w:sz w:val="20"/>
                              <w:szCs w:val="20"/>
                              <w:lang w:eastAsia="en-US"/>
                            </w:rPr>
                            <m:t>i,t</m:t>
                          </m:r>
                        </m:sub>
                      </m:sSub>
                      <m:r>
                        <w:rPr>
                          <w:rFonts w:ascii="Cambria Math" w:eastAsia="Calibri" w:hAnsi="Cambria Math"/>
                          <w:noProof/>
                          <w:color w:val="000000" w:themeColor="text1"/>
                          <w:sz w:val="20"/>
                          <w:szCs w:val="20"/>
                          <w:lang w:eastAsia="en-US"/>
                        </w:rPr>
                        <m:t>+</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β</m:t>
                          </m:r>
                        </m:e>
                        <m:sub>
                          <m:r>
                            <w:rPr>
                              <w:rFonts w:ascii="Cambria Math" w:eastAsia="Calibri" w:hAnsi="Cambria Math"/>
                              <w:noProof/>
                              <w:color w:val="000000" w:themeColor="text1"/>
                              <w:sz w:val="20"/>
                              <w:szCs w:val="20"/>
                              <w:lang w:eastAsia="en-US"/>
                            </w:rPr>
                            <m:t>2</m:t>
                          </m:r>
                        </m:sub>
                      </m:sSub>
                      <m:r>
                        <w:rPr>
                          <w:rFonts w:ascii="Cambria Math" w:eastAsia="Calibri" w:hAnsi="Cambria Math"/>
                          <w:noProof/>
                          <w:color w:val="000000" w:themeColor="text1"/>
                          <w:sz w:val="20"/>
                          <w:szCs w:val="20"/>
                          <w:lang w:eastAsia="en-US"/>
                        </w:rPr>
                        <m:t>MARE</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T</m:t>
                          </m:r>
                        </m:e>
                        <m:sub>
                          <m:r>
                            <w:rPr>
                              <w:rFonts w:ascii="Cambria Math" w:eastAsia="Calibri" w:hAnsi="Cambria Math"/>
                              <w:noProof/>
                              <w:color w:val="000000" w:themeColor="text1"/>
                              <w:sz w:val="20"/>
                              <w:szCs w:val="20"/>
                              <w:lang w:eastAsia="en-US"/>
                            </w:rPr>
                            <m:t>i,t-1</m:t>
                          </m:r>
                        </m:sub>
                      </m:sSub>
                      <m:r>
                        <w:rPr>
                          <w:rFonts w:ascii="Cambria Math" w:eastAsia="Calibri" w:hAnsi="Cambria Math"/>
                          <w:noProof/>
                          <w:color w:val="000000" w:themeColor="text1"/>
                          <w:sz w:val="20"/>
                          <w:szCs w:val="20"/>
                          <w:lang w:eastAsia="en-US"/>
                        </w:rPr>
                        <m:t>+</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β</m:t>
                          </m:r>
                        </m:e>
                        <m:sub>
                          <m:r>
                            <w:rPr>
                              <w:rFonts w:ascii="Cambria Math" w:eastAsia="Calibri" w:hAnsi="Cambria Math"/>
                              <w:noProof/>
                              <w:color w:val="000000" w:themeColor="text1"/>
                              <w:sz w:val="20"/>
                              <w:szCs w:val="20"/>
                              <w:lang w:eastAsia="en-US"/>
                            </w:rPr>
                            <m:t>3</m:t>
                          </m:r>
                        </m:sub>
                      </m:sSub>
                      <m:r>
                        <w:rPr>
                          <w:rFonts w:ascii="Cambria Math" w:eastAsia="Calibri" w:hAnsi="Cambria Math"/>
                          <w:noProof/>
                          <w:color w:val="000000" w:themeColor="text1"/>
                          <w:sz w:val="20"/>
                          <w:szCs w:val="20"/>
                          <w:lang w:eastAsia="en-US"/>
                        </w:rPr>
                        <m:t>INDRE</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T</m:t>
                          </m:r>
                        </m:e>
                        <m:sub>
                          <m:r>
                            <w:rPr>
                              <w:rFonts w:ascii="Cambria Math" w:eastAsia="Calibri" w:hAnsi="Cambria Math"/>
                              <w:noProof/>
                              <w:color w:val="000000" w:themeColor="text1"/>
                              <w:sz w:val="20"/>
                              <w:szCs w:val="20"/>
                              <w:lang w:eastAsia="en-US"/>
                            </w:rPr>
                            <m:t>i,t</m:t>
                          </m:r>
                        </m:sub>
                      </m:sSub>
                      <m:r>
                        <w:rPr>
                          <w:rFonts w:ascii="Cambria Math" w:eastAsia="Calibri" w:hAnsi="Cambria Math"/>
                          <w:noProof/>
                          <w:color w:val="000000" w:themeColor="text1"/>
                          <w:sz w:val="20"/>
                          <w:szCs w:val="20"/>
                          <w:lang w:eastAsia="en-US"/>
                        </w:rPr>
                        <m:t>+</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β</m:t>
                          </m:r>
                        </m:e>
                        <m:sub>
                          <m:r>
                            <w:rPr>
                              <w:rFonts w:ascii="Cambria Math" w:eastAsia="Calibri" w:hAnsi="Cambria Math"/>
                              <w:noProof/>
                              <w:color w:val="000000" w:themeColor="text1"/>
                              <w:sz w:val="20"/>
                              <w:szCs w:val="20"/>
                              <w:lang w:eastAsia="en-US"/>
                            </w:rPr>
                            <m:t>4</m:t>
                          </m:r>
                        </m:sub>
                      </m:sSub>
                      <m:r>
                        <w:rPr>
                          <w:rFonts w:ascii="Cambria Math" w:eastAsia="Calibri" w:hAnsi="Cambria Math"/>
                          <w:noProof/>
                          <w:color w:val="000000" w:themeColor="text1"/>
                          <w:sz w:val="20"/>
                          <w:szCs w:val="20"/>
                          <w:lang w:eastAsia="en-US"/>
                        </w:rPr>
                        <m:t>INDRE</m:t>
                      </m:r>
                      <m:sSub>
                        <m:sSubPr>
                          <m:ctrlPr>
                            <w:rPr>
                              <w:rFonts w:ascii="Cambria Math" w:eastAsia="Calibri" w:hAnsi="Cambria Math"/>
                              <w:bCs/>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T</m:t>
                          </m:r>
                        </m:e>
                        <m:sub>
                          <m:r>
                            <w:rPr>
                              <w:rFonts w:ascii="Cambria Math" w:eastAsia="Calibri" w:hAnsi="Cambria Math"/>
                              <w:noProof/>
                              <w:color w:val="000000" w:themeColor="text1"/>
                              <w:sz w:val="20"/>
                              <w:szCs w:val="20"/>
                              <w:lang w:eastAsia="en-US"/>
                            </w:rPr>
                            <m:t>i,t-1</m:t>
                          </m:r>
                        </m:sub>
                      </m:sSub>
                      <m:r>
                        <m:rPr>
                          <m:sty m:val="bi"/>
                        </m:rPr>
                        <w:rPr>
                          <w:rFonts w:ascii="Cambria Math" w:eastAsia="Calibri" w:hAnsi="Cambria Math"/>
                          <w:noProof/>
                          <w:color w:val="000000" w:themeColor="text1"/>
                          <w:sz w:val="20"/>
                          <w:szCs w:val="20"/>
                          <w:lang w:eastAsia="en-US"/>
                        </w:rPr>
                        <m:t>+</m:t>
                      </m:r>
                      <m:sSub>
                        <m:sSubPr>
                          <m:ctrlPr>
                            <w:rPr>
                              <w:rFonts w:ascii="Cambria Math" w:eastAsia="Calibri" w:hAnsi="Cambria Math"/>
                              <w:b/>
                              <w:bCs/>
                              <w:i/>
                              <w:noProof/>
                              <w:color w:val="000000" w:themeColor="text1"/>
                              <w:sz w:val="20"/>
                              <w:szCs w:val="20"/>
                              <w:lang w:eastAsia="en-US"/>
                            </w:rPr>
                          </m:ctrlPr>
                        </m:sSubPr>
                        <m:e>
                          <m:r>
                            <m:rPr>
                              <m:sty m:val="bi"/>
                            </m:rPr>
                            <w:rPr>
                              <w:rFonts w:ascii="Cambria Math" w:eastAsia="Calibri" w:hAnsi="Cambria Math"/>
                              <w:noProof/>
                              <w:color w:val="000000" w:themeColor="text1"/>
                              <w:sz w:val="20"/>
                              <w:szCs w:val="20"/>
                              <w:lang w:eastAsia="en-US"/>
                            </w:rPr>
                            <m:t>ε</m:t>
                          </m:r>
                        </m:e>
                        <m:sub>
                          <m:r>
                            <m:rPr>
                              <m:sty m:val="bi"/>
                            </m:rPr>
                            <w:rPr>
                              <w:rFonts w:ascii="Cambria Math" w:eastAsia="Calibri" w:hAnsi="Cambria Math"/>
                              <w:noProof/>
                              <w:color w:val="000000" w:themeColor="text1"/>
                              <w:sz w:val="20"/>
                              <w:szCs w:val="20"/>
                              <w:lang w:eastAsia="en-US"/>
                            </w:rPr>
                            <m:t>i,t</m:t>
                          </m:r>
                        </m:sub>
                      </m:sSub>
                    </m:oMath>
                  </m:oMathPara>
                </w:p>
              </w:tc>
            </w:tr>
          </w:tbl>
          <w:p w14:paraId="47934C79" w14:textId="77777777" w:rsidR="00C42CF0" w:rsidRPr="00B051E5" w:rsidRDefault="00C42CF0" w:rsidP="00C42CF0">
            <w:pPr>
              <w:spacing w:after="160"/>
              <w:jc w:val="both"/>
              <w:rPr>
                <w:rFonts w:ascii="Garamond" w:hAnsi="Garamond" w:cs="Arial"/>
                <w:color w:val="000000" w:themeColor="text1"/>
                <w:sz w:val="20"/>
                <w:szCs w:val="20"/>
              </w:rPr>
            </w:pPr>
            <w:r w:rsidRPr="00B051E5">
              <w:rPr>
                <w:rFonts w:ascii="Garamond" w:hAnsi="Garamond" w:cs="Arial"/>
                <w:color w:val="000000" w:themeColor="text1"/>
                <w:sz w:val="20"/>
                <w:szCs w:val="20"/>
              </w:rPr>
              <w:t>Stock price informativness, which is measured based on the following two equations:</w:t>
            </w:r>
          </w:p>
          <w:tbl>
            <w:tblPr>
              <w:tblpPr w:leftFromText="180" w:rightFromText="180" w:vertAnchor="text" w:horzAnchor="margin" w:tblpY="772"/>
              <w:tblOverlap w:val="never"/>
              <w:tblW w:w="3686" w:type="dxa"/>
              <w:tblLayout w:type="fixed"/>
              <w:tblLook w:val="04A0" w:firstRow="1" w:lastRow="0" w:firstColumn="1" w:lastColumn="0" w:noHBand="0" w:noVBand="1"/>
            </w:tblPr>
            <w:tblGrid>
              <w:gridCol w:w="1422"/>
              <w:gridCol w:w="2264"/>
            </w:tblGrid>
            <w:tr w:rsidR="00B051E5" w:rsidRPr="00B051E5" w14:paraId="0AE760FA" w14:textId="77777777" w:rsidTr="00195944">
              <w:trPr>
                <w:trHeight w:val="528"/>
              </w:trPr>
              <w:tc>
                <w:tcPr>
                  <w:tcW w:w="1422" w:type="dxa"/>
                  <w:shd w:val="clear" w:color="auto" w:fill="auto"/>
                </w:tcPr>
                <w:p w14:paraId="78E9AB33" w14:textId="77777777" w:rsidR="00C42CF0" w:rsidRPr="00B051E5" w:rsidRDefault="0027215B" w:rsidP="00C42CF0">
                  <w:pPr>
                    <w:jc w:val="both"/>
                    <w:rPr>
                      <w:rFonts w:ascii="Garamond" w:eastAsia="Calibri" w:hAnsi="Garamond"/>
                      <w:color w:val="000000" w:themeColor="text1"/>
                      <w:sz w:val="20"/>
                      <w:szCs w:val="20"/>
                      <w:lang w:eastAsia="en-US"/>
                    </w:rPr>
                  </w:pPr>
                  <m:oMathPara>
                    <m:oMath>
                      <m:r>
                        <w:rPr>
                          <w:rFonts w:ascii="Cambria Math" w:eastAsia="Calibri" w:hAnsi="Cambria Math"/>
                          <w:noProof/>
                          <w:color w:val="000000" w:themeColor="text1"/>
                          <w:sz w:val="20"/>
                          <w:szCs w:val="20"/>
                          <w:lang w:eastAsia="en-US"/>
                        </w:rPr>
                        <m:t>SYNC</m:t>
                      </m:r>
                      <m:sSub>
                        <m:sSubPr>
                          <m:ctrlPr>
                            <w:rPr>
                              <w:rFonts w:ascii="Cambria Math" w:eastAsia="Calibri" w:hAnsi="Cambria Math"/>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H</m:t>
                          </m:r>
                        </m:e>
                        <m:sub>
                          <m:r>
                            <w:rPr>
                              <w:rFonts w:ascii="Cambria Math" w:eastAsia="Calibri" w:hAnsi="Cambria Math"/>
                              <w:noProof/>
                              <w:color w:val="000000" w:themeColor="text1"/>
                              <w:sz w:val="20"/>
                              <w:szCs w:val="20"/>
                              <w:lang w:eastAsia="en-US"/>
                            </w:rPr>
                            <m:t>i,t</m:t>
                          </m:r>
                        </m:sub>
                      </m:sSub>
                      <m:r>
                        <w:rPr>
                          <w:rFonts w:ascii="Cambria Math" w:eastAsia="Calibri" w:hAnsi="Cambria Math"/>
                          <w:noProof/>
                          <w:color w:val="000000" w:themeColor="text1"/>
                          <w:sz w:val="20"/>
                          <w:szCs w:val="20"/>
                          <w:lang w:eastAsia="en-US"/>
                        </w:rPr>
                        <m:t>=</m:t>
                      </m:r>
                    </m:oMath>
                  </m:oMathPara>
                </w:p>
              </w:tc>
              <w:tc>
                <w:tcPr>
                  <w:tcW w:w="2264" w:type="dxa"/>
                  <w:shd w:val="clear" w:color="auto" w:fill="auto"/>
                </w:tcPr>
                <w:p w14:paraId="3759CBAC" w14:textId="77777777" w:rsidR="00C42CF0" w:rsidRPr="00B051E5" w:rsidRDefault="00490386" w:rsidP="00C42CF0">
                  <w:pPr>
                    <w:jc w:val="both"/>
                    <w:rPr>
                      <w:rFonts w:ascii="Garamond" w:eastAsia="Calibri" w:hAnsi="Garamond"/>
                      <w:color w:val="000000" w:themeColor="text1"/>
                      <w:sz w:val="20"/>
                      <w:szCs w:val="20"/>
                      <w:lang w:eastAsia="en-US"/>
                    </w:rPr>
                  </w:pPr>
                  <m:oMathPara>
                    <m:oMath>
                      <m:func>
                        <m:funcPr>
                          <m:ctrlPr>
                            <w:rPr>
                              <w:rFonts w:ascii="Cambria Math" w:eastAsia="Calibri" w:hAnsi="Cambria Math"/>
                              <w:i/>
                              <w:noProof/>
                              <w:color w:val="000000" w:themeColor="text1"/>
                              <w:sz w:val="20"/>
                              <w:szCs w:val="20"/>
                              <w:lang w:eastAsia="en-US"/>
                            </w:rPr>
                          </m:ctrlPr>
                        </m:funcPr>
                        <m:fName>
                          <m:r>
                            <w:rPr>
                              <w:rFonts w:ascii="Cambria Math" w:eastAsia="Calibri" w:hAnsi="Cambria Math"/>
                              <w:noProof/>
                              <w:color w:val="000000" w:themeColor="text1"/>
                              <w:sz w:val="20"/>
                              <w:szCs w:val="20"/>
                              <w:lang w:eastAsia="en-US"/>
                            </w:rPr>
                            <m:t>log</m:t>
                          </m:r>
                        </m:fName>
                        <m:e>
                          <m:d>
                            <m:dPr>
                              <m:ctrlPr>
                                <w:rPr>
                                  <w:rFonts w:ascii="Cambria Math" w:eastAsia="Calibri" w:hAnsi="Cambria Math"/>
                                  <w:i/>
                                  <w:noProof/>
                                  <w:color w:val="000000" w:themeColor="text1"/>
                                  <w:sz w:val="20"/>
                                  <w:szCs w:val="20"/>
                                  <w:lang w:eastAsia="en-US"/>
                                </w:rPr>
                              </m:ctrlPr>
                            </m:dPr>
                            <m:e>
                              <m:f>
                                <m:fPr>
                                  <m:ctrlPr>
                                    <w:rPr>
                                      <w:rFonts w:ascii="Cambria Math" w:eastAsia="Calibri" w:hAnsi="Cambria Math"/>
                                      <w:i/>
                                      <w:noProof/>
                                      <w:color w:val="000000" w:themeColor="text1"/>
                                      <w:sz w:val="20"/>
                                      <w:szCs w:val="20"/>
                                      <w:lang w:eastAsia="en-US"/>
                                    </w:rPr>
                                  </m:ctrlPr>
                                </m:fPr>
                                <m:num>
                                  <m:sSup>
                                    <m:sSupPr>
                                      <m:ctrlPr>
                                        <w:rPr>
                                          <w:rFonts w:ascii="Cambria Math" w:eastAsia="Calibri" w:hAnsi="Cambria Math"/>
                                          <w:i/>
                                          <w:noProof/>
                                          <w:color w:val="000000" w:themeColor="text1"/>
                                          <w:sz w:val="20"/>
                                          <w:szCs w:val="20"/>
                                          <w:lang w:eastAsia="en-US"/>
                                        </w:rPr>
                                      </m:ctrlPr>
                                    </m:sSupPr>
                                    <m:e>
                                      <m:sSub>
                                        <m:sSubPr>
                                          <m:ctrlPr>
                                            <w:rPr>
                                              <w:rFonts w:ascii="Cambria Math" w:eastAsia="Calibri" w:hAnsi="Cambria Math"/>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R</m:t>
                                          </m:r>
                                        </m:e>
                                        <m:sub>
                                          <m:r>
                                            <w:rPr>
                                              <w:rFonts w:ascii="Cambria Math" w:eastAsia="Calibri" w:hAnsi="Cambria Math"/>
                                              <w:noProof/>
                                              <w:color w:val="000000" w:themeColor="text1"/>
                                              <w:sz w:val="20"/>
                                              <w:szCs w:val="20"/>
                                              <w:lang w:eastAsia="en-US"/>
                                            </w:rPr>
                                            <m:t>i</m:t>
                                          </m:r>
                                          <m:r>
                                            <w:rPr>
                                              <w:rFonts w:ascii="Cambria Math" w:eastAsia="Calibri" w:hAnsi="Cambria Math"/>
                                              <w:noProof/>
                                              <w:color w:val="000000" w:themeColor="text1"/>
                                              <w:sz w:val="20"/>
                                              <w:szCs w:val="20"/>
                                              <w:lang w:eastAsia="en-US"/>
                                            </w:rPr>
                                            <m:t>,</m:t>
                                          </m:r>
                                          <m:r>
                                            <w:rPr>
                                              <w:rFonts w:ascii="Cambria Math" w:eastAsia="Calibri" w:hAnsi="Cambria Math"/>
                                              <w:noProof/>
                                              <w:color w:val="000000" w:themeColor="text1"/>
                                              <w:sz w:val="20"/>
                                              <w:szCs w:val="20"/>
                                              <w:lang w:eastAsia="en-US"/>
                                            </w:rPr>
                                            <m:t>t</m:t>
                                          </m:r>
                                        </m:sub>
                                      </m:sSub>
                                    </m:e>
                                    <m:sup>
                                      <m:r>
                                        <w:rPr>
                                          <w:rFonts w:ascii="Cambria Math" w:eastAsia="Calibri" w:hAnsi="Cambria Math"/>
                                          <w:noProof/>
                                          <w:color w:val="000000" w:themeColor="text1"/>
                                          <w:sz w:val="20"/>
                                          <w:szCs w:val="20"/>
                                          <w:lang w:eastAsia="en-US"/>
                                        </w:rPr>
                                        <m:t>2</m:t>
                                      </m:r>
                                    </m:sup>
                                  </m:sSup>
                                </m:num>
                                <m:den>
                                  <m:r>
                                    <w:rPr>
                                      <w:rFonts w:ascii="Cambria Math" w:eastAsia="Calibri" w:hAnsi="Cambria Math"/>
                                      <w:noProof/>
                                      <w:color w:val="000000" w:themeColor="text1"/>
                                      <w:sz w:val="20"/>
                                      <w:szCs w:val="20"/>
                                      <w:lang w:eastAsia="en-US"/>
                                    </w:rPr>
                                    <m:t>1-</m:t>
                                  </m:r>
                                  <m:sSup>
                                    <m:sSupPr>
                                      <m:ctrlPr>
                                        <w:rPr>
                                          <w:rFonts w:ascii="Cambria Math" w:eastAsia="Calibri" w:hAnsi="Cambria Math"/>
                                          <w:i/>
                                          <w:noProof/>
                                          <w:color w:val="000000" w:themeColor="text1"/>
                                          <w:sz w:val="20"/>
                                          <w:szCs w:val="20"/>
                                          <w:lang w:eastAsia="en-US"/>
                                        </w:rPr>
                                      </m:ctrlPr>
                                    </m:sSupPr>
                                    <m:e>
                                      <m:sSub>
                                        <m:sSubPr>
                                          <m:ctrlPr>
                                            <w:rPr>
                                              <w:rFonts w:ascii="Cambria Math" w:eastAsia="Calibri" w:hAnsi="Cambria Math"/>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R</m:t>
                                          </m:r>
                                        </m:e>
                                        <m:sub>
                                          <m:r>
                                            <w:rPr>
                                              <w:rFonts w:ascii="Cambria Math" w:eastAsia="Calibri" w:hAnsi="Cambria Math"/>
                                              <w:noProof/>
                                              <w:color w:val="000000" w:themeColor="text1"/>
                                              <w:sz w:val="20"/>
                                              <w:szCs w:val="20"/>
                                              <w:lang w:eastAsia="en-US"/>
                                            </w:rPr>
                                            <m:t>i</m:t>
                                          </m:r>
                                          <m:r>
                                            <w:rPr>
                                              <w:rFonts w:ascii="Cambria Math" w:eastAsia="Calibri" w:hAnsi="Cambria Math"/>
                                              <w:noProof/>
                                              <w:color w:val="000000" w:themeColor="text1"/>
                                              <w:sz w:val="20"/>
                                              <w:szCs w:val="20"/>
                                              <w:lang w:eastAsia="en-US"/>
                                            </w:rPr>
                                            <m:t>,</m:t>
                                          </m:r>
                                          <m:r>
                                            <w:rPr>
                                              <w:rFonts w:ascii="Cambria Math" w:eastAsia="Calibri" w:hAnsi="Cambria Math"/>
                                              <w:noProof/>
                                              <w:color w:val="000000" w:themeColor="text1"/>
                                              <w:sz w:val="20"/>
                                              <w:szCs w:val="20"/>
                                              <w:lang w:eastAsia="en-US"/>
                                            </w:rPr>
                                            <m:t>t</m:t>
                                          </m:r>
                                        </m:sub>
                                      </m:sSub>
                                    </m:e>
                                    <m:sup>
                                      <m:r>
                                        <w:rPr>
                                          <w:rFonts w:ascii="Cambria Math" w:eastAsia="Calibri" w:hAnsi="Cambria Math"/>
                                          <w:noProof/>
                                          <w:color w:val="000000" w:themeColor="text1"/>
                                          <w:sz w:val="20"/>
                                          <w:szCs w:val="20"/>
                                          <w:lang w:eastAsia="en-US"/>
                                        </w:rPr>
                                        <m:t>2</m:t>
                                      </m:r>
                                    </m:sup>
                                  </m:sSup>
                                </m:den>
                              </m:f>
                            </m:e>
                          </m:d>
                        </m:e>
                      </m:func>
                    </m:oMath>
                  </m:oMathPara>
                </w:p>
              </w:tc>
            </w:tr>
          </w:tbl>
          <w:p w14:paraId="698001FA" w14:textId="77777777" w:rsidR="00C42CF0" w:rsidRPr="00B051E5" w:rsidRDefault="00C42CF0" w:rsidP="00C42CF0">
            <w:pPr>
              <w:spacing w:after="160"/>
              <w:jc w:val="both"/>
              <w:rPr>
                <w:rFonts w:ascii="Garamond" w:hAnsi="Garamond" w:cs="Arial"/>
                <w:color w:val="000000" w:themeColor="text1"/>
                <w:sz w:val="20"/>
                <w:szCs w:val="20"/>
              </w:rPr>
            </w:pPr>
          </w:p>
          <w:p w14:paraId="6ED8C5A2" w14:textId="77777777" w:rsidR="00C42CF0" w:rsidRPr="00B051E5" w:rsidRDefault="00C42CF0" w:rsidP="00C42CF0">
            <w:pPr>
              <w:spacing w:after="160"/>
              <w:jc w:val="both"/>
              <w:rPr>
                <w:rFonts w:ascii="Garamond" w:hAnsi="Garamond" w:cs="Arial"/>
                <w:color w:val="000000" w:themeColor="text1"/>
                <w:sz w:val="20"/>
                <w:szCs w:val="20"/>
              </w:rPr>
            </w:pPr>
          </w:p>
        </w:tc>
        <w:tc>
          <w:tcPr>
            <w:tcW w:w="1701" w:type="dxa"/>
          </w:tcPr>
          <w:p w14:paraId="0D22D4AF" w14:textId="47569596" w:rsidR="00C42CF0" w:rsidRPr="00B051E5" w:rsidRDefault="00B75534"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r w:rsidR="00C42CF0" w:rsidRPr="00B051E5">
              <w:rPr>
                <w:rFonts w:ascii="Garamond" w:hAnsi="Garamond" w:cs="Arial"/>
                <w:color w:val="000000" w:themeColor="text1"/>
                <w:sz w:val="20"/>
                <w:szCs w:val="20"/>
              </w:rPr>
              <w:t xml:space="preserve">/ Regression estimations </w:t>
            </w:r>
          </w:p>
        </w:tc>
      </w:tr>
      <w:tr w:rsidR="00B051E5" w:rsidRPr="00B051E5" w14:paraId="58170DC9" w14:textId="77777777" w:rsidTr="00EB04BF">
        <w:trPr>
          <w:trHeight w:val="272"/>
        </w:trPr>
        <w:tc>
          <w:tcPr>
            <w:tcW w:w="1417" w:type="dxa"/>
          </w:tcPr>
          <w:p w14:paraId="75C9A886" w14:textId="77777777" w:rsidR="00C42CF0" w:rsidRPr="00B051E5" w:rsidRDefault="00C42CF0" w:rsidP="00C42CF0">
            <w:pPr>
              <w:spacing w:after="160" w:line="259" w:lineRule="auto"/>
              <w:jc w:val="both"/>
              <w:rPr>
                <w:rFonts w:ascii="Garamond" w:hAnsi="Garamond" w:cs="Arial"/>
                <w:iCs/>
                <w:color w:val="000000" w:themeColor="text1"/>
                <w:sz w:val="20"/>
                <w:szCs w:val="20"/>
              </w:rPr>
            </w:pPr>
            <w:r w:rsidRPr="00B051E5">
              <w:rPr>
                <w:rFonts w:ascii="Garamond" w:hAnsi="Garamond"/>
                <w:iCs/>
                <w:color w:val="000000" w:themeColor="text1"/>
                <w:sz w:val="20"/>
                <w:szCs w:val="20"/>
              </w:rPr>
              <w:t>PARD</w:t>
            </w:r>
            <w:r w:rsidRPr="00B051E5">
              <w:rPr>
                <w:rFonts w:ascii="Garamond" w:hAnsi="Garamond" w:cs="Arial"/>
                <w:iCs/>
                <w:color w:val="000000" w:themeColor="text1"/>
                <w:sz w:val="20"/>
                <w:szCs w:val="20"/>
              </w:rPr>
              <w:t xml:space="preserve"> </w:t>
            </w:r>
          </w:p>
        </w:tc>
        <w:tc>
          <w:tcPr>
            <w:tcW w:w="8222" w:type="dxa"/>
          </w:tcPr>
          <w:p w14:paraId="54531E88" w14:textId="77777777" w:rsidR="00C42CF0" w:rsidRPr="00B051E5" w:rsidRDefault="00C42CF0" w:rsidP="00C42CF0">
            <w:pPr>
              <w:spacing w:after="160" w:line="259" w:lineRule="auto"/>
              <w:jc w:val="both"/>
              <w:rPr>
                <w:rFonts w:ascii="Garamond" w:hAnsi="Garamond" w:cs="Arial"/>
                <w:bCs/>
                <w:color w:val="000000" w:themeColor="text1"/>
                <w:kern w:val="16"/>
                <w:sz w:val="20"/>
                <w:szCs w:val="20"/>
              </w:rPr>
            </w:pPr>
            <w:r w:rsidRPr="00B051E5">
              <w:rPr>
                <w:rFonts w:ascii="Garamond" w:hAnsi="Garamond" w:cs="Arial"/>
                <w:color w:val="000000" w:themeColor="text1"/>
                <w:sz w:val="20"/>
                <w:szCs w:val="20"/>
              </w:rPr>
              <w:t xml:space="preserve">Percentage of aggregated risk disclosure measured </w:t>
            </w:r>
            <w:r w:rsidRPr="00B051E5">
              <w:rPr>
                <w:rFonts w:ascii="Garamond" w:hAnsi="Garamond"/>
                <w:color w:val="000000" w:themeColor="text1"/>
                <w:sz w:val="20"/>
                <w:szCs w:val="20"/>
              </w:rPr>
              <w:t>by counting the number of sentences indicative of risk relative to all sentences coded on the whole narrative sections of annual report.</w:t>
            </w:r>
          </w:p>
        </w:tc>
        <w:tc>
          <w:tcPr>
            <w:tcW w:w="1701" w:type="dxa"/>
          </w:tcPr>
          <w:p w14:paraId="13C71902"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Annual reports/ Textual analysis</w:t>
            </w:r>
          </w:p>
        </w:tc>
      </w:tr>
      <w:tr w:rsidR="00B051E5" w:rsidRPr="00B051E5" w14:paraId="6501409E" w14:textId="77777777" w:rsidTr="00EB04BF">
        <w:trPr>
          <w:trHeight w:val="614"/>
        </w:trPr>
        <w:tc>
          <w:tcPr>
            <w:tcW w:w="1417" w:type="dxa"/>
          </w:tcPr>
          <w:p w14:paraId="0778AA5F" w14:textId="77777777" w:rsidR="00C42CF0" w:rsidRPr="00B051E5" w:rsidRDefault="00C42CF0" w:rsidP="00C42CF0">
            <w:pPr>
              <w:spacing w:after="160" w:line="259" w:lineRule="auto"/>
              <w:jc w:val="both"/>
              <w:rPr>
                <w:rFonts w:ascii="Garamond" w:hAnsi="Garamond" w:cs="Arial"/>
                <w:iCs/>
                <w:color w:val="000000" w:themeColor="text1"/>
                <w:sz w:val="20"/>
                <w:szCs w:val="20"/>
              </w:rPr>
            </w:pPr>
            <w:r w:rsidRPr="00B051E5">
              <w:rPr>
                <w:rFonts w:ascii="Garamond" w:hAnsi="Garamond"/>
                <w:iCs/>
                <w:color w:val="000000" w:themeColor="text1"/>
                <w:sz w:val="20"/>
                <w:szCs w:val="20"/>
              </w:rPr>
              <w:t>PFLRD</w:t>
            </w:r>
          </w:p>
        </w:tc>
        <w:tc>
          <w:tcPr>
            <w:tcW w:w="8222" w:type="dxa"/>
          </w:tcPr>
          <w:p w14:paraId="3B2CA387" w14:textId="77777777" w:rsidR="00C42CF0" w:rsidRPr="00B051E5" w:rsidRDefault="00C42CF0" w:rsidP="00C42CF0">
            <w:pPr>
              <w:jc w:val="both"/>
              <w:rPr>
                <w:rFonts w:ascii="Garamond" w:hAnsi="Garamond"/>
                <w:color w:val="000000" w:themeColor="text1"/>
                <w:sz w:val="20"/>
                <w:szCs w:val="20"/>
              </w:rPr>
            </w:pPr>
            <w:r w:rsidRPr="00B051E5">
              <w:rPr>
                <w:rFonts w:ascii="Garamond" w:hAnsi="Garamond" w:cs="Arial"/>
                <w:color w:val="000000" w:themeColor="text1"/>
                <w:sz w:val="20"/>
                <w:szCs w:val="20"/>
              </w:rPr>
              <w:t xml:space="preserve">Percentage of forward-looking risk disclosure </w:t>
            </w:r>
            <w:r w:rsidRPr="00B051E5">
              <w:rPr>
                <w:rFonts w:ascii="Garamond" w:hAnsi="Garamond"/>
                <w:color w:val="000000" w:themeColor="text1"/>
                <w:sz w:val="20"/>
                <w:szCs w:val="20"/>
              </w:rPr>
              <w:t>measured by counting the number of risk sentences that indicate the future relative to the aggregate risk disclosure scores.</w:t>
            </w:r>
          </w:p>
        </w:tc>
        <w:tc>
          <w:tcPr>
            <w:tcW w:w="1701" w:type="dxa"/>
          </w:tcPr>
          <w:p w14:paraId="3A8A418B"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Annual reports/ Textual analysis/</w:t>
            </w:r>
          </w:p>
        </w:tc>
      </w:tr>
      <w:tr w:rsidR="00B051E5" w:rsidRPr="00B051E5" w14:paraId="6A2E7513" w14:textId="77777777" w:rsidTr="00EB04BF">
        <w:trPr>
          <w:trHeight w:val="881"/>
        </w:trPr>
        <w:tc>
          <w:tcPr>
            <w:tcW w:w="1417" w:type="dxa"/>
          </w:tcPr>
          <w:p w14:paraId="7C18E667" w14:textId="77777777" w:rsidR="00C42CF0" w:rsidRPr="00B051E5" w:rsidRDefault="00C42CF0" w:rsidP="00C42CF0">
            <w:pPr>
              <w:spacing w:after="160" w:line="259" w:lineRule="auto"/>
              <w:jc w:val="both"/>
              <w:rPr>
                <w:rFonts w:ascii="Garamond" w:hAnsi="Garamond" w:cs="Arial"/>
                <w:iCs/>
                <w:color w:val="000000" w:themeColor="text1"/>
                <w:sz w:val="20"/>
                <w:szCs w:val="20"/>
              </w:rPr>
            </w:pPr>
            <w:r w:rsidRPr="00B051E5">
              <w:rPr>
                <w:rFonts w:ascii="Garamond" w:hAnsi="Garamond"/>
                <w:iCs/>
                <w:color w:val="000000" w:themeColor="text1"/>
                <w:sz w:val="20"/>
                <w:szCs w:val="20"/>
              </w:rPr>
              <w:t>PNFLRD</w:t>
            </w:r>
          </w:p>
        </w:tc>
        <w:tc>
          <w:tcPr>
            <w:tcW w:w="8222" w:type="dxa"/>
          </w:tcPr>
          <w:p w14:paraId="624C0B08" w14:textId="77777777" w:rsidR="00C42CF0" w:rsidRPr="00B051E5" w:rsidRDefault="00C42CF0" w:rsidP="00C42CF0">
            <w:pPr>
              <w:jc w:val="both"/>
              <w:rPr>
                <w:rFonts w:ascii="Garamond" w:hAnsi="Garamond"/>
                <w:color w:val="000000" w:themeColor="text1"/>
                <w:sz w:val="20"/>
                <w:szCs w:val="20"/>
              </w:rPr>
            </w:pPr>
            <w:r w:rsidRPr="00B051E5">
              <w:rPr>
                <w:rFonts w:ascii="Garamond" w:hAnsi="Garamond" w:cs="Arial"/>
                <w:color w:val="000000" w:themeColor="text1"/>
                <w:sz w:val="20"/>
                <w:szCs w:val="20"/>
              </w:rPr>
              <w:t xml:space="preserve">Percentage of backward risk disclosure </w:t>
            </w:r>
            <w:r w:rsidRPr="00B051E5">
              <w:rPr>
                <w:rFonts w:ascii="Garamond" w:hAnsi="Garamond"/>
                <w:color w:val="000000" w:themeColor="text1"/>
                <w:sz w:val="20"/>
                <w:szCs w:val="20"/>
              </w:rPr>
              <w:t xml:space="preserve">measured by counting the number of risk sentences that do not reflect the future relative the aggregate risk disclosure scores. This measure is calculated as follows: </w:t>
            </w:r>
          </w:p>
          <w:p w14:paraId="1A501770" w14:textId="77777777" w:rsidR="00C42CF0" w:rsidRPr="00B051E5" w:rsidRDefault="00C42CF0" w:rsidP="00C42CF0">
            <w:pPr>
              <w:jc w:val="both"/>
              <w:rPr>
                <w:rFonts w:ascii="Garamond" w:hAnsi="Garamond"/>
                <w:color w:val="000000" w:themeColor="text1"/>
                <w:sz w:val="20"/>
                <w:szCs w:val="20"/>
              </w:rPr>
            </w:pPr>
          </w:p>
          <w:tbl>
            <w:tblPr>
              <w:tblpPr w:leftFromText="180" w:rightFromText="180" w:vertAnchor="text" w:horzAnchor="margin" w:tblpY="-96"/>
              <w:tblOverlap w:val="never"/>
              <w:tblW w:w="5103" w:type="dxa"/>
              <w:tblLayout w:type="fixed"/>
              <w:tblLook w:val="04A0" w:firstRow="1" w:lastRow="0" w:firstColumn="1" w:lastColumn="0" w:noHBand="0" w:noVBand="1"/>
            </w:tblPr>
            <w:tblGrid>
              <w:gridCol w:w="1843"/>
              <w:gridCol w:w="3260"/>
            </w:tblGrid>
            <w:tr w:rsidR="00B051E5" w:rsidRPr="00B051E5" w14:paraId="07D88DF7" w14:textId="77777777" w:rsidTr="00195944">
              <w:trPr>
                <w:trHeight w:val="528"/>
              </w:trPr>
              <w:tc>
                <w:tcPr>
                  <w:tcW w:w="1843" w:type="dxa"/>
                  <w:shd w:val="clear" w:color="auto" w:fill="auto"/>
                </w:tcPr>
                <w:p w14:paraId="0D9FDBE3" w14:textId="77777777" w:rsidR="00C42CF0" w:rsidRPr="00B051E5" w:rsidRDefault="00490386" w:rsidP="00C42CF0">
                  <w:pPr>
                    <w:jc w:val="both"/>
                    <w:rPr>
                      <w:rFonts w:ascii="Garamond" w:eastAsia="Calibri" w:hAnsi="Garamond"/>
                      <w:color w:val="000000" w:themeColor="text1"/>
                      <w:sz w:val="20"/>
                      <w:szCs w:val="20"/>
                      <w:lang w:eastAsia="en-US"/>
                    </w:rPr>
                  </w:pPr>
                  <m:oMathPara>
                    <m:oMath>
                      <m:sSub>
                        <m:sSubPr>
                          <m:ctrlPr>
                            <w:rPr>
                              <w:rFonts w:ascii="Cambria Math" w:eastAsia="Calibri" w:hAnsi="Cambria Math"/>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PNFLRD</m:t>
                          </m:r>
                        </m:e>
                        <m:sub>
                          <m:r>
                            <w:rPr>
                              <w:rFonts w:ascii="Cambria Math" w:eastAsia="Calibri" w:hAnsi="Cambria Math"/>
                              <w:noProof/>
                              <w:color w:val="000000" w:themeColor="text1"/>
                              <w:sz w:val="20"/>
                              <w:szCs w:val="20"/>
                              <w:lang w:eastAsia="en-US"/>
                            </w:rPr>
                            <m:t>i</m:t>
                          </m:r>
                          <m:r>
                            <w:rPr>
                              <w:rFonts w:ascii="Cambria Math" w:eastAsia="Calibri" w:hAnsi="Cambria Math"/>
                              <w:noProof/>
                              <w:color w:val="000000" w:themeColor="text1"/>
                              <w:sz w:val="20"/>
                              <w:szCs w:val="20"/>
                              <w:lang w:eastAsia="en-US"/>
                            </w:rPr>
                            <m:t>,</m:t>
                          </m:r>
                          <m:r>
                            <w:rPr>
                              <w:rFonts w:ascii="Cambria Math" w:eastAsia="Calibri" w:hAnsi="Cambria Math"/>
                              <w:noProof/>
                              <w:color w:val="000000" w:themeColor="text1"/>
                              <w:sz w:val="20"/>
                              <w:szCs w:val="20"/>
                              <w:lang w:eastAsia="en-US"/>
                            </w:rPr>
                            <m:t>t</m:t>
                          </m:r>
                        </m:sub>
                      </m:sSub>
                      <m:r>
                        <w:rPr>
                          <w:rFonts w:ascii="Cambria Math" w:eastAsia="Calibri" w:hAnsi="Cambria Math"/>
                          <w:noProof/>
                          <w:color w:val="000000" w:themeColor="text1"/>
                          <w:sz w:val="20"/>
                          <w:szCs w:val="20"/>
                          <w:lang w:eastAsia="en-US"/>
                        </w:rPr>
                        <m:t>=</m:t>
                      </m:r>
                    </m:oMath>
                  </m:oMathPara>
                </w:p>
              </w:tc>
              <w:tc>
                <w:tcPr>
                  <w:tcW w:w="3260" w:type="dxa"/>
                  <w:shd w:val="clear" w:color="auto" w:fill="auto"/>
                </w:tcPr>
                <w:p w14:paraId="48C34FC8" w14:textId="77777777" w:rsidR="00C42CF0" w:rsidRPr="00B051E5" w:rsidRDefault="0027215B" w:rsidP="00C42CF0">
                  <w:pPr>
                    <w:jc w:val="both"/>
                    <w:rPr>
                      <w:rFonts w:ascii="Garamond" w:eastAsia="Calibri" w:hAnsi="Garamond"/>
                      <w:color w:val="000000" w:themeColor="text1"/>
                      <w:sz w:val="20"/>
                      <w:szCs w:val="20"/>
                      <w:lang w:eastAsia="en-US"/>
                    </w:rPr>
                  </w:pPr>
                  <m:oMathPara>
                    <m:oMath>
                      <m:r>
                        <w:rPr>
                          <w:rFonts w:ascii="Cambria Math" w:eastAsia="Calibri" w:hAnsi="Cambria Math"/>
                          <w:noProof/>
                          <w:color w:val="000000" w:themeColor="text1"/>
                          <w:sz w:val="20"/>
                          <w:szCs w:val="20"/>
                          <w:lang w:eastAsia="en-US"/>
                        </w:rPr>
                        <m:t>(1-</m:t>
                      </m:r>
                      <m:sSub>
                        <m:sSubPr>
                          <m:ctrlPr>
                            <w:rPr>
                              <w:rFonts w:ascii="Cambria Math" w:eastAsia="Calibri" w:hAnsi="Cambria Math"/>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PARD</m:t>
                          </m:r>
                        </m:e>
                        <m:sub>
                          <m:r>
                            <w:rPr>
                              <w:rFonts w:ascii="Cambria Math" w:eastAsia="Calibri" w:hAnsi="Cambria Math"/>
                              <w:noProof/>
                              <w:color w:val="000000" w:themeColor="text1"/>
                              <w:sz w:val="20"/>
                              <w:szCs w:val="20"/>
                              <w:lang w:eastAsia="en-US"/>
                            </w:rPr>
                            <m:t>i,t</m:t>
                          </m:r>
                        </m:sub>
                      </m:sSub>
                      <m:r>
                        <w:rPr>
                          <w:rFonts w:ascii="Cambria Math" w:eastAsia="Calibri" w:hAnsi="Cambria Math"/>
                          <w:noProof/>
                          <w:color w:val="000000" w:themeColor="text1"/>
                          <w:sz w:val="20"/>
                          <w:szCs w:val="20"/>
                          <w:lang w:eastAsia="en-US"/>
                        </w:rPr>
                        <m:t>)</m:t>
                      </m:r>
                    </m:oMath>
                  </m:oMathPara>
                </w:p>
              </w:tc>
            </w:tr>
          </w:tbl>
          <w:p w14:paraId="19CAFC33" w14:textId="77777777" w:rsidR="00C42CF0" w:rsidRPr="00B051E5" w:rsidRDefault="00C42CF0" w:rsidP="00C42CF0">
            <w:pPr>
              <w:jc w:val="both"/>
              <w:rPr>
                <w:rFonts w:ascii="Garamond" w:hAnsi="Garamond"/>
                <w:color w:val="000000" w:themeColor="text1"/>
                <w:sz w:val="20"/>
                <w:szCs w:val="20"/>
              </w:rPr>
            </w:pPr>
          </w:p>
        </w:tc>
        <w:tc>
          <w:tcPr>
            <w:tcW w:w="1701" w:type="dxa"/>
          </w:tcPr>
          <w:p w14:paraId="1B39DE3C"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 xml:space="preserve">Annual reports/ </w:t>
            </w:r>
          </w:p>
          <w:p w14:paraId="160F75FF" w14:textId="77777777" w:rsidR="00C42CF0" w:rsidRPr="00B051E5" w:rsidRDefault="00C42CF0" w:rsidP="00C42CF0">
            <w:pPr>
              <w:spacing w:after="160" w:line="259" w:lineRule="auto"/>
              <w:jc w:val="both"/>
              <w:rPr>
                <w:rFonts w:ascii="Garamond" w:hAnsi="Garamond" w:cs="Arial"/>
                <w:bCs/>
                <w:color w:val="000000" w:themeColor="text1"/>
                <w:kern w:val="16"/>
                <w:sz w:val="20"/>
                <w:szCs w:val="20"/>
              </w:rPr>
            </w:pPr>
            <w:r w:rsidRPr="00B051E5">
              <w:rPr>
                <w:rFonts w:ascii="Garamond" w:hAnsi="Garamond" w:cs="Arial"/>
                <w:color w:val="000000" w:themeColor="text1"/>
                <w:sz w:val="20"/>
                <w:szCs w:val="20"/>
              </w:rPr>
              <w:t>Textual analysis</w:t>
            </w:r>
          </w:p>
        </w:tc>
      </w:tr>
      <w:tr w:rsidR="00B051E5" w:rsidRPr="00B051E5" w14:paraId="08D52D6A" w14:textId="77777777" w:rsidTr="00EB04BF">
        <w:trPr>
          <w:trHeight w:val="736"/>
        </w:trPr>
        <w:tc>
          <w:tcPr>
            <w:tcW w:w="1417" w:type="dxa"/>
          </w:tcPr>
          <w:p w14:paraId="134E5802" w14:textId="77777777" w:rsidR="00C42CF0" w:rsidRPr="00B051E5" w:rsidRDefault="00C42CF0" w:rsidP="00C42CF0">
            <w:pPr>
              <w:spacing w:after="160" w:line="259" w:lineRule="auto"/>
              <w:jc w:val="both"/>
              <w:rPr>
                <w:rFonts w:ascii="Garamond" w:hAnsi="Garamond" w:cs="Arial"/>
                <w:iCs/>
                <w:color w:val="000000" w:themeColor="text1"/>
                <w:sz w:val="20"/>
                <w:szCs w:val="20"/>
              </w:rPr>
            </w:pPr>
            <w:r w:rsidRPr="00B051E5">
              <w:rPr>
                <w:rFonts w:ascii="Garamond" w:hAnsi="Garamond"/>
                <w:iCs/>
                <w:color w:val="000000" w:themeColor="text1"/>
                <w:sz w:val="20"/>
                <w:szCs w:val="20"/>
              </w:rPr>
              <w:t>PFLRD_1</w:t>
            </w:r>
          </w:p>
        </w:tc>
        <w:tc>
          <w:tcPr>
            <w:tcW w:w="8222" w:type="dxa"/>
          </w:tcPr>
          <w:p w14:paraId="3F93131A" w14:textId="77777777" w:rsidR="00C42CF0" w:rsidRPr="00B051E5" w:rsidRDefault="00C42CF0" w:rsidP="00C42CF0">
            <w:pPr>
              <w:jc w:val="both"/>
              <w:rPr>
                <w:rFonts w:ascii="Garamond" w:hAnsi="Garamond"/>
                <w:color w:val="000000" w:themeColor="text1"/>
                <w:sz w:val="20"/>
                <w:szCs w:val="20"/>
              </w:rPr>
            </w:pPr>
            <w:r w:rsidRPr="00B051E5">
              <w:rPr>
                <w:rFonts w:ascii="Garamond" w:hAnsi="Garamond" w:cs="Arial"/>
                <w:color w:val="000000" w:themeColor="text1"/>
                <w:sz w:val="20"/>
                <w:szCs w:val="20"/>
              </w:rPr>
              <w:t xml:space="preserve">Percentage of forward-looking risk disclosure </w:t>
            </w:r>
            <w:r w:rsidRPr="00B051E5">
              <w:rPr>
                <w:rFonts w:ascii="Garamond" w:hAnsi="Garamond"/>
                <w:color w:val="000000" w:themeColor="text1"/>
                <w:sz w:val="20"/>
                <w:szCs w:val="20"/>
              </w:rPr>
              <w:t>measured by counting the number of risk sentences that indicate the future relative to all sentences coded on the narrative sections. This measure is used as an alternative measure for robustness checks.</w:t>
            </w:r>
          </w:p>
        </w:tc>
        <w:tc>
          <w:tcPr>
            <w:tcW w:w="1701" w:type="dxa"/>
          </w:tcPr>
          <w:p w14:paraId="0850A623"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 xml:space="preserve">Annual reports/ </w:t>
            </w:r>
          </w:p>
          <w:p w14:paraId="19025074"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Textual analysis</w:t>
            </w:r>
          </w:p>
        </w:tc>
      </w:tr>
      <w:tr w:rsidR="00B051E5" w:rsidRPr="00B051E5" w14:paraId="33F60BFB" w14:textId="77777777" w:rsidTr="00EB04BF">
        <w:trPr>
          <w:trHeight w:val="576"/>
        </w:trPr>
        <w:tc>
          <w:tcPr>
            <w:tcW w:w="1417" w:type="dxa"/>
          </w:tcPr>
          <w:p w14:paraId="753BE29E" w14:textId="77777777" w:rsidR="00C42CF0" w:rsidRPr="00B051E5" w:rsidRDefault="00C42CF0" w:rsidP="00C42CF0">
            <w:pPr>
              <w:spacing w:after="160" w:line="259" w:lineRule="auto"/>
              <w:jc w:val="both"/>
              <w:rPr>
                <w:rFonts w:ascii="Garamond" w:hAnsi="Garamond" w:cs="Arial"/>
                <w:iCs/>
                <w:color w:val="000000" w:themeColor="text1"/>
                <w:sz w:val="20"/>
                <w:szCs w:val="20"/>
              </w:rPr>
            </w:pPr>
            <w:r w:rsidRPr="00B051E5">
              <w:rPr>
                <w:rFonts w:ascii="Garamond" w:hAnsi="Garamond"/>
                <w:iCs/>
                <w:color w:val="000000" w:themeColor="text1"/>
                <w:sz w:val="20"/>
                <w:szCs w:val="20"/>
              </w:rPr>
              <w:t>PNFLRD_1</w:t>
            </w:r>
          </w:p>
        </w:tc>
        <w:tc>
          <w:tcPr>
            <w:tcW w:w="8222" w:type="dxa"/>
          </w:tcPr>
          <w:p w14:paraId="1571C08F" w14:textId="77777777" w:rsidR="00C42CF0" w:rsidRPr="00B051E5" w:rsidRDefault="00C42CF0" w:rsidP="00C42CF0">
            <w:pPr>
              <w:jc w:val="both"/>
              <w:rPr>
                <w:rFonts w:ascii="Garamond" w:hAnsi="Garamond"/>
                <w:color w:val="000000" w:themeColor="text1"/>
                <w:sz w:val="20"/>
                <w:szCs w:val="20"/>
              </w:rPr>
            </w:pPr>
            <w:r w:rsidRPr="00B051E5">
              <w:rPr>
                <w:rFonts w:ascii="Garamond" w:hAnsi="Garamond" w:cs="Arial"/>
                <w:color w:val="000000" w:themeColor="text1"/>
                <w:sz w:val="20"/>
                <w:szCs w:val="20"/>
              </w:rPr>
              <w:t xml:space="preserve">Percentage of backward risk disclosure </w:t>
            </w:r>
            <w:r w:rsidRPr="00B051E5">
              <w:rPr>
                <w:rFonts w:ascii="Garamond" w:hAnsi="Garamond"/>
                <w:color w:val="000000" w:themeColor="text1"/>
                <w:sz w:val="20"/>
                <w:szCs w:val="20"/>
              </w:rPr>
              <w:t>measured by counting the number of risk sentences that do not indicate the future relative to all sentences coded on the narrative sections. This measure is used as an alternative measure for robustness checks. This measure is calculated as follows:</w:t>
            </w:r>
          </w:p>
          <w:p w14:paraId="47F4FCD9" w14:textId="77777777" w:rsidR="00C42CF0" w:rsidRPr="00B051E5" w:rsidRDefault="00C42CF0" w:rsidP="00C42CF0">
            <w:pPr>
              <w:jc w:val="both"/>
              <w:rPr>
                <w:rFonts w:ascii="Garamond" w:hAnsi="Garamond"/>
                <w:color w:val="000000" w:themeColor="text1"/>
                <w:sz w:val="20"/>
                <w:szCs w:val="20"/>
              </w:rPr>
            </w:pPr>
          </w:p>
          <w:tbl>
            <w:tblPr>
              <w:tblpPr w:leftFromText="180" w:rightFromText="180" w:vertAnchor="text" w:horzAnchor="margin" w:tblpY="-77"/>
              <w:tblOverlap w:val="never"/>
              <w:tblW w:w="3686" w:type="dxa"/>
              <w:tblLayout w:type="fixed"/>
              <w:tblLook w:val="04A0" w:firstRow="1" w:lastRow="0" w:firstColumn="1" w:lastColumn="0" w:noHBand="0" w:noVBand="1"/>
            </w:tblPr>
            <w:tblGrid>
              <w:gridCol w:w="1701"/>
              <w:gridCol w:w="1985"/>
            </w:tblGrid>
            <w:tr w:rsidR="00B051E5" w:rsidRPr="00B051E5" w14:paraId="2E0474F1" w14:textId="77777777" w:rsidTr="00195944">
              <w:trPr>
                <w:trHeight w:val="528"/>
              </w:trPr>
              <w:tc>
                <w:tcPr>
                  <w:tcW w:w="1701" w:type="dxa"/>
                  <w:shd w:val="clear" w:color="auto" w:fill="auto"/>
                </w:tcPr>
                <w:p w14:paraId="1C94F4F0" w14:textId="77777777" w:rsidR="00C42CF0" w:rsidRPr="00B051E5" w:rsidRDefault="00490386" w:rsidP="00C42CF0">
                  <w:pPr>
                    <w:jc w:val="both"/>
                    <w:rPr>
                      <w:rFonts w:ascii="Garamond" w:eastAsia="Calibri" w:hAnsi="Garamond"/>
                      <w:color w:val="000000" w:themeColor="text1"/>
                      <w:sz w:val="20"/>
                      <w:szCs w:val="20"/>
                      <w:lang w:eastAsia="en-US"/>
                    </w:rPr>
                  </w:pPr>
                  <m:oMathPara>
                    <m:oMath>
                      <m:sSub>
                        <m:sSubPr>
                          <m:ctrlPr>
                            <w:rPr>
                              <w:rFonts w:ascii="Cambria Math" w:eastAsia="Calibri" w:hAnsi="Cambria Math"/>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PNFLRD</m:t>
                          </m:r>
                          <m:r>
                            <w:rPr>
                              <w:rFonts w:ascii="Cambria Math" w:eastAsia="Calibri" w:hAnsi="Cambria Math"/>
                              <w:noProof/>
                              <w:color w:val="000000" w:themeColor="text1"/>
                              <w:sz w:val="20"/>
                              <w:szCs w:val="20"/>
                              <w:lang w:eastAsia="en-US"/>
                            </w:rPr>
                            <m:t>_1</m:t>
                          </m:r>
                        </m:e>
                        <m:sub>
                          <m:r>
                            <w:rPr>
                              <w:rFonts w:ascii="Cambria Math" w:eastAsia="Calibri" w:hAnsi="Cambria Math"/>
                              <w:noProof/>
                              <w:color w:val="000000" w:themeColor="text1"/>
                              <w:sz w:val="20"/>
                              <w:szCs w:val="20"/>
                              <w:lang w:eastAsia="en-US"/>
                            </w:rPr>
                            <m:t>i</m:t>
                          </m:r>
                          <m:r>
                            <w:rPr>
                              <w:rFonts w:ascii="Cambria Math" w:eastAsia="Calibri" w:hAnsi="Cambria Math"/>
                              <w:noProof/>
                              <w:color w:val="000000" w:themeColor="text1"/>
                              <w:sz w:val="20"/>
                              <w:szCs w:val="20"/>
                              <w:lang w:eastAsia="en-US"/>
                            </w:rPr>
                            <m:t>,</m:t>
                          </m:r>
                          <m:r>
                            <w:rPr>
                              <w:rFonts w:ascii="Cambria Math" w:eastAsia="Calibri" w:hAnsi="Cambria Math"/>
                              <w:noProof/>
                              <w:color w:val="000000" w:themeColor="text1"/>
                              <w:sz w:val="20"/>
                              <w:szCs w:val="20"/>
                              <w:lang w:eastAsia="en-US"/>
                            </w:rPr>
                            <m:t>t</m:t>
                          </m:r>
                        </m:sub>
                      </m:sSub>
                      <m:r>
                        <w:rPr>
                          <w:rFonts w:ascii="Cambria Math" w:eastAsia="Calibri" w:hAnsi="Cambria Math"/>
                          <w:noProof/>
                          <w:color w:val="000000" w:themeColor="text1"/>
                          <w:sz w:val="20"/>
                          <w:szCs w:val="20"/>
                          <w:lang w:eastAsia="en-US"/>
                        </w:rPr>
                        <m:t>=</m:t>
                      </m:r>
                    </m:oMath>
                  </m:oMathPara>
                </w:p>
              </w:tc>
              <w:tc>
                <w:tcPr>
                  <w:tcW w:w="1985" w:type="dxa"/>
                  <w:shd w:val="clear" w:color="auto" w:fill="auto"/>
                </w:tcPr>
                <w:p w14:paraId="19856871" w14:textId="77777777" w:rsidR="00C42CF0" w:rsidRPr="00B051E5" w:rsidRDefault="0027215B" w:rsidP="00C42CF0">
                  <w:pPr>
                    <w:jc w:val="both"/>
                    <w:rPr>
                      <w:rFonts w:ascii="Garamond" w:eastAsia="Calibri" w:hAnsi="Garamond"/>
                      <w:color w:val="000000" w:themeColor="text1"/>
                      <w:sz w:val="20"/>
                      <w:szCs w:val="20"/>
                      <w:lang w:eastAsia="en-US"/>
                    </w:rPr>
                  </w:pPr>
                  <m:oMathPara>
                    <m:oMath>
                      <m:r>
                        <w:rPr>
                          <w:rFonts w:ascii="Cambria Math" w:eastAsia="Calibri" w:hAnsi="Cambria Math"/>
                          <w:noProof/>
                          <w:color w:val="000000" w:themeColor="text1"/>
                          <w:sz w:val="20"/>
                          <w:szCs w:val="20"/>
                          <w:lang w:eastAsia="en-US"/>
                        </w:rPr>
                        <m:t>(1-</m:t>
                      </m:r>
                      <m:sSub>
                        <m:sSubPr>
                          <m:ctrlPr>
                            <w:rPr>
                              <w:rFonts w:ascii="Cambria Math" w:eastAsia="Calibri" w:hAnsi="Cambria Math"/>
                              <w:i/>
                              <w:noProof/>
                              <w:color w:val="000000" w:themeColor="text1"/>
                              <w:sz w:val="20"/>
                              <w:szCs w:val="20"/>
                              <w:lang w:eastAsia="en-US"/>
                            </w:rPr>
                          </m:ctrlPr>
                        </m:sSubPr>
                        <m:e>
                          <m:r>
                            <w:rPr>
                              <w:rFonts w:ascii="Cambria Math" w:eastAsia="Calibri" w:hAnsi="Cambria Math"/>
                              <w:noProof/>
                              <w:color w:val="000000" w:themeColor="text1"/>
                              <w:sz w:val="20"/>
                              <w:szCs w:val="20"/>
                              <w:lang w:eastAsia="en-US"/>
                            </w:rPr>
                            <m:t>PARD</m:t>
                          </m:r>
                        </m:e>
                        <m:sub>
                          <m:r>
                            <w:rPr>
                              <w:rFonts w:ascii="Cambria Math" w:eastAsia="Calibri" w:hAnsi="Cambria Math"/>
                              <w:noProof/>
                              <w:color w:val="000000" w:themeColor="text1"/>
                              <w:sz w:val="20"/>
                              <w:szCs w:val="20"/>
                              <w:lang w:eastAsia="en-US"/>
                            </w:rPr>
                            <m:t>i,t</m:t>
                          </m:r>
                        </m:sub>
                      </m:sSub>
                      <m:r>
                        <w:rPr>
                          <w:rFonts w:ascii="Cambria Math" w:eastAsia="Calibri" w:hAnsi="Cambria Math"/>
                          <w:noProof/>
                          <w:color w:val="000000" w:themeColor="text1"/>
                          <w:sz w:val="20"/>
                          <w:szCs w:val="20"/>
                          <w:lang w:eastAsia="en-US"/>
                        </w:rPr>
                        <m:t>)</m:t>
                      </m:r>
                    </m:oMath>
                  </m:oMathPara>
                </w:p>
              </w:tc>
            </w:tr>
          </w:tbl>
          <w:p w14:paraId="7C071CBC" w14:textId="77777777" w:rsidR="00C42CF0" w:rsidRPr="00B051E5" w:rsidRDefault="00C42CF0" w:rsidP="00C42CF0">
            <w:pPr>
              <w:jc w:val="both"/>
              <w:rPr>
                <w:rFonts w:ascii="Garamond" w:hAnsi="Garamond"/>
                <w:color w:val="000000" w:themeColor="text1"/>
                <w:sz w:val="20"/>
                <w:szCs w:val="20"/>
              </w:rPr>
            </w:pPr>
          </w:p>
          <w:p w14:paraId="37E65AAC" w14:textId="77777777" w:rsidR="00C42CF0" w:rsidRPr="00B051E5" w:rsidRDefault="00C42CF0" w:rsidP="00C42CF0">
            <w:pPr>
              <w:jc w:val="both"/>
              <w:rPr>
                <w:rFonts w:ascii="Garamond" w:hAnsi="Garamond"/>
                <w:color w:val="000000" w:themeColor="text1"/>
                <w:sz w:val="20"/>
                <w:szCs w:val="20"/>
              </w:rPr>
            </w:pPr>
          </w:p>
        </w:tc>
        <w:tc>
          <w:tcPr>
            <w:tcW w:w="1701" w:type="dxa"/>
          </w:tcPr>
          <w:p w14:paraId="1B31546D"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Annual reports/</w:t>
            </w:r>
          </w:p>
          <w:p w14:paraId="4E808834" w14:textId="77777777" w:rsidR="00C42CF0" w:rsidRPr="00B051E5" w:rsidRDefault="00C42CF0"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Textual analysis</w:t>
            </w:r>
          </w:p>
        </w:tc>
      </w:tr>
      <w:tr w:rsidR="00B051E5" w:rsidRPr="00B051E5" w14:paraId="45EB922D" w14:textId="77777777" w:rsidTr="00EB04BF">
        <w:trPr>
          <w:trHeight w:val="174"/>
        </w:trPr>
        <w:tc>
          <w:tcPr>
            <w:tcW w:w="1417" w:type="dxa"/>
          </w:tcPr>
          <w:p w14:paraId="013674E7" w14:textId="77777777" w:rsidR="00C42CF0" w:rsidRPr="00B051E5" w:rsidRDefault="00C42CF0" w:rsidP="00C42CF0">
            <w:pPr>
              <w:spacing w:after="160" w:line="259" w:lineRule="auto"/>
              <w:jc w:val="both"/>
              <w:rPr>
                <w:rFonts w:ascii="Garamond" w:hAnsi="Garamond" w:cs="Arial"/>
                <w:iCs/>
                <w:color w:val="000000" w:themeColor="text1"/>
                <w:sz w:val="20"/>
                <w:szCs w:val="20"/>
              </w:rPr>
            </w:pPr>
            <w:r w:rsidRPr="00B051E5">
              <w:rPr>
                <w:rFonts w:ascii="Garamond" w:hAnsi="Garamond" w:cs="Arial"/>
                <w:iCs/>
                <w:color w:val="000000" w:themeColor="text1"/>
                <w:sz w:val="20"/>
                <w:szCs w:val="20"/>
              </w:rPr>
              <w:t>SIZE</w:t>
            </w:r>
          </w:p>
        </w:tc>
        <w:tc>
          <w:tcPr>
            <w:tcW w:w="8222" w:type="dxa"/>
          </w:tcPr>
          <w:p w14:paraId="212F77CB" w14:textId="77777777" w:rsidR="00C42CF0" w:rsidRPr="00B051E5" w:rsidRDefault="00C42CF0" w:rsidP="00C42CF0">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Firm size measured by the natural logarithm of total assets</w:t>
            </w:r>
          </w:p>
        </w:tc>
        <w:tc>
          <w:tcPr>
            <w:tcW w:w="1701" w:type="dxa"/>
          </w:tcPr>
          <w:p w14:paraId="3513713A" w14:textId="54351F21" w:rsidR="00C42CF0" w:rsidRPr="00B051E5" w:rsidRDefault="00B75534" w:rsidP="00C42CF0">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17368240" w14:textId="77777777" w:rsidTr="00EB04BF">
        <w:trPr>
          <w:trHeight w:val="181"/>
        </w:trPr>
        <w:tc>
          <w:tcPr>
            <w:tcW w:w="1417" w:type="dxa"/>
          </w:tcPr>
          <w:p w14:paraId="7953B135" w14:textId="77777777" w:rsidR="00B75534" w:rsidRPr="00B051E5" w:rsidRDefault="00B75534" w:rsidP="00B75534">
            <w:pPr>
              <w:spacing w:after="160" w:line="259" w:lineRule="auto"/>
              <w:jc w:val="both"/>
              <w:rPr>
                <w:rFonts w:ascii="Garamond" w:hAnsi="Garamond" w:cs="Arial"/>
                <w:iCs/>
                <w:color w:val="000000" w:themeColor="text1"/>
                <w:sz w:val="20"/>
                <w:szCs w:val="20"/>
              </w:rPr>
            </w:pPr>
            <w:r w:rsidRPr="00B051E5">
              <w:rPr>
                <w:rFonts w:ascii="Garamond" w:hAnsi="Garamond"/>
                <w:iCs/>
                <w:color w:val="000000" w:themeColor="text1"/>
                <w:sz w:val="20"/>
                <w:szCs w:val="20"/>
              </w:rPr>
              <w:t>LEV</w:t>
            </w:r>
          </w:p>
        </w:tc>
        <w:tc>
          <w:tcPr>
            <w:tcW w:w="8222" w:type="dxa"/>
          </w:tcPr>
          <w:p w14:paraId="1AC23325" w14:textId="77777777" w:rsidR="00B75534" w:rsidRPr="00B051E5" w:rsidRDefault="00B75534" w:rsidP="00B75534">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Firm leverage measured by the ratio of total debt to total equity</w:t>
            </w:r>
          </w:p>
        </w:tc>
        <w:tc>
          <w:tcPr>
            <w:tcW w:w="1701" w:type="dxa"/>
          </w:tcPr>
          <w:p w14:paraId="2730D3B5" w14:textId="60A61EE0" w:rsidR="00B75534" w:rsidRPr="00B051E5" w:rsidRDefault="00B75534" w:rsidP="00B75534">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3115DA59" w14:textId="77777777" w:rsidTr="00EB04BF">
        <w:trPr>
          <w:trHeight w:val="95"/>
        </w:trPr>
        <w:tc>
          <w:tcPr>
            <w:tcW w:w="1417" w:type="dxa"/>
          </w:tcPr>
          <w:p w14:paraId="212F8D45" w14:textId="77777777" w:rsidR="00B75534" w:rsidRPr="00B051E5" w:rsidRDefault="00B75534" w:rsidP="00B75534">
            <w:pPr>
              <w:spacing w:after="160" w:line="259" w:lineRule="auto"/>
              <w:jc w:val="both"/>
              <w:rPr>
                <w:rFonts w:ascii="Garamond" w:hAnsi="Garamond"/>
                <w:iCs/>
                <w:color w:val="000000" w:themeColor="text1"/>
                <w:sz w:val="20"/>
                <w:szCs w:val="20"/>
              </w:rPr>
            </w:pPr>
            <w:r w:rsidRPr="00B051E5">
              <w:rPr>
                <w:rFonts w:ascii="Garamond" w:hAnsi="Garamond"/>
                <w:iCs/>
                <w:color w:val="000000" w:themeColor="text1"/>
                <w:sz w:val="20"/>
                <w:szCs w:val="20"/>
              </w:rPr>
              <w:t>VOL</w:t>
            </w:r>
          </w:p>
        </w:tc>
        <w:tc>
          <w:tcPr>
            <w:tcW w:w="8222" w:type="dxa"/>
          </w:tcPr>
          <w:p w14:paraId="384B5680" w14:textId="77777777" w:rsidR="00B75534" w:rsidRPr="00B051E5" w:rsidRDefault="00B75534" w:rsidP="00B75534">
            <w:pPr>
              <w:spacing w:after="160"/>
              <w:jc w:val="both"/>
              <w:rPr>
                <w:rFonts w:ascii="Garamond" w:hAnsi="Garamond"/>
                <w:bCs/>
                <w:color w:val="000000" w:themeColor="text1"/>
                <w:sz w:val="20"/>
                <w:szCs w:val="20"/>
              </w:rPr>
            </w:pPr>
            <w:r w:rsidRPr="00B051E5">
              <w:rPr>
                <w:rFonts w:ascii="Garamond" w:hAnsi="Garamond"/>
                <w:bCs/>
                <w:color w:val="000000" w:themeColor="text1"/>
                <w:sz w:val="20"/>
                <w:szCs w:val="20"/>
              </w:rPr>
              <w:t>Trading volume measured as the ratio of the number of stocks traded in a year to the number of outstanding shares at the end of the fiscal year</w:t>
            </w:r>
          </w:p>
        </w:tc>
        <w:tc>
          <w:tcPr>
            <w:tcW w:w="1701" w:type="dxa"/>
          </w:tcPr>
          <w:p w14:paraId="3D423C73" w14:textId="49DFE033" w:rsidR="00B75534" w:rsidRPr="00B051E5" w:rsidRDefault="00B75534" w:rsidP="00B75534">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50C677E6" w14:textId="77777777" w:rsidTr="00EB04BF">
        <w:trPr>
          <w:trHeight w:val="309"/>
        </w:trPr>
        <w:tc>
          <w:tcPr>
            <w:tcW w:w="1417" w:type="dxa"/>
          </w:tcPr>
          <w:p w14:paraId="2E66689E" w14:textId="77777777" w:rsidR="00B75534" w:rsidRPr="00B051E5" w:rsidRDefault="00B75534" w:rsidP="00B75534">
            <w:pPr>
              <w:spacing w:after="160" w:line="259" w:lineRule="auto"/>
              <w:jc w:val="both"/>
              <w:rPr>
                <w:rFonts w:ascii="Garamond" w:hAnsi="Garamond"/>
                <w:iCs/>
                <w:color w:val="000000" w:themeColor="text1"/>
                <w:sz w:val="20"/>
                <w:szCs w:val="20"/>
              </w:rPr>
            </w:pPr>
            <w:r w:rsidRPr="00B051E5">
              <w:rPr>
                <w:rFonts w:ascii="Garamond" w:hAnsi="Garamond"/>
                <w:iCs/>
                <w:color w:val="000000" w:themeColor="text1"/>
                <w:sz w:val="20"/>
                <w:szCs w:val="20"/>
              </w:rPr>
              <w:t>MTB</w:t>
            </w:r>
          </w:p>
        </w:tc>
        <w:tc>
          <w:tcPr>
            <w:tcW w:w="8222" w:type="dxa"/>
          </w:tcPr>
          <w:p w14:paraId="29C83889" w14:textId="77777777" w:rsidR="00B75534" w:rsidRPr="00B051E5" w:rsidRDefault="00B75534" w:rsidP="00B75534">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Market to book ratio measured as the ratio of total assets to the market value of equity at the end of the fiscal year</w:t>
            </w:r>
          </w:p>
        </w:tc>
        <w:tc>
          <w:tcPr>
            <w:tcW w:w="1701" w:type="dxa"/>
          </w:tcPr>
          <w:p w14:paraId="012DB006" w14:textId="6772B648" w:rsidR="00B75534" w:rsidRPr="00B051E5" w:rsidRDefault="00B75534" w:rsidP="00B75534">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01FB2FAD" w14:textId="77777777" w:rsidTr="00EB04BF">
        <w:trPr>
          <w:trHeight w:val="281"/>
        </w:trPr>
        <w:tc>
          <w:tcPr>
            <w:tcW w:w="1417" w:type="dxa"/>
          </w:tcPr>
          <w:p w14:paraId="68F2825A" w14:textId="77777777" w:rsidR="00B75534" w:rsidRPr="00B051E5" w:rsidRDefault="00B75534" w:rsidP="00B75534">
            <w:pPr>
              <w:spacing w:after="160" w:line="259" w:lineRule="auto"/>
              <w:jc w:val="both"/>
              <w:rPr>
                <w:rFonts w:ascii="Garamond" w:hAnsi="Garamond"/>
                <w:iCs/>
                <w:color w:val="000000" w:themeColor="text1"/>
                <w:sz w:val="20"/>
                <w:szCs w:val="20"/>
              </w:rPr>
            </w:pPr>
            <w:r w:rsidRPr="00B051E5">
              <w:rPr>
                <w:rFonts w:ascii="Garamond" w:hAnsi="Garamond"/>
                <w:iCs/>
                <w:color w:val="000000" w:themeColor="text1"/>
                <w:sz w:val="20"/>
                <w:szCs w:val="20"/>
              </w:rPr>
              <w:t>VOLATILITY</w:t>
            </w:r>
          </w:p>
        </w:tc>
        <w:tc>
          <w:tcPr>
            <w:tcW w:w="8222" w:type="dxa"/>
          </w:tcPr>
          <w:p w14:paraId="3A7FAD28" w14:textId="77777777" w:rsidR="00B75534" w:rsidRPr="00B051E5" w:rsidRDefault="00B75534" w:rsidP="00B75534">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Stock return volatility measured by the standard deviation of daily stock returns</w:t>
            </w:r>
          </w:p>
        </w:tc>
        <w:tc>
          <w:tcPr>
            <w:tcW w:w="1701" w:type="dxa"/>
          </w:tcPr>
          <w:p w14:paraId="4F22B80A" w14:textId="2AEE0857" w:rsidR="00B75534" w:rsidRPr="00B051E5" w:rsidRDefault="00B75534" w:rsidP="00B75534">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774DA8EC" w14:textId="77777777" w:rsidTr="00EB04BF">
        <w:trPr>
          <w:trHeight w:val="295"/>
        </w:trPr>
        <w:tc>
          <w:tcPr>
            <w:tcW w:w="1417" w:type="dxa"/>
          </w:tcPr>
          <w:p w14:paraId="1C60C3BC" w14:textId="77777777" w:rsidR="00B75534" w:rsidRPr="00B051E5" w:rsidRDefault="00B75534" w:rsidP="00B75534">
            <w:pPr>
              <w:spacing w:after="160" w:line="259" w:lineRule="auto"/>
              <w:jc w:val="both"/>
              <w:rPr>
                <w:rFonts w:ascii="Garamond" w:hAnsi="Garamond"/>
                <w:iCs/>
                <w:color w:val="000000" w:themeColor="text1"/>
                <w:sz w:val="20"/>
                <w:szCs w:val="20"/>
              </w:rPr>
            </w:pPr>
            <w:r w:rsidRPr="00B051E5">
              <w:rPr>
                <w:rFonts w:ascii="Garamond" w:hAnsi="Garamond"/>
                <w:iCs/>
                <w:color w:val="000000" w:themeColor="text1"/>
                <w:sz w:val="20"/>
                <w:szCs w:val="20"/>
              </w:rPr>
              <w:t>ROA</w:t>
            </w:r>
          </w:p>
        </w:tc>
        <w:tc>
          <w:tcPr>
            <w:tcW w:w="8222" w:type="dxa"/>
          </w:tcPr>
          <w:p w14:paraId="4741CC81" w14:textId="77777777" w:rsidR="00B75534" w:rsidRPr="00B051E5" w:rsidRDefault="00B75534" w:rsidP="00B75534">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Firm profitability measured as the ratio of net income to total assets</w:t>
            </w:r>
          </w:p>
        </w:tc>
        <w:tc>
          <w:tcPr>
            <w:tcW w:w="1701" w:type="dxa"/>
          </w:tcPr>
          <w:p w14:paraId="424F4D1A" w14:textId="33966B00" w:rsidR="00B75534" w:rsidRPr="00B051E5" w:rsidRDefault="00B75534" w:rsidP="00B75534">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7109F47C" w14:textId="77777777" w:rsidTr="00EB04BF">
        <w:trPr>
          <w:trHeight w:val="281"/>
        </w:trPr>
        <w:tc>
          <w:tcPr>
            <w:tcW w:w="1417" w:type="dxa"/>
          </w:tcPr>
          <w:p w14:paraId="795654B3" w14:textId="77777777" w:rsidR="00B75534" w:rsidRPr="00B051E5" w:rsidRDefault="00B75534" w:rsidP="00B75534">
            <w:pPr>
              <w:spacing w:after="160" w:line="259" w:lineRule="auto"/>
              <w:jc w:val="both"/>
              <w:rPr>
                <w:rFonts w:ascii="Garamond" w:hAnsi="Garamond"/>
                <w:iCs/>
                <w:color w:val="000000" w:themeColor="text1"/>
                <w:sz w:val="20"/>
                <w:szCs w:val="20"/>
              </w:rPr>
            </w:pPr>
            <w:r w:rsidRPr="00B051E5">
              <w:rPr>
                <w:rFonts w:ascii="Garamond" w:hAnsi="Garamond"/>
                <w:iCs/>
                <w:color w:val="000000" w:themeColor="text1"/>
                <w:sz w:val="20"/>
                <w:szCs w:val="20"/>
              </w:rPr>
              <w:t>BSIZE</w:t>
            </w:r>
          </w:p>
        </w:tc>
        <w:tc>
          <w:tcPr>
            <w:tcW w:w="8222" w:type="dxa"/>
          </w:tcPr>
          <w:p w14:paraId="7FFC57AD" w14:textId="77777777" w:rsidR="00B75534" w:rsidRPr="00B051E5" w:rsidRDefault="00B75534" w:rsidP="00B75534">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Board size measured by the natural logarithm of the total number of directors on the board</w:t>
            </w:r>
          </w:p>
        </w:tc>
        <w:tc>
          <w:tcPr>
            <w:tcW w:w="1701" w:type="dxa"/>
          </w:tcPr>
          <w:p w14:paraId="0EBC8368" w14:textId="3A8E5D1F" w:rsidR="00B75534" w:rsidRPr="00B051E5" w:rsidRDefault="00B75534" w:rsidP="00B75534">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39821836" w14:textId="77777777" w:rsidTr="00EB04BF">
        <w:trPr>
          <w:trHeight w:val="281"/>
        </w:trPr>
        <w:tc>
          <w:tcPr>
            <w:tcW w:w="1417" w:type="dxa"/>
          </w:tcPr>
          <w:p w14:paraId="25F532BB" w14:textId="77777777" w:rsidR="00B75534" w:rsidRPr="00B051E5" w:rsidRDefault="00B75534" w:rsidP="00B75534">
            <w:pPr>
              <w:spacing w:after="160" w:line="259" w:lineRule="auto"/>
              <w:jc w:val="both"/>
              <w:rPr>
                <w:rFonts w:ascii="Garamond" w:hAnsi="Garamond"/>
                <w:iCs/>
                <w:color w:val="000000" w:themeColor="text1"/>
                <w:sz w:val="20"/>
                <w:szCs w:val="20"/>
              </w:rPr>
            </w:pPr>
            <w:r w:rsidRPr="00B051E5">
              <w:rPr>
                <w:rFonts w:ascii="Garamond" w:hAnsi="Garamond"/>
                <w:iCs/>
                <w:color w:val="000000" w:themeColor="text1"/>
                <w:sz w:val="20"/>
                <w:szCs w:val="20"/>
              </w:rPr>
              <w:t>BINDP</w:t>
            </w:r>
          </w:p>
        </w:tc>
        <w:tc>
          <w:tcPr>
            <w:tcW w:w="8222" w:type="dxa"/>
          </w:tcPr>
          <w:p w14:paraId="4AA8092C" w14:textId="77777777" w:rsidR="00B75534" w:rsidRPr="00B051E5" w:rsidRDefault="00B75534" w:rsidP="00B75534">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Board independence measured by the proportion of independent directors on the board</w:t>
            </w:r>
          </w:p>
        </w:tc>
        <w:tc>
          <w:tcPr>
            <w:tcW w:w="1701" w:type="dxa"/>
          </w:tcPr>
          <w:p w14:paraId="2B74C3A3" w14:textId="0168171A" w:rsidR="00B75534" w:rsidRPr="00B051E5" w:rsidRDefault="00B75534" w:rsidP="00B75534">
            <w:pPr>
              <w:spacing w:after="160" w:line="259" w:lineRule="auto"/>
              <w:jc w:val="both"/>
              <w:rPr>
                <w:rFonts w:ascii="Garamond" w:hAnsi="Garamond" w:cs="Arial"/>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0164DB5A" w14:textId="77777777" w:rsidTr="00EB04BF">
        <w:trPr>
          <w:trHeight w:val="281"/>
        </w:trPr>
        <w:tc>
          <w:tcPr>
            <w:tcW w:w="1417" w:type="dxa"/>
          </w:tcPr>
          <w:p w14:paraId="4EE79AD8" w14:textId="77777777" w:rsidR="00B75534" w:rsidRPr="00B051E5" w:rsidRDefault="00B75534" w:rsidP="00B75534">
            <w:pPr>
              <w:spacing w:after="160" w:line="259" w:lineRule="auto"/>
              <w:jc w:val="both"/>
              <w:rPr>
                <w:rFonts w:ascii="Garamond" w:hAnsi="Garamond"/>
                <w:iCs/>
                <w:color w:val="000000" w:themeColor="text1"/>
                <w:sz w:val="20"/>
                <w:szCs w:val="20"/>
              </w:rPr>
            </w:pPr>
            <w:r w:rsidRPr="00B051E5">
              <w:rPr>
                <w:rFonts w:ascii="Garamond" w:hAnsi="Garamond"/>
                <w:iCs/>
                <w:color w:val="000000" w:themeColor="text1"/>
                <w:sz w:val="20"/>
                <w:szCs w:val="20"/>
              </w:rPr>
              <w:t>CHSHAR</w:t>
            </w:r>
          </w:p>
        </w:tc>
        <w:tc>
          <w:tcPr>
            <w:tcW w:w="8222" w:type="dxa"/>
          </w:tcPr>
          <w:p w14:paraId="262C3865" w14:textId="77777777" w:rsidR="00B75534" w:rsidRPr="00B051E5" w:rsidRDefault="00B75534" w:rsidP="00B75534">
            <w:pPr>
              <w:spacing w:after="160"/>
              <w:jc w:val="both"/>
              <w:rPr>
                <w:rFonts w:ascii="Garamond" w:hAnsi="Garamond" w:cs="Arial"/>
                <w:color w:val="000000" w:themeColor="text1"/>
                <w:sz w:val="20"/>
                <w:szCs w:val="20"/>
              </w:rPr>
            </w:pPr>
            <w:r w:rsidRPr="00B051E5">
              <w:rPr>
                <w:rFonts w:ascii="Garamond" w:hAnsi="Garamond"/>
                <w:bCs/>
                <w:color w:val="000000" w:themeColor="text1"/>
                <w:sz w:val="20"/>
                <w:szCs w:val="20"/>
              </w:rPr>
              <w:t>Insider ownership measured by the percentage of closely held shares (shares held by officers, directors and their families)</w:t>
            </w:r>
          </w:p>
        </w:tc>
        <w:tc>
          <w:tcPr>
            <w:tcW w:w="1701" w:type="dxa"/>
          </w:tcPr>
          <w:p w14:paraId="097C5210" w14:textId="055F77AE" w:rsidR="00B75534" w:rsidRPr="00B051E5" w:rsidRDefault="00B75534" w:rsidP="00B75534">
            <w:pPr>
              <w:spacing w:after="160" w:line="259" w:lineRule="auto"/>
              <w:jc w:val="both"/>
              <w:rPr>
                <w:rFonts w:ascii="Garamond" w:hAnsi="Garamond" w:cs="Arial"/>
                <w:b/>
                <w:bCs/>
                <w:color w:val="000000" w:themeColor="text1"/>
                <w:sz w:val="20"/>
                <w:szCs w:val="20"/>
              </w:rPr>
            </w:pPr>
            <w:r w:rsidRPr="00B051E5">
              <w:rPr>
                <w:rFonts w:ascii="Garamond" w:hAnsi="Garamond" w:cs="Arial"/>
                <w:color w:val="000000" w:themeColor="text1"/>
                <w:sz w:val="20"/>
                <w:szCs w:val="20"/>
              </w:rPr>
              <w:t>Datastream</w:t>
            </w:r>
          </w:p>
        </w:tc>
      </w:tr>
      <w:tr w:rsidR="00B051E5" w:rsidRPr="00B051E5" w14:paraId="46E6CB91" w14:textId="77777777" w:rsidTr="00EB04BF">
        <w:trPr>
          <w:trHeight w:val="105"/>
        </w:trPr>
        <w:tc>
          <w:tcPr>
            <w:tcW w:w="11340" w:type="dxa"/>
            <w:gridSpan w:val="3"/>
            <w:tcBorders>
              <w:top w:val="double" w:sz="4" w:space="0" w:color="auto"/>
            </w:tcBorders>
          </w:tcPr>
          <w:p w14:paraId="153FAD44" w14:textId="00B67B54" w:rsidR="00C42CF0" w:rsidRPr="00B051E5" w:rsidRDefault="00C42CF0" w:rsidP="00C42CF0">
            <w:pPr>
              <w:keepNext/>
              <w:keepLines/>
              <w:spacing w:after="160" w:line="259" w:lineRule="auto"/>
              <w:jc w:val="both"/>
              <w:outlineLvl w:val="1"/>
              <w:rPr>
                <w:rFonts w:ascii="Garamond" w:hAnsi="Garamond" w:cs="Arial"/>
                <w:bCs/>
                <w:color w:val="000000" w:themeColor="text1"/>
                <w:kern w:val="16"/>
                <w:sz w:val="20"/>
                <w:szCs w:val="20"/>
              </w:rPr>
            </w:pPr>
            <w:r w:rsidRPr="00B051E5">
              <w:rPr>
                <w:rFonts w:ascii="Garamond" w:hAnsi="Garamond" w:cs="Arial"/>
                <w:bCs/>
                <w:color w:val="000000" w:themeColor="text1"/>
                <w:kern w:val="16"/>
                <w:sz w:val="20"/>
                <w:szCs w:val="20"/>
              </w:rPr>
              <w:t xml:space="preserve">This appendix provides the </w:t>
            </w:r>
            <w:r w:rsidR="007D295A" w:rsidRPr="00B051E5">
              <w:rPr>
                <w:rFonts w:ascii="Garamond" w:hAnsi="Garamond" w:cs="Arial"/>
                <w:bCs/>
                <w:color w:val="000000" w:themeColor="text1"/>
                <w:kern w:val="16"/>
                <w:sz w:val="20"/>
                <w:szCs w:val="20"/>
              </w:rPr>
              <w:t xml:space="preserve">variable </w:t>
            </w:r>
            <w:r w:rsidRPr="00B051E5">
              <w:rPr>
                <w:rFonts w:ascii="Garamond" w:hAnsi="Garamond" w:cs="Arial"/>
                <w:bCs/>
                <w:color w:val="000000" w:themeColor="text1"/>
                <w:kern w:val="16"/>
                <w:sz w:val="20"/>
                <w:szCs w:val="20"/>
              </w:rPr>
              <w:t xml:space="preserve">definitions, measures, </w:t>
            </w:r>
            <w:r w:rsidR="00B75534" w:rsidRPr="00B051E5">
              <w:rPr>
                <w:rFonts w:ascii="Garamond" w:hAnsi="Garamond" w:cs="Arial"/>
                <w:bCs/>
                <w:color w:val="000000" w:themeColor="text1"/>
                <w:kern w:val="16"/>
                <w:sz w:val="20"/>
                <w:szCs w:val="20"/>
              </w:rPr>
              <w:t xml:space="preserve">and </w:t>
            </w:r>
            <w:r w:rsidRPr="00B051E5">
              <w:rPr>
                <w:rFonts w:ascii="Garamond" w:hAnsi="Garamond" w:cs="Arial"/>
                <w:bCs/>
                <w:color w:val="000000" w:themeColor="text1"/>
                <w:kern w:val="16"/>
                <w:sz w:val="20"/>
                <w:szCs w:val="20"/>
              </w:rPr>
              <w:t>sources</w:t>
            </w:r>
            <w:r w:rsidR="00B75534" w:rsidRPr="00B051E5">
              <w:rPr>
                <w:rFonts w:ascii="Garamond" w:hAnsi="Garamond" w:cs="Arial"/>
                <w:bCs/>
                <w:color w:val="000000" w:themeColor="text1"/>
                <w:kern w:val="16"/>
                <w:sz w:val="20"/>
                <w:szCs w:val="20"/>
              </w:rPr>
              <w:t>.</w:t>
            </w:r>
          </w:p>
        </w:tc>
      </w:tr>
    </w:tbl>
    <w:p w14:paraId="6152AC47" w14:textId="77777777" w:rsidR="00C42CF0" w:rsidRPr="00B051E5" w:rsidRDefault="00C42CF0" w:rsidP="00C42CF0">
      <w:pPr>
        <w:widowControl w:val="0"/>
        <w:autoSpaceDE w:val="0"/>
        <w:autoSpaceDN w:val="0"/>
        <w:adjustRightInd w:val="0"/>
        <w:rPr>
          <w:rFonts w:ascii="Garamond" w:hAnsi="Garamond"/>
          <w:b/>
          <w:color w:val="000000" w:themeColor="text1"/>
          <w:sz w:val="20"/>
          <w:szCs w:val="20"/>
        </w:rPr>
      </w:pPr>
    </w:p>
    <w:p w14:paraId="3887B1D9" w14:textId="77777777" w:rsidR="00BD0416" w:rsidRPr="00B051E5" w:rsidRDefault="00BD0416" w:rsidP="00B91D81">
      <w:pPr>
        <w:spacing w:line="360" w:lineRule="auto"/>
        <w:rPr>
          <w:rFonts w:ascii="Palatino Linotype" w:hAnsi="Palatino Linotype"/>
          <w:i/>
          <w:color w:val="000000" w:themeColor="text1"/>
        </w:rPr>
      </w:pPr>
    </w:p>
    <w:sectPr w:rsidR="00BD0416" w:rsidRPr="00B051E5" w:rsidSect="00862564">
      <w:footerReference w:type="defaul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ousry Ahmed" w:date="2022-12-13T23:01:00Z" w:initials="YA">
    <w:p w14:paraId="1989D7C4" w14:textId="77777777" w:rsidR="002218D1" w:rsidRDefault="002218D1">
      <w:pPr>
        <w:pStyle w:val="CommentText"/>
      </w:pPr>
      <w:r>
        <w:rPr>
          <w:rStyle w:val="CommentReference"/>
        </w:rPr>
        <w:annotationRef/>
      </w:r>
      <w:r>
        <w:rPr>
          <w:i/>
          <w:iCs/>
        </w:rPr>
        <w:t xml:space="preserve"> I feel this sentence is quite hard. </w:t>
      </w:r>
    </w:p>
    <w:p w14:paraId="58273FCF" w14:textId="77777777" w:rsidR="002218D1" w:rsidRDefault="002218D1">
      <w:pPr>
        <w:pStyle w:val="CommentText"/>
      </w:pPr>
    </w:p>
    <w:p w14:paraId="46D3ABED" w14:textId="77777777" w:rsidR="002218D1" w:rsidRDefault="002218D1" w:rsidP="00B52C63">
      <w:pPr>
        <w:pStyle w:val="CommentText"/>
      </w:pPr>
      <w:r>
        <w:t xml:space="preserve">Our motive for considering time orientation (non-forward-looking and forward-looking) for risk information, as opposed to aggregate levels of risk information, in the UK, has two main sources.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3AB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382DD" w16cex:dateUtc="2022-12-13T2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3ABED" w16cid:durableId="27438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9817" w14:textId="77777777" w:rsidR="00490386" w:rsidRDefault="00490386" w:rsidP="00820639">
      <w:r>
        <w:separator/>
      </w:r>
    </w:p>
  </w:endnote>
  <w:endnote w:type="continuationSeparator" w:id="0">
    <w:p w14:paraId="7C5296D4" w14:textId="77777777" w:rsidR="00490386" w:rsidRDefault="00490386" w:rsidP="0082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980470"/>
      <w:docPartObj>
        <w:docPartGallery w:val="Page Numbers (Bottom of Page)"/>
        <w:docPartUnique/>
      </w:docPartObj>
    </w:sdtPr>
    <w:sdtEndPr>
      <w:rPr>
        <w:rFonts w:ascii="Garamond" w:hAnsi="Garamond"/>
        <w:noProof/>
        <w:sz w:val="20"/>
        <w:szCs w:val="20"/>
      </w:rPr>
    </w:sdtEndPr>
    <w:sdtContent>
      <w:p w14:paraId="6D9D3260" w14:textId="77777777" w:rsidR="00B764F0" w:rsidRPr="00141B78" w:rsidRDefault="00B764F0">
        <w:pPr>
          <w:pStyle w:val="Footer"/>
          <w:jc w:val="center"/>
          <w:rPr>
            <w:rFonts w:ascii="Garamond" w:hAnsi="Garamond"/>
            <w:sz w:val="20"/>
            <w:szCs w:val="20"/>
          </w:rPr>
        </w:pPr>
        <w:r w:rsidRPr="00141B78">
          <w:rPr>
            <w:rFonts w:ascii="Garamond" w:hAnsi="Garamond"/>
            <w:sz w:val="20"/>
            <w:szCs w:val="20"/>
          </w:rPr>
          <w:fldChar w:fldCharType="begin"/>
        </w:r>
        <w:r w:rsidRPr="00141B78">
          <w:rPr>
            <w:rFonts w:ascii="Garamond" w:hAnsi="Garamond"/>
            <w:sz w:val="20"/>
            <w:szCs w:val="20"/>
          </w:rPr>
          <w:instrText xml:space="preserve"> PAGE   \* MERGEFORMAT </w:instrText>
        </w:r>
        <w:r w:rsidRPr="00141B78">
          <w:rPr>
            <w:rFonts w:ascii="Garamond" w:hAnsi="Garamond"/>
            <w:sz w:val="20"/>
            <w:szCs w:val="20"/>
          </w:rPr>
          <w:fldChar w:fldCharType="separate"/>
        </w:r>
        <w:r>
          <w:rPr>
            <w:rFonts w:ascii="Garamond" w:hAnsi="Garamond"/>
            <w:noProof/>
            <w:sz w:val="20"/>
            <w:szCs w:val="20"/>
          </w:rPr>
          <w:t>36</w:t>
        </w:r>
        <w:r w:rsidRPr="00141B78">
          <w:rPr>
            <w:rFonts w:ascii="Garamond" w:hAnsi="Garamond"/>
            <w:noProof/>
            <w:sz w:val="20"/>
            <w:szCs w:val="20"/>
          </w:rPr>
          <w:fldChar w:fldCharType="end"/>
        </w:r>
      </w:p>
    </w:sdtContent>
  </w:sdt>
  <w:p w14:paraId="42A27015" w14:textId="77777777" w:rsidR="00B764F0" w:rsidRDefault="00B7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E910" w14:textId="77777777" w:rsidR="00B764F0" w:rsidRPr="00441834" w:rsidRDefault="00B764F0">
    <w:pPr>
      <w:pStyle w:val="Footer"/>
      <w:jc w:val="center"/>
      <w:rPr>
        <w:rFonts w:ascii="Garamond" w:hAnsi="Garamond"/>
        <w:sz w:val="20"/>
        <w:szCs w:val="20"/>
      </w:rPr>
    </w:pPr>
    <w:r w:rsidRPr="00441834">
      <w:rPr>
        <w:rFonts w:ascii="Garamond" w:hAnsi="Garamond"/>
        <w:sz w:val="20"/>
        <w:szCs w:val="20"/>
      </w:rPr>
      <w:fldChar w:fldCharType="begin"/>
    </w:r>
    <w:r w:rsidRPr="00441834">
      <w:rPr>
        <w:rFonts w:ascii="Garamond" w:hAnsi="Garamond"/>
        <w:sz w:val="20"/>
        <w:szCs w:val="20"/>
      </w:rPr>
      <w:instrText xml:space="preserve"> PAGE   \* MERGEFORMAT </w:instrText>
    </w:r>
    <w:r w:rsidRPr="00441834">
      <w:rPr>
        <w:rFonts w:ascii="Garamond" w:hAnsi="Garamond"/>
        <w:sz w:val="20"/>
        <w:szCs w:val="20"/>
      </w:rPr>
      <w:fldChar w:fldCharType="separate"/>
    </w:r>
    <w:r w:rsidRPr="00441834">
      <w:rPr>
        <w:rFonts w:ascii="Garamond" w:hAnsi="Garamond"/>
        <w:noProof/>
        <w:sz w:val="20"/>
        <w:szCs w:val="20"/>
      </w:rPr>
      <w:t>40</w:t>
    </w:r>
    <w:r w:rsidRPr="00441834">
      <w:rPr>
        <w:rFonts w:ascii="Garamond" w:hAnsi="Garamond"/>
        <w:noProof/>
        <w:sz w:val="20"/>
        <w:szCs w:val="20"/>
      </w:rPr>
      <w:fldChar w:fldCharType="end"/>
    </w:r>
  </w:p>
  <w:p w14:paraId="117FC9AE" w14:textId="77777777" w:rsidR="00B764F0" w:rsidRDefault="00B76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765B" w14:textId="77777777" w:rsidR="00B764F0" w:rsidRPr="00441834" w:rsidRDefault="00B764F0">
    <w:pPr>
      <w:pStyle w:val="Footer"/>
      <w:jc w:val="center"/>
      <w:rPr>
        <w:rFonts w:ascii="Garamond" w:hAnsi="Garamond"/>
        <w:sz w:val="20"/>
        <w:szCs w:val="20"/>
      </w:rPr>
    </w:pPr>
    <w:r w:rsidRPr="00441834">
      <w:rPr>
        <w:rFonts w:ascii="Garamond" w:hAnsi="Garamond"/>
        <w:sz w:val="20"/>
        <w:szCs w:val="20"/>
      </w:rPr>
      <w:fldChar w:fldCharType="begin"/>
    </w:r>
    <w:r w:rsidRPr="00441834">
      <w:rPr>
        <w:rFonts w:ascii="Garamond" w:hAnsi="Garamond"/>
        <w:sz w:val="20"/>
        <w:szCs w:val="20"/>
      </w:rPr>
      <w:instrText xml:space="preserve"> PAGE   \* MERGEFORMAT </w:instrText>
    </w:r>
    <w:r w:rsidRPr="00441834">
      <w:rPr>
        <w:rFonts w:ascii="Garamond" w:hAnsi="Garamond"/>
        <w:sz w:val="20"/>
        <w:szCs w:val="20"/>
      </w:rPr>
      <w:fldChar w:fldCharType="separate"/>
    </w:r>
    <w:r w:rsidRPr="00441834">
      <w:rPr>
        <w:rFonts w:ascii="Garamond" w:hAnsi="Garamond"/>
        <w:noProof/>
        <w:sz w:val="20"/>
        <w:szCs w:val="20"/>
      </w:rPr>
      <w:t>31</w:t>
    </w:r>
    <w:r w:rsidRPr="00441834">
      <w:rPr>
        <w:rFonts w:ascii="Garamond" w:hAnsi="Garamond"/>
        <w:noProof/>
        <w:sz w:val="20"/>
        <w:szCs w:val="20"/>
      </w:rPr>
      <w:fldChar w:fldCharType="end"/>
    </w:r>
  </w:p>
  <w:p w14:paraId="3EA361F1" w14:textId="77777777" w:rsidR="00B764F0" w:rsidRDefault="00B7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2280" w14:textId="77777777" w:rsidR="00490386" w:rsidRDefault="00490386" w:rsidP="00820639">
      <w:r>
        <w:separator/>
      </w:r>
    </w:p>
  </w:footnote>
  <w:footnote w:type="continuationSeparator" w:id="0">
    <w:p w14:paraId="3DF866DA" w14:textId="77777777" w:rsidR="00490386" w:rsidRDefault="00490386" w:rsidP="00820639">
      <w:r>
        <w:continuationSeparator/>
      </w:r>
    </w:p>
  </w:footnote>
  <w:footnote w:id="1">
    <w:p w14:paraId="6FA5ADA3" w14:textId="5FF7AC57" w:rsidR="00F53071" w:rsidRPr="00B051E5" w:rsidRDefault="00F53071" w:rsidP="00CC2E4F">
      <w:pPr>
        <w:jc w:val="both"/>
        <w:rPr>
          <w:rFonts w:ascii="Garamond" w:eastAsia="Calibri" w:hAnsi="Garamond"/>
          <w:color w:val="000000" w:themeColor="text1"/>
          <w:sz w:val="20"/>
          <w:szCs w:val="20"/>
        </w:rPr>
      </w:pPr>
      <w:r w:rsidRPr="00B051E5">
        <w:rPr>
          <w:rStyle w:val="FootnoteReference"/>
          <w:rFonts w:ascii="Garamond" w:hAnsi="Garamond"/>
          <w:color w:val="000000" w:themeColor="text1"/>
          <w:sz w:val="20"/>
          <w:szCs w:val="20"/>
        </w:rPr>
        <w:footnoteRef/>
      </w:r>
      <w:r w:rsidRPr="00B051E5">
        <w:rPr>
          <w:rFonts w:ascii="Garamond" w:hAnsi="Garamond"/>
          <w:color w:val="000000" w:themeColor="text1"/>
          <w:sz w:val="20"/>
          <w:szCs w:val="20"/>
        </w:rPr>
        <w:t xml:space="preserve"> </w:t>
      </w:r>
      <w:r w:rsidR="00FD0597" w:rsidRPr="00B051E5">
        <w:rPr>
          <w:rFonts w:ascii="Garamond" w:hAnsi="Garamond"/>
          <w:color w:val="000000" w:themeColor="text1"/>
          <w:sz w:val="20"/>
          <w:szCs w:val="20"/>
        </w:rPr>
        <w:t>O</w:t>
      </w:r>
      <w:r w:rsidR="00CC2E4F" w:rsidRPr="00B051E5">
        <w:rPr>
          <w:rFonts w:ascii="Garamond" w:hAnsi="Garamond"/>
          <w:color w:val="000000" w:themeColor="text1"/>
          <w:sz w:val="20"/>
          <w:szCs w:val="20"/>
        </w:rPr>
        <w:t>ur paper is different from Elshandidy and Zeng (2022) and</w:t>
      </w:r>
      <w:r w:rsidR="00CC2E4F" w:rsidRPr="00B051E5">
        <w:rPr>
          <w:rFonts w:ascii="Garamond" w:eastAsia="Calibri" w:hAnsi="Garamond"/>
          <w:color w:val="000000" w:themeColor="text1"/>
          <w:sz w:val="20"/>
          <w:szCs w:val="20"/>
        </w:rPr>
        <w:t xml:space="preserve"> Hassanein and Hussainey (2015). </w:t>
      </w:r>
      <w:r w:rsidRPr="00B051E5">
        <w:rPr>
          <w:rFonts w:ascii="Garamond" w:eastAsia="Calibri" w:hAnsi="Garamond"/>
          <w:color w:val="000000" w:themeColor="text1"/>
          <w:sz w:val="20"/>
          <w:szCs w:val="20"/>
        </w:rPr>
        <w:t>Elshandidy and Zeng</w:t>
      </w:r>
      <w:r w:rsidR="00CC2E4F" w:rsidRPr="00B051E5">
        <w:rPr>
          <w:rFonts w:ascii="Garamond" w:eastAsia="Calibri" w:hAnsi="Garamond"/>
          <w:color w:val="000000" w:themeColor="text1"/>
          <w:sz w:val="20"/>
          <w:szCs w:val="20"/>
        </w:rPr>
        <w:t>’s</w:t>
      </w:r>
      <w:r w:rsidRPr="00B051E5">
        <w:rPr>
          <w:rFonts w:ascii="Garamond" w:eastAsia="Calibri" w:hAnsi="Garamond"/>
          <w:color w:val="000000" w:themeColor="text1"/>
          <w:sz w:val="20"/>
          <w:szCs w:val="20"/>
        </w:rPr>
        <w:t xml:space="preserve"> (2021) </w:t>
      </w:r>
      <w:r w:rsidR="00CC2E4F" w:rsidRPr="00B051E5">
        <w:rPr>
          <w:rFonts w:ascii="Garamond" w:eastAsia="Calibri" w:hAnsi="Garamond"/>
          <w:color w:val="000000" w:themeColor="text1"/>
          <w:sz w:val="20"/>
          <w:szCs w:val="20"/>
        </w:rPr>
        <w:t xml:space="preserve">is concerned with </w:t>
      </w:r>
      <w:r w:rsidRPr="00B051E5">
        <w:rPr>
          <w:rFonts w:ascii="Garamond" w:eastAsia="Calibri" w:hAnsi="Garamond"/>
          <w:color w:val="000000" w:themeColor="text1"/>
          <w:sz w:val="20"/>
          <w:szCs w:val="20"/>
        </w:rPr>
        <w:t>the tone of disclosure</w:t>
      </w:r>
      <w:r w:rsidR="00CC2E4F" w:rsidRPr="00B051E5">
        <w:rPr>
          <w:rFonts w:ascii="Garamond" w:eastAsia="Calibri" w:hAnsi="Garamond"/>
          <w:color w:val="000000" w:themeColor="text1"/>
          <w:sz w:val="20"/>
          <w:szCs w:val="20"/>
        </w:rPr>
        <w:t>,</w:t>
      </w:r>
      <w:r w:rsidRPr="00B051E5">
        <w:rPr>
          <w:rFonts w:ascii="Garamond" w:eastAsia="Calibri" w:hAnsi="Garamond"/>
          <w:color w:val="000000" w:themeColor="text1"/>
          <w:sz w:val="20"/>
          <w:szCs w:val="20"/>
        </w:rPr>
        <w:t xml:space="preserve"> which is different from the time </w:t>
      </w:r>
      <w:r w:rsidR="00CC2E4F" w:rsidRPr="00B051E5">
        <w:rPr>
          <w:rFonts w:ascii="Garamond" w:eastAsia="Calibri" w:hAnsi="Garamond"/>
          <w:color w:val="000000" w:themeColor="text1"/>
          <w:sz w:val="20"/>
          <w:szCs w:val="20"/>
        </w:rPr>
        <w:t>orientation</w:t>
      </w:r>
      <w:r w:rsidRPr="00B051E5">
        <w:rPr>
          <w:rFonts w:ascii="Garamond" w:eastAsia="Calibri" w:hAnsi="Garamond"/>
          <w:color w:val="000000" w:themeColor="text1"/>
          <w:sz w:val="20"/>
          <w:szCs w:val="20"/>
        </w:rPr>
        <w:t xml:space="preserve"> introduced in</w:t>
      </w:r>
      <w:r w:rsidR="00CC2E4F" w:rsidRPr="00B051E5">
        <w:rPr>
          <w:rFonts w:ascii="Garamond" w:eastAsia="Calibri" w:hAnsi="Garamond"/>
          <w:color w:val="000000" w:themeColor="text1"/>
          <w:sz w:val="20"/>
          <w:szCs w:val="20"/>
        </w:rPr>
        <w:t xml:space="preserve"> our paper</w:t>
      </w:r>
      <w:r w:rsidRPr="00B051E5">
        <w:rPr>
          <w:rFonts w:ascii="Garamond" w:eastAsia="Calibri" w:hAnsi="Garamond"/>
          <w:color w:val="000000" w:themeColor="text1"/>
          <w:sz w:val="20"/>
          <w:szCs w:val="20"/>
        </w:rPr>
        <w:t xml:space="preserve">. Most importantly, the response variable and underpinning </w:t>
      </w:r>
      <w:r w:rsidR="00CC2E4F" w:rsidRPr="00B051E5">
        <w:rPr>
          <w:rFonts w:ascii="Garamond" w:eastAsia="Calibri" w:hAnsi="Garamond"/>
          <w:color w:val="000000" w:themeColor="text1"/>
          <w:sz w:val="20"/>
          <w:szCs w:val="20"/>
        </w:rPr>
        <w:t xml:space="preserve">foundation </w:t>
      </w:r>
      <w:r w:rsidRPr="00B051E5">
        <w:rPr>
          <w:rFonts w:ascii="Garamond" w:eastAsia="Calibri" w:hAnsi="Garamond"/>
          <w:color w:val="000000" w:themeColor="text1"/>
          <w:sz w:val="20"/>
          <w:szCs w:val="20"/>
        </w:rPr>
        <w:t xml:space="preserve">are distinctively different. While Elshandidy and Zeng (2021) used traditional Ohlson model </w:t>
      </w:r>
      <w:r w:rsidR="0067098A" w:rsidRPr="00B051E5">
        <w:rPr>
          <w:rFonts w:ascii="Garamond" w:eastAsia="Calibri" w:hAnsi="Garamond"/>
          <w:color w:val="000000" w:themeColor="text1"/>
          <w:sz w:val="20"/>
          <w:szCs w:val="20"/>
        </w:rPr>
        <w:t xml:space="preserve">in observing the </w:t>
      </w:r>
      <w:r w:rsidRPr="00B051E5">
        <w:rPr>
          <w:rFonts w:ascii="Garamond" w:eastAsia="Calibri" w:hAnsi="Garamond"/>
          <w:color w:val="000000" w:themeColor="text1"/>
          <w:sz w:val="20"/>
          <w:szCs w:val="20"/>
        </w:rPr>
        <w:t xml:space="preserve">value relevance </w:t>
      </w:r>
      <w:r w:rsidR="0067098A" w:rsidRPr="00B051E5">
        <w:rPr>
          <w:rFonts w:ascii="Garamond" w:eastAsia="Calibri" w:hAnsi="Garamond"/>
          <w:color w:val="000000" w:themeColor="text1"/>
          <w:sz w:val="20"/>
          <w:szCs w:val="20"/>
        </w:rPr>
        <w:t xml:space="preserve">of </w:t>
      </w:r>
      <w:r w:rsidRPr="00B051E5">
        <w:rPr>
          <w:rFonts w:ascii="Garamond" w:eastAsia="Calibri" w:hAnsi="Garamond"/>
          <w:color w:val="000000" w:themeColor="text1"/>
          <w:sz w:val="20"/>
          <w:szCs w:val="20"/>
        </w:rPr>
        <w:t>tone of risk disclosure, this paper, however, uses the concept of synchronicity and whether risk information can be replaced by industry and market wider factors</w:t>
      </w:r>
      <w:r w:rsidR="00CC2E4F" w:rsidRPr="00B051E5">
        <w:rPr>
          <w:rFonts w:ascii="Garamond" w:eastAsia="Calibri" w:hAnsi="Garamond"/>
          <w:color w:val="000000" w:themeColor="text1"/>
          <w:sz w:val="20"/>
          <w:szCs w:val="20"/>
        </w:rPr>
        <w:t>, which is considered as an indicative signal for informativeness</w:t>
      </w:r>
      <w:r w:rsidRPr="00B051E5">
        <w:rPr>
          <w:rFonts w:ascii="Garamond" w:eastAsia="Calibri" w:hAnsi="Garamond"/>
          <w:color w:val="000000" w:themeColor="text1"/>
          <w:sz w:val="20"/>
          <w:szCs w:val="20"/>
        </w:rPr>
        <w:t xml:space="preserve">. Furthermore, our paper provides a method that can be followed to isolate </w:t>
      </w:r>
      <w:r w:rsidR="0067098A" w:rsidRPr="00B051E5">
        <w:rPr>
          <w:rFonts w:ascii="Garamond" w:eastAsia="Calibri" w:hAnsi="Garamond"/>
          <w:color w:val="000000" w:themeColor="text1"/>
          <w:sz w:val="20"/>
          <w:szCs w:val="20"/>
        </w:rPr>
        <w:t xml:space="preserve">the effect of </w:t>
      </w:r>
      <w:r w:rsidRPr="00B051E5">
        <w:rPr>
          <w:rFonts w:ascii="Garamond" w:eastAsia="Calibri" w:hAnsi="Garamond"/>
          <w:color w:val="000000" w:themeColor="text1"/>
          <w:sz w:val="20"/>
          <w:szCs w:val="20"/>
        </w:rPr>
        <w:t>the heavily studie</w:t>
      </w:r>
      <w:r w:rsidR="00CC2E4F" w:rsidRPr="00B051E5">
        <w:rPr>
          <w:rFonts w:ascii="Garamond" w:eastAsia="Calibri" w:hAnsi="Garamond"/>
          <w:color w:val="000000" w:themeColor="text1"/>
          <w:sz w:val="20"/>
          <w:szCs w:val="20"/>
        </w:rPr>
        <w:t>d</w:t>
      </w:r>
      <w:r w:rsidRPr="00B051E5">
        <w:rPr>
          <w:rFonts w:ascii="Garamond" w:eastAsia="Calibri" w:hAnsi="Garamond"/>
          <w:color w:val="000000" w:themeColor="text1"/>
          <w:sz w:val="20"/>
          <w:szCs w:val="20"/>
        </w:rPr>
        <w:t xml:space="preserve"> variable of risk disclosure levels from its time orientation, not only towards forward-looking, but also </w:t>
      </w:r>
      <w:r w:rsidR="00CC2E4F" w:rsidRPr="00B051E5">
        <w:rPr>
          <w:rFonts w:ascii="Garamond" w:eastAsia="Calibri" w:hAnsi="Garamond"/>
          <w:color w:val="000000" w:themeColor="text1"/>
          <w:sz w:val="20"/>
          <w:szCs w:val="20"/>
        </w:rPr>
        <w:t xml:space="preserve">towards </w:t>
      </w:r>
      <w:r w:rsidRPr="00B051E5">
        <w:rPr>
          <w:rFonts w:ascii="Garamond" w:eastAsia="Calibri" w:hAnsi="Garamond"/>
          <w:color w:val="000000" w:themeColor="text1"/>
          <w:sz w:val="20"/>
          <w:szCs w:val="20"/>
        </w:rPr>
        <w:t>non-forward-looking risk disclosure.</w:t>
      </w:r>
      <w:r w:rsidR="00CC2E4F" w:rsidRPr="00B051E5">
        <w:rPr>
          <w:rFonts w:ascii="Garamond" w:eastAsia="Calibri" w:hAnsi="Garamond"/>
          <w:color w:val="000000" w:themeColor="text1"/>
          <w:sz w:val="20"/>
          <w:szCs w:val="20"/>
        </w:rPr>
        <w:t xml:space="preserve"> </w:t>
      </w:r>
      <w:r w:rsidRPr="00B051E5">
        <w:rPr>
          <w:rFonts w:ascii="Garamond" w:eastAsia="Calibri" w:hAnsi="Garamond"/>
          <w:color w:val="000000" w:themeColor="text1"/>
          <w:sz w:val="20"/>
          <w:szCs w:val="20"/>
        </w:rPr>
        <w:t xml:space="preserve">Similarly, our paper is different from Hassanein and Hussainey (2015) as they used firm value as an indicative </w:t>
      </w:r>
      <w:r w:rsidR="00CC2E4F" w:rsidRPr="00B051E5">
        <w:rPr>
          <w:rFonts w:ascii="Garamond" w:eastAsia="Calibri" w:hAnsi="Garamond"/>
          <w:color w:val="000000" w:themeColor="text1"/>
          <w:sz w:val="20"/>
          <w:szCs w:val="20"/>
        </w:rPr>
        <w:t>variable</w:t>
      </w:r>
      <w:r w:rsidRPr="00B051E5">
        <w:rPr>
          <w:rFonts w:ascii="Garamond" w:eastAsia="Calibri" w:hAnsi="Garamond"/>
          <w:color w:val="000000" w:themeColor="text1"/>
          <w:sz w:val="20"/>
          <w:szCs w:val="20"/>
        </w:rPr>
        <w:t xml:space="preserve"> to test </w:t>
      </w:r>
      <w:r w:rsidR="00CC2E4F" w:rsidRPr="00B051E5">
        <w:rPr>
          <w:rFonts w:ascii="Garamond" w:eastAsia="Calibri" w:hAnsi="Garamond"/>
          <w:color w:val="000000" w:themeColor="text1"/>
          <w:sz w:val="20"/>
          <w:szCs w:val="20"/>
        </w:rPr>
        <w:t>relevance</w:t>
      </w:r>
      <w:r w:rsidRPr="00B051E5">
        <w:rPr>
          <w:rFonts w:ascii="Garamond" w:eastAsia="Calibri" w:hAnsi="Garamond"/>
          <w:color w:val="000000" w:themeColor="text1"/>
          <w:sz w:val="20"/>
          <w:szCs w:val="20"/>
        </w:rPr>
        <w:t xml:space="preserve"> of forward-looking </w:t>
      </w:r>
      <w:r w:rsidR="0067098A" w:rsidRPr="00B051E5">
        <w:rPr>
          <w:rFonts w:ascii="Garamond" w:eastAsia="Calibri" w:hAnsi="Garamond"/>
          <w:color w:val="000000" w:themeColor="text1"/>
          <w:sz w:val="20"/>
          <w:szCs w:val="20"/>
        </w:rPr>
        <w:t xml:space="preserve">for general </w:t>
      </w:r>
      <w:r w:rsidRPr="00B051E5">
        <w:rPr>
          <w:rFonts w:ascii="Garamond" w:eastAsia="Calibri" w:hAnsi="Garamond"/>
          <w:color w:val="000000" w:themeColor="text1"/>
          <w:sz w:val="20"/>
          <w:szCs w:val="20"/>
        </w:rPr>
        <w:t xml:space="preserve">disclosure </w:t>
      </w:r>
      <w:r w:rsidR="0067098A" w:rsidRPr="00B051E5">
        <w:rPr>
          <w:rFonts w:ascii="Garamond" w:eastAsia="Calibri" w:hAnsi="Garamond"/>
          <w:color w:val="000000" w:themeColor="text1"/>
          <w:sz w:val="20"/>
          <w:szCs w:val="20"/>
        </w:rPr>
        <w:t xml:space="preserve">not for the specific context of </w:t>
      </w:r>
      <w:r w:rsidRPr="00B051E5">
        <w:rPr>
          <w:rFonts w:ascii="Garamond" w:eastAsia="Calibri" w:hAnsi="Garamond"/>
          <w:color w:val="000000" w:themeColor="text1"/>
          <w:sz w:val="20"/>
          <w:szCs w:val="20"/>
        </w:rPr>
        <w:t xml:space="preserve">risk </w:t>
      </w:r>
      <w:r w:rsidR="00CC2E4F" w:rsidRPr="00B051E5">
        <w:rPr>
          <w:rFonts w:ascii="Garamond" w:eastAsia="Calibri" w:hAnsi="Garamond"/>
          <w:color w:val="000000" w:themeColor="text1"/>
          <w:sz w:val="20"/>
          <w:szCs w:val="20"/>
        </w:rPr>
        <w:t>disclosure</w:t>
      </w:r>
      <w:r w:rsidRPr="00B051E5">
        <w:rPr>
          <w:rFonts w:ascii="Garamond" w:eastAsia="Calibri" w:hAnsi="Garamond"/>
          <w:color w:val="000000" w:themeColor="text1"/>
          <w:sz w:val="20"/>
          <w:szCs w:val="20"/>
        </w:rPr>
        <w:t xml:space="preserve"> that has very distinctive factor to influence</w:t>
      </w:r>
      <w:r w:rsidR="0067098A" w:rsidRPr="00B051E5">
        <w:rPr>
          <w:rFonts w:ascii="Garamond" w:eastAsia="Calibri" w:hAnsi="Garamond"/>
          <w:color w:val="000000" w:themeColor="text1"/>
          <w:sz w:val="20"/>
          <w:szCs w:val="20"/>
        </w:rPr>
        <w:t>,</w:t>
      </w:r>
      <w:r w:rsidRPr="00B051E5">
        <w:rPr>
          <w:rFonts w:ascii="Garamond" w:eastAsia="Calibri" w:hAnsi="Garamond"/>
          <w:color w:val="000000" w:themeColor="text1"/>
          <w:sz w:val="20"/>
          <w:szCs w:val="20"/>
        </w:rPr>
        <w:t xml:space="preserve"> as detailed in Section 2 </w:t>
      </w:r>
      <w:r w:rsidR="0067098A" w:rsidRPr="00B051E5">
        <w:rPr>
          <w:rFonts w:ascii="Garamond" w:eastAsia="Calibri" w:hAnsi="Garamond"/>
          <w:color w:val="000000" w:themeColor="text1"/>
          <w:sz w:val="20"/>
          <w:szCs w:val="20"/>
        </w:rPr>
        <w:t>of our paper</w:t>
      </w:r>
      <w:r w:rsidRPr="00B051E5">
        <w:rPr>
          <w:rFonts w:ascii="Garamond" w:eastAsia="Calibri" w:hAnsi="Garamond"/>
          <w:color w:val="000000" w:themeColor="text1"/>
          <w:sz w:val="20"/>
          <w:szCs w:val="20"/>
        </w:rPr>
        <w:t xml:space="preserve">. Furthermore, our paper studies both forward versus non-forward-looking, their paper principally looked at the former component. </w:t>
      </w:r>
    </w:p>
    <w:p w14:paraId="665A9167" w14:textId="42033436" w:rsidR="00F53071" w:rsidRPr="00B051E5" w:rsidRDefault="00F53071">
      <w:pPr>
        <w:pStyle w:val="FootnoteText"/>
        <w:rPr>
          <w:color w:val="000000" w:themeColor="text1"/>
        </w:rPr>
      </w:pPr>
    </w:p>
  </w:footnote>
  <w:footnote w:id="2">
    <w:p w14:paraId="1E0CA938" w14:textId="5D274BA9" w:rsidR="00EF4CE0" w:rsidRPr="00B051E5" w:rsidRDefault="00EF4CE0" w:rsidP="00EF4CE0">
      <w:pPr>
        <w:jc w:val="both"/>
        <w:rPr>
          <w:rFonts w:ascii="Garamond" w:eastAsia="Calibri" w:hAnsi="Garamond" w:cstheme="majorBidi"/>
          <w:color w:val="000000" w:themeColor="text1"/>
          <w:sz w:val="20"/>
          <w:szCs w:val="20"/>
          <w:lang w:val="en-US"/>
        </w:rPr>
      </w:pPr>
      <w:r w:rsidRPr="00B051E5">
        <w:rPr>
          <w:rStyle w:val="FootnoteReference"/>
          <w:rFonts w:ascii="Garamond" w:hAnsi="Garamond"/>
          <w:color w:val="000000" w:themeColor="text1"/>
          <w:sz w:val="20"/>
          <w:szCs w:val="20"/>
        </w:rPr>
        <w:footnoteRef/>
      </w:r>
      <w:r w:rsidRPr="00B051E5">
        <w:rPr>
          <w:rFonts w:ascii="Garamond" w:hAnsi="Garamond"/>
          <w:color w:val="000000" w:themeColor="text1"/>
          <w:sz w:val="20"/>
          <w:szCs w:val="20"/>
        </w:rPr>
        <w:t xml:space="preserve"> </w:t>
      </w:r>
      <w:r w:rsidRPr="00B051E5">
        <w:rPr>
          <w:rFonts w:ascii="Garamond" w:eastAsia="Calibri" w:hAnsi="Garamond" w:cstheme="majorBidi"/>
          <w:color w:val="000000" w:themeColor="text1"/>
          <w:sz w:val="20"/>
          <w:szCs w:val="20"/>
          <w:lang w:val="en-US"/>
        </w:rPr>
        <w:t xml:space="preserve">As shown in Panel A of Appendix 1, the final sample consisted of 2, 218 firm-year observations of FTSE all-share non-financial firms. </w:t>
      </w:r>
      <w:r w:rsidRPr="00B051E5">
        <w:rPr>
          <w:rFonts w:ascii="Garamond" w:eastAsia="Calibri" w:hAnsi="Garamond" w:cstheme="majorBidi"/>
          <w:color w:val="000000" w:themeColor="text1"/>
          <w:sz w:val="20"/>
          <w:szCs w:val="20"/>
        </w:rPr>
        <w:t xml:space="preserve">These observations were considered after excluding all the missing values for the measures of </w:t>
      </w:r>
      <w:r w:rsidRPr="00B051E5">
        <w:rPr>
          <w:rFonts w:ascii="Garamond" w:hAnsi="Garamond" w:cstheme="majorBidi"/>
          <w:color w:val="000000" w:themeColor="text1"/>
          <w:sz w:val="20"/>
          <w:szCs w:val="20"/>
        </w:rPr>
        <w:t xml:space="preserve">risk-related disclosures </w:t>
      </w:r>
      <w:r w:rsidRPr="00B051E5">
        <w:rPr>
          <w:rFonts w:ascii="Garamond" w:eastAsia="Calibri" w:hAnsi="Garamond" w:cstheme="majorBidi"/>
          <w:color w:val="000000" w:themeColor="text1"/>
          <w:sz w:val="20"/>
          <w:szCs w:val="20"/>
        </w:rPr>
        <w:t xml:space="preserve">(due to untransformed annual reports from pdf format to text format and/or the lack of a complete series of values for positive and negative words). Panel B shows the allocation over the study period from 2005 to 2014. These observations are allocated, as shown in Panel </w:t>
      </w:r>
      <w:r w:rsidR="0065552A" w:rsidRPr="00B051E5">
        <w:rPr>
          <w:rFonts w:ascii="Garamond" w:eastAsia="Calibri" w:hAnsi="Garamond" w:cstheme="majorBidi"/>
          <w:color w:val="000000" w:themeColor="text1"/>
          <w:sz w:val="20"/>
          <w:szCs w:val="20"/>
        </w:rPr>
        <w:t>C</w:t>
      </w:r>
      <w:r w:rsidRPr="00B051E5">
        <w:rPr>
          <w:rFonts w:ascii="Garamond" w:eastAsia="Calibri" w:hAnsi="Garamond" w:cstheme="majorBidi"/>
          <w:color w:val="000000" w:themeColor="text1"/>
          <w:sz w:val="20"/>
          <w:szCs w:val="20"/>
        </w:rPr>
        <w:t xml:space="preserve"> of Appendix 1, to eight industries based on the Industry Classification Benchmark (ICB), namely, materials, industrials, consumer goods, healthcare, consumer services, telecommunication, utilities, and technology. </w:t>
      </w:r>
    </w:p>
    <w:p w14:paraId="4439577E" w14:textId="790709B7" w:rsidR="00EF4CE0" w:rsidRPr="00B051E5" w:rsidRDefault="00EF4CE0">
      <w:pPr>
        <w:pStyle w:val="FootnoteText"/>
        <w:rPr>
          <w:color w:val="000000" w:themeColor="text1"/>
          <w:lang w:val="en-US"/>
        </w:rPr>
      </w:pPr>
    </w:p>
  </w:footnote>
  <w:footnote w:id="3">
    <w:p w14:paraId="1A0946F9" w14:textId="447D0A0C" w:rsidR="00B764F0" w:rsidRPr="00B051E5" w:rsidRDefault="00B764F0" w:rsidP="000C0153">
      <w:pPr>
        <w:jc w:val="both"/>
        <w:rPr>
          <w:rFonts w:ascii="Garamond" w:eastAsia="Calibri" w:hAnsi="Garamond"/>
          <w:b/>
          <w:bCs/>
          <w:color w:val="000000" w:themeColor="text1"/>
          <w:sz w:val="20"/>
          <w:szCs w:val="20"/>
        </w:rPr>
      </w:pPr>
      <w:r w:rsidRPr="00B051E5">
        <w:rPr>
          <w:rStyle w:val="FootnoteReference"/>
          <w:rFonts w:ascii="Garamond" w:hAnsi="Garamond"/>
          <w:color w:val="000000" w:themeColor="text1"/>
          <w:sz w:val="20"/>
          <w:szCs w:val="20"/>
        </w:rPr>
        <w:footnoteRef/>
      </w:r>
      <w:r w:rsidRPr="00B051E5">
        <w:rPr>
          <w:rFonts w:ascii="Garamond" w:hAnsi="Garamond"/>
          <w:color w:val="000000" w:themeColor="text1"/>
          <w:sz w:val="20"/>
          <w:szCs w:val="20"/>
        </w:rPr>
        <w:t xml:space="preserve"> </w:t>
      </w:r>
      <w:r w:rsidRPr="00B051E5">
        <w:rPr>
          <w:rFonts w:ascii="Garamond" w:eastAsia="Calibri" w:hAnsi="Garamond"/>
          <w:bCs/>
          <w:color w:val="000000" w:themeColor="text1"/>
          <w:sz w:val="20"/>
          <w:szCs w:val="20"/>
        </w:rPr>
        <w:t xml:space="preserve">To mitigate the problem of omitted variables (as a main source of endogeneity), we use firm fixed-effect estimations. The unreported results (for brevity) lead to the same conclusion on the importance of distinguishing the content of risk information based on the information time orientation from the aggregate level of risk disclosure when investigating the informativeness of such information. Our findings suggest that time-invariant unobserved firm characteristics cannot explain the influence of risk-related information on stock price informativeness.  </w:t>
      </w:r>
    </w:p>
    <w:p w14:paraId="4BFB4B8D" w14:textId="70F48723" w:rsidR="00B764F0" w:rsidRPr="00B051E5" w:rsidRDefault="00B764F0">
      <w:pPr>
        <w:pStyle w:val="FootnoteText"/>
        <w:rPr>
          <w:color w:val="000000" w:themeColor="text1"/>
        </w:rPr>
      </w:pPr>
    </w:p>
  </w:footnote>
  <w:footnote w:id="4">
    <w:p w14:paraId="06A45625" w14:textId="60D8AFB4" w:rsidR="007C3EA0" w:rsidRPr="00B051E5" w:rsidRDefault="007C3EA0" w:rsidP="000C0153">
      <w:pPr>
        <w:pStyle w:val="FootnoteText"/>
        <w:jc w:val="both"/>
        <w:rPr>
          <w:rFonts w:ascii="Garamond" w:hAnsi="Garamond"/>
          <w:color w:val="000000" w:themeColor="text1"/>
        </w:rPr>
      </w:pPr>
      <w:r w:rsidRPr="00B051E5">
        <w:rPr>
          <w:rStyle w:val="FootnoteReference"/>
          <w:rFonts w:ascii="Garamond" w:hAnsi="Garamond"/>
          <w:color w:val="000000" w:themeColor="text1"/>
        </w:rPr>
        <w:footnoteRef/>
      </w:r>
      <w:r w:rsidRPr="00B051E5">
        <w:rPr>
          <w:rFonts w:ascii="Garamond" w:hAnsi="Garamond"/>
          <w:color w:val="000000" w:themeColor="text1"/>
        </w:rPr>
        <w:t xml:space="preserve"> </w:t>
      </w:r>
      <w:r w:rsidR="00701809" w:rsidRPr="00B051E5">
        <w:rPr>
          <w:rFonts w:ascii="Garamond" w:hAnsi="Garamond"/>
          <w:color w:val="000000" w:themeColor="text1"/>
        </w:rPr>
        <w:t>This score is calculated based on the p</w:t>
      </w:r>
      <w:r w:rsidRPr="00B051E5">
        <w:rPr>
          <w:rFonts w:ascii="Garamond" w:hAnsi="Garamond"/>
          <w:color w:val="000000" w:themeColor="text1"/>
        </w:rPr>
        <w:t xml:space="preserve">ercentage of strictly independent board </w:t>
      </w:r>
      <w:r w:rsidR="001E56EB" w:rsidRPr="00B051E5">
        <w:rPr>
          <w:rFonts w:ascii="Garamond" w:hAnsi="Garamond"/>
          <w:color w:val="000000" w:themeColor="text1"/>
        </w:rPr>
        <w:t>members</w:t>
      </w:r>
      <w:r w:rsidR="00701809" w:rsidRPr="00B051E5">
        <w:rPr>
          <w:rFonts w:ascii="Garamond" w:hAnsi="Garamond"/>
          <w:color w:val="000000" w:themeColor="text1"/>
        </w:rPr>
        <w:t>. An independent member should</w:t>
      </w:r>
      <w:r w:rsidR="001E56EB" w:rsidRPr="00B051E5">
        <w:rPr>
          <w:rFonts w:ascii="Garamond" w:hAnsi="Garamond"/>
          <w:color w:val="000000" w:themeColor="text1"/>
        </w:rPr>
        <w:t xml:space="preserve">: </w:t>
      </w:r>
      <w:r w:rsidRPr="00B051E5">
        <w:rPr>
          <w:rFonts w:ascii="Garamond" w:hAnsi="Garamond"/>
          <w:color w:val="000000" w:themeColor="text1"/>
        </w:rPr>
        <w:t xml:space="preserve">not employed by the company; not served on the board for more than ten years; not a reference shareholder with more than 5% of holdings; no cross-board membership; no recent, immediate family ties to the corporation; </w:t>
      </w:r>
      <w:r w:rsidR="001E56EB" w:rsidRPr="00B051E5">
        <w:rPr>
          <w:rFonts w:ascii="Garamond" w:hAnsi="Garamond"/>
          <w:color w:val="000000" w:themeColor="text1"/>
        </w:rPr>
        <w:t xml:space="preserve">and </w:t>
      </w:r>
      <w:r w:rsidRPr="00B051E5">
        <w:rPr>
          <w:rFonts w:ascii="Garamond" w:hAnsi="Garamond"/>
          <w:color w:val="000000" w:themeColor="text1"/>
        </w:rPr>
        <w:t>not accepting any compensation other than compensation for board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003D"/>
    <w:multiLevelType w:val="hybridMultilevel"/>
    <w:tmpl w:val="7F36D174"/>
    <w:lvl w:ilvl="0" w:tplc="08B2D5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B92747"/>
    <w:multiLevelType w:val="hybridMultilevel"/>
    <w:tmpl w:val="11D44A86"/>
    <w:lvl w:ilvl="0" w:tplc="84C63D98">
      <w:start w:val="1"/>
      <w:numFmt w:val="bullet"/>
      <w:lvlText w:val="•"/>
      <w:lvlJc w:val="left"/>
      <w:pPr>
        <w:tabs>
          <w:tab w:val="num" w:pos="720"/>
        </w:tabs>
        <w:ind w:left="720" w:hanging="360"/>
      </w:pPr>
      <w:rPr>
        <w:rFonts w:ascii="Times New Roman" w:hAnsi="Times New Roman" w:hint="default"/>
      </w:rPr>
    </w:lvl>
    <w:lvl w:ilvl="1" w:tplc="74CADD22" w:tentative="1">
      <w:start w:val="1"/>
      <w:numFmt w:val="bullet"/>
      <w:lvlText w:val="•"/>
      <w:lvlJc w:val="left"/>
      <w:pPr>
        <w:tabs>
          <w:tab w:val="num" w:pos="1440"/>
        </w:tabs>
        <w:ind w:left="1440" w:hanging="360"/>
      </w:pPr>
      <w:rPr>
        <w:rFonts w:ascii="Times New Roman" w:hAnsi="Times New Roman" w:hint="default"/>
      </w:rPr>
    </w:lvl>
    <w:lvl w:ilvl="2" w:tplc="1A2EA720" w:tentative="1">
      <w:start w:val="1"/>
      <w:numFmt w:val="bullet"/>
      <w:lvlText w:val="•"/>
      <w:lvlJc w:val="left"/>
      <w:pPr>
        <w:tabs>
          <w:tab w:val="num" w:pos="2160"/>
        </w:tabs>
        <w:ind w:left="2160" w:hanging="360"/>
      </w:pPr>
      <w:rPr>
        <w:rFonts w:ascii="Times New Roman" w:hAnsi="Times New Roman" w:hint="default"/>
      </w:rPr>
    </w:lvl>
    <w:lvl w:ilvl="3" w:tplc="FE908CAA" w:tentative="1">
      <w:start w:val="1"/>
      <w:numFmt w:val="bullet"/>
      <w:lvlText w:val="•"/>
      <w:lvlJc w:val="left"/>
      <w:pPr>
        <w:tabs>
          <w:tab w:val="num" w:pos="2880"/>
        </w:tabs>
        <w:ind w:left="2880" w:hanging="360"/>
      </w:pPr>
      <w:rPr>
        <w:rFonts w:ascii="Times New Roman" w:hAnsi="Times New Roman" w:hint="default"/>
      </w:rPr>
    </w:lvl>
    <w:lvl w:ilvl="4" w:tplc="BD18C688" w:tentative="1">
      <w:start w:val="1"/>
      <w:numFmt w:val="bullet"/>
      <w:lvlText w:val="•"/>
      <w:lvlJc w:val="left"/>
      <w:pPr>
        <w:tabs>
          <w:tab w:val="num" w:pos="3600"/>
        </w:tabs>
        <w:ind w:left="3600" w:hanging="360"/>
      </w:pPr>
      <w:rPr>
        <w:rFonts w:ascii="Times New Roman" w:hAnsi="Times New Roman" w:hint="default"/>
      </w:rPr>
    </w:lvl>
    <w:lvl w:ilvl="5" w:tplc="C838BBFA" w:tentative="1">
      <w:start w:val="1"/>
      <w:numFmt w:val="bullet"/>
      <w:lvlText w:val="•"/>
      <w:lvlJc w:val="left"/>
      <w:pPr>
        <w:tabs>
          <w:tab w:val="num" w:pos="4320"/>
        </w:tabs>
        <w:ind w:left="4320" w:hanging="360"/>
      </w:pPr>
      <w:rPr>
        <w:rFonts w:ascii="Times New Roman" w:hAnsi="Times New Roman" w:hint="default"/>
      </w:rPr>
    </w:lvl>
    <w:lvl w:ilvl="6" w:tplc="170A54A2" w:tentative="1">
      <w:start w:val="1"/>
      <w:numFmt w:val="bullet"/>
      <w:lvlText w:val="•"/>
      <w:lvlJc w:val="left"/>
      <w:pPr>
        <w:tabs>
          <w:tab w:val="num" w:pos="5040"/>
        </w:tabs>
        <w:ind w:left="5040" w:hanging="360"/>
      </w:pPr>
      <w:rPr>
        <w:rFonts w:ascii="Times New Roman" w:hAnsi="Times New Roman" w:hint="default"/>
      </w:rPr>
    </w:lvl>
    <w:lvl w:ilvl="7" w:tplc="4418C430" w:tentative="1">
      <w:start w:val="1"/>
      <w:numFmt w:val="bullet"/>
      <w:lvlText w:val="•"/>
      <w:lvlJc w:val="left"/>
      <w:pPr>
        <w:tabs>
          <w:tab w:val="num" w:pos="5760"/>
        </w:tabs>
        <w:ind w:left="5760" w:hanging="360"/>
      </w:pPr>
      <w:rPr>
        <w:rFonts w:ascii="Times New Roman" w:hAnsi="Times New Roman" w:hint="default"/>
      </w:rPr>
    </w:lvl>
    <w:lvl w:ilvl="8" w:tplc="09E6340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81241FB"/>
    <w:multiLevelType w:val="hybridMultilevel"/>
    <w:tmpl w:val="7ACECE7E"/>
    <w:lvl w:ilvl="0" w:tplc="3A6E0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75B81"/>
    <w:multiLevelType w:val="multilevel"/>
    <w:tmpl w:val="5F129134"/>
    <w:lvl w:ilvl="0">
      <w:start w:val="2"/>
      <w:numFmt w:val="decimal"/>
      <w:lvlText w:val="%1."/>
      <w:lvlJc w:val="left"/>
      <w:pPr>
        <w:ind w:left="360" w:hanging="360"/>
      </w:pPr>
      <w:rPr>
        <w:rFonts w:cstheme="minorBidi" w:hint="default"/>
      </w:rPr>
    </w:lvl>
    <w:lvl w:ilvl="1">
      <w:start w:val="3"/>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 w15:restartNumberingAfterBreak="0">
    <w:nsid w:val="5501569A"/>
    <w:multiLevelType w:val="hybridMultilevel"/>
    <w:tmpl w:val="90F46E28"/>
    <w:lvl w:ilvl="0" w:tplc="6A0842A2">
      <w:start w:val="2"/>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962"/>
    <w:multiLevelType w:val="hybridMultilevel"/>
    <w:tmpl w:val="C2E2F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6615EB"/>
    <w:multiLevelType w:val="hybridMultilevel"/>
    <w:tmpl w:val="FC3C44C6"/>
    <w:lvl w:ilvl="0" w:tplc="D07A96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sry Ahmed">
    <w15:presenceInfo w15:providerId="None" w15:userId="Yousry Ah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tTC2NDMwMDE3NDFU0lEKTi0uzszPAykwrgUA5cfUFiwAAAA="/>
  </w:docVars>
  <w:rsids>
    <w:rsidRoot w:val="00820639"/>
    <w:rsid w:val="00002F8B"/>
    <w:rsid w:val="0000374F"/>
    <w:rsid w:val="00004CD8"/>
    <w:rsid w:val="00010280"/>
    <w:rsid w:val="00010E88"/>
    <w:rsid w:val="00010F58"/>
    <w:rsid w:val="000169AC"/>
    <w:rsid w:val="00016C0D"/>
    <w:rsid w:val="000177FE"/>
    <w:rsid w:val="00017CCD"/>
    <w:rsid w:val="00020EF9"/>
    <w:rsid w:val="00032BA5"/>
    <w:rsid w:val="000345F7"/>
    <w:rsid w:val="00035459"/>
    <w:rsid w:val="0003624D"/>
    <w:rsid w:val="00036FB0"/>
    <w:rsid w:val="00037C21"/>
    <w:rsid w:val="00040130"/>
    <w:rsid w:val="000408B8"/>
    <w:rsid w:val="000421FB"/>
    <w:rsid w:val="00042712"/>
    <w:rsid w:val="00042E2B"/>
    <w:rsid w:val="00045801"/>
    <w:rsid w:val="00050093"/>
    <w:rsid w:val="0005516E"/>
    <w:rsid w:val="00057887"/>
    <w:rsid w:val="000609A6"/>
    <w:rsid w:val="00063DF0"/>
    <w:rsid w:val="00067E39"/>
    <w:rsid w:val="000729D1"/>
    <w:rsid w:val="00072BDC"/>
    <w:rsid w:val="00076467"/>
    <w:rsid w:val="00084E37"/>
    <w:rsid w:val="00090677"/>
    <w:rsid w:val="00094C7F"/>
    <w:rsid w:val="00096674"/>
    <w:rsid w:val="000A0438"/>
    <w:rsid w:val="000A19FE"/>
    <w:rsid w:val="000A465F"/>
    <w:rsid w:val="000A63C5"/>
    <w:rsid w:val="000B1A9F"/>
    <w:rsid w:val="000B3AC8"/>
    <w:rsid w:val="000B57EF"/>
    <w:rsid w:val="000B6D13"/>
    <w:rsid w:val="000C0153"/>
    <w:rsid w:val="000C22FE"/>
    <w:rsid w:val="000C45C2"/>
    <w:rsid w:val="000C7AAD"/>
    <w:rsid w:val="000C7E76"/>
    <w:rsid w:val="000D2A03"/>
    <w:rsid w:val="000D6D69"/>
    <w:rsid w:val="000E26BA"/>
    <w:rsid w:val="000E4673"/>
    <w:rsid w:val="000E4CB3"/>
    <w:rsid w:val="000E5560"/>
    <w:rsid w:val="000E64C9"/>
    <w:rsid w:val="000F2CAF"/>
    <w:rsid w:val="001018BD"/>
    <w:rsid w:val="001023B9"/>
    <w:rsid w:val="001041A7"/>
    <w:rsid w:val="00105E33"/>
    <w:rsid w:val="00106D91"/>
    <w:rsid w:val="001071CE"/>
    <w:rsid w:val="00113992"/>
    <w:rsid w:val="00113C52"/>
    <w:rsid w:val="001146E2"/>
    <w:rsid w:val="00115362"/>
    <w:rsid w:val="00120366"/>
    <w:rsid w:val="00124601"/>
    <w:rsid w:val="0012655D"/>
    <w:rsid w:val="00126767"/>
    <w:rsid w:val="001355DE"/>
    <w:rsid w:val="0014228F"/>
    <w:rsid w:val="00147563"/>
    <w:rsid w:val="00152952"/>
    <w:rsid w:val="001529C5"/>
    <w:rsid w:val="00161017"/>
    <w:rsid w:val="0017249A"/>
    <w:rsid w:val="00182703"/>
    <w:rsid w:val="00184954"/>
    <w:rsid w:val="00185946"/>
    <w:rsid w:val="001866BD"/>
    <w:rsid w:val="00186F19"/>
    <w:rsid w:val="001877E6"/>
    <w:rsid w:val="00187884"/>
    <w:rsid w:val="001879FD"/>
    <w:rsid w:val="00195944"/>
    <w:rsid w:val="0019703F"/>
    <w:rsid w:val="001A5C72"/>
    <w:rsid w:val="001B3442"/>
    <w:rsid w:val="001B4A48"/>
    <w:rsid w:val="001C0047"/>
    <w:rsid w:val="001C278D"/>
    <w:rsid w:val="001C2CA1"/>
    <w:rsid w:val="001C3215"/>
    <w:rsid w:val="001C3B03"/>
    <w:rsid w:val="001C4479"/>
    <w:rsid w:val="001C4B38"/>
    <w:rsid w:val="001D2259"/>
    <w:rsid w:val="001D2963"/>
    <w:rsid w:val="001D2DCA"/>
    <w:rsid w:val="001D3D30"/>
    <w:rsid w:val="001D620B"/>
    <w:rsid w:val="001D7732"/>
    <w:rsid w:val="001E2D86"/>
    <w:rsid w:val="001E42E5"/>
    <w:rsid w:val="001E56EB"/>
    <w:rsid w:val="001F013F"/>
    <w:rsid w:val="001F023F"/>
    <w:rsid w:val="001F22B6"/>
    <w:rsid w:val="001F275A"/>
    <w:rsid w:val="001F2862"/>
    <w:rsid w:val="001F38CE"/>
    <w:rsid w:val="001F48B8"/>
    <w:rsid w:val="001F6A22"/>
    <w:rsid w:val="001F6F7B"/>
    <w:rsid w:val="00200E6B"/>
    <w:rsid w:val="00207FCA"/>
    <w:rsid w:val="002114DC"/>
    <w:rsid w:val="00211561"/>
    <w:rsid w:val="00213728"/>
    <w:rsid w:val="0021622C"/>
    <w:rsid w:val="0021626A"/>
    <w:rsid w:val="0021773D"/>
    <w:rsid w:val="00217F16"/>
    <w:rsid w:val="002206FC"/>
    <w:rsid w:val="002211D7"/>
    <w:rsid w:val="002218D1"/>
    <w:rsid w:val="00226066"/>
    <w:rsid w:val="00226A44"/>
    <w:rsid w:val="00227C23"/>
    <w:rsid w:val="002345DF"/>
    <w:rsid w:val="002346D5"/>
    <w:rsid w:val="00240653"/>
    <w:rsid w:val="00240E55"/>
    <w:rsid w:val="0024204B"/>
    <w:rsid w:val="002439F8"/>
    <w:rsid w:val="00244716"/>
    <w:rsid w:val="00247DE0"/>
    <w:rsid w:val="0025159C"/>
    <w:rsid w:val="00252986"/>
    <w:rsid w:val="00253A42"/>
    <w:rsid w:val="00254997"/>
    <w:rsid w:val="00255566"/>
    <w:rsid w:val="00257523"/>
    <w:rsid w:val="002600BD"/>
    <w:rsid w:val="00262247"/>
    <w:rsid w:val="002655B2"/>
    <w:rsid w:val="00270CBC"/>
    <w:rsid w:val="002715F8"/>
    <w:rsid w:val="0027215B"/>
    <w:rsid w:val="00275C11"/>
    <w:rsid w:val="00277E15"/>
    <w:rsid w:val="00283B36"/>
    <w:rsid w:val="002846EE"/>
    <w:rsid w:val="0028708D"/>
    <w:rsid w:val="00291745"/>
    <w:rsid w:val="00294907"/>
    <w:rsid w:val="002A08CA"/>
    <w:rsid w:val="002A0B45"/>
    <w:rsid w:val="002A2689"/>
    <w:rsid w:val="002A6AB2"/>
    <w:rsid w:val="002A7800"/>
    <w:rsid w:val="002B12C2"/>
    <w:rsid w:val="002B1E7F"/>
    <w:rsid w:val="002C06FF"/>
    <w:rsid w:val="002C12E8"/>
    <w:rsid w:val="002C3AA3"/>
    <w:rsid w:val="002C4021"/>
    <w:rsid w:val="002C448D"/>
    <w:rsid w:val="002D2528"/>
    <w:rsid w:val="002D2F3B"/>
    <w:rsid w:val="002D3CFC"/>
    <w:rsid w:val="002D469A"/>
    <w:rsid w:val="002D6CA6"/>
    <w:rsid w:val="002E01C5"/>
    <w:rsid w:val="002E4DB5"/>
    <w:rsid w:val="002E5F0D"/>
    <w:rsid w:val="002E684A"/>
    <w:rsid w:val="002E79DD"/>
    <w:rsid w:val="002E7E13"/>
    <w:rsid w:val="002F3D3A"/>
    <w:rsid w:val="002F487B"/>
    <w:rsid w:val="00301533"/>
    <w:rsid w:val="0030316D"/>
    <w:rsid w:val="00306729"/>
    <w:rsid w:val="003069BD"/>
    <w:rsid w:val="00307710"/>
    <w:rsid w:val="0031754E"/>
    <w:rsid w:val="00320483"/>
    <w:rsid w:val="00323582"/>
    <w:rsid w:val="0032744D"/>
    <w:rsid w:val="00327982"/>
    <w:rsid w:val="00330EBB"/>
    <w:rsid w:val="003316A9"/>
    <w:rsid w:val="0033792B"/>
    <w:rsid w:val="003401E6"/>
    <w:rsid w:val="00341DF2"/>
    <w:rsid w:val="003432C5"/>
    <w:rsid w:val="003434C8"/>
    <w:rsid w:val="003447B0"/>
    <w:rsid w:val="00350451"/>
    <w:rsid w:val="00353F11"/>
    <w:rsid w:val="00355F66"/>
    <w:rsid w:val="00360D6C"/>
    <w:rsid w:val="00363108"/>
    <w:rsid w:val="00364ED8"/>
    <w:rsid w:val="00365EF4"/>
    <w:rsid w:val="00372BD8"/>
    <w:rsid w:val="00377C76"/>
    <w:rsid w:val="0038181A"/>
    <w:rsid w:val="00382FF1"/>
    <w:rsid w:val="003865BF"/>
    <w:rsid w:val="00386CDC"/>
    <w:rsid w:val="003909BE"/>
    <w:rsid w:val="00394AFE"/>
    <w:rsid w:val="00395145"/>
    <w:rsid w:val="00395B8F"/>
    <w:rsid w:val="003B1432"/>
    <w:rsid w:val="003B217A"/>
    <w:rsid w:val="003B3190"/>
    <w:rsid w:val="003B68F4"/>
    <w:rsid w:val="003C09C7"/>
    <w:rsid w:val="003C2AA1"/>
    <w:rsid w:val="003C435F"/>
    <w:rsid w:val="003C71EC"/>
    <w:rsid w:val="003C7280"/>
    <w:rsid w:val="003C7583"/>
    <w:rsid w:val="003D20C4"/>
    <w:rsid w:val="003D294B"/>
    <w:rsid w:val="003D3367"/>
    <w:rsid w:val="003D3550"/>
    <w:rsid w:val="003D7553"/>
    <w:rsid w:val="003D7CBC"/>
    <w:rsid w:val="003E062C"/>
    <w:rsid w:val="003E2939"/>
    <w:rsid w:val="003E48D3"/>
    <w:rsid w:val="003F3E22"/>
    <w:rsid w:val="003F7412"/>
    <w:rsid w:val="00400FA7"/>
    <w:rsid w:val="00402B76"/>
    <w:rsid w:val="00403C01"/>
    <w:rsid w:val="004040F9"/>
    <w:rsid w:val="00410D27"/>
    <w:rsid w:val="00411B8D"/>
    <w:rsid w:val="00412879"/>
    <w:rsid w:val="004156C3"/>
    <w:rsid w:val="00421A1A"/>
    <w:rsid w:val="00423A16"/>
    <w:rsid w:val="0042669E"/>
    <w:rsid w:val="00430C20"/>
    <w:rsid w:val="00433733"/>
    <w:rsid w:val="00434AA0"/>
    <w:rsid w:val="00435531"/>
    <w:rsid w:val="00441834"/>
    <w:rsid w:val="0044273A"/>
    <w:rsid w:val="0044340F"/>
    <w:rsid w:val="00443DDB"/>
    <w:rsid w:val="00444C7B"/>
    <w:rsid w:val="0044570F"/>
    <w:rsid w:val="00446F2B"/>
    <w:rsid w:val="00450E10"/>
    <w:rsid w:val="0045342E"/>
    <w:rsid w:val="00455179"/>
    <w:rsid w:val="004612A4"/>
    <w:rsid w:val="00463955"/>
    <w:rsid w:val="00464EFB"/>
    <w:rsid w:val="00466BE4"/>
    <w:rsid w:val="00481CC7"/>
    <w:rsid w:val="004827F2"/>
    <w:rsid w:val="00490386"/>
    <w:rsid w:val="004915A9"/>
    <w:rsid w:val="0049236C"/>
    <w:rsid w:val="00492483"/>
    <w:rsid w:val="00493590"/>
    <w:rsid w:val="00494842"/>
    <w:rsid w:val="00495A68"/>
    <w:rsid w:val="0049724D"/>
    <w:rsid w:val="004A067C"/>
    <w:rsid w:val="004A0792"/>
    <w:rsid w:val="004A255A"/>
    <w:rsid w:val="004A2FDC"/>
    <w:rsid w:val="004A517B"/>
    <w:rsid w:val="004A72B1"/>
    <w:rsid w:val="004B1948"/>
    <w:rsid w:val="004B2226"/>
    <w:rsid w:val="004B2D3F"/>
    <w:rsid w:val="004B3778"/>
    <w:rsid w:val="004B46FC"/>
    <w:rsid w:val="004B59F8"/>
    <w:rsid w:val="004B773E"/>
    <w:rsid w:val="004C14BB"/>
    <w:rsid w:val="004D34AB"/>
    <w:rsid w:val="004D3AC0"/>
    <w:rsid w:val="004D5A7B"/>
    <w:rsid w:val="004E015C"/>
    <w:rsid w:val="004E0886"/>
    <w:rsid w:val="004E50FC"/>
    <w:rsid w:val="004E67A2"/>
    <w:rsid w:val="004E79F9"/>
    <w:rsid w:val="004F2EAC"/>
    <w:rsid w:val="00501189"/>
    <w:rsid w:val="00502034"/>
    <w:rsid w:val="0050252B"/>
    <w:rsid w:val="005036D4"/>
    <w:rsid w:val="00504140"/>
    <w:rsid w:val="00506A47"/>
    <w:rsid w:val="00506B2F"/>
    <w:rsid w:val="0051071C"/>
    <w:rsid w:val="0051331F"/>
    <w:rsid w:val="00513B88"/>
    <w:rsid w:val="00513CEB"/>
    <w:rsid w:val="005166E4"/>
    <w:rsid w:val="0052102A"/>
    <w:rsid w:val="00523DB2"/>
    <w:rsid w:val="00524315"/>
    <w:rsid w:val="00524FBF"/>
    <w:rsid w:val="00526FA9"/>
    <w:rsid w:val="005325F6"/>
    <w:rsid w:val="0054056B"/>
    <w:rsid w:val="005405EC"/>
    <w:rsid w:val="00540F29"/>
    <w:rsid w:val="00541344"/>
    <w:rsid w:val="00550A72"/>
    <w:rsid w:val="00550C4D"/>
    <w:rsid w:val="00573F52"/>
    <w:rsid w:val="00574340"/>
    <w:rsid w:val="005747CE"/>
    <w:rsid w:val="00582D90"/>
    <w:rsid w:val="005842B3"/>
    <w:rsid w:val="005870A1"/>
    <w:rsid w:val="005945B9"/>
    <w:rsid w:val="00596C2D"/>
    <w:rsid w:val="00597763"/>
    <w:rsid w:val="005A036B"/>
    <w:rsid w:val="005A1181"/>
    <w:rsid w:val="005A22B4"/>
    <w:rsid w:val="005A4292"/>
    <w:rsid w:val="005A48F7"/>
    <w:rsid w:val="005A5FE5"/>
    <w:rsid w:val="005B1F34"/>
    <w:rsid w:val="005B2696"/>
    <w:rsid w:val="005B5340"/>
    <w:rsid w:val="005B5E86"/>
    <w:rsid w:val="005B7ED9"/>
    <w:rsid w:val="005C0CAC"/>
    <w:rsid w:val="005C1748"/>
    <w:rsid w:val="005C1DCB"/>
    <w:rsid w:val="005C2D4B"/>
    <w:rsid w:val="005C357B"/>
    <w:rsid w:val="005C43DF"/>
    <w:rsid w:val="005D0A60"/>
    <w:rsid w:val="005D3D15"/>
    <w:rsid w:val="005D5C2D"/>
    <w:rsid w:val="005D5FDF"/>
    <w:rsid w:val="005D6B36"/>
    <w:rsid w:val="005E4155"/>
    <w:rsid w:val="005E49BF"/>
    <w:rsid w:val="005E4BCD"/>
    <w:rsid w:val="005E738F"/>
    <w:rsid w:val="005F4610"/>
    <w:rsid w:val="005F5590"/>
    <w:rsid w:val="005F5B31"/>
    <w:rsid w:val="005F67DD"/>
    <w:rsid w:val="0060078C"/>
    <w:rsid w:val="006013CF"/>
    <w:rsid w:val="0060345F"/>
    <w:rsid w:val="0060752C"/>
    <w:rsid w:val="00607FBA"/>
    <w:rsid w:val="00610D06"/>
    <w:rsid w:val="006136B1"/>
    <w:rsid w:val="00615576"/>
    <w:rsid w:val="00616EEB"/>
    <w:rsid w:val="006212BF"/>
    <w:rsid w:val="006214E3"/>
    <w:rsid w:val="0062157B"/>
    <w:rsid w:val="00621B25"/>
    <w:rsid w:val="00622058"/>
    <w:rsid w:val="0062471E"/>
    <w:rsid w:val="00625ADE"/>
    <w:rsid w:val="00626144"/>
    <w:rsid w:val="006300F6"/>
    <w:rsid w:val="0063393E"/>
    <w:rsid w:val="00634318"/>
    <w:rsid w:val="00635D7C"/>
    <w:rsid w:val="00637AB0"/>
    <w:rsid w:val="006436C8"/>
    <w:rsid w:val="00643BA0"/>
    <w:rsid w:val="006454E3"/>
    <w:rsid w:val="00646910"/>
    <w:rsid w:val="00647A72"/>
    <w:rsid w:val="0065293F"/>
    <w:rsid w:val="00654DFC"/>
    <w:rsid w:val="0065552A"/>
    <w:rsid w:val="00662FF4"/>
    <w:rsid w:val="00663DC5"/>
    <w:rsid w:val="0067098A"/>
    <w:rsid w:val="006716DC"/>
    <w:rsid w:val="00672B1B"/>
    <w:rsid w:val="00673E06"/>
    <w:rsid w:val="00675417"/>
    <w:rsid w:val="0067565F"/>
    <w:rsid w:val="00675C62"/>
    <w:rsid w:val="00680A24"/>
    <w:rsid w:val="0068266D"/>
    <w:rsid w:val="006839B0"/>
    <w:rsid w:val="00683E92"/>
    <w:rsid w:val="00683FA3"/>
    <w:rsid w:val="00692BB9"/>
    <w:rsid w:val="00693F5C"/>
    <w:rsid w:val="006A6CE1"/>
    <w:rsid w:val="006B0A7E"/>
    <w:rsid w:val="006B1B74"/>
    <w:rsid w:val="006B3552"/>
    <w:rsid w:val="006B4CB3"/>
    <w:rsid w:val="006B536E"/>
    <w:rsid w:val="006B5856"/>
    <w:rsid w:val="006C560B"/>
    <w:rsid w:val="006C5E23"/>
    <w:rsid w:val="006D12AC"/>
    <w:rsid w:val="006D1A31"/>
    <w:rsid w:val="006D2025"/>
    <w:rsid w:val="006D20B1"/>
    <w:rsid w:val="006E1025"/>
    <w:rsid w:val="006E70C7"/>
    <w:rsid w:val="006F1686"/>
    <w:rsid w:val="006F45D0"/>
    <w:rsid w:val="006F45E4"/>
    <w:rsid w:val="0070107B"/>
    <w:rsid w:val="00701809"/>
    <w:rsid w:val="00701DD4"/>
    <w:rsid w:val="00702669"/>
    <w:rsid w:val="007077F7"/>
    <w:rsid w:val="0071392E"/>
    <w:rsid w:val="00713E06"/>
    <w:rsid w:val="007212CD"/>
    <w:rsid w:val="007221C8"/>
    <w:rsid w:val="0072244E"/>
    <w:rsid w:val="0072305E"/>
    <w:rsid w:val="00723C78"/>
    <w:rsid w:val="00723EC2"/>
    <w:rsid w:val="007241F0"/>
    <w:rsid w:val="00725276"/>
    <w:rsid w:val="007274B3"/>
    <w:rsid w:val="0073296E"/>
    <w:rsid w:val="00734F23"/>
    <w:rsid w:val="00735FFB"/>
    <w:rsid w:val="007427BE"/>
    <w:rsid w:val="007428E4"/>
    <w:rsid w:val="00744677"/>
    <w:rsid w:val="0075095E"/>
    <w:rsid w:val="00755707"/>
    <w:rsid w:val="0075577D"/>
    <w:rsid w:val="007573E9"/>
    <w:rsid w:val="007573F7"/>
    <w:rsid w:val="00762821"/>
    <w:rsid w:val="007633FE"/>
    <w:rsid w:val="00764E3E"/>
    <w:rsid w:val="00770E81"/>
    <w:rsid w:val="0077200C"/>
    <w:rsid w:val="00772523"/>
    <w:rsid w:val="00772559"/>
    <w:rsid w:val="00780B99"/>
    <w:rsid w:val="00782132"/>
    <w:rsid w:val="00790398"/>
    <w:rsid w:val="00790472"/>
    <w:rsid w:val="00791F8A"/>
    <w:rsid w:val="0079339D"/>
    <w:rsid w:val="007933D3"/>
    <w:rsid w:val="00797551"/>
    <w:rsid w:val="007A22B9"/>
    <w:rsid w:val="007A5529"/>
    <w:rsid w:val="007A5AD2"/>
    <w:rsid w:val="007B1CB0"/>
    <w:rsid w:val="007B54EE"/>
    <w:rsid w:val="007B62FD"/>
    <w:rsid w:val="007C1B49"/>
    <w:rsid w:val="007C28CC"/>
    <w:rsid w:val="007C3EA0"/>
    <w:rsid w:val="007C48AF"/>
    <w:rsid w:val="007C54F9"/>
    <w:rsid w:val="007C640F"/>
    <w:rsid w:val="007C769E"/>
    <w:rsid w:val="007D08E1"/>
    <w:rsid w:val="007D0B38"/>
    <w:rsid w:val="007D1A55"/>
    <w:rsid w:val="007D295A"/>
    <w:rsid w:val="007D72A7"/>
    <w:rsid w:val="007D758F"/>
    <w:rsid w:val="007E087E"/>
    <w:rsid w:val="007E0D60"/>
    <w:rsid w:val="007E1155"/>
    <w:rsid w:val="007E39DB"/>
    <w:rsid w:val="007E54BB"/>
    <w:rsid w:val="007E5E92"/>
    <w:rsid w:val="007F243E"/>
    <w:rsid w:val="007F2F94"/>
    <w:rsid w:val="007F35CE"/>
    <w:rsid w:val="007F5D32"/>
    <w:rsid w:val="008021DF"/>
    <w:rsid w:val="00805B7E"/>
    <w:rsid w:val="00810164"/>
    <w:rsid w:val="008106A8"/>
    <w:rsid w:val="00813365"/>
    <w:rsid w:val="0081426B"/>
    <w:rsid w:val="00815467"/>
    <w:rsid w:val="00815ACA"/>
    <w:rsid w:val="00816531"/>
    <w:rsid w:val="00820473"/>
    <w:rsid w:val="00820639"/>
    <w:rsid w:val="0082146F"/>
    <w:rsid w:val="008223C1"/>
    <w:rsid w:val="00825E84"/>
    <w:rsid w:val="00827B71"/>
    <w:rsid w:val="00831284"/>
    <w:rsid w:val="00833804"/>
    <w:rsid w:val="00835107"/>
    <w:rsid w:val="00837149"/>
    <w:rsid w:val="0084203C"/>
    <w:rsid w:val="008431DD"/>
    <w:rsid w:val="0084459D"/>
    <w:rsid w:val="00844922"/>
    <w:rsid w:val="00856642"/>
    <w:rsid w:val="00856E6A"/>
    <w:rsid w:val="008578DF"/>
    <w:rsid w:val="00862564"/>
    <w:rsid w:val="00864155"/>
    <w:rsid w:val="00872535"/>
    <w:rsid w:val="00874F40"/>
    <w:rsid w:val="00875941"/>
    <w:rsid w:val="008763DC"/>
    <w:rsid w:val="00881AA5"/>
    <w:rsid w:val="00882345"/>
    <w:rsid w:val="00886296"/>
    <w:rsid w:val="00891A39"/>
    <w:rsid w:val="008920F8"/>
    <w:rsid w:val="00893A78"/>
    <w:rsid w:val="00896F6C"/>
    <w:rsid w:val="008A1066"/>
    <w:rsid w:val="008A119F"/>
    <w:rsid w:val="008A5DD9"/>
    <w:rsid w:val="008B2FF7"/>
    <w:rsid w:val="008B3443"/>
    <w:rsid w:val="008B5075"/>
    <w:rsid w:val="008B5784"/>
    <w:rsid w:val="008D4623"/>
    <w:rsid w:val="008D7C30"/>
    <w:rsid w:val="008D7F1D"/>
    <w:rsid w:val="008E04B6"/>
    <w:rsid w:val="008E3F85"/>
    <w:rsid w:val="008E702E"/>
    <w:rsid w:val="008E71B2"/>
    <w:rsid w:val="008F2F99"/>
    <w:rsid w:val="008F2FC1"/>
    <w:rsid w:val="008F444B"/>
    <w:rsid w:val="008F5578"/>
    <w:rsid w:val="008F6099"/>
    <w:rsid w:val="008F75B4"/>
    <w:rsid w:val="00901C4F"/>
    <w:rsid w:val="00905CE5"/>
    <w:rsid w:val="00907CB9"/>
    <w:rsid w:val="00911D9D"/>
    <w:rsid w:val="009133D1"/>
    <w:rsid w:val="00913898"/>
    <w:rsid w:val="00913FE1"/>
    <w:rsid w:val="00917C54"/>
    <w:rsid w:val="00917D90"/>
    <w:rsid w:val="00921D02"/>
    <w:rsid w:val="00923567"/>
    <w:rsid w:val="00926638"/>
    <w:rsid w:val="00927B03"/>
    <w:rsid w:val="0093083E"/>
    <w:rsid w:val="0093114F"/>
    <w:rsid w:val="00931976"/>
    <w:rsid w:val="00936284"/>
    <w:rsid w:val="00941387"/>
    <w:rsid w:val="00943002"/>
    <w:rsid w:val="00944A4C"/>
    <w:rsid w:val="00945EE7"/>
    <w:rsid w:val="00946195"/>
    <w:rsid w:val="00946F85"/>
    <w:rsid w:val="00951F49"/>
    <w:rsid w:val="009536CC"/>
    <w:rsid w:val="009540D8"/>
    <w:rsid w:val="0095470B"/>
    <w:rsid w:val="009619CC"/>
    <w:rsid w:val="0096537E"/>
    <w:rsid w:val="0097183D"/>
    <w:rsid w:val="0097283F"/>
    <w:rsid w:val="009760C2"/>
    <w:rsid w:val="009767A4"/>
    <w:rsid w:val="00983B22"/>
    <w:rsid w:val="00985664"/>
    <w:rsid w:val="00987E91"/>
    <w:rsid w:val="00991EED"/>
    <w:rsid w:val="0099310C"/>
    <w:rsid w:val="00995DBF"/>
    <w:rsid w:val="00996E32"/>
    <w:rsid w:val="009A0DF2"/>
    <w:rsid w:val="009A5F80"/>
    <w:rsid w:val="009A6702"/>
    <w:rsid w:val="009B3470"/>
    <w:rsid w:val="009B4D9F"/>
    <w:rsid w:val="009B50C3"/>
    <w:rsid w:val="009B5DF4"/>
    <w:rsid w:val="009B6A3F"/>
    <w:rsid w:val="009B7A88"/>
    <w:rsid w:val="009C0870"/>
    <w:rsid w:val="009C47A6"/>
    <w:rsid w:val="009C635F"/>
    <w:rsid w:val="009C7DF9"/>
    <w:rsid w:val="009D1E1F"/>
    <w:rsid w:val="009D2DBF"/>
    <w:rsid w:val="009D4FB3"/>
    <w:rsid w:val="009E0863"/>
    <w:rsid w:val="009E2692"/>
    <w:rsid w:val="009E3892"/>
    <w:rsid w:val="009E7641"/>
    <w:rsid w:val="009F0146"/>
    <w:rsid w:val="009F24E9"/>
    <w:rsid w:val="009F2B8D"/>
    <w:rsid w:val="009F2CAB"/>
    <w:rsid w:val="009F2CAE"/>
    <w:rsid w:val="009F37C6"/>
    <w:rsid w:val="009F3B6B"/>
    <w:rsid w:val="009F5C73"/>
    <w:rsid w:val="009F5FCA"/>
    <w:rsid w:val="009F7DE0"/>
    <w:rsid w:val="00A008F8"/>
    <w:rsid w:val="00A01A5D"/>
    <w:rsid w:val="00A024C1"/>
    <w:rsid w:val="00A03CF0"/>
    <w:rsid w:val="00A03E06"/>
    <w:rsid w:val="00A04EF5"/>
    <w:rsid w:val="00A06409"/>
    <w:rsid w:val="00A079EB"/>
    <w:rsid w:val="00A104D1"/>
    <w:rsid w:val="00A12589"/>
    <w:rsid w:val="00A144D7"/>
    <w:rsid w:val="00A1532A"/>
    <w:rsid w:val="00A17510"/>
    <w:rsid w:val="00A17ACC"/>
    <w:rsid w:val="00A236CD"/>
    <w:rsid w:val="00A23D92"/>
    <w:rsid w:val="00A255A8"/>
    <w:rsid w:val="00A30567"/>
    <w:rsid w:val="00A32CC4"/>
    <w:rsid w:val="00A36568"/>
    <w:rsid w:val="00A378BA"/>
    <w:rsid w:val="00A37A75"/>
    <w:rsid w:val="00A41BB6"/>
    <w:rsid w:val="00A449BC"/>
    <w:rsid w:val="00A46503"/>
    <w:rsid w:val="00A46B8C"/>
    <w:rsid w:val="00A52643"/>
    <w:rsid w:val="00A52C2F"/>
    <w:rsid w:val="00A556DD"/>
    <w:rsid w:val="00A55893"/>
    <w:rsid w:val="00A56920"/>
    <w:rsid w:val="00A57677"/>
    <w:rsid w:val="00A61F06"/>
    <w:rsid w:val="00A7056E"/>
    <w:rsid w:val="00A739E2"/>
    <w:rsid w:val="00A74623"/>
    <w:rsid w:val="00A7517C"/>
    <w:rsid w:val="00A81C70"/>
    <w:rsid w:val="00A853A6"/>
    <w:rsid w:val="00A90C23"/>
    <w:rsid w:val="00A937C7"/>
    <w:rsid w:val="00A94F06"/>
    <w:rsid w:val="00AA19D9"/>
    <w:rsid w:val="00AA2238"/>
    <w:rsid w:val="00AA56D1"/>
    <w:rsid w:val="00AB3523"/>
    <w:rsid w:val="00AB6CE8"/>
    <w:rsid w:val="00AB7D9B"/>
    <w:rsid w:val="00AC0994"/>
    <w:rsid w:val="00AC29B8"/>
    <w:rsid w:val="00AC4239"/>
    <w:rsid w:val="00AC4CD5"/>
    <w:rsid w:val="00AC58C9"/>
    <w:rsid w:val="00AC61E7"/>
    <w:rsid w:val="00AC72E9"/>
    <w:rsid w:val="00AD0B8A"/>
    <w:rsid w:val="00AD0EAC"/>
    <w:rsid w:val="00AD1482"/>
    <w:rsid w:val="00AD1D2A"/>
    <w:rsid w:val="00AE20F1"/>
    <w:rsid w:val="00AE45F3"/>
    <w:rsid w:val="00AE59E0"/>
    <w:rsid w:val="00AE60CD"/>
    <w:rsid w:val="00AE664C"/>
    <w:rsid w:val="00AF267F"/>
    <w:rsid w:val="00AF54F5"/>
    <w:rsid w:val="00B051E5"/>
    <w:rsid w:val="00B05DF7"/>
    <w:rsid w:val="00B068B6"/>
    <w:rsid w:val="00B073A1"/>
    <w:rsid w:val="00B11EA0"/>
    <w:rsid w:val="00B1710D"/>
    <w:rsid w:val="00B20E70"/>
    <w:rsid w:val="00B21B32"/>
    <w:rsid w:val="00B237B5"/>
    <w:rsid w:val="00B23D1A"/>
    <w:rsid w:val="00B26F41"/>
    <w:rsid w:val="00B3617F"/>
    <w:rsid w:val="00B365CF"/>
    <w:rsid w:val="00B43032"/>
    <w:rsid w:val="00B44758"/>
    <w:rsid w:val="00B462C2"/>
    <w:rsid w:val="00B46B99"/>
    <w:rsid w:val="00B515D1"/>
    <w:rsid w:val="00B526FD"/>
    <w:rsid w:val="00B52916"/>
    <w:rsid w:val="00B54D2C"/>
    <w:rsid w:val="00B621C7"/>
    <w:rsid w:val="00B6432E"/>
    <w:rsid w:val="00B64EF6"/>
    <w:rsid w:val="00B65970"/>
    <w:rsid w:val="00B71B1B"/>
    <w:rsid w:val="00B75534"/>
    <w:rsid w:val="00B764F0"/>
    <w:rsid w:val="00B84897"/>
    <w:rsid w:val="00B91D81"/>
    <w:rsid w:val="00B92237"/>
    <w:rsid w:val="00B929D2"/>
    <w:rsid w:val="00B9397B"/>
    <w:rsid w:val="00B94558"/>
    <w:rsid w:val="00B94A8E"/>
    <w:rsid w:val="00B94C3D"/>
    <w:rsid w:val="00BA291E"/>
    <w:rsid w:val="00BA49B9"/>
    <w:rsid w:val="00BA5F23"/>
    <w:rsid w:val="00BA6176"/>
    <w:rsid w:val="00BB17D5"/>
    <w:rsid w:val="00BB5F06"/>
    <w:rsid w:val="00BB7AD1"/>
    <w:rsid w:val="00BB7C8D"/>
    <w:rsid w:val="00BC29B5"/>
    <w:rsid w:val="00BC41A9"/>
    <w:rsid w:val="00BC5665"/>
    <w:rsid w:val="00BC6314"/>
    <w:rsid w:val="00BC724F"/>
    <w:rsid w:val="00BD0416"/>
    <w:rsid w:val="00BD18E5"/>
    <w:rsid w:val="00BD52DF"/>
    <w:rsid w:val="00BD5C13"/>
    <w:rsid w:val="00BD5D77"/>
    <w:rsid w:val="00BD60A5"/>
    <w:rsid w:val="00BE0CBB"/>
    <w:rsid w:val="00BE4182"/>
    <w:rsid w:val="00BE45E5"/>
    <w:rsid w:val="00BE5A7B"/>
    <w:rsid w:val="00BF10D9"/>
    <w:rsid w:val="00BF1C59"/>
    <w:rsid w:val="00BF2AEC"/>
    <w:rsid w:val="00BF4207"/>
    <w:rsid w:val="00C02F9D"/>
    <w:rsid w:val="00C0545E"/>
    <w:rsid w:val="00C0576B"/>
    <w:rsid w:val="00C1151D"/>
    <w:rsid w:val="00C11ADD"/>
    <w:rsid w:val="00C1629F"/>
    <w:rsid w:val="00C16C58"/>
    <w:rsid w:val="00C17312"/>
    <w:rsid w:val="00C17932"/>
    <w:rsid w:val="00C22954"/>
    <w:rsid w:val="00C25B4B"/>
    <w:rsid w:val="00C26501"/>
    <w:rsid w:val="00C305DF"/>
    <w:rsid w:val="00C32111"/>
    <w:rsid w:val="00C33F13"/>
    <w:rsid w:val="00C35DAF"/>
    <w:rsid w:val="00C36DDD"/>
    <w:rsid w:val="00C40FFD"/>
    <w:rsid w:val="00C42BCB"/>
    <w:rsid w:val="00C42CF0"/>
    <w:rsid w:val="00C43901"/>
    <w:rsid w:val="00C46DB8"/>
    <w:rsid w:val="00C4798D"/>
    <w:rsid w:val="00C533CF"/>
    <w:rsid w:val="00C54F51"/>
    <w:rsid w:val="00C55473"/>
    <w:rsid w:val="00C57741"/>
    <w:rsid w:val="00C577E9"/>
    <w:rsid w:val="00C60370"/>
    <w:rsid w:val="00C61BED"/>
    <w:rsid w:val="00C6440F"/>
    <w:rsid w:val="00C65FAF"/>
    <w:rsid w:val="00C72BC2"/>
    <w:rsid w:val="00C804BF"/>
    <w:rsid w:val="00C81366"/>
    <w:rsid w:val="00C814AE"/>
    <w:rsid w:val="00C82914"/>
    <w:rsid w:val="00C82AEE"/>
    <w:rsid w:val="00C84B96"/>
    <w:rsid w:val="00C8713A"/>
    <w:rsid w:val="00C954C6"/>
    <w:rsid w:val="00C965E5"/>
    <w:rsid w:val="00C9674A"/>
    <w:rsid w:val="00C967EC"/>
    <w:rsid w:val="00C9793A"/>
    <w:rsid w:val="00CA50B3"/>
    <w:rsid w:val="00CA6136"/>
    <w:rsid w:val="00CB02CA"/>
    <w:rsid w:val="00CB3A62"/>
    <w:rsid w:val="00CB4B41"/>
    <w:rsid w:val="00CC2E4F"/>
    <w:rsid w:val="00CC32A6"/>
    <w:rsid w:val="00CD1329"/>
    <w:rsid w:val="00CD36B5"/>
    <w:rsid w:val="00CD5FD6"/>
    <w:rsid w:val="00CD6DD2"/>
    <w:rsid w:val="00CD7CC3"/>
    <w:rsid w:val="00CE1B5F"/>
    <w:rsid w:val="00CE6358"/>
    <w:rsid w:val="00CE63AD"/>
    <w:rsid w:val="00CE75A2"/>
    <w:rsid w:val="00CF0F15"/>
    <w:rsid w:val="00CF145C"/>
    <w:rsid w:val="00CF64CB"/>
    <w:rsid w:val="00D02017"/>
    <w:rsid w:val="00D04D17"/>
    <w:rsid w:val="00D1030B"/>
    <w:rsid w:val="00D126E2"/>
    <w:rsid w:val="00D14B0C"/>
    <w:rsid w:val="00D22835"/>
    <w:rsid w:val="00D22C06"/>
    <w:rsid w:val="00D2431A"/>
    <w:rsid w:val="00D24ADE"/>
    <w:rsid w:val="00D24D5E"/>
    <w:rsid w:val="00D3063E"/>
    <w:rsid w:val="00D32F4C"/>
    <w:rsid w:val="00D351F9"/>
    <w:rsid w:val="00D40585"/>
    <w:rsid w:val="00D43FB6"/>
    <w:rsid w:val="00D45715"/>
    <w:rsid w:val="00D458A5"/>
    <w:rsid w:val="00D4702C"/>
    <w:rsid w:val="00D47448"/>
    <w:rsid w:val="00D50029"/>
    <w:rsid w:val="00D505E5"/>
    <w:rsid w:val="00D51A17"/>
    <w:rsid w:val="00D52064"/>
    <w:rsid w:val="00D528F1"/>
    <w:rsid w:val="00D52E9C"/>
    <w:rsid w:val="00D5379B"/>
    <w:rsid w:val="00D552EA"/>
    <w:rsid w:val="00D64C29"/>
    <w:rsid w:val="00D6582C"/>
    <w:rsid w:val="00D663CD"/>
    <w:rsid w:val="00D6794F"/>
    <w:rsid w:val="00D705B4"/>
    <w:rsid w:val="00D7142F"/>
    <w:rsid w:val="00D72897"/>
    <w:rsid w:val="00D75008"/>
    <w:rsid w:val="00D811D4"/>
    <w:rsid w:val="00D82C00"/>
    <w:rsid w:val="00D84281"/>
    <w:rsid w:val="00D846B9"/>
    <w:rsid w:val="00D84F41"/>
    <w:rsid w:val="00D878C7"/>
    <w:rsid w:val="00D90385"/>
    <w:rsid w:val="00D90DEE"/>
    <w:rsid w:val="00D9121C"/>
    <w:rsid w:val="00D97F3F"/>
    <w:rsid w:val="00DB389D"/>
    <w:rsid w:val="00DB40FB"/>
    <w:rsid w:val="00DB5025"/>
    <w:rsid w:val="00DB6152"/>
    <w:rsid w:val="00DB64CF"/>
    <w:rsid w:val="00DC0B5B"/>
    <w:rsid w:val="00DC2B94"/>
    <w:rsid w:val="00DC2D50"/>
    <w:rsid w:val="00DD7344"/>
    <w:rsid w:val="00DE153A"/>
    <w:rsid w:val="00DE1927"/>
    <w:rsid w:val="00DE20D3"/>
    <w:rsid w:val="00DE2335"/>
    <w:rsid w:val="00DE3376"/>
    <w:rsid w:val="00DE552F"/>
    <w:rsid w:val="00DE62D4"/>
    <w:rsid w:val="00DF3B08"/>
    <w:rsid w:val="00E05955"/>
    <w:rsid w:val="00E05F1B"/>
    <w:rsid w:val="00E30A28"/>
    <w:rsid w:val="00E31B72"/>
    <w:rsid w:val="00E34E8B"/>
    <w:rsid w:val="00E36914"/>
    <w:rsid w:val="00E401C0"/>
    <w:rsid w:val="00E43F75"/>
    <w:rsid w:val="00E44858"/>
    <w:rsid w:val="00E46B55"/>
    <w:rsid w:val="00E50979"/>
    <w:rsid w:val="00E53A5A"/>
    <w:rsid w:val="00E57666"/>
    <w:rsid w:val="00E61F38"/>
    <w:rsid w:val="00E6414A"/>
    <w:rsid w:val="00E663C4"/>
    <w:rsid w:val="00E66A84"/>
    <w:rsid w:val="00E73993"/>
    <w:rsid w:val="00E75378"/>
    <w:rsid w:val="00E77941"/>
    <w:rsid w:val="00E81ECC"/>
    <w:rsid w:val="00E83FA2"/>
    <w:rsid w:val="00E90475"/>
    <w:rsid w:val="00E92672"/>
    <w:rsid w:val="00E940A9"/>
    <w:rsid w:val="00E94BDF"/>
    <w:rsid w:val="00E958F8"/>
    <w:rsid w:val="00EA4DFF"/>
    <w:rsid w:val="00EA68DA"/>
    <w:rsid w:val="00EA7E33"/>
    <w:rsid w:val="00EB04BF"/>
    <w:rsid w:val="00EB0AAE"/>
    <w:rsid w:val="00EB6562"/>
    <w:rsid w:val="00EB6AAE"/>
    <w:rsid w:val="00EB6D75"/>
    <w:rsid w:val="00EB6E9D"/>
    <w:rsid w:val="00EC02D8"/>
    <w:rsid w:val="00EC09C9"/>
    <w:rsid w:val="00EC4DFB"/>
    <w:rsid w:val="00EC614D"/>
    <w:rsid w:val="00EC77C3"/>
    <w:rsid w:val="00ED4E50"/>
    <w:rsid w:val="00ED63BF"/>
    <w:rsid w:val="00ED7E9E"/>
    <w:rsid w:val="00EE0137"/>
    <w:rsid w:val="00EE13E7"/>
    <w:rsid w:val="00EE1BCC"/>
    <w:rsid w:val="00EE1E71"/>
    <w:rsid w:val="00EE50D3"/>
    <w:rsid w:val="00EE537D"/>
    <w:rsid w:val="00EE5858"/>
    <w:rsid w:val="00EE640E"/>
    <w:rsid w:val="00EF4091"/>
    <w:rsid w:val="00EF464C"/>
    <w:rsid w:val="00EF4CE0"/>
    <w:rsid w:val="00F010D6"/>
    <w:rsid w:val="00F01D98"/>
    <w:rsid w:val="00F04BC0"/>
    <w:rsid w:val="00F04DA8"/>
    <w:rsid w:val="00F04E75"/>
    <w:rsid w:val="00F051A7"/>
    <w:rsid w:val="00F05759"/>
    <w:rsid w:val="00F10145"/>
    <w:rsid w:val="00F10409"/>
    <w:rsid w:val="00F10502"/>
    <w:rsid w:val="00F11D15"/>
    <w:rsid w:val="00F149B4"/>
    <w:rsid w:val="00F16A0B"/>
    <w:rsid w:val="00F17521"/>
    <w:rsid w:val="00F229CE"/>
    <w:rsid w:val="00F22E32"/>
    <w:rsid w:val="00F24677"/>
    <w:rsid w:val="00F24C9F"/>
    <w:rsid w:val="00F262FF"/>
    <w:rsid w:val="00F26B79"/>
    <w:rsid w:val="00F3146A"/>
    <w:rsid w:val="00F327CD"/>
    <w:rsid w:val="00F32F83"/>
    <w:rsid w:val="00F33185"/>
    <w:rsid w:val="00F366B4"/>
    <w:rsid w:val="00F36A62"/>
    <w:rsid w:val="00F36F84"/>
    <w:rsid w:val="00F43774"/>
    <w:rsid w:val="00F4606A"/>
    <w:rsid w:val="00F47041"/>
    <w:rsid w:val="00F50D8B"/>
    <w:rsid w:val="00F519E4"/>
    <w:rsid w:val="00F53071"/>
    <w:rsid w:val="00F5321D"/>
    <w:rsid w:val="00F642A5"/>
    <w:rsid w:val="00F6691D"/>
    <w:rsid w:val="00F674A1"/>
    <w:rsid w:val="00F70236"/>
    <w:rsid w:val="00F7065F"/>
    <w:rsid w:val="00F71A52"/>
    <w:rsid w:val="00F7482C"/>
    <w:rsid w:val="00F75A6B"/>
    <w:rsid w:val="00F7672A"/>
    <w:rsid w:val="00F80866"/>
    <w:rsid w:val="00F80A80"/>
    <w:rsid w:val="00F812CC"/>
    <w:rsid w:val="00F838F7"/>
    <w:rsid w:val="00F85A2C"/>
    <w:rsid w:val="00F86A50"/>
    <w:rsid w:val="00F91180"/>
    <w:rsid w:val="00F922AB"/>
    <w:rsid w:val="00FA2323"/>
    <w:rsid w:val="00FA3377"/>
    <w:rsid w:val="00FA5D73"/>
    <w:rsid w:val="00FA6BDA"/>
    <w:rsid w:val="00FA7424"/>
    <w:rsid w:val="00FA787B"/>
    <w:rsid w:val="00FC0652"/>
    <w:rsid w:val="00FC0850"/>
    <w:rsid w:val="00FC0D04"/>
    <w:rsid w:val="00FC1416"/>
    <w:rsid w:val="00FC1CEA"/>
    <w:rsid w:val="00FC477A"/>
    <w:rsid w:val="00FD0597"/>
    <w:rsid w:val="00FD075B"/>
    <w:rsid w:val="00FD5C74"/>
    <w:rsid w:val="00FD65E6"/>
    <w:rsid w:val="00FD6C1E"/>
    <w:rsid w:val="00FE0424"/>
    <w:rsid w:val="00FE2A5F"/>
    <w:rsid w:val="00FE2B88"/>
    <w:rsid w:val="00FE5D9E"/>
    <w:rsid w:val="00FF0E06"/>
    <w:rsid w:val="00FF4C95"/>
    <w:rsid w:val="00FF70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3B04"/>
  <w15:docId w15:val="{A05D96BE-39F8-4F37-97D7-55D69365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9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20639"/>
    <w:pPr>
      <w:keepNext/>
      <w:keepLines/>
      <w:spacing w:before="240" w:line="259" w:lineRule="auto"/>
      <w:outlineLvl w:val="0"/>
    </w:pPr>
    <w:rPr>
      <w:rFonts w:ascii="Calibri Light" w:hAnsi="Calibri Light"/>
      <w:color w:val="2E74B5"/>
      <w:sz w:val="32"/>
      <w:szCs w:val="32"/>
      <w:lang w:eastAsia="en-US"/>
    </w:rPr>
  </w:style>
  <w:style w:type="paragraph" w:styleId="Heading2">
    <w:name w:val="heading 2"/>
    <w:basedOn w:val="Normal"/>
    <w:next w:val="Normal"/>
    <w:link w:val="Heading2Char"/>
    <w:uiPriority w:val="9"/>
    <w:unhideWhenUsed/>
    <w:qFormat/>
    <w:rsid w:val="00820639"/>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semiHidden/>
    <w:unhideWhenUsed/>
    <w:qFormat/>
    <w:rsid w:val="00820639"/>
    <w:pPr>
      <w:keepNext/>
      <w:keepLines/>
      <w:spacing w:before="40" w:line="259" w:lineRule="auto"/>
      <w:outlineLvl w:val="2"/>
    </w:pPr>
    <w:rPr>
      <w:rFonts w:ascii="Calibri Light" w:hAnsi="Calibri Light"/>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3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820639"/>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rsid w:val="00820639"/>
    <w:pPr>
      <w:keepNext/>
      <w:spacing w:before="240" w:after="60" w:line="259" w:lineRule="auto"/>
      <w:outlineLvl w:val="2"/>
    </w:pPr>
    <w:rPr>
      <w:rFonts w:ascii="Calibri Light" w:hAnsi="Calibri Light"/>
      <w:b/>
      <w:bCs/>
      <w:sz w:val="26"/>
      <w:szCs w:val="26"/>
      <w:lang w:eastAsia="en-US"/>
    </w:rPr>
  </w:style>
  <w:style w:type="numbering" w:customStyle="1" w:styleId="NoList1">
    <w:name w:val="No List1"/>
    <w:next w:val="NoList"/>
    <w:uiPriority w:val="99"/>
    <w:semiHidden/>
    <w:unhideWhenUsed/>
    <w:rsid w:val="00820639"/>
  </w:style>
  <w:style w:type="character" w:customStyle="1" w:styleId="Heading3Char">
    <w:name w:val="Heading 3 Char"/>
    <w:basedOn w:val="DefaultParagraphFont"/>
    <w:link w:val="Heading3"/>
    <w:uiPriority w:val="9"/>
    <w:semiHidden/>
    <w:rsid w:val="00820639"/>
    <w:rPr>
      <w:rFonts w:ascii="Calibri Light" w:eastAsia="Times New Roman" w:hAnsi="Calibri Light" w:cs="Times New Roman"/>
      <w:b/>
      <w:bCs/>
      <w:sz w:val="26"/>
      <w:szCs w:val="26"/>
      <w:lang w:eastAsia="en-US"/>
    </w:rPr>
  </w:style>
  <w:style w:type="character" w:styleId="Hyperlink">
    <w:name w:val="Hyperlink"/>
    <w:uiPriority w:val="99"/>
    <w:unhideWhenUsed/>
    <w:rsid w:val="00820639"/>
    <w:rPr>
      <w:color w:val="0563C1"/>
      <w:u w:val="single"/>
    </w:rPr>
  </w:style>
  <w:style w:type="paragraph" w:styleId="ListParagraph">
    <w:name w:val="List Paragraph"/>
    <w:basedOn w:val="Normal"/>
    <w:uiPriority w:val="34"/>
    <w:qFormat/>
    <w:rsid w:val="00820639"/>
    <w:pPr>
      <w:spacing w:after="160" w:line="259" w:lineRule="auto"/>
      <w:ind w:left="720"/>
      <w:contextualSpacing/>
    </w:pPr>
    <w:rPr>
      <w:rFonts w:ascii="Calibri" w:eastAsia="Calibri" w:hAnsi="Calibri"/>
      <w:sz w:val="22"/>
      <w:szCs w:val="22"/>
      <w:lang w:eastAsia="en-US"/>
    </w:rPr>
  </w:style>
  <w:style w:type="paragraph" w:styleId="NoSpacing">
    <w:name w:val="No Spacing"/>
    <w:uiPriority w:val="1"/>
    <w:qFormat/>
    <w:rsid w:val="0082063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20639"/>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20639"/>
    <w:rPr>
      <w:rFonts w:ascii="Calibri" w:eastAsia="Calibri" w:hAnsi="Calibri" w:cs="Times New Roman"/>
    </w:rPr>
  </w:style>
  <w:style w:type="paragraph" w:styleId="Footer">
    <w:name w:val="footer"/>
    <w:basedOn w:val="Normal"/>
    <w:link w:val="FooterChar"/>
    <w:uiPriority w:val="99"/>
    <w:unhideWhenUsed/>
    <w:rsid w:val="00820639"/>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20639"/>
    <w:rPr>
      <w:rFonts w:ascii="Calibri" w:eastAsia="Calibri" w:hAnsi="Calibri" w:cs="Times New Roman"/>
    </w:rPr>
  </w:style>
  <w:style w:type="paragraph" w:styleId="FootnoteText">
    <w:name w:val="footnote text"/>
    <w:basedOn w:val="Normal"/>
    <w:link w:val="FootnoteTextChar"/>
    <w:uiPriority w:val="99"/>
    <w:semiHidden/>
    <w:unhideWhenUsed/>
    <w:rsid w:val="00820639"/>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820639"/>
    <w:rPr>
      <w:rFonts w:ascii="Calibri" w:eastAsia="Calibri" w:hAnsi="Calibri" w:cs="Times New Roman"/>
      <w:sz w:val="20"/>
      <w:szCs w:val="20"/>
    </w:rPr>
  </w:style>
  <w:style w:type="character" w:styleId="FootnoteReference">
    <w:name w:val="footnote reference"/>
    <w:uiPriority w:val="99"/>
    <w:semiHidden/>
    <w:unhideWhenUsed/>
    <w:rsid w:val="00820639"/>
    <w:rPr>
      <w:vertAlign w:val="superscript"/>
    </w:rPr>
  </w:style>
  <w:style w:type="character" w:styleId="PlaceholderText">
    <w:name w:val="Placeholder Text"/>
    <w:uiPriority w:val="99"/>
    <w:semiHidden/>
    <w:rsid w:val="00820639"/>
    <w:rPr>
      <w:color w:val="808080"/>
    </w:rPr>
  </w:style>
  <w:style w:type="table" w:styleId="TableGrid">
    <w:name w:val="Table Grid"/>
    <w:basedOn w:val="TableNormal"/>
    <w:uiPriority w:val="59"/>
    <w:rsid w:val="008206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639"/>
    <w:rPr>
      <w:rFonts w:ascii="Calibri" w:eastAsia="Calibri" w:hAnsi="Calibri"/>
      <w:sz w:val="18"/>
      <w:szCs w:val="18"/>
      <w:lang w:eastAsia="en-US"/>
    </w:rPr>
  </w:style>
  <w:style w:type="character" w:customStyle="1" w:styleId="BalloonTextChar">
    <w:name w:val="Balloon Text Char"/>
    <w:basedOn w:val="DefaultParagraphFont"/>
    <w:link w:val="BalloonText"/>
    <w:uiPriority w:val="99"/>
    <w:semiHidden/>
    <w:rsid w:val="00820639"/>
    <w:rPr>
      <w:rFonts w:ascii="Calibri" w:eastAsia="Calibri" w:hAnsi="Calibri" w:cs="Times New Roman"/>
      <w:sz w:val="18"/>
      <w:szCs w:val="18"/>
    </w:rPr>
  </w:style>
  <w:style w:type="character" w:customStyle="1" w:styleId="Heading3Char1">
    <w:name w:val="Heading 3 Char1"/>
    <w:basedOn w:val="DefaultParagraphFont"/>
    <w:uiPriority w:val="9"/>
    <w:semiHidden/>
    <w:rsid w:val="0082063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59"/>
    <w:rsid w:val="004B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56C3"/>
    <w:rPr>
      <w:color w:val="605E5C"/>
      <w:shd w:val="clear" w:color="auto" w:fill="E1DFDD"/>
    </w:rPr>
  </w:style>
  <w:style w:type="table" w:customStyle="1" w:styleId="TableGrid12">
    <w:name w:val="Table Grid12"/>
    <w:basedOn w:val="TableNormal"/>
    <w:next w:val="TableGrid"/>
    <w:uiPriority w:val="39"/>
    <w:rsid w:val="008D462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4623"/>
    <w:pPr>
      <w:spacing w:after="160" w:line="259" w:lineRule="auto"/>
    </w:pPr>
    <w:rPr>
      <w:rFonts w:eastAsiaTheme="minorEastAsia"/>
      <w:lang w:eastAsia="en-US"/>
    </w:rPr>
  </w:style>
  <w:style w:type="paragraph" w:styleId="TableofFigures">
    <w:name w:val="table of figures"/>
    <w:aliases w:val="List of Tables"/>
    <w:basedOn w:val="Normal"/>
    <w:next w:val="Normal"/>
    <w:uiPriority w:val="99"/>
    <w:rsid w:val="001A5C72"/>
    <w:pPr>
      <w:ind w:left="480" w:hanging="480"/>
    </w:pPr>
    <w:rPr>
      <w:rFonts w:ascii="Garamond" w:hAnsi="Garamond"/>
      <w:smallCaps/>
      <w:noProof/>
      <w:kern w:val="16"/>
      <w:lang w:eastAsia="zh-CN"/>
    </w:rPr>
  </w:style>
  <w:style w:type="paragraph" w:styleId="TOC2">
    <w:name w:val="toc 2"/>
    <w:basedOn w:val="Normal"/>
    <w:next w:val="Normal"/>
    <w:autoRedefine/>
    <w:uiPriority w:val="99"/>
    <w:qFormat/>
    <w:rsid w:val="001A5C72"/>
    <w:pPr>
      <w:tabs>
        <w:tab w:val="right" w:leader="dot" w:pos="8471"/>
      </w:tabs>
      <w:spacing w:after="100"/>
      <w:ind w:left="238"/>
      <w:jc w:val="both"/>
    </w:pPr>
    <w:rPr>
      <w:kern w:val="16"/>
    </w:rPr>
  </w:style>
  <w:style w:type="character" w:styleId="FollowedHyperlink">
    <w:name w:val="FollowedHyperlink"/>
    <w:basedOn w:val="DefaultParagraphFont"/>
    <w:uiPriority w:val="99"/>
    <w:semiHidden/>
    <w:unhideWhenUsed/>
    <w:rsid w:val="007D72A7"/>
    <w:rPr>
      <w:color w:val="954F72" w:themeColor="followedHyperlink"/>
      <w:u w:val="single"/>
    </w:rPr>
  </w:style>
  <w:style w:type="paragraph" w:styleId="Bibliography">
    <w:name w:val="Bibliography"/>
    <w:basedOn w:val="Normal"/>
    <w:next w:val="Normal"/>
    <w:uiPriority w:val="37"/>
    <w:semiHidden/>
    <w:unhideWhenUsed/>
    <w:rsid w:val="00C55473"/>
    <w:pPr>
      <w:spacing w:after="160" w:line="259" w:lineRule="auto"/>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0C7AAD"/>
  </w:style>
  <w:style w:type="numbering" w:customStyle="1" w:styleId="NoList2">
    <w:name w:val="No List2"/>
    <w:next w:val="NoList"/>
    <w:uiPriority w:val="99"/>
    <w:semiHidden/>
    <w:unhideWhenUsed/>
    <w:rsid w:val="00C42CF0"/>
  </w:style>
  <w:style w:type="numbering" w:customStyle="1" w:styleId="NoList11">
    <w:name w:val="No List11"/>
    <w:next w:val="NoList"/>
    <w:uiPriority w:val="99"/>
    <w:semiHidden/>
    <w:unhideWhenUsed/>
    <w:rsid w:val="00C42CF0"/>
  </w:style>
  <w:style w:type="table" w:customStyle="1" w:styleId="TableGrid2">
    <w:name w:val="Table Grid2"/>
    <w:basedOn w:val="TableNormal"/>
    <w:next w:val="TableGrid"/>
    <w:uiPriority w:val="59"/>
    <w:rsid w:val="00C42CF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4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2CF0"/>
    <w:rPr>
      <w:color w:val="605E5C"/>
      <w:shd w:val="clear" w:color="auto" w:fill="E1DFDD"/>
    </w:rPr>
  </w:style>
  <w:style w:type="table" w:customStyle="1" w:styleId="TableGrid121">
    <w:name w:val="Table Grid121"/>
    <w:basedOn w:val="TableNormal"/>
    <w:next w:val="TableGrid"/>
    <w:uiPriority w:val="39"/>
    <w:rsid w:val="00C42CF0"/>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2C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47041"/>
    <w:rPr>
      <w:sz w:val="20"/>
      <w:szCs w:val="20"/>
    </w:rPr>
  </w:style>
  <w:style w:type="character" w:customStyle="1" w:styleId="EndnoteTextChar">
    <w:name w:val="Endnote Text Char"/>
    <w:basedOn w:val="DefaultParagraphFont"/>
    <w:link w:val="EndnoteText"/>
    <w:uiPriority w:val="99"/>
    <w:semiHidden/>
    <w:rsid w:val="00F47041"/>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F47041"/>
    <w:rPr>
      <w:vertAlign w:val="superscript"/>
    </w:rPr>
  </w:style>
  <w:style w:type="paragraph" w:styleId="Revision">
    <w:name w:val="Revision"/>
    <w:hidden/>
    <w:uiPriority w:val="99"/>
    <w:semiHidden/>
    <w:rsid w:val="00D811D4"/>
    <w:pPr>
      <w:spacing w:after="0"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951F49"/>
  </w:style>
  <w:style w:type="table" w:customStyle="1" w:styleId="TableGrid3">
    <w:name w:val="Table Grid3"/>
    <w:basedOn w:val="TableNormal"/>
    <w:next w:val="TableGrid"/>
    <w:uiPriority w:val="39"/>
    <w:rsid w:val="00B46B9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26FD"/>
    <w:rPr>
      <w:sz w:val="16"/>
      <w:szCs w:val="16"/>
    </w:rPr>
  </w:style>
  <w:style w:type="paragraph" w:styleId="CommentText">
    <w:name w:val="annotation text"/>
    <w:basedOn w:val="Normal"/>
    <w:link w:val="CommentTextChar"/>
    <w:uiPriority w:val="99"/>
    <w:unhideWhenUsed/>
    <w:rsid w:val="00B526FD"/>
    <w:rPr>
      <w:sz w:val="20"/>
      <w:szCs w:val="20"/>
    </w:rPr>
  </w:style>
  <w:style w:type="character" w:customStyle="1" w:styleId="CommentTextChar">
    <w:name w:val="Comment Text Char"/>
    <w:basedOn w:val="DefaultParagraphFont"/>
    <w:link w:val="CommentText"/>
    <w:uiPriority w:val="99"/>
    <w:rsid w:val="00B526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526FD"/>
    <w:rPr>
      <w:b/>
      <w:bCs/>
    </w:rPr>
  </w:style>
  <w:style w:type="character" w:customStyle="1" w:styleId="CommentSubjectChar">
    <w:name w:val="Comment Subject Char"/>
    <w:basedOn w:val="CommentTextChar"/>
    <w:link w:val="CommentSubject"/>
    <w:uiPriority w:val="99"/>
    <w:semiHidden/>
    <w:rsid w:val="00B526F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386">
      <w:bodyDiv w:val="1"/>
      <w:marLeft w:val="0"/>
      <w:marRight w:val="0"/>
      <w:marTop w:val="0"/>
      <w:marBottom w:val="0"/>
      <w:divBdr>
        <w:top w:val="none" w:sz="0" w:space="0" w:color="auto"/>
        <w:left w:val="none" w:sz="0" w:space="0" w:color="auto"/>
        <w:bottom w:val="none" w:sz="0" w:space="0" w:color="auto"/>
        <w:right w:val="none" w:sz="0" w:space="0" w:color="auto"/>
      </w:divBdr>
    </w:div>
    <w:div w:id="158229600">
      <w:bodyDiv w:val="1"/>
      <w:marLeft w:val="0"/>
      <w:marRight w:val="0"/>
      <w:marTop w:val="0"/>
      <w:marBottom w:val="0"/>
      <w:divBdr>
        <w:top w:val="none" w:sz="0" w:space="0" w:color="auto"/>
        <w:left w:val="none" w:sz="0" w:space="0" w:color="auto"/>
        <w:bottom w:val="none" w:sz="0" w:space="0" w:color="auto"/>
        <w:right w:val="none" w:sz="0" w:space="0" w:color="auto"/>
      </w:divBdr>
      <w:divsChild>
        <w:div w:id="261454667">
          <w:marLeft w:val="0"/>
          <w:marRight w:val="0"/>
          <w:marTop w:val="0"/>
          <w:marBottom w:val="0"/>
          <w:divBdr>
            <w:top w:val="none" w:sz="0" w:space="0" w:color="auto"/>
            <w:left w:val="none" w:sz="0" w:space="0" w:color="auto"/>
            <w:bottom w:val="none" w:sz="0" w:space="0" w:color="auto"/>
            <w:right w:val="none" w:sz="0" w:space="0" w:color="auto"/>
          </w:divBdr>
          <w:divsChild>
            <w:div w:id="1889874144">
              <w:marLeft w:val="0"/>
              <w:marRight w:val="0"/>
              <w:marTop w:val="0"/>
              <w:marBottom w:val="0"/>
              <w:divBdr>
                <w:top w:val="none" w:sz="0" w:space="0" w:color="auto"/>
                <w:left w:val="none" w:sz="0" w:space="0" w:color="auto"/>
                <w:bottom w:val="none" w:sz="0" w:space="0" w:color="auto"/>
                <w:right w:val="none" w:sz="0" w:space="0" w:color="auto"/>
              </w:divBdr>
              <w:divsChild>
                <w:div w:id="17426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1585">
      <w:bodyDiv w:val="1"/>
      <w:marLeft w:val="0"/>
      <w:marRight w:val="0"/>
      <w:marTop w:val="0"/>
      <w:marBottom w:val="0"/>
      <w:divBdr>
        <w:top w:val="none" w:sz="0" w:space="0" w:color="auto"/>
        <w:left w:val="none" w:sz="0" w:space="0" w:color="auto"/>
        <w:bottom w:val="none" w:sz="0" w:space="0" w:color="auto"/>
        <w:right w:val="none" w:sz="0" w:space="0" w:color="auto"/>
      </w:divBdr>
    </w:div>
    <w:div w:id="256136500">
      <w:bodyDiv w:val="1"/>
      <w:marLeft w:val="0"/>
      <w:marRight w:val="0"/>
      <w:marTop w:val="0"/>
      <w:marBottom w:val="0"/>
      <w:divBdr>
        <w:top w:val="none" w:sz="0" w:space="0" w:color="auto"/>
        <w:left w:val="none" w:sz="0" w:space="0" w:color="auto"/>
        <w:bottom w:val="none" w:sz="0" w:space="0" w:color="auto"/>
        <w:right w:val="none" w:sz="0" w:space="0" w:color="auto"/>
      </w:divBdr>
    </w:div>
    <w:div w:id="310258106">
      <w:bodyDiv w:val="1"/>
      <w:marLeft w:val="0"/>
      <w:marRight w:val="0"/>
      <w:marTop w:val="0"/>
      <w:marBottom w:val="0"/>
      <w:divBdr>
        <w:top w:val="none" w:sz="0" w:space="0" w:color="auto"/>
        <w:left w:val="none" w:sz="0" w:space="0" w:color="auto"/>
        <w:bottom w:val="none" w:sz="0" w:space="0" w:color="auto"/>
        <w:right w:val="none" w:sz="0" w:space="0" w:color="auto"/>
      </w:divBdr>
      <w:divsChild>
        <w:div w:id="2143769516">
          <w:marLeft w:val="0"/>
          <w:marRight w:val="0"/>
          <w:marTop w:val="0"/>
          <w:marBottom w:val="0"/>
          <w:divBdr>
            <w:top w:val="none" w:sz="0" w:space="0" w:color="auto"/>
            <w:left w:val="none" w:sz="0" w:space="0" w:color="auto"/>
            <w:bottom w:val="none" w:sz="0" w:space="0" w:color="auto"/>
            <w:right w:val="none" w:sz="0" w:space="0" w:color="auto"/>
          </w:divBdr>
          <w:divsChild>
            <w:div w:id="59670503">
              <w:marLeft w:val="0"/>
              <w:marRight w:val="0"/>
              <w:marTop w:val="0"/>
              <w:marBottom w:val="0"/>
              <w:divBdr>
                <w:top w:val="none" w:sz="0" w:space="0" w:color="auto"/>
                <w:left w:val="none" w:sz="0" w:space="0" w:color="auto"/>
                <w:bottom w:val="none" w:sz="0" w:space="0" w:color="auto"/>
                <w:right w:val="none" w:sz="0" w:space="0" w:color="auto"/>
              </w:divBdr>
              <w:divsChild>
                <w:div w:id="14524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3230">
      <w:bodyDiv w:val="1"/>
      <w:marLeft w:val="0"/>
      <w:marRight w:val="0"/>
      <w:marTop w:val="0"/>
      <w:marBottom w:val="0"/>
      <w:divBdr>
        <w:top w:val="none" w:sz="0" w:space="0" w:color="auto"/>
        <w:left w:val="none" w:sz="0" w:space="0" w:color="auto"/>
        <w:bottom w:val="none" w:sz="0" w:space="0" w:color="auto"/>
        <w:right w:val="none" w:sz="0" w:space="0" w:color="auto"/>
      </w:divBdr>
      <w:divsChild>
        <w:div w:id="1234389828">
          <w:marLeft w:val="0"/>
          <w:marRight w:val="0"/>
          <w:marTop w:val="0"/>
          <w:marBottom w:val="0"/>
          <w:divBdr>
            <w:top w:val="none" w:sz="0" w:space="0" w:color="auto"/>
            <w:left w:val="none" w:sz="0" w:space="0" w:color="auto"/>
            <w:bottom w:val="none" w:sz="0" w:space="0" w:color="auto"/>
            <w:right w:val="none" w:sz="0" w:space="0" w:color="auto"/>
          </w:divBdr>
          <w:divsChild>
            <w:div w:id="1667705817">
              <w:marLeft w:val="0"/>
              <w:marRight w:val="0"/>
              <w:marTop w:val="0"/>
              <w:marBottom w:val="0"/>
              <w:divBdr>
                <w:top w:val="none" w:sz="0" w:space="0" w:color="auto"/>
                <w:left w:val="none" w:sz="0" w:space="0" w:color="auto"/>
                <w:bottom w:val="none" w:sz="0" w:space="0" w:color="auto"/>
                <w:right w:val="none" w:sz="0" w:space="0" w:color="auto"/>
              </w:divBdr>
              <w:divsChild>
                <w:div w:id="5195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71266">
      <w:bodyDiv w:val="1"/>
      <w:marLeft w:val="0"/>
      <w:marRight w:val="0"/>
      <w:marTop w:val="0"/>
      <w:marBottom w:val="0"/>
      <w:divBdr>
        <w:top w:val="none" w:sz="0" w:space="0" w:color="auto"/>
        <w:left w:val="none" w:sz="0" w:space="0" w:color="auto"/>
        <w:bottom w:val="none" w:sz="0" w:space="0" w:color="auto"/>
        <w:right w:val="none" w:sz="0" w:space="0" w:color="auto"/>
      </w:divBdr>
    </w:div>
    <w:div w:id="1033919433">
      <w:bodyDiv w:val="1"/>
      <w:marLeft w:val="0"/>
      <w:marRight w:val="0"/>
      <w:marTop w:val="0"/>
      <w:marBottom w:val="0"/>
      <w:divBdr>
        <w:top w:val="none" w:sz="0" w:space="0" w:color="auto"/>
        <w:left w:val="none" w:sz="0" w:space="0" w:color="auto"/>
        <w:bottom w:val="none" w:sz="0" w:space="0" w:color="auto"/>
        <w:right w:val="none" w:sz="0" w:space="0" w:color="auto"/>
      </w:divBdr>
    </w:div>
    <w:div w:id="1194028940">
      <w:bodyDiv w:val="1"/>
      <w:marLeft w:val="0"/>
      <w:marRight w:val="0"/>
      <w:marTop w:val="0"/>
      <w:marBottom w:val="0"/>
      <w:divBdr>
        <w:top w:val="none" w:sz="0" w:space="0" w:color="auto"/>
        <w:left w:val="none" w:sz="0" w:space="0" w:color="auto"/>
        <w:bottom w:val="none" w:sz="0" w:space="0" w:color="auto"/>
        <w:right w:val="none" w:sz="0" w:space="0" w:color="auto"/>
      </w:divBdr>
    </w:div>
    <w:div w:id="1454327228">
      <w:bodyDiv w:val="1"/>
      <w:marLeft w:val="0"/>
      <w:marRight w:val="0"/>
      <w:marTop w:val="0"/>
      <w:marBottom w:val="0"/>
      <w:divBdr>
        <w:top w:val="none" w:sz="0" w:space="0" w:color="auto"/>
        <w:left w:val="none" w:sz="0" w:space="0" w:color="auto"/>
        <w:bottom w:val="none" w:sz="0" w:space="0" w:color="auto"/>
        <w:right w:val="none" w:sz="0" w:space="0" w:color="auto"/>
      </w:divBdr>
    </w:div>
    <w:div w:id="1516118113">
      <w:bodyDiv w:val="1"/>
      <w:marLeft w:val="0"/>
      <w:marRight w:val="0"/>
      <w:marTop w:val="0"/>
      <w:marBottom w:val="0"/>
      <w:divBdr>
        <w:top w:val="none" w:sz="0" w:space="0" w:color="auto"/>
        <w:left w:val="none" w:sz="0" w:space="0" w:color="auto"/>
        <w:bottom w:val="none" w:sz="0" w:space="0" w:color="auto"/>
        <w:right w:val="none" w:sz="0" w:space="0" w:color="auto"/>
      </w:divBdr>
    </w:div>
    <w:div w:id="1517039032">
      <w:bodyDiv w:val="1"/>
      <w:marLeft w:val="0"/>
      <w:marRight w:val="0"/>
      <w:marTop w:val="0"/>
      <w:marBottom w:val="0"/>
      <w:divBdr>
        <w:top w:val="none" w:sz="0" w:space="0" w:color="auto"/>
        <w:left w:val="none" w:sz="0" w:space="0" w:color="auto"/>
        <w:bottom w:val="none" w:sz="0" w:space="0" w:color="auto"/>
        <w:right w:val="none" w:sz="0" w:space="0" w:color="auto"/>
      </w:divBdr>
      <w:divsChild>
        <w:div w:id="2092313095">
          <w:marLeft w:val="0"/>
          <w:marRight w:val="0"/>
          <w:marTop w:val="0"/>
          <w:marBottom w:val="0"/>
          <w:divBdr>
            <w:top w:val="none" w:sz="0" w:space="0" w:color="auto"/>
            <w:left w:val="none" w:sz="0" w:space="0" w:color="auto"/>
            <w:bottom w:val="none" w:sz="0" w:space="0" w:color="auto"/>
            <w:right w:val="none" w:sz="0" w:space="0" w:color="auto"/>
          </w:divBdr>
          <w:divsChild>
            <w:div w:id="1565291041">
              <w:marLeft w:val="0"/>
              <w:marRight w:val="0"/>
              <w:marTop w:val="0"/>
              <w:marBottom w:val="0"/>
              <w:divBdr>
                <w:top w:val="none" w:sz="0" w:space="0" w:color="auto"/>
                <w:left w:val="none" w:sz="0" w:space="0" w:color="auto"/>
                <w:bottom w:val="none" w:sz="0" w:space="0" w:color="auto"/>
                <w:right w:val="none" w:sz="0" w:space="0" w:color="auto"/>
              </w:divBdr>
              <w:divsChild>
                <w:div w:id="8243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4825">
      <w:bodyDiv w:val="1"/>
      <w:marLeft w:val="0"/>
      <w:marRight w:val="0"/>
      <w:marTop w:val="0"/>
      <w:marBottom w:val="0"/>
      <w:divBdr>
        <w:top w:val="none" w:sz="0" w:space="0" w:color="auto"/>
        <w:left w:val="none" w:sz="0" w:space="0" w:color="auto"/>
        <w:bottom w:val="none" w:sz="0" w:space="0" w:color="auto"/>
        <w:right w:val="none" w:sz="0" w:space="0" w:color="auto"/>
      </w:divBdr>
    </w:div>
    <w:div w:id="1696887454">
      <w:bodyDiv w:val="1"/>
      <w:marLeft w:val="0"/>
      <w:marRight w:val="0"/>
      <w:marTop w:val="0"/>
      <w:marBottom w:val="0"/>
      <w:divBdr>
        <w:top w:val="none" w:sz="0" w:space="0" w:color="auto"/>
        <w:left w:val="none" w:sz="0" w:space="0" w:color="auto"/>
        <w:bottom w:val="none" w:sz="0" w:space="0" w:color="auto"/>
        <w:right w:val="none" w:sz="0" w:space="0" w:color="auto"/>
      </w:divBdr>
    </w:div>
    <w:div w:id="1721173854">
      <w:bodyDiv w:val="1"/>
      <w:marLeft w:val="0"/>
      <w:marRight w:val="0"/>
      <w:marTop w:val="0"/>
      <w:marBottom w:val="0"/>
      <w:divBdr>
        <w:top w:val="none" w:sz="0" w:space="0" w:color="auto"/>
        <w:left w:val="none" w:sz="0" w:space="0" w:color="auto"/>
        <w:bottom w:val="none" w:sz="0" w:space="0" w:color="auto"/>
        <w:right w:val="none" w:sz="0" w:space="0" w:color="auto"/>
      </w:divBdr>
      <w:divsChild>
        <w:div w:id="313724017">
          <w:marLeft w:val="0"/>
          <w:marRight w:val="0"/>
          <w:marTop w:val="0"/>
          <w:marBottom w:val="0"/>
          <w:divBdr>
            <w:top w:val="none" w:sz="0" w:space="0" w:color="auto"/>
            <w:left w:val="none" w:sz="0" w:space="0" w:color="auto"/>
            <w:bottom w:val="none" w:sz="0" w:space="0" w:color="auto"/>
            <w:right w:val="none" w:sz="0" w:space="0" w:color="auto"/>
          </w:divBdr>
          <w:divsChild>
            <w:div w:id="2068801030">
              <w:marLeft w:val="0"/>
              <w:marRight w:val="0"/>
              <w:marTop w:val="0"/>
              <w:marBottom w:val="0"/>
              <w:divBdr>
                <w:top w:val="none" w:sz="0" w:space="0" w:color="auto"/>
                <w:left w:val="none" w:sz="0" w:space="0" w:color="auto"/>
                <w:bottom w:val="none" w:sz="0" w:space="0" w:color="auto"/>
                <w:right w:val="none" w:sz="0" w:space="0" w:color="auto"/>
              </w:divBdr>
              <w:divsChild>
                <w:div w:id="15423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0924">
      <w:bodyDiv w:val="1"/>
      <w:marLeft w:val="0"/>
      <w:marRight w:val="0"/>
      <w:marTop w:val="0"/>
      <w:marBottom w:val="0"/>
      <w:divBdr>
        <w:top w:val="none" w:sz="0" w:space="0" w:color="auto"/>
        <w:left w:val="none" w:sz="0" w:space="0" w:color="auto"/>
        <w:bottom w:val="none" w:sz="0" w:space="0" w:color="auto"/>
        <w:right w:val="none" w:sz="0" w:space="0" w:color="auto"/>
      </w:divBdr>
      <w:divsChild>
        <w:div w:id="1971740241">
          <w:marLeft w:val="0"/>
          <w:marRight w:val="0"/>
          <w:marTop w:val="0"/>
          <w:marBottom w:val="0"/>
          <w:divBdr>
            <w:top w:val="none" w:sz="0" w:space="0" w:color="auto"/>
            <w:left w:val="none" w:sz="0" w:space="0" w:color="auto"/>
            <w:bottom w:val="none" w:sz="0" w:space="0" w:color="auto"/>
            <w:right w:val="none" w:sz="0" w:space="0" w:color="auto"/>
          </w:divBdr>
          <w:divsChild>
            <w:div w:id="153307061">
              <w:marLeft w:val="0"/>
              <w:marRight w:val="0"/>
              <w:marTop w:val="0"/>
              <w:marBottom w:val="0"/>
              <w:divBdr>
                <w:top w:val="none" w:sz="0" w:space="0" w:color="auto"/>
                <w:left w:val="none" w:sz="0" w:space="0" w:color="auto"/>
                <w:bottom w:val="none" w:sz="0" w:space="0" w:color="auto"/>
                <w:right w:val="none" w:sz="0" w:space="0" w:color="auto"/>
              </w:divBdr>
              <w:divsChild>
                <w:div w:id="1204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7691">
      <w:bodyDiv w:val="1"/>
      <w:marLeft w:val="0"/>
      <w:marRight w:val="0"/>
      <w:marTop w:val="0"/>
      <w:marBottom w:val="0"/>
      <w:divBdr>
        <w:top w:val="none" w:sz="0" w:space="0" w:color="auto"/>
        <w:left w:val="none" w:sz="0" w:space="0" w:color="auto"/>
        <w:bottom w:val="none" w:sz="0" w:space="0" w:color="auto"/>
        <w:right w:val="none" w:sz="0" w:space="0" w:color="auto"/>
      </w:divBdr>
    </w:div>
    <w:div w:id="1836338547">
      <w:bodyDiv w:val="1"/>
      <w:marLeft w:val="0"/>
      <w:marRight w:val="0"/>
      <w:marTop w:val="0"/>
      <w:marBottom w:val="0"/>
      <w:divBdr>
        <w:top w:val="none" w:sz="0" w:space="0" w:color="auto"/>
        <w:left w:val="none" w:sz="0" w:space="0" w:color="auto"/>
        <w:bottom w:val="none" w:sz="0" w:space="0" w:color="auto"/>
        <w:right w:val="none" w:sz="0" w:space="0" w:color="auto"/>
      </w:divBdr>
      <w:divsChild>
        <w:div w:id="1981500521">
          <w:marLeft w:val="0"/>
          <w:marRight w:val="0"/>
          <w:marTop w:val="0"/>
          <w:marBottom w:val="0"/>
          <w:divBdr>
            <w:top w:val="none" w:sz="0" w:space="0" w:color="auto"/>
            <w:left w:val="none" w:sz="0" w:space="0" w:color="auto"/>
            <w:bottom w:val="none" w:sz="0" w:space="0" w:color="auto"/>
            <w:right w:val="none" w:sz="0" w:space="0" w:color="auto"/>
          </w:divBdr>
          <w:divsChild>
            <w:div w:id="731275414">
              <w:marLeft w:val="0"/>
              <w:marRight w:val="0"/>
              <w:marTop w:val="0"/>
              <w:marBottom w:val="0"/>
              <w:divBdr>
                <w:top w:val="none" w:sz="0" w:space="0" w:color="auto"/>
                <w:left w:val="none" w:sz="0" w:space="0" w:color="auto"/>
                <w:bottom w:val="none" w:sz="0" w:space="0" w:color="auto"/>
                <w:right w:val="none" w:sz="0" w:space="0" w:color="auto"/>
              </w:divBdr>
              <w:divsChild>
                <w:div w:id="18665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67002">
      <w:bodyDiv w:val="1"/>
      <w:marLeft w:val="0"/>
      <w:marRight w:val="0"/>
      <w:marTop w:val="0"/>
      <w:marBottom w:val="0"/>
      <w:divBdr>
        <w:top w:val="none" w:sz="0" w:space="0" w:color="auto"/>
        <w:left w:val="none" w:sz="0" w:space="0" w:color="auto"/>
        <w:bottom w:val="none" w:sz="0" w:space="0" w:color="auto"/>
        <w:right w:val="none" w:sz="0" w:space="0" w:color="auto"/>
      </w:divBdr>
    </w:div>
    <w:div w:id="2047441741">
      <w:bodyDiv w:val="1"/>
      <w:marLeft w:val="0"/>
      <w:marRight w:val="0"/>
      <w:marTop w:val="0"/>
      <w:marBottom w:val="0"/>
      <w:divBdr>
        <w:top w:val="none" w:sz="0" w:space="0" w:color="auto"/>
        <w:left w:val="none" w:sz="0" w:space="0" w:color="auto"/>
        <w:bottom w:val="none" w:sz="0" w:space="0" w:color="auto"/>
        <w:right w:val="none" w:sz="0" w:space="0" w:color="auto"/>
      </w:divBdr>
      <w:divsChild>
        <w:div w:id="2102754683">
          <w:marLeft w:val="0"/>
          <w:marRight w:val="0"/>
          <w:marTop w:val="0"/>
          <w:marBottom w:val="0"/>
          <w:divBdr>
            <w:top w:val="none" w:sz="0" w:space="0" w:color="auto"/>
            <w:left w:val="none" w:sz="0" w:space="0" w:color="auto"/>
            <w:bottom w:val="none" w:sz="0" w:space="0" w:color="auto"/>
            <w:right w:val="none" w:sz="0" w:space="0" w:color="auto"/>
          </w:divBdr>
          <w:divsChild>
            <w:div w:id="878053096">
              <w:marLeft w:val="0"/>
              <w:marRight w:val="0"/>
              <w:marTop w:val="0"/>
              <w:marBottom w:val="0"/>
              <w:divBdr>
                <w:top w:val="none" w:sz="0" w:space="0" w:color="auto"/>
                <w:left w:val="none" w:sz="0" w:space="0" w:color="auto"/>
                <w:bottom w:val="none" w:sz="0" w:space="0" w:color="auto"/>
                <w:right w:val="none" w:sz="0" w:space="0" w:color="auto"/>
              </w:divBdr>
              <w:divsChild>
                <w:div w:id="35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7205">
      <w:bodyDiv w:val="1"/>
      <w:marLeft w:val="0"/>
      <w:marRight w:val="0"/>
      <w:marTop w:val="0"/>
      <w:marBottom w:val="0"/>
      <w:divBdr>
        <w:top w:val="none" w:sz="0" w:space="0" w:color="auto"/>
        <w:left w:val="none" w:sz="0" w:space="0" w:color="auto"/>
        <w:bottom w:val="none" w:sz="0" w:space="0" w:color="auto"/>
        <w:right w:val="none" w:sz="0" w:space="0" w:color="auto"/>
      </w:divBdr>
    </w:div>
    <w:div w:id="2100902547">
      <w:bodyDiv w:val="1"/>
      <w:marLeft w:val="0"/>
      <w:marRight w:val="0"/>
      <w:marTop w:val="0"/>
      <w:marBottom w:val="0"/>
      <w:divBdr>
        <w:top w:val="none" w:sz="0" w:space="0" w:color="auto"/>
        <w:left w:val="none" w:sz="0" w:space="0" w:color="auto"/>
        <w:bottom w:val="none" w:sz="0" w:space="0" w:color="auto"/>
        <w:right w:val="none" w:sz="0" w:space="0" w:color="auto"/>
      </w:divBdr>
    </w:div>
    <w:div w:id="2146773303">
      <w:bodyDiv w:val="1"/>
      <w:marLeft w:val="0"/>
      <w:marRight w:val="0"/>
      <w:marTop w:val="0"/>
      <w:marBottom w:val="0"/>
      <w:divBdr>
        <w:top w:val="none" w:sz="0" w:space="0" w:color="auto"/>
        <w:left w:val="none" w:sz="0" w:space="0" w:color="auto"/>
        <w:bottom w:val="none" w:sz="0" w:space="0" w:color="auto"/>
        <w:right w:val="none" w:sz="0" w:space="0" w:color="auto"/>
      </w:divBdr>
      <w:divsChild>
        <w:div w:id="149517153">
          <w:marLeft w:val="0"/>
          <w:marRight w:val="0"/>
          <w:marTop w:val="0"/>
          <w:marBottom w:val="0"/>
          <w:divBdr>
            <w:top w:val="none" w:sz="0" w:space="0" w:color="auto"/>
            <w:left w:val="none" w:sz="0" w:space="0" w:color="auto"/>
            <w:bottom w:val="none" w:sz="0" w:space="0" w:color="auto"/>
            <w:right w:val="none" w:sz="0" w:space="0" w:color="auto"/>
          </w:divBdr>
          <w:divsChild>
            <w:div w:id="1460610211">
              <w:marLeft w:val="0"/>
              <w:marRight w:val="0"/>
              <w:marTop w:val="0"/>
              <w:marBottom w:val="0"/>
              <w:divBdr>
                <w:top w:val="none" w:sz="0" w:space="0" w:color="auto"/>
                <w:left w:val="none" w:sz="0" w:space="0" w:color="auto"/>
                <w:bottom w:val="none" w:sz="0" w:space="0" w:color="auto"/>
                <w:right w:val="none" w:sz="0" w:space="0" w:color="auto"/>
              </w:divBdr>
              <w:divsChild>
                <w:div w:id="2966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prints.soton.ac.uk/357057/"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microsoft.com/office/2007/relationships/diagramDrawing" Target="diagrams/drawing1.xml"/><Relationship Id="rId10" Type="http://schemas.microsoft.com/office/2016/09/relationships/commentsIds" Target="commentsIds.xml"/><Relationship Id="rId19" Type="http://schemas.openxmlformats.org/officeDocument/2006/relationships/diagramData" Target="diagrams/data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tamerelshandidy\Dropbox\Advances%20in%20Accounting\Data%20and%20analyses\UK_final_June%202020_final.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tamerelshandidy\Dropbox\Advances%20in%20Accounting\Data%20and%20analyses\UK_final_June%202020_final.xls"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tamerelshandidy\Dropbox\Advances%20in%20Accounting\Data%20and%20analyses\UK_final_June%202020_fin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000">
                <a:solidFill>
                  <a:schemeClr val="tx1"/>
                </a:solidFill>
                <a:latin typeface="Garamond" panose="02020404030301010803" pitchFamily="18" charset="0"/>
              </a:rPr>
              <a:t>PARD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1911448158419308"/>
          <c:y val="3.7632885817330389E-2"/>
          <c:w val="0.84382976635247531"/>
          <c:h val="0.83767874339448578"/>
        </c:manualLayout>
      </c:layout>
      <c:lineChart>
        <c:grouping val="standard"/>
        <c:varyColors val="0"/>
        <c:ser>
          <c:idx val="0"/>
          <c:order val="0"/>
          <c:tx>
            <c:strRef>
              <c:f>Graphs!$M$125</c:f>
              <c:strCache>
                <c:ptCount val="1"/>
                <c:pt idx="0">
                  <c:v>PARD</c:v>
                </c:pt>
              </c:strCache>
            </c:strRef>
          </c:tx>
          <c:spPr>
            <a:ln w="28575" cap="rnd">
              <a:solidFill>
                <a:schemeClr val="accent1"/>
              </a:solidFill>
              <a:round/>
            </a:ln>
            <a:effectLst/>
          </c:spPr>
          <c:marker>
            <c:symbol val="none"/>
          </c:marker>
          <c:dLbls>
            <c:delete val="1"/>
          </c:dLbls>
          <c:cat>
            <c:numRef>
              <c:f>Graphs!$N$124:$W$124</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Graphs!$N$125:$W$125</c:f>
              <c:numCache>
                <c:formatCode>General</c:formatCode>
                <c:ptCount val="10"/>
                <c:pt idx="0">
                  <c:v>0.17</c:v>
                </c:pt>
                <c:pt idx="1">
                  <c:v>0.17</c:v>
                </c:pt>
                <c:pt idx="2">
                  <c:v>0.17299999999999999</c:v>
                </c:pt>
                <c:pt idx="3">
                  <c:v>0.18099999999999999</c:v>
                </c:pt>
                <c:pt idx="4">
                  <c:v>0.17799999999999999</c:v>
                </c:pt>
                <c:pt idx="5">
                  <c:v>0.17199999999999999</c:v>
                </c:pt>
                <c:pt idx="6">
                  <c:v>0.17100000000000001</c:v>
                </c:pt>
                <c:pt idx="7">
                  <c:v>0.182</c:v>
                </c:pt>
                <c:pt idx="8">
                  <c:v>0.187</c:v>
                </c:pt>
                <c:pt idx="9">
                  <c:v>0.18099999999999999</c:v>
                </c:pt>
              </c:numCache>
            </c:numRef>
          </c:val>
          <c:smooth val="0"/>
          <c:extLst>
            <c:ext xmlns:c16="http://schemas.microsoft.com/office/drawing/2014/chart" uri="{C3380CC4-5D6E-409C-BE32-E72D297353CC}">
              <c16:uniqueId val="{00000000-FB5A-F045-9E4E-EF2EC90A859C}"/>
            </c:ext>
          </c:extLst>
        </c:ser>
        <c:dLbls>
          <c:dLblPos val="ctr"/>
          <c:showLegendKey val="0"/>
          <c:showVal val="1"/>
          <c:showCatName val="0"/>
          <c:showSerName val="0"/>
          <c:showPercent val="0"/>
          <c:showBubbleSize val="0"/>
        </c:dLbls>
        <c:smooth val="0"/>
        <c:axId val="493290495"/>
        <c:axId val="499206863"/>
      </c:lineChart>
      <c:catAx>
        <c:axId val="493290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99206863"/>
        <c:crosses val="autoZero"/>
        <c:auto val="1"/>
        <c:lblAlgn val="ctr"/>
        <c:lblOffset val="100"/>
        <c:noMultiLvlLbl val="0"/>
      </c:catAx>
      <c:valAx>
        <c:axId val="499206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93290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000">
                <a:solidFill>
                  <a:schemeClr val="tx1"/>
                </a:solidFill>
                <a:latin typeface="Garamond" panose="02020404030301010803" pitchFamily="18" charset="0"/>
              </a:rPr>
              <a:t>SYNCH</a:t>
            </a:r>
          </a:p>
        </c:rich>
      </c:tx>
      <c:layout>
        <c:manualLayout>
          <c:xMode val="edge"/>
          <c:yMode val="edge"/>
          <c:x val="0.4253074606199743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8.0539370078740152E-2"/>
          <c:y val="3.7892512487336119E-2"/>
          <c:w val="0.88890507436570432"/>
          <c:h val="0.91452061938273566"/>
        </c:manualLayout>
      </c:layout>
      <c:lineChart>
        <c:grouping val="standard"/>
        <c:varyColors val="0"/>
        <c:ser>
          <c:idx val="0"/>
          <c:order val="0"/>
          <c:tx>
            <c:strRef>
              <c:f>Graphs!$M$157</c:f>
              <c:strCache>
                <c:ptCount val="1"/>
                <c:pt idx="0">
                  <c:v>SYNCH</c:v>
                </c:pt>
              </c:strCache>
            </c:strRef>
          </c:tx>
          <c:spPr>
            <a:ln w="28575" cap="rnd">
              <a:solidFill>
                <a:schemeClr val="accent1"/>
              </a:solidFill>
              <a:round/>
            </a:ln>
            <a:effectLst/>
          </c:spPr>
          <c:marker>
            <c:symbol val="none"/>
          </c:marker>
          <c:dLbls>
            <c:delete val="1"/>
          </c:dLbls>
          <c:cat>
            <c:numRef>
              <c:f>Graphs!$N$156:$W$156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Graphs!$N$157:$W$157</c:f>
              <c:numCache>
                <c:formatCode>General</c:formatCode>
                <c:ptCount val="10"/>
                <c:pt idx="0">
                  <c:v>0.57999999999999996</c:v>
                </c:pt>
                <c:pt idx="1">
                  <c:v>0.06</c:v>
                </c:pt>
                <c:pt idx="2">
                  <c:v>0.29899999999999999</c:v>
                </c:pt>
                <c:pt idx="3">
                  <c:v>0.26200000000000001</c:v>
                </c:pt>
                <c:pt idx="4">
                  <c:v>0.44</c:v>
                </c:pt>
                <c:pt idx="5">
                  <c:v>-7.8E-2</c:v>
                </c:pt>
                <c:pt idx="6">
                  <c:v>-8.4000000000000005E-2</c:v>
                </c:pt>
                <c:pt idx="7">
                  <c:v>0.11600000000000001</c:v>
                </c:pt>
                <c:pt idx="8">
                  <c:v>5.3600000000000002E-2</c:v>
                </c:pt>
                <c:pt idx="9">
                  <c:v>-3.3000000000000002E-2</c:v>
                </c:pt>
              </c:numCache>
            </c:numRef>
          </c:val>
          <c:smooth val="0"/>
          <c:extLst>
            <c:ext xmlns:c16="http://schemas.microsoft.com/office/drawing/2014/chart" uri="{C3380CC4-5D6E-409C-BE32-E72D297353CC}">
              <c16:uniqueId val="{00000000-AB0A-2E40-87E8-EC109F922388}"/>
            </c:ext>
          </c:extLst>
        </c:ser>
        <c:dLbls>
          <c:dLblPos val="ctr"/>
          <c:showLegendKey val="0"/>
          <c:showVal val="1"/>
          <c:showCatName val="0"/>
          <c:showSerName val="0"/>
          <c:showPercent val="0"/>
          <c:showBubbleSize val="0"/>
        </c:dLbls>
        <c:smooth val="0"/>
        <c:axId val="533784575"/>
        <c:axId val="496577343"/>
      </c:lineChart>
      <c:catAx>
        <c:axId val="53378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n-US"/>
          </a:p>
        </c:txPr>
        <c:crossAx val="496577343"/>
        <c:crosses val="autoZero"/>
        <c:auto val="1"/>
        <c:lblAlgn val="ctr"/>
        <c:lblOffset val="100"/>
        <c:noMultiLvlLbl val="0"/>
      </c:catAx>
      <c:valAx>
        <c:axId val="496577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33784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sz="1000">
                <a:solidFill>
                  <a:schemeClr val="tx1"/>
                </a:solidFill>
                <a:latin typeface="Garamond" panose="02020404030301010803" pitchFamily="18" charset="0"/>
              </a:rPr>
              <a:t>PFLRD and PNFLRD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9.1252991872256564E-2"/>
          <c:y val="0.12371581054036024"/>
          <c:w val="0.87867182015781864"/>
          <c:h val="0.76596602459382368"/>
        </c:manualLayout>
      </c:layout>
      <c:lineChart>
        <c:grouping val="standard"/>
        <c:varyColors val="0"/>
        <c:ser>
          <c:idx val="0"/>
          <c:order val="0"/>
          <c:tx>
            <c:strRef>
              <c:f>Graphs!$M$187</c:f>
              <c:strCache>
                <c:ptCount val="1"/>
                <c:pt idx="0">
                  <c:v>PFLRD</c:v>
                </c:pt>
              </c:strCache>
            </c:strRef>
          </c:tx>
          <c:spPr>
            <a:ln w="28575" cap="rnd">
              <a:solidFill>
                <a:schemeClr val="accent1"/>
              </a:solidFill>
              <a:round/>
            </a:ln>
            <a:effectLst/>
          </c:spPr>
          <c:marker>
            <c:symbol val="none"/>
          </c:marker>
          <c:dLbls>
            <c:delete val="1"/>
          </c:dLbls>
          <c:cat>
            <c:numRef>
              <c:f>Graphs!$N$186:$W$186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Graphs!$N$187:$W$187</c:f>
              <c:numCache>
                <c:formatCode>General</c:formatCode>
                <c:ptCount val="10"/>
                <c:pt idx="0">
                  <c:v>0.3</c:v>
                </c:pt>
                <c:pt idx="1">
                  <c:v>0.153</c:v>
                </c:pt>
                <c:pt idx="2">
                  <c:v>0.17599999999999999</c:v>
                </c:pt>
                <c:pt idx="3">
                  <c:v>0.19400000000000001</c:v>
                </c:pt>
                <c:pt idx="4">
                  <c:v>0.20399999999999999</c:v>
                </c:pt>
                <c:pt idx="5">
                  <c:v>0.21099999999999999</c:v>
                </c:pt>
                <c:pt idx="6">
                  <c:v>0.23599999999999999</c:v>
                </c:pt>
                <c:pt idx="7">
                  <c:v>0.20599999999999999</c:v>
                </c:pt>
                <c:pt idx="8">
                  <c:v>0.19800000000000001</c:v>
                </c:pt>
                <c:pt idx="9">
                  <c:v>0.191</c:v>
                </c:pt>
              </c:numCache>
            </c:numRef>
          </c:val>
          <c:smooth val="0"/>
          <c:extLst>
            <c:ext xmlns:c16="http://schemas.microsoft.com/office/drawing/2014/chart" uri="{C3380CC4-5D6E-409C-BE32-E72D297353CC}">
              <c16:uniqueId val="{00000000-C9CE-5845-8DB2-EABA7A5520B0}"/>
            </c:ext>
          </c:extLst>
        </c:ser>
        <c:ser>
          <c:idx val="1"/>
          <c:order val="1"/>
          <c:tx>
            <c:strRef>
              <c:f>Graphs!$M$188</c:f>
              <c:strCache>
                <c:ptCount val="1"/>
                <c:pt idx="0">
                  <c:v>PNFLRD</c:v>
                </c:pt>
              </c:strCache>
            </c:strRef>
          </c:tx>
          <c:spPr>
            <a:ln w="28575" cap="rnd">
              <a:solidFill>
                <a:schemeClr val="accent2"/>
              </a:solidFill>
              <a:round/>
            </a:ln>
            <a:effectLst/>
          </c:spPr>
          <c:marker>
            <c:symbol val="none"/>
          </c:marker>
          <c:dLbls>
            <c:delete val="1"/>
          </c:dLbls>
          <c:cat>
            <c:numRef>
              <c:f>Graphs!$N$186:$W$186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Graphs!$N$188:$W$188</c:f>
              <c:numCache>
                <c:formatCode>General</c:formatCode>
                <c:ptCount val="10"/>
                <c:pt idx="0">
                  <c:v>0.7</c:v>
                </c:pt>
                <c:pt idx="1">
                  <c:v>0.84599999999999997</c:v>
                </c:pt>
                <c:pt idx="2">
                  <c:v>0.82299999999999995</c:v>
                </c:pt>
                <c:pt idx="3">
                  <c:v>0.80500000000000005</c:v>
                </c:pt>
                <c:pt idx="4">
                  <c:v>0.79600000000000004</c:v>
                </c:pt>
                <c:pt idx="5">
                  <c:v>0.78800000000000003</c:v>
                </c:pt>
                <c:pt idx="6">
                  <c:v>0.76300000000000001</c:v>
                </c:pt>
                <c:pt idx="7">
                  <c:v>0.79300000000000004</c:v>
                </c:pt>
                <c:pt idx="8">
                  <c:v>0.80200000000000005</c:v>
                </c:pt>
                <c:pt idx="9">
                  <c:v>0.80800000000000005</c:v>
                </c:pt>
              </c:numCache>
            </c:numRef>
          </c:val>
          <c:smooth val="0"/>
          <c:extLst>
            <c:ext xmlns:c16="http://schemas.microsoft.com/office/drawing/2014/chart" uri="{C3380CC4-5D6E-409C-BE32-E72D297353CC}">
              <c16:uniqueId val="{00000001-C9CE-5845-8DB2-EABA7A5520B0}"/>
            </c:ext>
          </c:extLst>
        </c:ser>
        <c:dLbls>
          <c:dLblPos val="ctr"/>
          <c:showLegendKey val="0"/>
          <c:showVal val="1"/>
          <c:showCatName val="0"/>
          <c:showSerName val="0"/>
          <c:showPercent val="0"/>
          <c:showBubbleSize val="0"/>
        </c:dLbls>
        <c:smooth val="0"/>
        <c:axId val="496959071"/>
        <c:axId val="496841807"/>
      </c:lineChart>
      <c:catAx>
        <c:axId val="496959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n-US"/>
          </a:p>
        </c:txPr>
        <c:crossAx val="496841807"/>
        <c:crosses val="autoZero"/>
        <c:auto val="1"/>
        <c:lblAlgn val="ctr"/>
        <c:lblOffset val="100"/>
        <c:noMultiLvlLbl val="0"/>
      </c:catAx>
      <c:valAx>
        <c:axId val="496841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96959071"/>
        <c:crosses val="autoZero"/>
        <c:crossBetween val="between"/>
      </c:valAx>
      <c:spPr>
        <a:noFill/>
        <a:ln>
          <a:noFill/>
        </a:ln>
        <a:effectLst/>
      </c:spPr>
    </c:plotArea>
    <c:legend>
      <c:legendPos val="b"/>
      <c:layout>
        <c:manualLayout>
          <c:xMode val="edge"/>
          <c:yMode val="edge"/>
          <c:x val="0.27637118882120537"/>
          <c:y val="0.79702375359404642"/>
          <c:w val="0.44725735710524817"/>
          <c:h val="9.55776783868603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14F906-B729-124D-8B52-88381582A2FC}" type="doc">
      <dgm:prSet loTypeId="urn:microsoft.com/office/officeart/2005/8/layout/process4" loCatId="" qsTypeId="urn:microsoft.com/office/officeart/2005/8/quickstyle/simple4" qsCatId="simple" csTypeId="urn:microsoft.com/office/officeart/2005/8/colors/accent0_3" csCatId="mainScheme" phldr="1"/>
      <dgm:spPr/>
      <dgm:t>
        <a:bodyPr/>
        <a:lstStyle/>
        <a:p>
          <a:endParaRPr lang="en-GB"/>
        </a:p>
      </dgm:t>
    </dgm:pt>
    <dgm:pt modelId="{C95AD5DD-76C8-1B48-8B30-024D98EF355A}">
      <dgm:prSet phldrT="[Text]" custT="1"/>
      <dgm:spPr>
        <a:xfrm rot="10800000">
          <a:off x="0" y="146267"/>
          <a:ext cx="6392487"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gm:spPr>
      <dgm:t>
        <a:bodyPr/>
        <a:lstStyle/>
        <a:p>
          <a:pPr>
            <a:buNone/>
          </a:pPr>
          <a:r>
            <a:rPr lang="en-GB" sz="1000">
              <a:solidFill>
                <a:sysClr val="window" lastClr="FFFFFF"/>
              </a:solidFill>
              <a:latin typeface="Garamond" panose="02020404030301010803" pitchFamily="18" charset="0"/>
              <a:ea typeface="+mn-ea"/>
              <a:cs typeface="+mn-cs"/>
            </a:rPr>
            <a:t>Import annual reports after transforming them to text files and create a corpus for all firms all years   </a:t>
          </a:r>
        </a:p>
      </dgm:t>
    </dgm:pt>
    <dgm:pt modelId="{D1A3DE42-E252-3641-8E67-4D475EE1D0E8}" type="parTrans" cxnId="{5DA65FE8-60AF-214E-9F44-C04472A03348}">
      <dgm:prSet/>
      <dgm:spPr/>
      <dgm:t>
        <a:bodyPr/>
        <a:lstStyle/>
        <a:p>
          <a:endParaRPr lang="en-GB"/>
        </a:p>
      </dgm:t>
    </dgm:pt>
    <dgm:pt modelId="{2B2E9CAF-D2F6-CE46-9522-B52899F01B3E}" type="sibTrans" cxnId="{5DA65FE8-60AF-214E-9F44-C04472A03348}">
      <dgm:prSet/>
      <dgm:spPr/>
      <dgm:t>
        <a:bodyPr/>
        <a:lstStyle/>
        <a:p>
          <a:endParaRPr lang="en-GB"/>
        </a:p>
      </dgm:t>
    </dgm:pt>
    <dgm:pt modelId="{20BBAF8D-3C80-6C4D-9F1C-032EF338C7EB}">
      <dgm:prSet phldrT="[Text]" custT="1"/>
      <dgm:spPr>
        <a:xfrm rot="10800000">
          <a:off x="0" y="1350851"/>
          <a:ext cx="6392487"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gm:spPr>
      <dgm:t>
        <a:bodyPr/>
        <a:lstStyle/>
        <a:p>
          <a:pPr>
            <a:buNone/>
          </a:pPr>
          <a:r>
            <a:rPr lang="en-GB" sz="1000">
              <a:solidFill>
                <a:sysClr val="window" lastClr="FFFFFF"/>
              </a:solidFill>
              <a:latin typeface="Garamond" panose="02020404030301010803" pitchFamily="18" charset="0"/>
              <a:ea typeface="+mn-ea"/>
              <a:cs typeface="+mn-cs"/>
            </a:rPr>
            <a:t>Search all narrative sections of annual reports for any sentence indicating risk (i.e., that contains at least one word from </a:t>
          </a:r>
          <a:r>
            <a:rPr lang="en-GB" sz="1000" b="1">
              <a:solidFill>
                <a:sysClr val="window" lastClr="FFFFFF"/>
              </a:solidFill>
              <a:latin typeface="Garamond" panose="02020404030301010803" pitchFamily="18" charset="0"/>
              <a:ea typeface="+mn-ea"/>
              <a:cs typeface="+mn-cs"/>
            </a:rPr>
            <a:t>the  risk word list</a:t>
          </a:r>
          <a:r>
            <a:rPr lang="en-GB" sz="1000">
              <a:solidFill>
                <a:sysClr val="window" lastClr="FFFFFF"/>
              </a:solidFill>
              <a:latin typeface="Garamond" panose="02020404030301010803" pitchFamily="18" charset="0"/>
              <a:ea typeface="+mn-ea"/>
              <a:cs typeface="+mn-cs"/>
            </a:rPr>
            <a:t>)</a:t>
          </a:r>
        </a:p>
      </dgm:t>
    </dgm:pt>
    <dgm:pt modelId="{C97888F2-3A87-A342-8FB0-7512BD0437DF}" type="parTrans" cxnId="{CBFE12AE-AEA0-2445-9404-CD87BBFF5D56}">
      <dgm:prSet/>
      <dgm:spPr/>
      <dgm:t>
        <a:bodyPr/>
        <a:lstStyle/>
        <a:p>
          <a:endParaRPr lang="en-GB"/>
        </a:p>
      </dgm:t>
    </dgm:pt>
    <dgm:pt modelId="{61A2D061-7ED7-2A44-9157-08849922CBB4}" type="sibTrans" cxnId="{CBFE12AE-AEA0-2445-9404-CD87BBFF5D56}">
      <dgm:prSet/>
      <dgm:spPr/>
      <dgm:t>
        <a:bodyPr/>
        <a:lstStyle/>
        <a:p>
          <a:endParaRPr lang="en-GB"/>
        </a:p>
      </dgm:t>
    </dgm:pt>
    <dgm:pt modelId="{450F2E20-3AFF-5A4A-A26D-3A72918F7008}">
      <dgm:prSet phldrT="[Text]" custT="1"/>
      <dgm:spPr>
        <a:xfrm rot="10800000">
          <a:off x="0" y="2639553"/>
          <a:ext cx="6392487"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gm:spPr>
      <dgm:t>
        <a:bodyPr/>
        <a:lstStyle/>
        <a:p>
          <a:pPr>
            <a:buNone/>
          </a:pPr>
          <a:r>
            <a:rPr lang="en-GB" sz="1000">
              <a:solidFill>
                <a:sysClr val="window" lastClr="FFFFFF"/>
              </a:solidFill>
              <a:latin typeface="Garamond" panose="02020404030301010803" pitchFamily="18" charset="0"/>
              <a:ea typeface="+mn-ea"/>
              <a:cs typeface="+mn-cs"/>
            </a:rPr>
            <a:t>Count the total number of sentences indicating risk, which gives the aggregate risk disclosure score for each firm, each year. </a:t>
          </a:r>
        </a:p>
      </dgm:t>
    </dgm:pt>
    <dgm:pt modelId="{20E66127-E4D4-1D48-8A48-E17E62B7A4A4}" type="parTrans" cxnId="{B986EE15-A48B-D241-8FFF-F4120E429A1D}">
      <dgm:prSet/>
      <dgm:spPr/>
      <dgm:t>
        <a:bodyPr/>
        <a:lstStyle/>
        <a:p>
          <a:endParaRPr lang="en-GB"/>
        </a:p>
      </dgm:t>
    </dgm:pt>
    <dgm:pt modelId="{E09BA063-A500-284B-B6D7-CAC3E21C56C7}" type="sibTrans" cxnId="{B986EE15-A48B-D241-8FFF-F4120E429A1D}">
      <dgm:prSet/>
      <dgm:spPr/>
      <dgm:t>
        <a:bodyPr/>
        <a:lstStyle/>
        <a:p>
          <a:endParaRPr lang="en-GB"/>
        </a:p>
      </dgm:t>
    </dgm:pt>
    <dgm:pt modelId="{B799F54C-0A84-824C-8EEE-35397AC67281}">
      <dgm:prSet phldrT="[Text]" custT="1"/>
      <dgm:spPr>
        <a:xfrm>
          <a:off x="8389" y="6085519"/>
          <a:ext cx="3566123" cy="406720"/>
        </a:xfrm>
        <a:prstGeom prst="rect">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GB" sz="1000" b="1">
              <a:solidFill>
                <a:sysClr val="windowText" lastClr="000000">
                  <a:hueOff val="0"/>
                  <a:satOff val="0"/>
                  <a:lumOff val="0"/>
                  <a:alphaOff val="0"/>
                </a:sysClr>
              </a:solidFill>
              <a:latin typeface="Garamond" panose="02020404030301010803" pitchFamily="18" charset="0"/>
              <a:ea typeface="+mn-ea"/>
              <a:cs typeface="+mn-cs"/>
            </a:rPr>
            <a:t>Forward-looking risk disclosure</a:t>
          </a:r>
        </a:p>
      </dgm:t>
    </dgm:pt>
    <dgm:pt modelId="{4F511F21-8EA7-A04C-A565-12A0D98ACA9E}" type="parTrans" cxnId="{795426BA-CE45-2A44-A88B-AEEABDA8E725}">
      <dgm:prSet/>
      <dgm:spPr/>
      <dgm:t>
        <a:bodyPr/>
        <a:lstStyle/>
        <a:p>
          <a:endParaRPr lang="en-GB"/>
        </a:p>
      </dgm:t>
    </dgm:pt>
    <dgm:pt modelId="{6F5366A4-AEA4-C144-AFC7-FFE58750D6E3}" type="sibTrans" cxnId="{795426BA-CE45-2A44-A88B-AEEABDA8E725}">
      <dgm:prSet/>
      <dgm:spPr/>
      <dgm:t>
        <a:bodyPr/>
        <a:lstStyle/>
        <a:p>
          <a:endParaRPr lang="en-GB"/>
        </a:p>
      </dgm:t>
    </dgm:pt>
    <dgm:pt modelId="{AE4DCCAC-4596-E04E-A300-B01C492A7D8C}">
      <dgm:prSet phldrT="[Text]" custT="1"/>
      <dgm:spPr>
        <a:xfrm>
          <a:off x="3529500" y="6085519"/>
          <a:ext cx="2823650" cy="406720"/>
        </a:xfrm>
        <a:prstGeom prst="rect">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GB" sz="1000" b="1">
              <a:solidFill>
                <a:sysClr val="windowText" lastClr="000000">
                  <a:hueOff val="0"/>
                  <a:satOff val="0"/>
                  <a:lumOff val="0"/>
                  <a:alphaOff val="0"/>
                </a:sysClr>
              </a:solidFill>
              <a:latin typeface="Garamond" panose="02020404030301010803" pitchFamily="18" charset="0"/>
              <a:ea typeface="+mn-ea"/>
              <a:cs typeface="+mn-cs"/>
            </a:rPr>
            <a:t>Non-forwad risk disclosure</a:t>
          </a:r>
        </a:p>
      </dgm:t>
    </dgm:pt>
    <dgm:pt modelId="{13205515-E691-3D4D-9300-8C6A657E5728}" type="parTrans" cxnId="{C2486BE8-576D-624A-A49C-D43EC69BE5AB}">
      <dgm:prSet/>
      <dgm:spPr/>
      <dgm:t>
        <a:bodyPr/>
        <a:lstStyle/>
        <a:p>
          <a:endParaRPr lang="en-GB"/>
        </a:p>
      </dgm:t>
    </dgm:pt>
    <dgm:pt modelId="{A2AB7324-2DF5-AF47-8C3E-58ADCF476976}" type="sibTrans" cxnId="{C2486BE8-576D-624A-A49C-D43EC69BE5AB}">
      <dgm:prSet/>
      <dgm:spPr/>
      <dgm:t>
        <a:bodyPr/>
        <a:lstStyle/>
        <a:p>
          <a:endParaRPr lang="en-GB"/>
        </a:p>
      </dgm:t>
    </dgm:pt>
    <dgm:pt modelId="{567FE22D-DF4C-8443-8217-70059791396D}">
      <dgm:prSet custT="1"/>
      <dgm:spPr>
        <a:xfrm rot="10800000">
          <a:off x="0" y="3961051"/>
          <a:ext cx="6392487"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gm:spPr>
      <dgm:t>
        <a:bodyPr/>
        <a:lstStyle/>
        <a:p>
          <a:pPr>
            <a:buNone/>
          </a:pPr>
          <a:r>
            <a:rPr lang="en-GB" sz="1000">
              <a:solidFill>
                <a:sysClr val="window" lastClr="FFFFFF"/>
              </a:solidFill>
              <a:latin typeface="Garamond" panose="02020404030301010803" pitchFamily="18" charset="0"/>
              <a:ea typeface="+mn-ea"/>
              <a:cs typeface="+mn-cs"/>
            </a:rPr>
            <a:t>Aggregate risk disclosure</a:t>
          </a:r>
        </a:p>
      </dgm:t>
    </dgm:pt>
    <dgm:pt modelId="{00BD30CE-F66B-654D-BFEA-8DC31C84F870}" type="parTrans" cxnId="{D6D8058D-311E-7741-B5F3-A0B334B1D13B}">
      <dgm:prSet/>
      <dgm:spPr/>
      <dgm:t>
        <a:bodyPr/>
        <a:lstStyle/>
        <a:p>
          <a:endParaRPr lang="en-GB"/>
        </a:p>
      </dgm:t>
    </dgm:pt>
    <dgm:pt modelId="{EF37B134-9A15-4442-8CFA-D5746D5A932F}" type="sibTrans" cxnId="{D6D8058D-311E-7741-B5F3-A0B334B1D13B}">
      <dgm:prSet/>
      <dgm:spPr/>
      <dgm:t>
        <a:bodyPr/>
        <a:lstStyle/>
        <a:p>
          <a:endParaRPr lang="en-GB"/>
        </a:p>
      </dgm:t>
    </dgm:pt>
    <dgm:pt modelId="{ACB1647A-CBFB-E843-9A80-73CAA8B07780}">
      <dgm:prSet custT="1"/>
      <dgm:spPr>
        <a:xfrm rot="10800000">
          <a:off x="0" y="5111115"/>
          <a:ext cx="6392487" cy="1009687"/>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gm:spPr>
      <dgm:t>
        <a:bodyPr/>
        <a:lstStyle/>
        <a:p>
          <a:pPr>
            <a:buNone/>
          </a:pPr>
          <a:r>
            <a:rPr lang="en-GB" sz="1000">
              <a:solidFill>
                <a:sysClr val="window" lastClr="FFFFFF"/>
              </a:solidFill>
              <a:latin typeface="Garamond" panose="02020404030301010803" pitchFamily="18" charset="0"/>
              <a:ea typeface="+mn-ea"/>
              <a:cs typeface="+mn-cs"/>
            </a:rPr>
            <a:t>Classify the sentences that form aggregate risk disclosure based on its time-orientation (i.e., that contain at least one word from </a:t>
          </a:r>
          <a:r>
            <a:rPr lang="en-GB" sz="1000" b="1">
              <a:solidFill>
                <a:sysClr val="window" lastClr="FFFFFF"/>
              </a:solidFill>
              <a:latin typeface="Garamond" panose="02020404030301010803" pitchFamily="18" charset="0"/>
              <a:ea typeface="+mn-ea"/>
              <a:cs typeface="+mn-cs"/>
            </a:rPr>
            <a:t>the forward-looking </a:t>
          </a:r>
          <a:r>
            <a:rPr lang="en-GB" sz="1000" b="1" strike="noStrike">
              <a:solidFill>
                <a:sysClr val="window" lastClr="FFFFFF"/>
              </a:solidFill>
              <a:latin typeface="Garamond" panose="02020404030301010803" pitchFamily="18" charset="0"/>
              <a:ea typeface="+mn-ea"/>
              <a:cs typeface="+mn-cs"/>
            </a:rPr>
            <a:t>word list</a:t>
          </a:r>
          <a:r>
            <a:rPr lang="en-GB" sz="1000">
              <a:solidFill>
                <a:sysClr val="window" lastClr="FFFFFF"/>
              </a:solidFill>
              <a:latin typeface="Garamond" panose="02020404030301010803" pitchFamily="18" charset="0"/>
              <a:ea typeface="+mn-ea"/>
              <a:cs typeface="+mn-cs"/>
            </a:rPr>
            <a:t>).  </a:t>
          </a:r>
          <a:endParaRPr lang="en-GB" sz="1000" strike="sngStrike">
            <a:solidFill>
              <a:sysClr val="window" lastClr="FFFFFF"/>
            </a:solidFill>
            <a:latin typeface="Garamond" panose="02020404030301010803" pitchFamily="18" charset="0"/>
            <a:ea typeface="+mn-ea"/>
            <a:cs typeface="+mn-cs"/>
          </a:endParaRPr>
        </a:p>
      </dgm:t>
    </dgm:pt>
    <dgm:pt modelId="{869C32D0-D3BB-434F-A6F0-305931D600EB}" type="parTrans" cxnId="{389D0926-692A-E843-96A8-16674F82BD6A}">
      <dgm:prSet/>
      <dgm:spPr/>
      <dgm:t>
        <a:bodyPr/>
        <a:lstStyle/>
        <a:p>
          <a:endParaRPr lang="en-GB"/>
        </a:p>
      </dgm:t>
    </dgm:pt>
    <dgm:pt modelId="{C96983BD-ED3D-6944-809E-3D816D845691}" type="sibTrans" cxnId="{389D0926-692A-E843-96A8-16674F82BD6A}">
      <dgm:prSet/>
      <dgm:spPr/>
      <dgm:t>
        <a:bodyPr/>
        <a:lstStyle/>
        <a:p>
          <a:endParaRPr lang="en-GB"/>
        </a:p>
      </dgm:t>
    </dgm:pt>
    <dgm:pt modelId="{EDF5AA43-D54E-0E4C-909C-9ED7AD95551B}">
      <dgm:prSet/>
      <dgm:spPr>
        <a:xfrm flipV="1">
          <a:off x="0" y="6388282"/>
          <a:ext cx="6392487" cy="100109"/>
        </a:xfrm>
        <a:prstGeom prst="rec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DD7B8013-6A8C-4547-B9ED-53BC28E17BDA}" type="parTrans" cxnId="{56C326A3-2374-3F43-81B8-838A3B5D7B2B}">
      <dgm:prSet/>
      <dgm:spPr/>
      <dgm:t>
        <a:bodyPr/>
        <a:lstStyle/>
        <a:p>
          <a:endParaRPr lang="en-GB"/>
        </a:p>
      </dgm:t>
    </dgm:pt>
    <dgm:pt modelId="{0E99D672-E111-DC4C-951A-35A602A9B955}" type="sibTrans" cxnId="{56C326A3-2374-3F43-81B8-838A3B5D7B2B}">
      <dgm:prSet/>
      <dgm:spPr/>
      <dgm:t>
        <a:bodyPr/>
        <a:lstStyle/>
        <a:p>
          <a:endParaRPr lang="en-GB"/>
        </a:p>
      </dgm:t>
    </dgm:pt>
    <dgm:pt modelId="{9146B320-02AF-D646-AF33-7C6A30B05FF1}" type="pres">
      <dgm:prSet presAssocID="{EF14F906-B729-124D-8B52-88381582A2FC}" presName="Name0" presStyleCnt="0">
        <dgm:presLayoutVars>
          <dgm:dir/>
          <dgm:animLvl val="lvl"/>
          <dgm:resizeHandles val="exact"/>
        </dgm:presLayoutVars>
      </dgm:prSet>
      <dgm:spPr/>
    </dgm:pt>
    <dgm:pt modelId="{0356A4DF-9647-0F4E-A149-EAB9947E9C0A}" type="pres">
      <dgm:prSet presAssocID="{EDF5AA43-D54E-0E4C-909C-9ED7AD95551B}" presName="boxAndChildren" presStyleCnt="0"/>
      <dgm:spPr/>
    </dgm:pt>
    <dgm:pt modelId="{75583A4E-09AE-8D42-A27A-F668287293EC}" type="pres">
      <dgm:prSet presAssocID="{EDF5AA43-D54E-0E4C-909C-9ED7AD95551B}" presName="parentTextBox" presStyleLbl="node1" presStyleIdx="0" presStyleCnt="6" custFlipVert="1" custScaleY="11319"/>
      <dgm:spPr/>
    </dgm:pt>
    <dgm:pt modelId="{58429E05-8B1D-1E4E-BA62-1D6F9E94FECB}" type="pres">
      <dgm:prSet presAssocID="{C96983BD-ED3D-6944-809E-3D816D845691}" presName="sp" presStyleCnt="0"/>
      <dgm:spPr/>
    </dgm:pt>
    <dgm:pt modelId="{D0B3E155-CDC5-5849-A5AD-BD00EA98B501}" type="pres">
      <dgm:prSet presAssocID="{ACB1647A-CBFB-E843-9A80-73CAA8B07780}" presName="arrowAndChildren" presStyleCnt="0"/>
      <dgm:spPr/>
    </dgm:pt>
    <dgm:pt modelId="{1330DFB1-F601-8841-81F5-53F85A95C1DD}" type="pres">
      <dgm:prSet presAssocID="{ACB1647A-CBFB-E843-9A80-73CAA8B07780}" presName="parentTextArrow" presStyleLbl="node1" presStyleIdx="1" presStyleCnt="6" custScaleY="74227" custLinFactNeighborY="-20639"/>
      <dgm:spPr/>
    </dgm:pt>
    <dgm:pt modelId="{975AC93C-89B8-4A48-90DD-F571FFB5CE73}" type="pres">
      <dgm:prSet presAssocID="{EF37B134-9A15-4442-8CFA-D5746D5A932F}" presName="sp" presStyleCnt="0"/>
      <dgm:spPr/>
    </dgm:pt>
    <dgm:pt modelId="{BAC55137-8F59-B343-AE49-6E1E37C265AC}" type="pres">
      <dgm:prSet presAssocID="{567FE22D-DF4C-8443-8217-70059791396D}" presName="arrowAndChildren" presStyleCnt="0"/>
      <dgm:spPr/>
    </dgm:pt>
    <dgm:pt modelId="{6C283FAA-2338-E143-80FD-F68E5162A341}" type="pres">
      <dgm:prSet presAssocID="{567FE22D-DF4C-8443-8217-70059791396D}" presName="parentTextArrow" presStyleLbl="node1" presStyleIdx="2" presStyleCnt="6" custLinFactNeighborY="-6161"/>
      <dgm:spPr/>
    </dgm:pt>
    <dgm:pt modelId="{4E9CD666-7A65-D14C-AA7A-75A10AAF9EC2}" type="pres">
      <dgm:prSet presAssocID="{E09BA063-A500-284B-B6D7-CAC3E21C56C7}" presName="sp" presStyleCnt="0"/>
      <dgm:spPr/>
    </dgm:pt>
    <dgm:pt modelId="{AF2E3E23-5A3A-EB43-A545-26BC3652CC53}" type="pres">
      <dgm:prSet presAssocID="{450F2E20-3AFF-5A4A-A26D-3A72918F7008}" presName="arrowAndChildren" presStyleCnt="0"/>
      <dgm:spPr/>
    </dgm:pt>
    <dgm:pt modelId="{DE4AA7C1-6A09-AF4A-9698-0E97E8AC6BF9}" type="pres">
      <dgm:prSet presAssocID="{450F2E20-3AFF-5A4A-A26D-3A72918F7008}" presName="parentTextArrow" presStyleLbl="node1" presStyleIdx="2" presStyleCnt="6"/>
      <dgm:spPr/>
    </dgm:pt>
    <dgm:pt modelId="{10F789D4-5FE4-9C49-B4A4-AEB54B916F1A}" type="pres">
      <dgm:prSet presAssocID="{450F2E20-3AFF-5A4A-A26D-3A72918F7008}" presName="arrow" presStyleLbl="node1" presStyleIdx="3" presStyleCnt="6" custLinFactNeighborX="1873" custLinFactNeighborY="-4286"/>
      <dgm:spPr/>
    </dgm:pt>
    <dgm:pt modelId="{434CEAAE-2957-3241-82C0-0EE2D15E8D65}" type="pres">
      <dgm:prSet presAssocID="{450F2E20-3AFF-5A4A-A26D-3A72918F7008}" presName="descendantArrow" presStyleCnt="0"/>
      <dgm:spPr/>
    </dgm:pt>
    <dgm:pt modelId="{A2ADBF6A-9D03-7042-B1FC-452469A5E800}" type="pres">
      <dgm:prSet presAssocID="{B799F54C-0A84-824C-8EEE-35397AC67281}" presName="childTextArrow" presStyleLbl="fgAccFollowNode1" presStyleIdx="0" presStyleCnt="2" custScaleX="73520" custLinFactY="315639" custLinFactNeighborX="-28" custLinFactNeighborY="400000">
        <dgm:presLayoutVars>
          <dgm:bulletEnabled val="1"/>
        </dgm:presLayoutVars>
      </dgm:prSet>
      <dgm:spPr/>
    </dgm:pt>
    <dgm:pt modelId="{321E55A8-6C8E-1143-8182-5447A72C0440}" type="pres">
      <dgm:prSet presAssocID="{AE4DCCAC-4596-E04E-A300-B01C492A7D8C}" presName="childTextArrow" presStyleLbl="fgAccFollowNode1" presStyleIdx="1" presStyleCnt="2" custScaleX="58213" custLinFactY="344886" custLinFactNeighborX="-783" custLinFactNeighborY="400000">
        <dgm:presLayoutVars>
          <dgm:bulletEnabled val="1"/>
        </dgm:presLayoutVars>
      </dgm:prSet>
      <dgm:spPr/>
    </dgm:pt>
    <dgm:pt modelId="{B88EA503-4691-7C47-A8EF-A126D4C70801}" type="pres">
      <dgm:prSet presAssocID="{61A2D061-7ED7-2A44-9157-08849922CBB4}" presName="sp" presStyleCnt="0"/>
      <dgm:spPr/>
    </dgm:pt>
    <dgm:pt modelId="{D4233D53-14B6-9947-83FE-0B6A2D3F9518}" type="pres">
      <dgm:prSet presAssocID="{20BBAF8D-3C80-6C4D-9F1C-032EF338C7EB}" presName="arrowAndChildren" presStyleCnt="0"/>
      <dgm:spPr/>
    </dgm:pt>
    <dgm:pt modelId="{B0ED31C8-A99C-6241-A7B6-193726CB61E3}" type="pres">
      <dgm:prSet presAssocID="{20BBAF8D-3C80-6C4D-9F1C-032EF338C7EB}" presName="parentTextArrow" presStyleLbl="node1" presStyleIdx="4" presStyleCnt="6"/>
      <dgm:spPr/>
    </dgm:pt>
    <dgm:pt modelId="{8BCE6ED6-0194-DA45-AE7F-C6AC9DB31C82}" type="pres">
      <dgm:prSet presAssocID="{2B2E9CAF-D2F6-CE46-9522-B52899F01B3E}" presName="sp" presStyleCnt="0"/>
      <dgm:spPr/>
    </dgm:pt>
    <dgm:pt modelId="{633C8B0F-E9E3-3749-A43D-3A13166E93EA}" type="pres">
      <dgm:prSet presAssocID="{C95AD5DD-76C8-1B48-8B30-024D98EF355A}" presName="arrowAndChildren" presStyleCnt="0"/>
      <dgm:spPr/>
    </dgm:pt>
    <dgm:pt modelId="{BC916440-164F-684A-B2FC-A0337B4911B1}" type="pres">
      <dgm:prSet presAssocID="{C95AD5DD-76C8-1B48-8B30-024D98EF355A}" presName="parentTextArrow" presStyleLbl="node1" presStyleIdx="5" presStyleCnt="6" custLinFactNeighborY="10470"/>
      <dgm:spPr/>
    </dgm:pt>
  </dgm:ptLst>
  <dgm:cxnLst>
    <dgm:cxn modelId="{5C52AB08-B97D-544B-A3BD-9B57A40468C0}" type="presOf" srcId="{ACB1647A-CBFB-E843-9A80-73CAA8B07780}" destId="{1330DFB1-F601-8841-81F5-53F85A95C1DD}" srcOrd="0" destOrd="0" presId="urn:microsoft.com/office/officeart/2005/8/layout/process4"/>
    <dgm:cxn modelId="{704DF70F-08FF-C645-AAD1-6C3FCC360EC1}" type="presOf" srcId="{B799F54C-0A84-824C-8EEE-35397AC67281}" destId="{A2ADBF6A-9D03-7042-B1FC-452469A5E800}" srcOrd="0" destOrd="0" presId="urn:microsoft.com/office/officeart/2005/8/layout/process4"/>
    <dgm:cxn modelId="{B986EE15-A48B-D241-8FFF-F4120E429A1D}" srcId="{EF14F906-B729-124D-8B52-88381582A2FC}" destId="{450F2E20-3AFF-5A4A-A26D-3A72918F7008}" srcOrd="2" destOrd="0" parTransId="{20E66127-E4D4-1D48-8A48-E17E62B7A4A4}" sibTransId="{E09BA063-A500-284B-B6D7-CAC3E21C56C7}"/>
    <dgm:cxn modelId="{47577D25-37E3-2541-BD1E-CFCDD87AA0AE}" type="presOf" srcId="{EF14F906-B729-124D-8B52-88381582A2FC}" destId="{9146B320-02AF-D646-AF33-7C6A30B05FF1}" srcOrd="0" destOrd="0" presId="urn:microsoft.com/office/officeart/2005/8/layout/process4"/>
    <dgm:cxn modelId="{389D0926-692A-E843-96A8-16674F82BD6A}" srcId="{EF14F906-B729-124D-8B52-88381582A2FC}" destId="{ACB1647A-CBFB-E843-9A80-73CAA8B07780}" srcOrd="4" destOrd="0" parTransId="{869C32D0-D3BB-434F-A6F0-305931D600EB}" sibTransId="{C96983BD-ED3D-6944-809E-3D816D845691}"/>
    <dgm:cxn modelId="{D9535342-07DD-6441-ADFF-933BACB0E3F9}" type="presOf" srcId="{EDF5AA43-D54E-0E4C-909C-9ED7AD95551B}" destId="{75583A4E-09AE-8D42-A27A-F668287293EC}" srcOrd="0" destOrd="0" presId="urn:microsoft.com/office/officeart/2005/8/layout/process4"/>
    <dgm:cxn modelId="{5E72336A-6252-7E48-B782-895C6811CC5C}" type="presOf" srcId="{567FE22D-DF4C-8443-8217-70059791396D}" destId="{6C283FAA-2338-E143-80FD-F68E5162A341}" srcOrd="0" destOrd="0" presId="urn:microsoft.com/office/officeart/2005/8/layout/process4"/>
    <dgm:cxn modelId="{D6D8058D-311E-7741-B5F3-A0B334B1D13B}" srcId="{EF14F906-B729-124D-8B52-88381582A2FC}" destId="{567FE22D-DF4C-8443-8217-70059791396D}" srcOrd="3" destOrd="0" parTransId="{00BD30CE-F66B-654D-BFEA-8DC31C84F870}" sibTransId="{EF37B134-9A15-4442-8CFA-D5746D5A932F}"/>
    <dgm:cxn modelId="{56C326A3-2374-3F43-81B8-838A3B5D7B2B}" srcId="{EF14F906-B729-124D-8B52-88381582A2FC}" destId="{EDF5AA43-D54E-0E4C-909C-9ED7AD95551B}" srcOrd="5" destOrd="0" parTransId="{DD7B8013-6A8C-4547-B9ED-53BC28E17BDA}" sibTransId="{0E99D672-E111-DC4C-951A-35A602A9B955}"/>
    <dgm:cxn modelId="{CBFE12AE-AEA0-2445-9404-CD87BBFF5D56}" srcId="{EF14F906-B729-124D-8B52-88381582A2FC}" destId="{20BBAF8D-3C80-6C4D-9F1C-032EF338C7EB}" srcOrd="1" destOrd="0" parTransId="{C97888F2-3A87-A342-8FB0-7512BD0437DF}" sibTransId="{61A2D061-7ED7-2A44-9157-08849922CBB4}"/>
    <dgm:cxn modelId="{094927B4-366F-5A43-A50D-76DA7EA4B9BF}" type="presOf" srcId="{450F2E20-3AFF-5A4A-A26D-3A72918F7008}" destId="{10F789D4-5FE4-9C49-B4A4-AEB54B916F1A}" srcOrd="1" destOrd="0" presId="urn:microsoft.com/office/officeart/2005/8/layout/process4"/>
    <dgm:cxn modelId="{795426BA-CE45-2A44-A88B-AEEABDA8E725}" srcId="{450F2E20-3AFF-5A4A-A26D-3A72918F7008}" destId="{B799F54C-0A84-824C-8EEE-35397AC67281}" srcOrd="0" destOrd="0" parTransId="{4F511F21-8EA7-A04C-A565-12A0D98ACA9E}" sibTransId="{6F5366A4-AEA4-C144-AFC7-FFE58750D6E3}"/>
    <dgm:cxn modelId="{EB4017D3-FC0D-9441-BF90-14EA204346E0}" type="presOf" srcId="{AE4DCCAC-4596-E04E-A300-B01C492A7D8C}" destId="{321E55A8-6C8E-1143-8182-5447A72C0440}" srcOrd="0" destOrd="0" presId="urn:microsoft.com/office/officeart/2005/8/layout/process4"/>
    <dgm:cxn modelId="{0A81DFDB-8E4D-FE46-A063-A56182F5F7B7}" type="presOf" srcId="{20BBAF8D-3C80-6C4D-9F1C-032EF338C7EB}" destId="{B0ED31C8-A99C-6241-A7B6-193726CB61E3}" srcOrd="0" destOrd="0" presId="urn:microsoft.com/office/officeart/2005/8/layout/process4"/>
    <dgm:cxn modelId="{5DA65FE8-60AF-214E-9F44-C04472A03348}" srcId="{EF14F906-B729-124D-8B52-88381582A2FC}" destId="{C95AD5DD-76C8-1B48-8B30-024D98EF355A}" srcOrd="0" destOrd="0" parTransId="{D1A3DE42-E252-3641-8E67-4D475EE1D0E8}" sibTransId="{2B2E9CAF-D2F6-CE46-9522-B52899F01B3E}"/>
    <dgm:cxn modelId="{C2486BE8-576D-624A-A49C-D43EC69BE5AB}" srcId="{450F2E20-3AFF-5A4A-A26D-3A72918F7008}" destId="{AE4DCCAC-4596-E04E-A300-B01C492A7D8C}" srcOrd="1" destOrd="0" parTransId="{13205515-E691-3D4D-9300-8C6A657E5728}" sibTransId="{A2AB7324-2DF5-AF47-8C3E-58ADCF476976}"/>
    <dgm:cxn modelId="{902834E9-7E15-0045-9153-64A0DAFD55FA}" type="presOf" srcId="{C95AD5DD-76C8-1B48-8B30-024D98EF355A}" destId="{BC916440-164F-684A-B2FC-A0337B4911B1}" srcOrd="0" destOrd="0" presId="urn:microsoft.com/office/officeart/2005/8/layout/process4"/>
    <dgm:cxn modelId="{00228DF7-4F0B-D84C-906D-4C5A6C3A2734}" type="presOf" srcId="{450F2E20-3AFF-5A4A-A26D-3A72918F7008}" destId="{DE4AA7C1-6A09-AF4A-9698-0E97E8AC6BF9}" srcOrd="0" destOrd="0" presId="urn:microsoft.com/office/officeart/2005/8/layout/process4"/>
    <dgm:cxn modelId="{41CB4C92-EA29-8544-BBB9-87F675A9DFC1}" type="presParOf" srcId="{9146B320-02AF-D646-AF33-7C6A30B05FF1}" destId="{0356A4DF-9647-0F4E-A149-EAB9947E9C0A}" srcOrd="0" destOrd="0" presId="urn:microsoft.com/office/officeart/2005/8/layout/process4"/>
    <dgm:cxn modelId="{0EEF53FC-9C90-0347-8560-DAAD479FE067}" type="presParOf" srcId="{0356A4DF-9647-0F4E-A149-EAB9947E9C0A}" destId="{75583A4E-09AE-8D42-A27A-F668287293EC}" srcOrd="0" destOrd="0" presId="urn:microsoft.com/office/officeart/2005/8/layout/process4"/>
    <dgm:cxn modelId="{21E2996E-84A5-0A4D-B236-532E1F0B0296}" type="presParOf" srcId="{9146B320-02AF-D646-AF33-7C6A30B05FF1}" destId="{58429E05-8B1D-1E4E-BA62-1D6F9E94FECB}" srcOrd="1" destOrd="0" presId="urn:microsoft.com/office/officeart/2005/8/layout/process4"/>
    <dgm:cxn modelId="{F46BD98A-3443-BA48-9E63-D55D988FFB3D}" type="presParOf" srcId="{9146B320-02AF-D646-AF33-7C6A30B05FF1}" destId="{D0B3E155-CDC5-5849-A5AD-BD00EA98B501}" srcOrd="2" destOrd="0" presId="urn:microsoft.com/office/officeart/2005/8/layout/process4"/>
    <dgm:cxn modelId="{772CB12E-4543-3744-9A1C-2FFF94510D06}" type="presParOf" srcId="{D0B3E155-CDC5-5849-A5AD-BD00EA98B501}" destId="{1330DFB1-F601-8841-81F5-53F85A95C1DD}" srcOrd="0" destOrd="0" presId="urn:microsoft.com/office/officeart/2005/8/layout/process4"/>
    <dgm:cxn modelId="{2620BAF3-FE6C-2D48-BC38-B6B52C013132}" type="presParOf" srcId="{9146B320-02AF-D646-AF33-7C6A30B05FF1}" destId="{975AC93C-89B8-4A48-90DD-F571FFB5CE73}" srcOrd="3" destOrd="0" presId="urn:microsoft.com/office/officeart/2005/8/layout/process4"/>
    <dgm:cxn modelId="{52540941-BDA4-354B-BC75-9A96377E6387}" type="presParOf" srcId="{9146B320-02AF-D646-AF33-7C6A30B05FF1}" destId="{BAC55137-8F59-B343-AE49-6E1E37C265AC}" srcOrd="4" destOrd="0" presId="urn:microsoft.com/office/officeart/2005/8/layout/process4"/>
    <dgm:cxn modelId="{12DB4341-E330-7840-84E3-29918BAA0888}" type="presParOf" srcId="{BAC55137-8F59-B343-AE49-6E1E37C265AC}" destId="{6C283FAA-2338-E143-80FD-F68E5162A341}" srcOrd="0" destOrd="0" presId="urn:microsoft.com/office/officeart/2005/8/layout/process4"/>
    <dgm:cxn modelId="{D75AC74F-37A0-1E4E-8882-4AABE6700308}" type="presParOf" srcId="{9146B320-02AF-D646-AF33-7C6A30B05FF1}" destId="{4E9CD666-7A65-D14C-AA7A-75A10AAF9EC2}" srcOrd="5" destOrd="0" presId="urn:microsoft.com/office/officeart/2005/8/layout/process4"/>
    <dgm:cxn modelId="{175F13F5-C3F2-2C42-891F-E008A8B22110}" type="presParOf" srcId="{9146B320-02AF-D646-AF33-7C6A30B05FF1}" destId="{AF2E3E23-5A3A-EB43-A545-26BC3652CC53}" srcOrd="6" destOrd="0" presId="urn:microsoft.com/office/officeart/2005/8/layout/process4"/>
    <dgm:cxn modelId="{D102DDA8-0A11-174C-A7F2-41F53B9F9232}" type="presParOf" srcId="{AF2E3E23-5A3A-EB43-A545-26BC3652CC53}" destId="{DE4AA7C1-6A09-AF4A-9698-0E97E8AC6BF9}" srcOrd="0" destOrd="0" presId="urn:microsoft.com/office/officeart/2005/8/layout/process4"/>
    <dgm:cxn modelId="{7ECC815C-17E5-804C-844D-09B581FB0A23}" type="presParOf" srcId="{AF2E3E23-5A3A-EB43-A545-26BC3652CC53}" destId="{10F789D4-5FE4-9C49-B4A4-AEB54B916F1A}" srcOrd="1" destOrd="0" presId="urn:microsoft.com/office/officeart/2005/8/layout/process4"/>
    <dgm:cxn modelId="{609BD79F-C423-034F-8313-750D633ABC4E}" type="presParOf" srcId="{AF2E3E23-5A3A-EB43-A545-26BC3652CC53}" destId="{434CEAAE-2957-3241-82C0-0EE2D15E8D65}" srcOrd="2" destOrd="0" presId="urn:microsoft.com/office/officeart/2005/8/layout/process4"/>
    <dgm:cxn modelId="{E045EB68-31B0-7B49-B1EF-07BC940C884D}" type="presParOf" srcId="{434CEAAE-2957-3241-82C0-0EE2D15E8D65}" destId="{A2ADBF6A-9D03-7042-B1FC-452469A5E800}" srcOrd="0" destOrd="0" presId="urn:microsoft.com/office/officeart/2005/8/layout/process4"/>
    <dgm:cxn modelId="{B936C7A5-51CB-C24C-9085-1956B6A14C16}" type="presParOf" srcId="{434CEAAE-2957-3241-82C0-0EE2D15E8D65}" destId="{321E55A8-6C8E-1143-8182-5447A72C0440}" srcOrd="1" destOrd="0" presId="urn:microsoft.com/office/officeart/2005/8/layout/process4"/>
    <dgm:cxn modelId="{1D1E9458-A84A-B64B-B527-AA452F8C86AC}" type="presParOf" srcId="{9146B320-02AF-D646-AF33-7C6A30B05FF1}" destId="{B88EA503-4691-7C47-A8EF-A126D4C70801}" srcOrd="7" destOrd="0" presId="urn:microsoft.com/office/officeart/2005/8/layout/process4"/>
    <dgm:cxn modelId="{A3B7DFF4-D52C-3644-8A11-C2B975F6F524}" type="presParOf" srcId="{9146B320-02AF-D646-AF33-7C6A30B05FF1}" destId="{D4233D53-14B6-9947-83FE-0B6A2D3F9518}" srcOrd="8" destOrd="0" presId="urn:microsoft.com/office/officeart/2005/8/layout/process4"/>
    <dgm:cxn modelId="{D57694B1-7D66-284C-B456-7E3516EA3C2E}" type="presParOf" srcId="{D4233D53-14B6-9947-83FE-0B6A2D3F9518}" destId="{B0ED31C8-A99C-6241-A7B6-193726CB61E3}" srcOrd="0" destOrd="0" presId="urn:microsoft.com/office/officeart/2005/8/layout/process4"/>
    <dgm:cxn modelId="{2A9ECD74-C352-B845-9E98-63FAB197F34A}" type="presParOf" srcId="{9146B320-02AF-D646-AF33-7C6A30B05FF1}" destId="{8BCE6ED6-0194-DA45-AE7F-C6AC9DB31C82}" srcOrd="9" destOrd="0" presId="urn:microsoft.com/office/officeart/2005/8/layout/process4"/>
    <dgm:cxn modelId="{8A358436-6760-F946-9DB3-F1FDF1D5F841}" type="presParOf" srcId="{9146B320-02AF-D646-AF33-7C6A30B05FF1}" destId="{633C8B0F-E9E3-3749-A43D-3A13166E93EA}" srcOrd="10" destOrd="0" presId="urn:microsoft.com/office/officeart/2005/8/layout/process4"/>
    <dgm:cxn modelId="{0F8BB65F-0A68-9043-8324-70A77808B50C}" type="presParOf" srcId="{633C8B0F-E9E3-3749-A43D-3A13166E93EA}" destId="{BC916440-164F-684A-B2FC-A0337B4911B1}" srcOrd="0"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583A4E-09AE-8D42-A27A-F668287293EC}">
      <dsp:nvSpPr>
        <dsp:cNvPr id="0" name=""/>
        <dsp:cNvSpPr/>
      </dsp:nvSpPr>
      <dsp:spPr>
        <a:xfrm flipV="1">
          <a:off x="0" y="6388282"/>
          <a:ext cx="3965223" cy="100109"/>
        </a:xfrm>
        <a:prstGeom prst="rec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rot="10800000">
        <a:off x="0" y="6388282"/>
        <a:ext cx="3965223" cy="100109"/>
      </dsp:txXfrm>
    </dsp:sp>
    <dsp:sp modelId="{1330DFB1-F601-8841-81F5-53F85A95C1DD}">
      <dsp:nvSpPr>
        <dsp:cNvPr id="0" name=""/>
        <dsp:cNvSpPr/>
      </dsp:nvSpPr>
      <dsp:spPr>
        <a:xfrm rot="10800000">
          <a:off x="0" y="5111115"/>
          <a:ext cx="3965223" cy="1009687"/>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Garamond" panose="02020404030301010803" pitchFamily="18" charset="0"/>
              <a:ea typeface="+mn-ea"/>
              <a:cs typeface="+mn-cs"/>
            </a:rPr>
            <a:t>Classify the sentences that form aggregate risk disclosure based on its time-orientation (i.e., that contain at least one word from </a:t>
          </a:r>
          <a:r>
            <a:rPr lang="en-GB" sz="1000" b="1" kern="1200">
              <a:solidFill>
                <a:sysClr val="window" lastClr="FFFFFF"/>
              </a:solidFill>
              <a:latin typeface="Garamond" panose="02020404030301010803" pitchFamily="18" charset="0"/>
              <a:ea typeface="+mn-ea"/>
              <a:cs typeface="+mn-cs"/>
            </a:rPr>
            <a:t>the forward-looking </a:t>
          </a:r>
          <a:r>
            <a:rPr lang="en-GB" sz="1000" b="1" strike="noStrike" kern="1200">
              <a:solidFill>
                <a:sysClr val="window" lastClr="FFFFFF"/>
              </a:solidFill>
              <a:latin typeface="Garamond" panose="02020404030301010803" pitchFamily="18" charset="0"/>
              <a:ea typeface="+mn-ea"/>
              <a:cs typeface="+mn-cs"/>
            </a:rPr>
            <a:t>word list</a:t>
          </a:r>
          <a:r>
            <a:rPr lang="en-GB" sz="1000" kern="1200">
              <a:solidFill>
                <a:sysClr val="window" lastClr="FFFFFF"/>
              </a:solidFill>
              <a:latin typeface="Garamond" panose="02020404030301010803" pitchFamily="18" charset="0"/>
              <a:ea typeface="+mn-ea"/>
              <a:cs typeface="+mn-cs"/>
            </a:rPr>
            <a:t>).  </a:t>
          </a:r>
          <a:endParaRPr lang="en-GB" sz="1000" strike="sngStrike" kern="1200">
            <a:solidFill>
              <a:sysClr val="window" lastClr="FFFFFF"/>
            </a:solidFill>
            <a:latin typeface="Garamond" panose="02020404030301010803" pitchFamily="18" charset="0"/>
            <a:ea typeface="+mn-ea"/>
            <a:cs typeface="+mn-cs"/>
          </a:endParaRPr>
        </a:p>
      </dsp:txBody>
      <dsp:txXfrm rot="10800000">
        <a:off x="0" y="5111115"/>
        <a:ext cx="3965223" cy="656064"/>
      </dsp:txXfrm>
    </dsp:sp>
    <dsp:sp modelId="{6C283FAA-2338-E143-80FD-F68E5162A341}">
      <dsp:nvSpPr>
        <dsp:cNvPr id="0" name=""/>
        <dsp:cNvSpPr/>
      </dsp:nvSpPr>
      <dsp:spPr>
        <a:xfrm rot="10800000">
          <a:off x="0" y="3961051"/>
          <a:ext cx="3965223"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Garamond" panose="02020404030301010803" pitchFamily="18" charset="0"/>
              <a:ea typeface="+mn-ea"/>
              <a:cs typeface="+mn-cs"/>
            </a:rPr>
            <a:t>Aggregate risk disclosure</a:t>
          </a:r>
        </a:p>
      </dsp:txBody>
      <dsp:txXfrm rot="10800000">
        <a:off x="0" y="3961051"/>
        <a:ext cx="3965223" cy="883863"/>
      </dsp:txXfrm>
    </dsp:sp>
    <dsp:sp modelId="{10F789D4-5FE4-9C49-B4A4-AEB54B916F1A}">
      <dsp:nvSpPr>
        <dsp:cNvPr id="0" name=""/>
        <dsp:cNvSpPr/>
      </dsp:nvSpPr>
      <dsp:spPr>
        <a:xfrm rot="10800000">
          <a:off x="0" y="2639553"/>
          <a:ext cx="3965223"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Garamond" panose="02020404030301010803" pitchFamily="18" charset="0"/>
              <a:ea typeface="+mn-ea"/>
              <a:cs typeface="+mn-cs"/>
            </a:rPr>
            <a:t>Count the total number of sentences indicating risk, which gives the aggregate risk disclosure score for each firm, each year. </a:t>
          </a:r>
        </a:p>
      </dsp:txBody>
      <dsp:txXfrm rot="-10800000">
        <a:off x="0" y="2806772"/>
        <a:ext cx="3965223" cy="310235"/>
      </dsp:txXfrm>
    </dsp:sp>
    <dsp:sp modelId="{A2ADBF6A-9D03-7042-B1FC-452469A5E800}">
      <dsp:nvSpPr>
        <dsp:cNvPr id="0" name=""/>
        <dsp:cNvSpPr/>
      </dsp:nvSpPr>
      <dsp:spPr>
        <a:xfrm>
          <a:off x="0" y="6085519"/>
          <a:ext cx="2212046" cy="406720"/>
        </a:xfrm>
        <a:prstGeom prst="rect">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Garamond" panose="02020404030301010803" pitchFamily="18" charset="0"/>
              <a:ea typeface="+mn-ea"/>
              <a:cs typeface="+mn-cs"/>
            </a:rPr>
            <a:t>Forward-looking risk disclosure</a:t>
          </a:r>
        </a:p>
      </dsp:txBody>
      <dsp:txXfrm>
        <a:off x="0" y="6085519"/>
        <a:ext cx="2212046" cy="406720"/>
      </dsp:txXfrm>
    </dsp:sp>
    <dsp:sp modelId="{321E55A8-6C8E-1143-8182-5447A72C0440}">
      <dsp:nvSpPr>
        <dsp:cNvPr id="0" name=""/>
        <dsp:cNvSpPr/>
      </dsp:nvSpPr>
      <dsp:spPr>
        <a:xfrm>
          <a:off x="2189328" y="6085519"/>
          <a:ext cx="1751494" cy="406720"/>
        </a:xfrm>
        <a:prstGeom prst="rect">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Garamond" panose="02020404030301010803" pitchFamily="18" charset="0"/>
              <a:ea typeface="+mn-ea"/>
              <a:cs typeface="+mn-cs"/>
            </a:rPr>
            <a:t>Non-forwad risk disclosure</a:t>
          </a:r>
        </a:p>
      </dsp:txBody>
      <dsp:txXfrm>
        <a:off x="2189328" y="6085519"/>
        <a:ext cx="1751494" cy="406720"/>
      </dsp:txXfrm>
    </dsp:sp>
    <dsp:sp modelId="{B0ED31C8-A99C-6241-A7B6-193726CB61E3}">
      <dsp:nvSpPr>
        <dsp:cNvPr id="0" name=""/>
        <dsp:cNvSpPr/>
      </dsp:nvSpPr>
      <dsp:spPr>
        <a:xfrm rot="10800000">
          <a:off x="0" y="1350851"/>
          <a:ext cx="3965223"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Garamond" panose="02020404030301010803" pitchFamily="18" charset="0"/>
              <a:ea typeface="+mn-ea"/>
              <a:cs typeface="+mn-cs"/>
            </a:rPr>
            <a:t>Search all narrative sections of annual reports for any sentence indicating risk (i.e., that contains at least one word from </a:t>
          </a:r>
          <a:r>
            <a:rPr lang="en-GB" sz="1000" b="1" kern="1200">
              <a:solidFill>
                <a:sysClr val="window" lastClr="FFFFFF"/>
              </a:solidFill>
              <a:latin typeface="Garamond" panose="02020404030301010803" pitchFamily="18" charset="0"/>
              <a:ea typeface="+mn-ea"/>
              <a:cs typeface="+mn-cs"/>
            </a:rPr>
            <a:t>the  risk word list</a:t>
          </a:r>
          <a:r>
            <a:rPr lang="en-GB" sz="1000" kern="1200">
              <a:solidFill>
                <a:sysClr val="window" lastClr="FFFFFF"/>
              </a:solidFill>
              <a:latin typeface="Garamond" panose="02020404030301010803" pitchFamily="18" charset="0"/>
              <a:ea typeface="+mn-ea"/>
              <a:cs typeface="+mn-cs"/>
            </a:rPr>
            <a:t>)</a:t>
          </a:r>
        </a:p>
      </dsp:txBody>
      <dsp:txXfrm rot="10800000">
        <a:off x="0" y="1350851"/>
        <a:ext cx="3965223" cy="883863"/>
      </dsp:txXfrm>
    </dsp:sp>
    <dsp:sp modelId="{BC916440-164F-684A-B2FC-A0337B4911B1}">
      <dsp:nvSpPr>
        <dsp:cNvPr id="0" name=""/>
        <dsp:cNvSpPr/>
      </dsp:nvSpPr>
      <dsp:spPr>
        <a:xfrm rot="10800000">
          <a:off x="0" y="146267"/>
          <a:ext cx="3965223" cy="1360270"/>
        </a:xfrm>
        <a:prstGeom prst="upArrowCallout">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Garamond" panose="02020404030301010803" pitchFamily="18" charset="0"/>
              <a:ea typeface="+mn-ea"/>
              <a:cs typeface="+mn-cs"/>
            </a:rPr>
            <a:t>Import annual reports after transforming them to text files and create a corpus for all firms all years   </a:t>
          </a:r>
        </a:p>
      </dsp:txBody>
      <dsp:txXfrm rot="10800000">
        <a:off x="0" y="146267"/>
        <a:ext cx="3965223" cy="88386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8ED9FD-9C85-CC43-9F0C-939C65553E1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3135-EE63-4A5E-AAB4-1E0ADD13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12484</Words>
  <Characters>71165</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TMFH Elshandidy</dc:creator>
  <cp:keywords/>
  <dc:description/>
  <cp:lastModifiedBy>Yousry Ahmed</cp:lastModifiedBy>
  <cp:revision>44</cp:revision>
  <cp:lastPrinted>2016-03-16T18:18:00Z</cp:lastPrinted>
  <dcterms:created xsi:type="dcterms:W3CDTF">2022-12-06T11:35:00Z</dcterms:created>
  <dcterms:modified xsi:type="dcterms:W3CDTF">2022-12-14T10:37:00Z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id="1GLTwL6R"/&gt;&lt;style id="http://www.zotero.org/styles/accounting-forum" hasBibliography="1" bibliographyStyleHasBeenSet="1"/&gt;&lt;prefs&gt;&lt;pref name="fieldType" value="Field"/&gt;&lt;/prefs&gt;&lt;/data&gt;</vt:lpwstr>
  </property>
  <property fmtid="{D5CDD505-2E9C-101B-9397-08002B2CF9AE}" pid="3" name="grammarly_documentId">
    <vt:lpwstr>documentId_7997</vt:lpwstr>
  </property>
  <property fmtid="{D5CDD505-2E9C-101B-9397-08002B2CF9AE}" pid="4" name="grammarly_documentContext">
    <vt:lpwstr>{"goals":[],"domain":"general","emotions":[],"dialect":"american"}</vt:lpwstr>
  </property>
  <property fmtid="{D5CDD505-2E9C-101B-9397-08002B2CF9AE}" pid="5" name="GrammarlyDocumentId">
    <vt:lpwstr>73c48e8303b03fb50e4adf36b88d7cecef3fff8db459b507e39dfa16f24f8184</vt:lpwstr>
  </property>
</Properties>
</file>