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B548" w14:textId="02C3B063" w:rsidR="008C71AD" w:rsidRDefault="00D554C6">
      <w:r>
        <w:t>“COVID-19 and income inequality in OECD countries.” A methodological comment – A reply</w:t>
      </w:r>
    </w:p>
    <w:p w14:paraId="285276AC" w14:textId="7E9F5A82" w:rsidR="00D554C6" w:rsidRDefault="00D554C6"/>
    <w:p w14:paraId="42601CA5" w14:textId="5B99807D" w:rsidR="00D554C6" w:rsidRDefault="00D554C6">
      <w:r>
        <w:t>John Wildman</w:t>
      </w:r>
    </w:p>
    <w:p w14:paraId="2AE31A59" w14:textId="65768120" w:rsidR="00D554C6" w:rsidRDefault="00D554C6"/>
    <w:p w14:paraId="0E449CB1" w14:textId="3A6A7D69" w:rsidR="00D554C6" w:rsidRDefault="00D554C6">
      <w:r>
        <w:t>Stark (2023) has outlined important issues relating to income inequality and health. The literature that these issues arise from is of great interest, still largely unresolved and</w:t>
      </w:r>
      <w:r w:rsidR="00D3545A">
        <w:t>,</w:t>
      </w:r>
      <w:r>
        <w:t xml:space="preserve"> at times</w:t>
      </w:r>
      <w:r w:rsidR="00D3545A">
        <w:t>,</w:t>
      </w:r>
      <w:r>
        <w:t xml:space="preserve"> very controversial. The key starting point, in terms of my own research</w:t>
      </w:r>
      <w:r w:rsidR="00D3545A">
        <w:t>,</w:t>
      </w:r>
      <w:r>
        <w:t xml:space="preserve"> is </w:t>
      </w:r>
      <w:r w:rsidR="00AF7521">
        <w:fldChar w:fldCharType="begin" w:fldLock="1"/>
      </w:r>
      <w:r w:rsidR="00AF7521">
        <w:instrText>ADDIN CSL_CITATION {"citationItems":[{"id":"ITEM-1","itemData":{"author":[{"dropping-particle":"","family":"Wilkinson","given":"Richard","non-dropping-particle":"","parse-names":false,"suffix":""}],"id":"ITEM-1","issued":{"date-parts":[["1996"]]},"publisher":"Routledge","publisher-place":"London","title":"Unhealthy Societies. The Afflictions of Inequality","type":"book"},"uris":["http://www.mendeley.com/documents/?uuid=5a293af9-8979-4751-9a6e-c51b0d48e4ce"]}],"mendeley":{"formattedCitation":"(Wilkinson, 1996)","manualFormatting":"Wilkinson (1996)","plainTextFormattedCitation":"(Wilkinson, 1996)","previouslyFormattedCitation":"(Wilkinson, 1996)"},"properties":{"noteIndex":0},"schema":"https://github.com/citation-style-language/schema/raw/master/csl-citation.json"}</w:instrText>
      </w:r>
      <w:r w:rsidR="00AF7521">
        <w:fldChar w:fldCharType="separate"/>
      </w:r>
      <w:r w:rsidR="00AF7521" w:rsidRPr="00AF7521">
        <w:rPr>
          <w:noProof/>
        </w:rPr>
        <w:t xml:space="preserve">Wilkinson </w:t>
      </w:r>
      <w:r w:rsidR="00AF7521">
        <w:rPr>
          <w:noProof/>
        </w:rPr>
        <w:t>(</w:t>
      </w:r>
      <w:r w:rsidR="00AF7521" w:rsidRPr="00AF7521">
        <w:rPr>
          <w:noProof/>
        </w:rPr>
        <w:t>1996)</w:t>
      </w:r>
      <w:r w:rsidR="00AF7521">
        <w:fldChar w:fldCharType="end"/>
      </w:r>
      <w:r w:rsidR="00AF7521">
        <w:t xml:space="preserve">, who raised the question of whether income inequality was more important for health than income. As part of that literature I published an article </w:t>
      </w:r>
      <w:r w:rsidR="00AF7521">
        <w:fldChar w:fldCharType="begin" w:fldLock="1"/>
      </w:r>
      <w:r w:rsidR="00D3545A">
        <w:instrText>ADDIN CSL_CITATION {"citationItems":[{"id":"ITEM-1","itemData":{"DOI":"10.1016/j.jhealeco.2007.05.007","ISSN":"01676296","abstract":"It is believed that income affects health directly but it is argued that indirect income effects due to relative deprivation may be equally important. This paper investigates these relationships using parametric and semiparametric panel data models which ameliorate problems of misspecification and unobservable heterogeneity. By allowing for a flexible functional form of income we ensure that coefficients on relative deprivation variables are not an artefact of a highly non-linear relationship between health and income. The results provide strong evidence for the impact of income on self-reported measures of health for men and women. These results are robust across a range of techniques and are resilient to the inclusion of measures of relative deprivation. The parametric results for relative deprivation largely reject its influence on health, although there is some evidence of an effect in the semiparametric models. © 2007 Elsevier B.V. All rights reserved.","author":[{"dropping-particle":"","family":"Jones","given":"A.M.","non-dropping-particle":"","parse-names":false,"suffix":""},{"dropping-particle":"","family":"Wildman","given":"J.","non-dropping-particle":"","parse-names":false,"suffix":""}],"container-title":"Journal of Health Economics","id":"ITEM-1","issue":"2","issued":{"date-parts":[["2008"]]},"title":"Health, income and relative deprivation: Evidence from the BHPS","type":"article-journal","volume":"27"},"uris":["http://www.mendeley.com/documents/?uuid=11172bc8-e10f-3edb-a5aa-1f2c8ac3b082"]}],"mendeley":{"formattedCitation":"(Jones &amp; Wildman, 2008)","plainTextFormattedCitation":"(Jones &amp; Wildman, 2008)","previouslyFormattedCitation":"(Jones &amp; Wildman, 2008)"},"properties":{"noteIndex":0},"schema":"https://github.com/citation-style-language/schema/raw/master/csl-citation.json"}</w:instrText>
      </w:r>
      <w:r w:rsidR="00AF7521">
        <w:fldChar w:fldCharType="separate"/>
      </w:r>
      <w:r w:rsidR="00AF7521" w:rsidRPr="00AF7521">
        <w:rPr>
          <w:noProof/>
        </w:rPr>
        <w:t>(Jones &amp; Wildman, 2008)</w:t>
      </w:r>
      <w:r w:rsidR="00AF7521">
        <w:fldChar w:fldCharType="end"/>
      </w:r>
      <w:r w:rsidR="00AF7521">
        <w:t xml:space="preserve"> that considered evidence in </w:t>
      </w:r>
      <w:r w:rsidR="00D3545A">
        <w:t>Great Britain</w:t>
      </w:r>
      <w:r w:rsidR="003A18F8">
        <w:t xml:space="preserve">. </w:t>
      </w:r>
    </w:p>
    <w:p w14:paraId="7193233C" w14:textId="2576686E" w:rsidR="00D3545A" w:rsidRDefault="00D3545A">
      <w:r>
        <w:t xml:space="preserve">Stark’s key contention stems from a paper I published in this journal in 2021 </w:t>
      </w:r>
      <w:r w:rsidR="009D12FE">
        <w:fldChar w:fldCharType="begin" w:fldLock="1"/>
      </w:r>
      <w:r w:rsidR="00025E01">
        <w:instrText>ADDIN CSL_CITATION {"citationItems":[{"id":"ITEM-1","itemData":{"DOI":"10.1007/S10198-021-01266-4","ISSN":"16187601","PMID":"33590424","abstract":"Objective: To determine the association between income inequality and COVID-19 cases and deaths per million in OECD countries. Methods: Cross-sectional regression methods are used to model the relationship between income inequality, as measured by the Gini coefficient, and COVID-19 reported cases and deaths per-million. Results: The results demonstrate a significant positive association between income inequality and COVID-19 cases and death per million in all estimated models. A 1% increase in the Gini coefficient is associated with an approximately 4% increase in cases per-million and an approximately 5% increase in deaths per-million. Conclusions: The results demonstrate that countries with high levels of income inequality have performed significantly worse when dealing with the COVID-19 outbreak in terms cases and deaths. Income inequality is a proxy for many elements of socioeconomic disadvantage that may contribute to the spread of, and deaths from, COVID-19. These include poor housing, smoking, obesity and pollution. Policy Implications: The findings suggest the importance of closing the gap in income inequality and improving the health and incomes of the poorest andmost vulnerable groups.","author":[{"dropping-particle":"","family":"Wildman","given":"John","non-dropping-particle":"","parse-names":false,"suffix":""}],"container-title":"The European Journal of Health Economics","id":"ITEM-1","issue":"3","issued":{"date-parts":[["2021","4","1"]]},"page":"455","publisher":"Springer","title":"COVID-19 and income inequality in OECD countries","type":"article-journal","volume":"22"},"uris":["http://www.mendeley.com/documents/?uuid=9608b634-4633-373a-84f1-f750705a0530"]}],"mendeley":{"formattedCitation":"(Wildman, 2021)","plainTextFormattedCitation":"(Wildman, 2021)","previouslyFormattedCitation":"(Wildman, 2021)"},"properties":{"noteIndex":0},"schema":"https://github.com/citation-style-language/schema/raw/master/csl-citation.json"}</w:instrText>
      </w:r>
      <w:r w:rsidR="009D12FE">
        <w:fldChar w:fldCharType="separate"/>
      </w:r>
      <w:r w:rsidR="009D12FE" w:rsidRPr="009D12FE">
        <w:rPr>
          <w:noProof/>
        </w:rPr>
        <w:t>(Wildman, 2021)</w:t>
      </w:r>
      <w:r w:rsidR="009D12FE">
        <w:fldChar w:fldCharType="end"/>
      </w:r>
      <w:r w:rsidR="009D12FE">
        <w:t>.</w:t>
      </w:r>
      <w:r w:rsidR="00A968D6">
        <w:t xml:space="preserve"> This paper contributes to the wider income inequality and health literature</w:t>
      </w:r>
      <w:r w:rsidR="00D70A64">
        <w:t>,</w:t>
      </w:r>
      <w:r w:rsidR="00A968D6">
        <w:t xml:space="preserve"> </w:t>
      </w:r>
      <w:r w:rsidR="00BF77BB">
        <w:t xml:space="preserve">and also to the COVID-19 literature, demonstrating that the </w:t>
      </w:r>
      <w:r w:rsidR="00EA4CC0">
        <w:t>parroted view</w:t>
      </w:r>
      <w:r w:rsidR="00BF77BB">
        <w:t xml:space="preserve"> that we are ‘all in it together’ </w:t>
      </w:r>
      <w:r w:rsidR="00846BFF">
        <w:t>was not true.</w:t>
      </w:r>
      <w:r w:rsidR="00762853">
        <w:t xml:space="preserve"> Stark directly quotes from Wildman (2021) and</w:t>
      </w:r>
      <w:r w:rsidR="00846BFF">
        <w:t xml:space="preserve"> </w:t>
      </w:r>
      <w:r w:rsidR="009D12FE">
        <w:t xml:space="preserve">I </w:t>
      </w:r>
      <w:r w:rsidR="00762853">
        <w:t xml:space="preserve">repeat this </w:t>
      </w:r>
      <w:r w:rsidR="009D12FE">
        <w:t>quote</w:t>
      </w:r>
      <w:r w:rsidR="00762853">
        <w:t xml:space="preserve"> here</w:t>
      </w:r>
      <w:r w:rsidR="009D12FE">
        <w:t>, as written by Stark (2023):</w:t>
      </w:r>
    </w:p>
    <w:p w14:paraId="0FEF23AE" w14:textId="3210D554" w:rsidR="009D12FE" w:rsidRDefault="008B0FDC">
      <w:r>
        <w:t>‘</w:t>
      </w:r>
      <w:r w:rsidR="009D12FE">
        <w:t>“A goal of government should be to reduce [</w:t>
      </w:r>
      <w:r w:rsidR="009D12FE">
        <w:rPr>
          <w:b/>
          <w:bCs/>
        </w:rPr>
        <w:t>income</w:t>
      </w:r>
      <w:r w:rsidR="009D12FE">
        <w:t>] inequalities and [</w:t>
      </w:r>
      <w:r w:rsidR="009D12FE">
        <w:rPr>
          <w:b/>
          <w:bCs/>
        </w:rPr>
        <w:t>thereby</w:t>
      </w:r>
      <w:r w:rsidR="009D12FE">
        <w:t>] improve the [</w:t>
      </w:r>
      <w:r w:rsidR="009D12FE">
        <w:rPr>
          <w:b/>
          <w:bCs/>
        </w:rPr>
        <w:t>COVID-19 outcomes</w:t>
      </w:r>
      <w:r w:rsidR="009D343B">
        <w:rPr>
          <w:b/>
          <w:bCs/>
        </w:rPr>
        <w:t xml:space="preserve"> /</w:t>
      </w:r>
      <w:r w:rsidR="009D12FE">
        <w:t>] underlying health of their populations.”</w:t>
      </w:r>
      <w:r>
        <w:t>’</w:t>
      </w:r>
    </w:p>
    <w:p w14:paraId="1C1716EB" w14:textId="722BC331" w:rsidR="009D12FE" w:rsidRDefault="009D12FE">
      <w:r>
        <w:t>The elements in bold text are those contextual words added by Stark, to which I will return.</w:t>
      </w:r>
    </w:p>
    <w:p w14:paraId="4E4C3A7D" w14:textId="3C78EAE3" w:rsidR="009D12FE" w:rsidRDefault="009D12FE">
      <w:r>
        <w:t>Stark goes on to demonstrate important properties of the Gini coefficient, a widely used measure of income inequality, and the one used in my own research. Stark highlights that the Gini coefficient is a relative measure of income inequality, so if all incomes increase by the same proportion the Gini coefficient will remain constant</w:t>
      </w:r>
      <w:r w:rsidR="00457427">
        <w:t xml:space="preserve">. The Gini coefficient is not a measure of absolute income inequality. </w:t>
      </w:r>
      <w:r w:rsidR="002E15C2">
        <w:t>I</w:t>
      </w:r>
      <w:r w:rsidR="00457427">
        <w:t>n the case of all income</w:t>
      </w:r>
      <w:r w:rsidR="002E15C2">
        <w:t>s</w:t>
      </w:r>
      <w:r w:rsidR="00457427">
        <w:t xml:space="preserve"> doubling, the Gini coefficient remains constant but the absolute gap in incomes, for example between the poorest and richest individual, has increased.</w:t>
      </w:r>
      <w:r w:rsidR="003C4BE7">
        <w:t xml:space="preserve"> To measure absolute </w:t>
      </w:r>
      <w:r w:rsidR="0033236E">
        <w:t>inequality,</w:t>
      </w:r>
      <w:r w:rsidR="003C4BE7">
        <w:t xml:space="preserve"> one could use the absolute Gini coefficient which is the product of mean income and the Gini coefficient. </w:t>
      </w:r>
      <w:r w:rsidR="006765B0">
        <w:t xml:space="preserve">Although, interestingly </w:t>
      </w:r>
      <w:r w:rsidR="009356B1">
        <w:fldChar w:fldCharType="begin" w:fldLock="1"/>
      </w:r>
      <w:r w:rsidR="0099696F">
        <w:instrText>ADDIN CSL_CITATION {"citationItems":[{"id":"ITEM-1","itemData":{"author":[{"dropping-particle":"","family":"Yitzhaki","given":"Shlomo","non-dropping-particle":"","parse-names":false,"suffix":""}],"id":"ITEM-1","issue":"2","issued":{"date-parts":[["1979"]]},"page":"321-324","title":"Relative Deprivation and the Gini Coefficient","type":"article-journal","volume":"93"},"uris":["http://www.mendeley.com/documents/?uuid=13825283-794d-47c6-bdcb-500ad67a6f9c"]}],"mendeley":{"formattedCitation":"(Yitzhaki, 1979)","manualFormatting":"Yitzhaki (1979)","plainTextFormattedCitation":"(Yitzhaki, 1979)","previouslyFormattedCitation":"(Yitzhaki, 1979)"},"properties":{"noteIndex":0},"schema":"https://github.com/citation-style-language/schema/raw/master/csl-citation.json"}</w:instrText>
      </w:r>
      <w:r w:rsidR="009356B1">
        <w:fldChar w:fldCharType="separate"/>
      </w:r>
      <w:r w:rsidR="009356B1" w:rsidRPr="009356B1">
        <w:rPr>
          <w:noProof/>
        </w:rPr>
        <w:t xml:space="preserve">Yitzhaki </w:t>
      </w:r>
      <w:r w:rsidR="009356B1">
        <w:rPr>
          <w:noProof/>
        </w:rPr>
        <w:t>(</w:t>
      </w:r>
      <w:r w:rsidR="009356B1" w:rsidRPr="009356B1">
        <w:rPr>
          <w:noProof/>
        </w:rPr>
        <w:t>1979)</w:t>
      </w:r>
      <w:r w:rsidR="009356B1">
        <w:fldChar w:fldCharType="end"/>
      </w:r>
      <w:r w:rsidR="009356B1">
        <w:t xml:space="preserve"> </w:t>
      </w:r>
      <w:r w:rsidR="00CB04C7">
        <w:t xml:space="preserve">shows that the </w:t>
      </w:r>
      <w:r w:rsidR="00EC5725">
        <w:t xml:space="preserve">product of mean income and the Gini coefficient is </w:t>
      </w:r>
      <w:r w:rsidR="00AD5812">
        <w:t xml:space="preserve">equal to the aggregate relative deprivation in a society. </w:t>
      </w:r>
      <w:r w:rsidR="004E7FC8">
        <w:t xml:space="preserve">As Hey and Lambert </w:t>
      </w:r>
      <w:r w:rsidR="00B30448">
        <w:t xml:space="preserve">(1980) explain, this result enables a ranking of </w:t>
      </w:r>
      <w:r w:rsidR="000305CC">
        <w:t xml:space="preserve">income distributions, based on societies overall relative deprivation, </w:t>
      </w:r>
      <w:r w:rsidR="003E10C1">
        <w:t xml:space="preserve">in terms of relative desirability. </w:t>
      </w:r>
    </w:p>
    <w:p w14:paraId="5C7D70B6" w14:textId="381B60CD" w:rsidR="00000FAF" w:rsidRDefault="00000FAF">
      <w:r>
        <w:t>“Thus, for example, if we are trying to choose between two income distributions with identical means, then Yi</w:t>
      </w:r>
      <w:r w:rsidR="00010772">
        <w:t xml:space="preserve">tzhaki’s result implies that we should choose the distribution with the lower Gini coefficient if we wish to </w:t>
      </w:r>
      <w:r w:rsidR="00632D75">
        <w:t xml:space="preserve">minimize society’s overall relative deprivation.” (Hey and Lambert, 1980 </w:t>
      </w:r>
      <w:r w:rsidR="00B11809">
        <w:t>p.568)</w:t>
      </w:r>
    </w:p>
    <w:p w14:paraId="51F7BB43" w14:textId="03E3094B" w:rsidR="00B11809" w:rsidRDefault="00B11809">
      <w:r>
        <w:t>A</w:t>
      </w:r>
      <w:r w:rsidR="00BF7786">
        <w:t>n argument which partly speaks to the results in Wildman (2021).</w:t>
      </w:r>
    </w:p>
    <w:p w14:paraId="424B3A0E" w14:textId="7D0EAFFF" w:rsidR="008B0FDC" w:rsidRDefault="008B0FDC">
      <w:r>
        <w:t>Stark (2023) helpfully shows that the Gini coefficient is comprised of two elements – the aggregate level of deprivation, which he refers to as aggregate stress, and aggregate income.</w:t>
      </w:r>
      <w:r w:rsidR="00F90868">
        <w:t xml:space="preserve"> Note here that what Stark refers to as aggregate stress is diff</w:t>
      </w:r>
      <w:r w:rsidR="005C2244">
        <w:t xml:space="preserve">erent to the aggregate relative deprivation referred to by </w:t>
      </w:r>
      <w:r w:rsidR="00203EBA">
        <w:t>Yitzhaki (1979) and Hey and Lambert (1980)</w:t>
      </w:r>
      <w:r w:rsidR="00DF53F0">
        <w:t>, for the latter</w:t>
      </w:r>
      <w:r w:rsidR="002C6AD2">
        <w:t>,</w:t>
      </w:r>
      <w:r w:rsidR="00DF53F0">
        <w:t xml:space="preserve"> aggregate relative deprivation is the product of mean income and the Gini coefficient</w:t>
      </w:r>
      <w:r w:rsidR="001378DD">
        <w:t>. For Stark</w:t>
      </w:r>
      <w:r w:rsidR="0033236E">
        <w:t>,</w:t>
      </w:r>
      <w:r w:rsidR="001378DD">
        <w:t xml:space="preserve"> aggregate deprivation, or stress, is the </w:t>
      </w:r>
      <w:r w:rsidR="00015486">
        <w:t>product of mean income</w:t>
      </w:r>
      <w:r w:rsidR="002C6AD2">
        <w:t xml:space="preserve"> and</w:t>
      </w:r>
      <w:r w:rsidR="00015486">
        <w:t xml:space="preserve"> the Gini coefficient and the number of individuals</w:t>
      </w:r>
      <w:r w:rsidR="00484CAB">
        <w:t xml:space="preserve">, </w:t>
      </w:r>
      <w:r w:rsidR="0033236E">
        <w:t>i.e.,</w:t>
      </w:r>
      <w:r w:rsidR="00484CAB">
        <w:t xml:space="preserve"> total relative deprivation</w:t>
      </w:r>
      <w:r w:rsidR="0073421D">
        <w:t xml:space="preserve">, and for the purposes of this note I will </w:t>
      </w:r>
      <w:r w:rsidR="000D2023">
        <w:t>stick with Stark’s terminology.</w:t>
      </w:r>
      <w:r>
        <w:t xml:space="preserve"> With numerical examples Stark highlights how aggregate stress can increase </w:t>
      </w:r>
      <w:r w:rsidR="000D2023">
        <w:t xml:space="preserve">even as the </w:t>
      </w:r>
      <w:r>
        <w:t xml:space="preserve">Gini coefficient decreases – a result that stems from the relative nature of the Gini coefficient: if incomes at the lower end of the </w:t>
      </w:r>
      <w:r>
        <w:lastRenderedPageBreak/>
        <w:t xml:space="preserve">distribution increase by a greater proportion than incomes at the higher end of the distribution but by an insufficiently large amount </w:t>
      </w:r>
      <w:r w:rsidR="00D540B0">
        <w:t>to ensure</w:t>
      </w:r>
      <w:r>
        <w:t xml:space="preserve"> that the absolute increase in income is</w:t>
      </w:r>
      <w:r w:rsidR="00D540B0">
        <w:t xml:space="preserve"> also</w:t>
      </w:r>
      <w:r>
        <w:t xml:space="preserve"> larger at the </w:t>
      </w:r>
      <w:r w:rsidR="00D540B0">
        <w:t>lower</w:t>
      </w:r>
      <w:r>
        <w:t xml:space="preserve"> end of the distribution compared to the </w:t>
      </w:r>
      <w:r w:rsidR="00D540B0">
        <w:t>higher</w:t>
      </w:r>
      <w:r>
        <w:t xml:space="preserve"> end</w:t>
      </w:r>
      <w:r w:rsidR="00D540B0">
        <w:t xml:space="preserve">, then aggregate deprivation (stress) will increase while the Gini coefficient falls. </w:t>
      </w:r>
    </w:p>
    <w:p w14:paraId="350B6CE4" w14:textId="787D3C56" w:rsidR="00D540B0" w:rsidRDefault="00D540B0">
      <w:r>
        <w:t>From these examples</w:t>
      </w:r>
      <w:r w:rsidR="001F1424">
        <w:t>,</w:t>
      </w:r>
      <w:r>
        <w:t xml:space="preserve"> Stark highlights the problems of measuring income inequality and which measure should be used where.</w:t>
      </w:r>
      <w:r w:rsidR="00A96D4F">
        <w:t xml:space="preserve"> </w:t>
      </w:r>
      <w:r w:rsidR="001F1424">
        <w:t>T</w:t>
      </w:r>
      <w:r w:rsidR="00A96D4F">
        <w:t>his is a non-trivial point</w:t>
      </w:r>
      <w:r w:rsidR="00D3449B">
        <w:t xml:space="preserve">. Which measure of income inequality we should use to investigate the relationship between income inequality and health is important, especially if we believe that absolute </w:t>
      </w:r>
      <w:r w:rsidR="00405605">
        <w:t>changes matter more than relative changes.</w:t>
      </w:r>
      <w:r>
        <w:t xml:space="preserve"> This also leads to the conclusion that lowering the Gini coefficient may not make sense as a policy goal. He attributes the conclusions in my paper to a mistaken understanding of the construction of the Gini coefficient when he correctly quotes Jones and Wildman (2008) where we write: “Summing the relative deprivation scores of each individual gives the Gini coefficient.” This quote is indeed imprecise and should refer to the case where the individual relative deprivation scores are normalised by the aggregate income. </w:t>
      </w:r>
      <w:r w:rsidRPr="00D540B0">
        <w:rPr>
          <w:i/>
          <w:iCs/>
        </w:rPr>
        <w:t>Mea culpa</w:t>
      </w:r>
      <w:r>
        <w:t xml:space="preserve">. </w:t>
      </w:r>
    </w:p>
    <w:p w14:paraId="1AD08FFF" w14:textId="1B5F4233" w:rsidR="000B2A21" w:rsidRDefault="00D540B0">
      <w:r>
        <w:t xml:space="preserve">However, I believe that there are </w:t>
      </w:r>
      <w:r w:rsidR="001F1424">
        <w:t>several</w:t>
      </w:r>
      <w:r>
        <w:t xml:space="preserve"> clarifications required regarding the income inequality and health relationship that have not been fully considered in Stark (2023). </w:t>
      </w:r>
    </w:p>
    <w:p w14:paraId="184142AD" w14:textId="092A9DD4" w:rsidR="004375E3" w:rsidRDefault="00D540B0">
      <w:r>
        <w:t xml:space="preserve">Firstly, </w:t>
      </w:r>
      <w:r w:rsidR="004375E3">
        <w:t>in the examples presented</w:t>
      </w:r>
      <w:r w:rsidR="00CF051B">
        <w:t xml:space="preserve"> by</w:t>
      </w:r>
      <w:r w:rsidR="004375E3">
        <w:t xml:space="preserve"> Stark (2023) </w:t>
      </w:r>
      <w:r w:rsidR="001D449B">
        <w:t>distribution</w:t>
      </w:r>
      <w:r w:rsidR="00BE2089">
        <w:t>al changes</w:t>
      </w:r>
      <w:r w:rsidR="00CF051B">
        <w:t xml:space="preserve"> are</w:t>
      </w:r>
      <w:r w:rsidR="001D449B">
        <w:t xml:space="preserve"> based on increasing mean income</w:t>
      </w:r>
      <w:r w:rsidR="004375E3">
        <w:t xml:space="preserve">. As </w:t>
      </w:r>
      <w:r w:rsidR="00025E01">
        <w:fldChar w:fldCharType="begin" w:fldLock="1"/>
      </w:r>
      <w:r w:rsidR="0099696F">
        <w:instrText>ADDIN CSL_CITATION {"citationItems":[{"id":"ITEM-1","itemData":{"DOI":"10.2307/1883197","ISSN":"15314650","author":[{"dropping-particle":"","family":"John D. Hey and Peter J Lambert","given":"","non-dropping-particle":"","parse-names":false,"suffix":""}],"container-title":"Quarterly Journal of Economics","id":"ITEM-1","issued":{"date-parts":[["1980"]]},"page":"567-573","title":"Relative deprivation and the gini coefficient: Comment","type":"article-journal","volume":"95"},"uris":["http://www.mendeley.com/documents/?uuid=88669ca0-1528-4ca8-acb0-7e5a866ce8a3"]}],"mendeley":{"formattedCitation":"(John D. Hey and Peter J Lambert, 1980)","manualFormatting":"Hey and Lambert (1980)","plainTextFormattedCitation":"(John D. Hey and Peter J Lambert, 1980)","previouslyFormattedCitation":"(John D. Hey and Peter J Lambert, 1980)"},"properties":{"noteIndex":0},"schema":"https://github.com/citation-style-language/schema/raw/master/csl-citation.json"}</w:instrText>
      </w:r>
      <w:r w:rsidR="00025E01">
        <w:fldChar w:fldCharType="separate"/>
      </w:r>
      <w:r w:rsidR="00025E01" w:rsidRPr="00025E01">
        <w:rPr>
          <w:noProof/>
        </w:rPr>
        <w:t xml:space="preserve">Hey and Lambert </w:t>
      </w:r>
      <w:r w:rsidR="00025E01">
        <w:rPr>
          <w:noProof/>
        </w:rPr>
        <w:t>(</w:t>
      </w:r>
      <w:r w:rsidR="00025E01" w:rsidRPr="00025E01">
        <w:rPr>
          <w:noProof/>
        </w:rPr>
        <w:t>1980)</w:t>
      </w:r>
      <w:r w:rsidR="00025E01">
        <w:fldChar w:fldCharType="end"/>
      </w:r>
      <w:r w:rsidR="00025E01">
        <w:t xml:space="preserve"> show</w:t>
      </w:r>
      <w:r w:rsidR="00230041">
        <w:t>, with increasing means, even with Lorenz dominance</w:t>
      </w:r>
      <w:r w:rsidR="00BE2089">
        <w:t>,</w:t>
      </w:r>
      <w:r w:rsidR="00230041">
        <w:t xml:space="preserve"> it is not possible to say anything regarding levels of </w:t>
      </w:r>
      <w:r w:rsidR="00E06A6E">
        <w:t xml:space="preserve">relative deprivation. </w:t>
      </w:r>
      <w:r w:rsidR="001F1424">
        <w:t>All</w:t>
      </w:r>
      <w:r w:rsidR="00E06A6E">
        <w:t xml:space="preserve"> the analysis </w:t>
      </w:r>
      <w:r w:rsidR="002476BB">
        <w:t>undertaken in</w:t>
      </w:r>
      <w:r w:rsidR="00BB3DC7">
        <w:t xml:space="preserve"> Wildman (2021)</w:t>
      </w:r>
      <w:r w:rsidR="002476BB">
        <w:t xml:space="preserve"> </w:t>
      </w:r>
      <w:r w:rsidR="00917C3B">
        <w:t>includes mean income as a control variable, in which case all results are interpreted as ceteris paribus</w:t>
      </w:r>
      <w:r w:rsidR="006244C9">
        <w:t xml:space="preserve"> – changes in the </w:t>
      </w:r>
      <w:r w:rsidR="005102AC">
        <w:t xml:space="preserve">distribution of income that preserve the mean must reduce aggregate </w:t>
      </w:r>
      <w:r w:rsidR="002242F3">
        <w:t>deprivation (stress)</w:t>
      </w:r>
      <w:r w:rsidR="000B2A21">
        <w:t xml:space="preserve"> – and it is within these bounds that any discussion should be considered. </w:t>
      </w:r>
      <w:r w:rsidR="00C315E6">
        <w:t>Echoing the earlier quote from Hey and Lambert</w:t>
      </w:r>
      <w:r w:rsidR="00037140">
        <w:t>, an</w:t>
      </w:r>
      <w:r w:rsidR="00E21096">
        <w:t>y</w:t>
      </w:r>
      <w:r w:rsidR="00037140">
        <w:t xml:space="preserve"> reduction in the Gini coefficient </w:t>
      </w:r>
      <w:r w:rsidR="00E21096">
        <w:t>will reduce aggregate deprivation.</w:t>
      </w:r>
    </w:p>
    <w:p w14:paraId="45E41915" w14:textId="193BA2F1" w:rsidR="000B2A21" w:rsidRDefault="000B2A21">
      <w:r>
        <w:t>Secondly, aggregate data are not suitable for investigating the relationship between income inequality and health</w:t>
      </w:r>
      <w:r w:rsidR="008A333A">
        <w:t xml:space="preserve">. </w:t>
      </w:r>
      <w:r w:rsidR="008A333A">
        <w:fldChar w:fldCharType="begin" w:fldLock="1"/>
      </w:r>
      <w:r w:rsidR="008A7BA7">
        <w:instrText>ADDIN CSL_CITATION {"citationItems":[{"id":"ITEM-1","itemData":{"DOI":"10.1016/S0277-9536(01)00053-3","ISSN":"02779536","abstract":"It has been suggested that, especially in countries with high per capita income, there is an independent effect of income distribution on the health of individuals. One source of evidence in support of this relative income hypothesis is the analysis of aggregate cross-section data on population health, per capita income and income inequality. We examine the empirical robustness of cross-section analyses by using a new data set to replicate and extend the methodology in a frequently cited paper. The estimated relationship between income inequality and population health is not significant in any of our estimated models. We also argue there are serious conceptual difficulties in using aggregate cross-sections as means of testing hypotheses about the effect of income, and its distribution, on the health of individuals. © 2002 Elsevier Science Ltd. All rights reserved.","author":[{"dropping-particle":"","family":"Gravelle","given":"H.","non-dropping-particle":"","parse-names":false,"suffix":""},{"dropping-particle":"","family":"Wildman","given":"J.","non-dropping-particle":"","parse-names":false,"suffix":""},{"dropping-particle":"","family":"Sutton","given":"M.","non-dropping-particle":"","parse-names":false,"suffix":""}],"container-title":"Social Science and Medicine","id":"ITEM-1","issue":"4","issued":{"date-parts":[["2002"]]},"title":"Income, income inequality and health: What can we learn from aggregate data?","type":"article-journal","volume":"54"},"uris":["http://www.mendeley.com/documents/?uuid=6b9926ce-7fd7-3fd4-9f97-5409f08b99df"]}],"mendeley":{"formattedCitation":"(Gravelle et al., 2002)","manualFormatting":"Gravelle et al. (2002)","plainTextFormattedCitation":"(Gravelle et al., 2002)","previouslyFormattedCitation":"(Gravelle et al., 2002)"},"properties":{"noteIndex":0},"schema":"https://github.com/citation-style-language/schema/raw/master/csl-citation.json"}</w:instrText>
      </w:r>
      <w:r w:rsidR="008A333A">
        <w:fldChar w:fldCharType="separate"/>
      </w:r>
      <w:r w:rsidR="008A333A" w:rsidRPr="008A333A">
        <w:rPr>
          <w:noProof/>
        </w:rPr>
        <w:t xml:space="preserve">Gravelle et al. </w:t>
      </w:r>
      <w:r w:rsidR="008A333A">
        <w:rPr>
          <w:noProof/>
        </w:rPr>
        <w:t>(</w:t>
      </w:r>
      <w:r w:rsidR="008A333A" w:rsidRPr="008A333A">
        <w:rPr>
          <w:noProof/>
        </w:rPr>
        <w:t>2002)</w:t>
      </w:r>
      <w:r w:rsidR="008A333A">
        <w:fldChar w:fldCharType="end"/>
      </w:r>
      <w:r w:rsidR="008A333A">
        <w:t xml:space="preserve"> </w:t>
      </w:r>
      <w:r w:rsidR="009A0223">
        <w:t>demonstrate the problems that may arise from using aggregate data when investigating the relationship between income inequality and health</w:t>
      </w:r>
      <w:r w:rsidR="00C5224D">
        <w:t>.</w:t>
      </w:r>
      <w:r w:rsidR="008D321C">
        <w:t xml:space="preserve"> Any such relationship could be an artefact of </w:t>
      </w:r>
      <w:r w:rsidR="003535DD">
        <w:t xml:space="preserve">aggregation. A relationship between income inequality and average health </w:t>
      </w:r>
      <w:r w:rsidR="002A2F05">
        <w:t>may be observed even when income inequality has no impact on individual health</w:t>
      </w:r>
      <w:r w:rsidR="008D321C">
        <w:t>.</w:t>
      </w:r>
      <w:r w:rsidR="002E728E">
        <w:t xml:space="preserve"> In fact, it was th</w:t>
      </w:r>
      <w:r w:rsidR="008D321C">
        <w:t>is</w:t>
      </w:r>
      <w:r w:rsidR="002E728E">
        <w:t xml:space="preserve"> very issue</w:t>
      </w:r>
      <w:r w:rsidR="008D321C">
        <w:t xml:space="preserve"> that motivated Jones and Wildman (2008) to undertake </w:t>
      </w:r>
      <w:r w:rsidR="00735355">
        <w:t xml:space="preserve">an analysis examining whether individual deprivation (stress) </w:t>
      </w:r>
      <w:r w:rsidR="000D4ADD">
        <w:t xml:space="preserve">affected individual health. Only </w:t>
      </w:r>
      <w:r w:rsidR="001F1424">
        <w:t>using</w:t>
      </w:r>
      <w:r w:rsidR="000D4ADD">
        <w:t xml:space="preserve"> individual level data is it possible to disentangle the</w:t>
      </w:r>
      <w:r w:rsidR="005308B4">
        <w:t xml:space="preserve"> impact of </w:t>
      </w:r>
      <w:r w:rsidR="002C6AD2">
        <w:t xml:space="preserve">income </w:t>
      </w:r>
      <w:r w:rsidR="005308B4">
        <w:t>inequality on health from the</w:t>
      </w:r>
      <w:r w:rsidR="000D4ADD">
        <w:t xml:space="preserve"> potential ecological fallacy that </w:t>
      </w:r>
      <w:r w:rsidR="005308B4">
        <w:t>may arise from using aggregate data.</w:t>
      </w:r>
      <w:r w:rsidR="00C5224D">
        <w:t xml:space="preserve"> To some degree Stark’s comment further highlights the potential pitfalls </w:t>
      </w:r>
      <w:r w:rsidR="00FB2242">
        <w:t xml:space="preserve">of using aggregate data, especially if one were to not control for income levels. </w:t>
      </w:r>
    </w:p>
    <w:p w14:paraId="134065D7" w14:textId="3F1D7FF7" w:rsidR="00246893" w:rsidRDefault="008A1066">
      <w:r>
        <w:t xml:space="preserve">Thirdly, and related to the point above, </w:t>
      </w:r>
      <w:r w:rsidR="00D3537E">
        <w:t xml:space="preserve">Wildman (2021) was never </w:t>
      </w:r>
      <w:r w:rsidR="001F1424">
        <w:t>intended</w:t>
      </w:r>
      <w:r w:rsidR="00D3537E">
        <w:t xml:space="preserve"> to be an analysis of whether </w:t>
      </w:r>
      <w:r w:rsidR="00F0723F">
        <w:t xml:space="preserve">income inequality causes poor health. </w:t>
      </w:r>
      <w:r w:rsidR="005E77FB">
        <w:t>The paper had the relative income hypothesis as its motivation, for this has been a literature where aggregate dat</w:t>
      </w:r>
      <w:r w:rsidR="00F12710">
        <w:t xml:space="preserve">a analysis, using the Gini coefficient as the measure of income inequality, has been widely used. </w:t>
      </w:r>
      <w:r w:rsidR="002463D9">
        <w:t>However, based on my own criticisms of the use of aggregate data</w:t>
      </w:r>
      <w:r w:rsidR="00F24C0C">
        <w:t>,</w:t>
      </w:r>
      <w:r w:rsidR="002463D9">
        <w:t xml:space="preserve"> the paper is very clear to </w:t>
      </w:r>
      <w:r w:rsidR="00021FF7">
        <w:t xml:space="preserve">highlight that the </w:t>
      </w:r>
      <w:r w:rsidR="00516333">
        <w:t xml:space="preserve">analysis does not intend to </w:t>
      </w:r>
      <w:r w:rsidR="00F94B7B">
        <w:t>provide unequivocal evidence that income inequality affects COVID-19 outcomes,</w:t>
      </w:r>
      <w:r w:rsidR="000C2C90">
        <w:t xml:space="preserve"> it simply cannot do that,</w:t>
      </w:r>
      <w:r w:rsidR="00F94B7B">
        <w:t xml:space="preserve"> </w:t>
      </w:r>
      <w:r w:rsidR="000C2C90">
        <w:t>the paper</w:t>
      </w:r>
      <w:r w:rsidR="00F94B7B">
        <w:t xml:space="preserve"> is much more nuanced. </w:t>
      </w:r>
      <w:r w:rsidR="00D2639A">
        <w:t>The</w:t>
      </w:r>
      <w:r w:rsidR="00F56EE5">
        <w:t xml:space="preserve"> paper makes no claims for whether the mechanism at play is based on relative or absolute income. In fact, the analysis holds even if i</w:t>
      </w:r>
      <w:r w:rsidR="00D3677B">
        <w:t>ncome inequality has no direct effect on health and the only effect runs from income to health</w:t>
      </w:r>
      <w:r w:rsidR="00696C9F">
        <w:t>, this is</w:t>
      </w:r>
      <w:r w:rsidR="00D3677B">
        <w:t xml:space="preserve"> sometimes referred to as the absolute income hypothesis </w:t>
      </w:r>
      <w:r w:rsidR="000865CA">
        <w:t xml:space="preserve">(Gravelle et al. </w:t>
      </w:r>
      <w:r w:rsidR="00C05653">
        <w:t>2002)</w:t>
      </w:r>
      <w:r w:rsidR="00696C9F">
        <w:t xml:space="preserve">. Recall that the Gini coefficient is the </w:t>
      </w:r>
      <w:r w:rsidR="00696C9F">
        <w:lastRenderedPageBreak/>
        <w:t xml:space="preserve">ratio of aggregate </w:t>
      </w:r>
      <w:r w:rsidR="00BB2E3E">
        <w:t xml:space="preserve">(deprivation) </w:t>
      </w:r>
      <w:r w:rsidR="00696C9F">
        <w:t>stress</w:t>
      </w:r>
      <w:r w:rsidR="00AF2318">
        <w:t xml:space="preserve"> </w:t>
      </w:r>
      <w:r w:rsidR="00BB2E3E">
        <w:t xml:space="preserve">and aggregate income. If there is no deprivation </w:t>
      </w:r>
      <w:r w:rsidR="002605E7">
        <w:t>effect,</w:t>
      </w:r>
      <w:r w:rsidR="00BB2E3E">
        <w:t xml:space="preserve"> </w:t>
      </w:r>
      <w:r w:rsidR="002605E7">
        <w:t xml:space="preserve">then the numerator reduces simply to the aggregate differences in absolute income. It is the same quantity but now has no further interpretation </w:t>
      </w:r>
      <w:r w:rsidR="00412A97">
        <w:t xml:space="preserve">with regards to deprivation or stress. </w:t>
      </w:r>
      <w:r w:rsidR="00D27D19">
        <w:t>In this case the Gini coefficient simply tells a story relating to different marginal products of</w:t>
      </w:r>
      <w:r w:rsidR="00AF140C">
        <w:t xml:space="preserve"> income</w:t>
      </w:r>
      <w:r w:rsidR="00D27D19">
        <w:t xml:space="preserve"> with respect to </w:t>
      </w:r>
      <w:r w:rsidR="00F43290">
        <w:t>health outcomes</w:t>
      </w:r>
      <w:r w:rsidR="00D27D19">
        <w:t>.</w:t>
      </w:r>
      <w:r w:rsidR="00601ADD">
        <w:t xml:space="preserve"> In a </w:t>
      </w:r>
      <w:r w:rsidR="00190EBC">
        <w:t>given country/society,</w:t>
      </w:r>
      <w:r w:rsidR="00D27D19">
        <w:t xml:space="preserve"> </w:t>
      </w:r>
      <w:r w:rsidR="00190EBC">
        <w:t>a</w:t>
      </w:r>
      <w:r w:rsidR="00C25FAD">
        <w:t xml:space="preserve">verage health </w:t>
      </w:r>
      <w:r w:rsidR="000167BA">
        <w:t>may</w:t>
      </w:r>
      <w:r w:rsidR="00C25FAD">
        <w:t xml:space="preserve"> </w:t>
      </w:r>
      <w:r w:rsidR="000167BA">
        <w:t>rise, for a given</w:t>
      </w:r>
      <w:r w:rsidR="00190EBC">
        <w:t xml:space="preserve"> average</w:t>
      </w:r>
      <w:r w:rsidR="000167BA">
        <w:t xml:space="preserve"> income level, if income is redistributed from the </w:t>
      </w:r>
      <w:r w:rsidR="001F1424">
        <w:t>high-income</w:t>
      </w:r>
      <w:r w:rsidR="000167BA">
        <w:t xml:space="preserve"> individuals to the </w:t>
      </w:r>
      <w:r w:rsidR="001F1424">
        <w:t>low-income</w:t>
      </w:r>
      <w:r w:rsidR="000167BA">
        <w:t xml:space="preserve"> individuals. This is not due to any direct income inequality effect but due </w:t>
      </w:r>
      <w:r w:rsidR="00DD56AF">
        <w:t xml:space="preserve">the fact that </w:t>
      </w:r>
      <w:r w:rsidR="001F1424">
        <w:t>low-income</w:t>
      </w:r>
      <w:r w:rsidR="00DD56AF">
        <w:t xml:space="preserve"> individuals may have a larger marginal produ</w:t>
      </w:r>
      <w:r w:rsidR="002C6AD2">
        <w:t>ct</w:t>
      </w:r>
      <w:r w:rsidR="00DD56AF">
        <w:t xml:space="preserve"> of income with respect to </w:t>
      </w:r>
      <w:r w:rsidR="002C6AD2">
        <w:t>health</w:t>
      </w:r>
      <w:r w:rsidR="00767FF8">
        <w:t xml:space="preserve"> outputs</w:t>
      </w:r>
      <w:r w:rsidR="00DD56AF">
        <w:t xml:space="preserve"> </w:t>
      </w:r>
      <w:r w:rsidR="00A82779">
        <w:t>than high income individuals. Essentially, the health production function is concave</w:t>
      </w:r>
      <w:r w:rsidR="00E00D38">
        <w:t xml:space="preserve">. In such a case a change in the Gini coefficient may lead to a change in average health – demonstrating that the distribution of income is important </w:t>
      </w:r>
      <w:r w:rsidR="005F5DF1">
        <w:t>– in fact, this is the very argument made in Gravelle et al. (2002)</w:t>
      </w:r>
      <w:r w:rsidR="00860215">
        <w:t xml:space="preserve"> and by </w:t>
      </w:r>
      <w:r w:rsidR="0099696F">
        <w:fldChar w:fldCharType="begin" w:fldLock="1"/>
      </w:r>
      <w:r w:rsidR="00E5448C">
        <w:instrText>ADDIN CSL_CITATION {"citationItems":[{"id":"ITEM-1","itemData":{"author":[{"dropping-particle":"","family":"Angus Deaton","given":"","non-dropping-particle":"","parse-names":false,"suffix":""}],"container-title":"Journal of Economic Literature","id":"ITEM-1","issue":"1","issued":{"date-parts":[["2003"]]},"page":"113-158","title":"Health, Inequity, and Economic Development","type":"article-journal","volume":"41"},"uris":["http://www.mendeley.com/documents/?uuid=0786dd5f-2336-466b-8941-addefca60b1a"]}],"mendeley":{"formattedCitation":"(Angus Deaton, 2003)","manualFormatting":"Deaton (2003)","plainTextFormattedCitation":"(Angus Deaton, 2003)","previouslyFormattedCitation":"(Angus Deaton, 2003)"},"properties":{"noteIndex":0},"schema":"https://github.com/citation-style-language/schema/raw/master/csl-citation.json"}</w:instrText>
      </w:r>
      <w:r w:rsidR="0099696F">
        <w:fldChar w:fldCharType="separate"/>
      </w:r>
      <w:r w:rsidR="0099696F" w:rsidRPr="0099696F">
        <w:rPr>
          <w:noProof/>
        </w:rPr>
        <w:t xml:space="preserve">Deaton </w:t>
      </w:r>
      <w:r w:rsidR="0099696F">
        <w:rPr>
          <w:noProof/>
        </w:rPr>
        <w:t>(</w:t>
      </w:r>
      <w:r w:rsidR="0099696F" w:rsidRPr="0099696F">
        <w:rPr>
          <w:noProof/>
        </w:rPr>
        <w:t>2003)</w:t>
      </w:r>
      <w:r w:rsidR="0099696F">
        <w:fldChar w:fldCharType="end"/>
      </w:r>
      <w:r w:rsidR="005F5DF1">
        <w:t>.</w:t>
      </w:r>
    </w:p>
    <w:p w14:paraId="77204AB2" w14:textId="59A0598B" w:rsidR="00627872" w:rsidRDefault="00627872">
      <w:r>
        <w:t>F</w:t>
      </w:r>
      <w:r w:rsidR="00C50A07">
        <w:t>ourth</w:t>
      </w:r>
      <w:r>
        <w:t xml:space="preserve">ly, the paper </w:t>
      </w:r>
      <w:r w:rsidR="006F64F5">
        <w:t xml:space="preserve">is clear to say that the Gini coefficient, and wider distributions of income more generally, can be a proxy for many aspects of deprivation that are not simply based on distances in income levels. </w:t>
      </w:r>
      <w:r w:rsidR="0057784C">
        <w:t>These factors include poor housing quality, polluted urban environments</w:t>
      </w:r>
      <w:r w:rsidR="00135364">
        <w:t xml:space="preserve">, lifestyle factors, chronic disease etc. all of which may have an impact on COVID-19 </w:t>
      </w:r>
      <w:r w:rsidR="00403AFD">
        <w:t>outcomes. These factors are more closely linked to the absolute income hypothesis than they are to the relative income hypothesis.</w:t>
      </w:r>
    </w:p>
    <w:p w14:paraId="207D4B87" w14:textId="3EBFCE79" w:rsidR="007B17DB" w:rsidRDefault="003B410C">
      <w:r>
        <w:t xml:space="preserve">These arguments highlight the nuances behind the </w:t>
      </w:r>
      <w:r w:rsidR="00410F51">
        <w:t>analysis conducted in my paper (Wildman, 2021)</w:t>
      </w:r>
      <w:r w:rsidR="00BC4FEB">
        <w:t xml:space="preserve">, which are </w:t>
      </w:r>
      <w:r w:rsidR="00764666">
        <w:t xml:space="preserve">broader than the relative </w:t>
      </w:r>
      <w:r w:rsidR="007B07BF">
        <w:t xml:space="preserve">deprivation argument that underpins Stark (2023). </w:t>
      </w:r>
      <w:r w:rsidR="001F1424">
        <w:t>Of course,</w:t>
      </w:r>
      <w:r w:rsidR="007B07BF">
        <w:t xml:space="preserve"> </w:t>
      </w:r>
      <w:r w:rsidR="00D10B84">
        <w:t xml:space="preserve">Stark’s point is well made, and is an important reminder that inequality measures are complex and multifaceted. </w:t>
      </w:r>
      <w:r w:rsidR="009521F5">
        <w:t xml:space="preserve">But reducing inequality </w:t>
      </w:r>
      <w:r w:rsidR="0040309A">
        <w:t xml:space="preserve">is a </w:t>
      </w:r>
      <w:r w:rsidR="002B2333">
        <w:t xml:space="preserve">broader goal, even if income inequality has no direct link to </w:t>
      </w:r>
      <w:r w:rsidR="00265E79">
        <w:t>health at the individual level.</w:t>
      </w:r>
    </w:p>
    <w:p w14:paraId="1EEFBE77" w14:textId="45113CAC" w:rsidR="00C50A07" w:rsidRDefault="00265E79">
      <w:r>
        <w:t xml:space="preserve">And on that </w:t>
      </w:r>
      <w:r w:rsidR="001F1424">
        <w:t>basis,</w:t>
      </w:r>
      <w:r>
        <w:t xml:space="preserve"> </w:t>
      </w:r>
      <w:r w:rsidR="00C50A07">
        <w:t xml:space="preserve">I return to the original </w:t>
      </w:r>
      <w:r w:rsidR="00D733DF">
        <w:t xml:space="preserve">quote (derived from my own writing) that appears in Stark (2023). I present two versions – the version above, which is directly copied from Stark (2023) </w:t>
      </w:r>
      <w:r w:rsidR="004E370D">
        <w:t>which includes the words in bold added by Stark (they are not in bold in his paper but are highlighted here to demonstrate Stark’s additions)</w:t>
      </w:r>
      <w:r w:rsidR="002B55EB">
        <w:t xml:space="preserve"> and the original version in Wildman (2021).</w:t>
      </w:r>
    </w:p>
    <w:p w14:paraId="17CC0813" w14:textId="615962C3" w:rsidR="002B55EB" w:rsidRDefault="002B55EB" w:rsidP="002B55EB">
      <w:r>
        <w:t>‘“A goal of government should be to reduce [</w:t>
      </w:r>
      <w:r>
        <w:rPr>
          <w:b/>
          <w:bCs/>
        </w:rPr>
        <w:t>income</w:t>
      </w:r>
      <w:r>
        <w:t>] inequalities and [</w:t>
      </w:r>
      <w:r>
        <w:rPr>
          <w:b/>
          <w:bCs/>
        </w:rPr>
        <w:t>thereby</w:t>
      </w:r>
      <w:r>
        <w:t>] improve the [</w:t>
      </w:r>
      <w:r>
        <w:rPr>
          <w:b/>
          <w:bCs/>
        </w:rPr>
        <w:t>COVID-19 outcomes</w:t>
      </w:r>
      <w:r w:rsidR="009D343B">
        <w:rPr>
          <w:b/>
          <w:bCs/>
        </w:rPr>
        <w:t xml:space="preserve"> /</w:t>
      </w:r>
      <w:r>
        <w:t>] underlying health of their populations.”’ Stark (2023)</w:t>
      </w:r>
    </w:p>
    <w:p w14:paraId="126FBEE9" w14:textId="29B057B1" w:rsidR="00654F4A" w:rsidRDefault="00654F4A" w:rsidP="00654F4A">
      <w:r>
        <w:t>“A goal of government should be to reduce inequalities and improve the underlying health of their populations.”</w:t>
      </w:r>
      <w:r w:rsidR="001F63C4">
        <w:t xml:space="preserve"> Wildman (2021)</w:t>
      </w:r>
    </w:p>
    <w:p w14:paraId="21D44DD8" w14:textId="6668F82E" w:rsidR="001F63C4" w:rsidRDefault="001F63C4" w:rsidP="00654F4A">
      <w:r>
        <w:t>When viewed side-by-side these quotes have different meanings</w:t>
      </w:r>
      <w:r w:rsidR="007F2E97">
        <w:t>. The first says that</w:t>
      </w:r>
      <w:r w:rsidR="00F85F84">
        <w:t xml:space="preserve"> reducing</w:t>
      </w:r>
      <w:r w:rsidR="007F2E97">
        <w:t xml:space="preserve"> income inequalities </w:t>
      </w:r>
      <w:r w:rsidR="00F85F84">
        <w:t>will improve the COVID-19 health outcomes</w:t>
      </w:r>
      <w:r w:rsidR="002811C8">
        <w:t xml:space="preserve"> and underlying health of their populations</w:t>
      </w:r>
      <w:r w:rsidR="007205C4">
        <w:t>. The second is a wider call for improving the health of populations and that by tackling inequality</w:t>
      </w:r>
      <w:r w:rsidR="00A05119">
        <w:t xml:space="preserve">, be that in housing, or in </w:t>
      </w:r>
      <w:r w:rsidR="001F1424">
        <w:t>health,</w:t>
      </w:r>
      <w:r w:rsidR="00A05119">
        <w:t xml:space="preserve"> or in income</w:t>
      </w:r>
      <w:r w:rsidR="00D86E28">
        <w:t>,</w:t>
      </w:r>
      <w:r w:rsidR="00A05119">
        <w:t xml:space="preserve"> governments can </w:t>
      </w:r>
      <w:r w:rsidR="001B0862">
        <w:t xml:space="preserve">better </w:t>
      </w:r>
      <w:r w:rsidR="00A05119">
        <w:t xml:space="preserve">prepare their populations for future pandemics. </w:t>
      </w:r>
    </w:p>
    <w:p w14:paraId="32340B2A" w14:textId="77777777" w:rsidR="007C5A73" w:rsidRDefault="007C5A73" w:rsidP="00654F4A"/>
    <w:p w14:paraId="11C46939" w14:textId="77777777" w:rsidR="002B55EB" w:rsidRDefault="002B55EB" w:rsidP="002B55EB"/>
    <w:p w14:paraId="1F3012AD" w14:textId="77777777" w:rsidR="002B55EB" w:rsidRDefault="002B55EB"/>
    <w:p w14:paraId="477B9755" w14:textId="77777777" w:rsidR="00C50A07" w:rsidRDefault="00C50A07"/>
    <w:p w14:paraId="256A376D" w14:textId="77777777" w:rsidR="00E42674" w:rsidRDefault="00E42674"/>
    <w:p w14:paraId="302D95DC" w14:textId="77777777" w:rsidR="00457427" w:rsidRDefault="00457427"/>
    <w:p w14:paraId="61F5CA17" w14:textId="2DEBFF83" w:rsidR="00E5448C" w:rsidRPr="00E5448C" w:rsidRDefault="00E5448C" w:rsidP="00E5448C">
      <w:pPr>
        <w:widowControl w:val="0"/>
        <w:autoSpaceDE w:val="0"/>
        <w:autoSpaceDN w:val="0"/>
        <w:adjustRightInd w:val="0"/>
        <w:spacing w:line="240" w:lineRule="auto"/>
        <w:ind w:left="480" w:hanging="480"/>
        <w:rPr>
          <w:b/>
          <w:bCs/>
        </w:rPr>
      </w:pPr>
      <w:r w:rsidRPr="00E5448C">
        <w:rPr>
          <w:b/>
          <w:bCs/>
        </w:rPr>
        <w:lastRenderedPageBreak/>
        <w:t>References</w:t>
      </w:r>
    </w:p>
    <w:p w14:paraId="73FD87F5" w14:textId="77777777" w:rsidR="00E5448C" w:rsidRDefault="00E5448C" w:rsidP="00E5448C">
      <w:pPr>
        <w:widowControl w:val="0"/>
        <w:autoSpaceDE w:val="0"/>
        <w:autoSpaceDN w:val="0"/>
        <w:adjustRightInd w:val="0"/>
        <w:spacing w:line="240" w:lineRule="auto"/>
        <w:ind w:left="480" w:hanging="480"/>
      </w:pPr>
    </w:p>
    <w:p w14:paraId="6E797A1B" w14:textId="682C9833" w:rsidR="00E5448C" w:rsidRPr="00E5448C" w:rsidRDefault="00E5448C" w:rsidP="00E5448C">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Pr="00E5448C">
        <w:rPr>
          <w:rFonts w:ascii="Calibri" w:hAnsi="Calibri" w:cs="Calibri"/>
          <w:noProof/>
          <w:szCs w:val="24"/>
        </w:rPr>
        <w:t xml:space="preserve">Angus Deaton. (2003). Health, Inequity, and Economic Development. </w:t>
      </w:r>
      <w:r w:rsidRPr="00E5448C">
        <w:rPr>
          <w:rFonts w:ascii="Calibri" w:hAnsi="Calibri" w:cs="Calibri"/>
          <w:i/>
          <w:iCs/>
          <w:noProof/>
          <w:szCs w:val="24"/>
        </w:rPr>
        <w:t>Journal of Economic Literature</w:t>
      </w:r>
      <w:r w:rsidRPr="00E5448C">
        <w:rPr>
          <w:rFonts w:ascii="Calibri" w:hAnsi="Calibri" w:cs="Calibri"/>
          <w:noProof/>
          <w:szCs w:val="24"/>
        </w:rPr>
        <w:t xml:space="preserve">, </w:t>
      </w:r>
      <w:r w:rsidRPr="00E5448C">
        <w:rPr>
          <w:rFonts w:ascii="Calibri" w:hAnsi="Calibri" w:cs="Calibri"/>
          <w:i/>
          <w:iCs/>
          <w:noProof/>
          <w:szCs w:val="24"/>
        </w:rPr>
        <w:t>41</w:t>
      </w:r>
      <w:r w:rsidRPr="00E5448C">
        <w:rPr>
          <w:rFonts w:ascii="Calibri" w:hAnsi="Calibri" w:cs="Calibri"/>
          <w:noProof/>
          <w:szCs w:val="24"/>
        </w:rPr>
        <w:t xml:space="preserve">(1), 113–158. </w:t>
      </w:r>
    </w:p>
    <w:p w14:paraId="454E47E8" w14:textId="77777777" w:rsidR="00E5448C" w:rsidRPr="00E5448C" w:rsidRDefault="00E5448C" w:rsidP="00E5448C">
      <w:pPr>
        <w:widowControl w:val="0"/>
        <w:autoSpaceDE w:val="0"/>
        <w:autoSpaceDN w:val="0"/>
        <w:adjustRightInd w:val="0"/>
        <w:spacing w:line="240" w:lineRule="auto"/>
        <w:ind w:left="480" w:hanging="480"/>
        <w:rPr>
          <w:rFonts w:ascii="Calibri" w:hAnsi="Calibri" w:cs="Calibri"/>
          <w:noProof/>
          <w:szCs w:val="24"/>
        </w:rPr>
      </w:pPr>
      <w:r w:rsidRPr="00E5448C">
        <w:rPr>
          <w:rFonts w:ascii="Calibri" w:hAnsi="Calibri" w:cs="Calibri"/>
          <w:noProof/>
          <w:szCs w:val="24"/>
        </w:rPr>
        <w:t xml:space="preserve">Gravelle, H., Wildman, J., &amp; Sutton, M. (2002). Income, income inequality and health: What can we learn from aggregate data? </w:t>
      </w:r>
      <w:r w:rsidRPr="00E5448C">
        <w:rPr>
          <w:rFonts w:ascii="Calibri" w:hAnsi="Calibri" w:cs="Calibri"/>
          <w:i/>
          <w:iCs/>
          <w:noProof/>
          <w:szCs w:val="24"/>
        </w:rPr>
        <w:t>Social Science and Medicine</w:t>
      </w:r>
      <w:r w:rsidRPr="00E5448C">
        <w:rPr>
          <w:rFonts w:ascii="Calibri" w:hAnsi="Calibri" w:cs="Calibri"/>
          <w:noProof/>
          <w:szCs w:val="24"/>
        </w:rPr>
        <w:t xml:space="preserve">, </w:t>
      </w:r>
      <w:r w:rsidRPr="00E5448C">
        <w:rPr>
          <w:rFonts w:ascii="Calibri" w:hAnsi="Calibri" w:cs="Calibri"/>
          <w:i/>
          <w:iCs/>
          <w:noProof/>
          <w:szCs w:val="24"/>
        </w:rPr>
        <w:t>54</w:t>
      </w:r>
      <w:r w:rsidRPr="00E5448C">
        <w:rPr>
          <w:rFonts w:ascii="Calibri" w:hAnsi="Calibri" w:cs="Calibri"/>
          <w:noProof/>
          <w:szCs w:val="24"/>
        </w:rPr>
        <w:t>(4). https://doi.org/10.1016/S0277-9536(01)00053-3</w:t>
      </w:r>
    </w:p>
    <w:p w14:paraId="672970E9" w14:textId="77777777" w:rsidR="00E5448C" w:rsidRPr="00E5448C" w:rsidRDefault="00E5448C" w:rsidP="00E5448C">
      <w:pPr>
        <w:widowControl w:val="0"/>
        <w:autoSpaceDE w:val="0"/>
        <w:autoSpaceDN w:val="0"/>
        <w:adjustRightInd w:val="0"/>
        <w:spacing w:line="240" w:lineRule="auto"/>
        <w:ind w:left="480" w:hanging="480"/>
        <w:rPr>
          <w:rFonts w:ascii="Calibri" w:hAnsi="Calibri" w:cs="Calibri"/>
          <w:noProof/>
          <w:szCs w:val="24"/>
        </w:rPr>
      </w:pPr>
      <w:r w:rsidRPr="00E5448C">
        <w:rPr>
          <w:rFonts w:ascii="Calibri" w:hAnsi="Calibri" w:cs="Calibri"/>
          <w:noProof/>
          <w:szCs w:val="24"/>
        </w:rPr>
        <w:t xml:space="preserve">John D. Hey and Peter J Lambert. (1980). Relative deprivation and the gini coefficient: Comment. </w:t>
      </w:r>
      <w:r w:rsidRPr="00E5448C">
        <w:rPr>
          <w:rFonts w:ascii="Calibri" w:hAnsi="Calibri" w:cs="Calibri"/>
          <w:i/>
          <w:iCs/>
          <w:noProof/>
          <w:szCs w:val="24"/>
        </w:rPr>
        <w:t>Quarterly Journal of Economics</w:t>
      </w:r>
      <w:r w:rsidRPr="00E5448C">
        <w:rPr>
          <w:rFonts w:ascii="Calibri" w:hAnsi="Calibri" w:cs="Calibri"/>
          <w:noProof/>
          <w:szCs w:val="24"/>
        </w:rPr>
        <w:t xml:space="preserve">, </w:t>
      </w:r>
      <w:r w:rsidRPr="00E5448C">
        <w:rPr>
          <w:rFonts w:ascii="Calibri" w:hAnsi="Calibri" w:cs="Calibri"/>
          <w:i/>
          <w:iCs/>
          <w:noProof/>
          <w:szCs w:val="24"/>
        </w:rPr>
        <w:t>95</w:t>
      </w:r>
      <w:r w:rsidRPr="00E5448C">
        <w:rPr>
          <w:rFonts w:ascii="Calibri" w:hAnsi="Calibri" w:cs="Calibri"/>
          <w:noProof/>
          <w:szCs w:val="24"/>
        </w:rPr>
        <w:t>, 567–573. https://doi.org/10.2307/1883197</w:t>
      </w:r>
    </w:p>
    <w:p w14:paraId="3BDD8E7C" w14:textId="77777777" w:rsidR="00E5448C" w:rsidRPr="00E5448C" w:rsidRDefault="00E5448C" w:rsidP="00E5448C">
      <w:pPr>
        <w:widowControl w:val="0"/>
        <w:autoSpaceDE w:val="0"/>
        <w:autoSpaceDN w:val="0"/>
        <w:adjustRightInd w:val="0"/>
        <w:spacing w:line="240" w:lineRule="auto"/>
        <w:ind w:left="480" w:hanging="480"/>
        <w:rPr>
          <w:rFonts w:ascii="Calibri" w:hAnsi="Calibri" w:cs="Calibri"/>
          <w:noProof/>
          <w:szCs w:val="24"/>
        </w:rPr>
      </w:pPr>
      <w:r w:rsidRPr="00E5448C">
        <w:rPr>
          <w:rFonts w:ascii="Calibri" w:hAnsi="Calibri" w:cs="Calibri"/>
          <w:noProof/>
          <w:szCs w:val="24"/>
        </w:rPr>
        <w:t xml:space="preserve">Jones, A. M., &amp; Wildman, J. (2008). Health, income and relative deprivation: Evidence from the BHPS. </w:t>
      </w:r>
      <w:r w:rsidRPr="00E5448C">
        <w:rPr>
          <w:rFonts w:ascii="Calibri" w:hAnsi="Calibri" w:cs="Calibri"/>
          <w:i/>
          <w:iCs/>
          <w:noProof/>
          <w:szCs w:val="24"/>
        </w:rPr>
        <w:t>Journal of Health Economics</w:t>
      </w:r>
      <w:r w:rsidRPr="00E5448C">
        <w:rPr>
          <w:rFonts w:ascii="Calibri" w:hAnsi="Calibri" w:cs="Calibri"/>
          <w:noProof/>
          <w:szCs w:val="24"/>
        </w:rPr>
        <w:t xml:space="preserve">, </w:t>
      </w:r>
      <w:r w:rsidRPr="00E5448C">
        <w:rPr>
          <w:rFonts w:ascii="Calibri" w:hAnsi="Calibri" w:cs="Calibri"/>
          <w:i/>
          <w:iCs/>
          <w:noProof/>
          <w:szCs w:val="24"/>
        </w:rPr>
        <w:t>27</w:t>
      </w:r>
      <w:r w:rsidRPr="00E5448C">
        <w:rPr>
          <w:rFonts w:ascii="Calibri" w:hAnsi="Calibri" w:cs="Calibri"/>
          <w:noProof/>
          <w:szCs w:val="24"/>
        </w:rPr>
        <w:t>(2). https://doi.org/10.1016/j.jhealeco.2007.05.007</w:t>
      </w:r>
    </w:p>
    <w:p w14:paraId="3DAFFDD8" w14:textId="77777777" w:rsidR="00E5448C" w:rsidRPr="00E5448C" w:rsidRDefault="00E5448C" w:rsidP="00E5448C">
      <w:pPr>
        <w:widowControl w:val="0"/>
        <w:autoSpaceDE w:val="0"/>
        <w:autoSpaceDN w:val="0"/>
        <w:adjustRightInd w:val="0"/>
        <w:spacing w:line="240" w:lineRule="auto"/>
        <w:ind w:left="480" w:hanging="480"/>
        <w:rPr>
          <w:rFonts w:ascii="Calibri" w:hAnsi="Calibri" w:cs="Calibri"/>
          <w:noProof/>
          <w:szCs w:val="24"/>
        </w:rPr>
      </w:pPr>
      <w:r w:rsidRPr="00E5448C">
        <w:rPr>
          <w:rFonts w:ascii="Calibri" w:hAnsi="Calibri" w:cs="Calibri"/>
          <w:noProof/>
          <w:szCs w:val="24"/>
        </w:rPr>
        <w:t xml:space="preserve">Wildman, J. (2021). COVID-19 and income inequality in OECD countries. </w:t>
      </w:r>
      <w:r w:rsidRPr="00E5448C">
        <w:rPr>
          <w:rFonts w:ascii="Calibri" w:hAnsi="Calibri" w:cs="Calibri"/>
          <w:i/>
          <w:iCs/>
          <w:noProof/>
          <w:szCs w:val="24"/>
        </w:rPr>
        <w:t>The European Journal of Health Economics</w:t>
      </w:r>
      <w:r w:rsidRPr="00E5448C">
        <w:rPr>
          <w:rFonts w:ascii="Calibri" w:hAnsi="Calibri" w:cs="Calibri"/>
          <w:noProof/>
          <w:szCs w:val="24"/>
        </w:rPr>
        <w:t xml:space="preserve">, </w:t>
      </w:r>
      <w:r w:rsidRPr="00E5448C">
        <w:rPr>
          <w:rFonts w:ascii="Calibri" w:hAnsi="Calibri" w:cs="Calibri"/>
          <w:i/>
          <w:iCs/>
          <w:noProof/>
          <w:szCs w:val="24"/>
        </w:rPr>
        <w:t>22</w:t>
      </w:r>
      <w:r w:rsidRPr="00E5448C">
        <w:rPr>
          <w:rFonts w:ascii="Calibri" w:hAnsi="Calibri" w:cs="Calibri"/>
          <w:noProof/>
          <w:szCs w:val="24"/>
        </w:rPr>
        <w:t>(3), 455. https://doi.org/10.1007/S10198-021-01266-4</w:t>
      </w:r>
    </w:p>
    <w:p w14:paraId="23AA164C" w14:textId="77777777" w:rsidR="00E5448C" w:rsidRPr="00E5448C" w:rsidRDefault="00E5448C" w:rsidP="00E5448C">
      <w:pPr>
        <w:widowControl w:val="0"/>
        <w:autoSpaceDE w:val="0"/>
        <w:autoSpaceDN w:val="0"/>
        <w:adjustRightInd w:val="0"/>
        <w:spacing w:line="240" w:lineRule="auto"/>
        <w:ind w:left="480" w:hanging="480"/>
        <w:rPr>
          <w:rFonts w:ascii="Calibri" w:hAnsi="Calibri" w:cs="Calibri"/>
          <w:noProof/>
          <w:szCs w:val="24"/>
        </w:rPr>
      </w:pPr>
      <w:r w:rsidRPr="00E5448C">
        <w:rPr>
          <w:rFonts w:ascii="Calibri" w:hAnsi="Calibri" w:cs="Calibri"/>
          <w:noProof/>
          <w:szCs w:val="24"/>
        </w:rPr>
        <w:t xml:space="preserve">Wilkinson, R. (1996). </w:t>
      </w:r>
      <w:r w:rsidRPr="00E5448C">
        <w:rPr>
          <w:rFonts w:ascii="Calibri" w:hAnsi="Calibri" w:cs="Calibri"/>
          <w:i/>
          <w:iCs/>
          <w:noProof/>
          <w:szCs w:val="24"/>
        </w:rPr>
        <w:t>Unhealthy Societies. The Afflictions of Inequality</w:t>
      </w:r>
      <w:r w:rsidRPr="00E5448C">
        <w:rPr>
          <w:rFonts w:ascii="Calibri" w:hAnsi="Calibri" w:cs="Calibri"/>
          <w:noProof/>
          <w:szCs w:val="24"/>
        </w:rPr>
        <w:t>. Routledge.</w:t>
      </w:r>
    </w:p>
    <w:p w14:paraId="4F261862" w14:textId="77777777" w:rsidR="00E5448C" w:rsidRPr="00E5448C" w:rsidRDefault="00E5448C" w:rsidP="00E5448C">
      <w:pPr>
        <w:widowControl w:val="0"/>
        <w:autoSpaceDE w:val="0"/>
        <w:autoSpaceDN w:val="0"/>
        <w:adjustRightInd w:val="0"/>
        <w:spacing w:line="240" w:lineRule="auto"/>
        <w:ind w:left="480" w:hanging="480"/>
        <w:rPr>
          <w:rFonts w:ascii="Calibri" w:hAnsi="Calibri" w:cs="Calibri"/>
          <w:noProof/>
        </w:rPr>
      </w:pPr>
      <w:r w:rsidRPr="00E5448C">
        <w:rPr>
          <w:rFonts w:ascii="Calibri" w:hAnsi="Calibri" w:cs="Calibri"/>
          <w:noProof/>
          <w:szCs w:val="24"/>
        </w:rPr>
        <w:t xml:space="preserve">Yitzhaki, S. (1979). </w:t>
      </w:r>
      <w:r w:rsidRPr="00E5448C">
        <w:rPr>
          <w:rFonts w:ascii="Calibri" w:hAnsi="Calibri" w:cs="Calibri"/>
          <w:i/>
          <w:iCs/>
          <w:noProof/>
          <w:szCs w:val="24"/>
        </w:rPr>
        <w:t>Relative Deprivation and the Gini Coefficient</w:t>
      </w:r>
      <w:r w:rsidRPr="00E5448C">
        <w:rPr>
          <w:rFonts w:ascii="Calibri" w:hAnsi="Calibri" w:cs="Calibri"/>
          <w:noProof/>
          <w:szCs w:val="24"/>
        </w:rPr>
        <w:t xml:space="preserve">. </w:t>
      </w:r>
      <w:r w:rsidRPr="00E5448C">
        <w:rPr>
          <w:rFonts w:ascii="Calibri" w:hAnsi="Calibri" w:cs="Calibri"/>
          <w:i/>
          <w:iCs/>
          <w:noProof/>
          <w:szCs w:val="24"/>
        </w:rPr>
        <w:t>93</w:t>
      </w:r>
      <w:r w:rsidRPr="00E5448C">
        <w:rPr>
          <w:rFonts w:ascii="Calibri" w:hAnsi="Calibri" w:cs="Calibri"/>
          <w:noProof/>
          <w:szCs w:val="24"/>
        </w:rPr>
        <w:t>(2), 321–324.</w:t>
      </w:r>
    </w:p>
    <w:p w14:paraId="10949BF2" w14:textId="1CA49DF4" w:rsidR="00D3545A" w:rsidRDefault="00E5448C">
      <w:r>
        <w:fldChar w:fldCharType="end"/>
      </w:r>
    </w:p>
    <w:p w14:paraId="07BB1A5C" w14:textId="77777777" w:rsidR="00D3545A" w:rsidRDefault="00D3545A"/>
    <w:sectPr w:rsidR="00D35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C6"/>
    <w:rsid w:val="00000FAF"/>
    <w:rsid w:val="00010772"/>
    <w:rsid w:val="00012A15"/>
    <w:rsid w:val="00015486"/>
    <w:rsid w:val="000167BA"/>
    <w:rsid w:val="00021FF7"/>
    <w:rsid w:val="00025E01"/>
    <w:rsid w:val="000305CC"/>
    <w:rsid w:val="00037140"/>
    <w:rsid w:val="000766E7"/>
    <w:rsid w:val="000865CA"/>
    <w:rsid w:val="000B2A21"/>
    <w:rsid w:val="000C2C90"/>
    <w:rsid w:val="000C3D41"/>
    <w:rsid w:val="000D2023"/>
    <w:rsid w:val="000D4ADD"/>
    <w:rsid w:val="000F7E8C"/>
    <w:rsid w:val="00135364"/>
    <w:rsid w:val="001378DD"/>
    <w:rsid w:val="0015695C"/>
    <w:rsid w:val="00190EBC"/>
    <w:rsid w:val="001B0862"/>
    <w:rsid w:val="001D449B"/>
    <w:rsid w:val="001F1424"/>
    <w:rsid w:val="001F63C4"/>
    <w:rsid w:val="00203EBA"/>
    <w:rsid w:val="00220B9A"/>
    <w:rsid w:val="002242F3"/>
    <w:rsid w:val="00230041"/>
    <w:rsid w:val="002463D9"/>
    <w:rsid w:val="00246893"/>
    <w:rsid w:val="002476BB"/>
    <w:rsid w:val="002605E7"/>
    <w:rsid w:val="00265E79"/>
    <w:rsid w:val="002811C8"/>
    <w:rsid w:val="002A2F05"/>
    <w:rsid w:val="002B2333"/>
    <w:rsid w:val="002B55EB"/>
    <w:rsid w:val="002C6AD2"/>
    <w:rsid w:val="002E02C5"/>
    <w:rsid w:val="002E15C2"/>
    <w:rsid w:val="002E728E"/>
    <w:rsid w:val="0033236E"/>
    <w:rsid w:val="003535DD"/>
    <w:rsid w:val="003A18F8"/>
    <w:rsid w:val="003B00BE"/>
    <w:rsid w:val="003B410C"/>
    <w:rsid w:val="003C4BE7"/>
    <w:rsid w:val="003C5081"/>
    <w:rsid w:val="003E10C1"/>
    <w:rsid w:val="0040309A"/>
    <w:rsid w:val="00403AFD"/>
    <w:rsid w:val="00405605"/>
    <w:rsid w:val="00410F51"/>
    <w:rsid w:val="00412A97"/>
    <w:rsid w:val="00434964"/>
    <w:rsid w:val="004375E3"/>
    <w:rsid w:val="00457427"/>
    <w:rsid w:val="00483806"/>
    <w:rsid w:val="00484CAB"/>
    <w:rsid w:val="004E370D"/>
    <w:rsid w:val="004E7FC8"/>
    <w:rsid w:val="0050336C"/>
    <w:rsid w:val="005102AC"/>
    <w:rsid w:val="00516333"/>
    <w:rsid w:val="005308B4"/>
    <w:rsid w:val="005666C3"/>
    <w:rsid w:val="0057734D"/>
    <w:rsid w:val="0057784C"/>
    <w:rsid w:val="005C2244"/>
    <w:rsid w:val="005E77FB"/>
    <w:rsid w:val="005F5DF1"/>
    <w:rsid w:val="00601ADD"/>
    <w:rsid w:val="006244C9"/>
    <w:rsid w:val="00627872"/>
    <w:rsid w:val="00632D75"/>
    <w:rsid w:val="00654F4A"/>
    <w:rsid w:val="006765B0"/>
    <w:rsid w:val="00686BE3"/>
    <w:rsid w:val="00694CAB"/>
    <w:rsid w:val="00696C9F"/>
    <w:rsid w:val="006F64F5"/>
    <w:rsid w:val="007205C4"/>
    <w:rsid w:val="0073421D"/>
    <w:rsid w:val="00735355"/>
    <w:rsid w:val="00743969"/>
    <w:rsid w:val="0076120C"/>
    <w:rsid w:val="00762853"/>
    <w:rsid w:val="00764666"/>
    <w:rsid w:val="00767FF8"/>
    <w:rsid w:val="00772340"/>
    <w:rsid w:val="007B07BF"/>
    <w:rsid w:val="007B17DB"/>
    <w:rsid w:val="007C5A73"/>
    <w:rsid w:val="007F2E97"/>
    <w:rsid w:val="00846BFF"/>
    <w:rsid w:val="00860215"/>
    <w:rsid w:val="008A1066"/>
    <w:rsid w:val="008A333A"/>
    <w:rsid w:val="008A7BA7"/>
    <w:rsid w:val="008B0FDC"/>
    <w:rsid w:val="008D321C"/>
    <w:rsid w:val="008D705B"/>
    <w:rsid w:val="00917C3B"/>
    <w:rsid w:val="009356B1"/>
    <w:rsid w:val="00944AA2"/>
    <w:rsid w:val="009521F5"/>
    <w:rsid w:val="0099696F"/>
    <w:rsid w:val="009A0223"/>
    <w:rsid w:val="009A183E"/>
    <w:rsid w:val="009D12FE"/>
    <w:rsid w:val="009D343B"/>
    <w:rsid w:val="00A05119"/>
    <w:rsid w:val="00A80474"/>
    <w:rsid w:val="00A82779"/>
    <w:rsid w:val="00A968D6"/>
    <w:rsid w:val="00A96D4F"/>
    <w:rsid w:val="00AD5812"/>
    <w:rsid w:val="00AF140C"/>
    <w:rsid w:val="00AF2318"/>
    <w:rsid w:val="00AF7521"/>
    <w:rsid w:val="00B11809"/>
    <w:rsid w:val="00B30448"/>
    <w:rsid w:val="00B52BCE"/>
    <w:rsid w:val="00B95B85"/>
    <w:rsid w:val="00BB2E3E"/>
    <w:rsid w:val="00BB3DC7"/>
    <w:rsid w:val="00BC4FEB"/>
    <w:rsid w:val="00BE2089"/>
    <w:rsid w:val="00BF7786"/>
    <w:rsid w:val="00BF77BB"/>
    <w:rsid w:val="00C05653"/>
    <w:rsid w:val="00C25FAD"/>
    <w:rsid w:val="00C315E6"/>
    <w:rsid w:val="00C50A07"/>
    <w:rsid w:val="00C5224D"/>
    <w:rsid w:val="00CB04C7"/>
    <w:rsid w:val="00CD43AC"/>
    <w:rsid w:val="00CF051B"/>
    <w:rsid w:val="00D10B84"/>
    <w:rsid w:val="00D117B9"/>
    <w:rsid w:val="00D2639A"/>
    <w:rsid w:val="00D27D19"/>
    <w:rsid w:val="00D3449B"/>
    <w:rsid w:val="00D3537E"/>
    <w:rsid w:val="00D3545A"/>
    <w:rsid w:val="00D3677B"/>
    <w:rsid w:val="00D449C3"/>
    <w:rsid w:val="00D51B92"/>
    <w:rsid w:val="00D540B0"/>
    <w:rsid w:val="00D554C6"/>
    <w:rsid w:val="00D67FD9"/>
    <w:rsid w:val="00D70A64"/>
    <w:rsid w:val="00D733DF"/>
    <w:rsid w:val="00D86E28"/>
    <w:rsid w:val="00DD56AF"/>
    <w:rsid w:val="00DF3174"/>
    <w:rsid w:val="00DF53F0"/>
    <w:rsid w:val="00E00D38"/>
    <w:rsid w:val="00E06A6E"/>
    <w:rsid w:val="00E21096"/>
    <w:rsid w:val="00E42674"/>
    <w:rsid w:val="00E5448C"/>
    <w:rsid w:val="00E762A6"/>
    <w:rsid w:val="00EA4CC0"/>
    <w:rsid w:val="00EC5725"/>
    <w:rsid w:val="00ED6173"/>
    <w:rsid w:val="00F0723F"/>
    <w:rsid w:val="00F12710"/>
    <w:rsid w:val="00F24C0C"/>
    <w:rsid w:val="00F43290"/>
    <w:rsid w:val="00F56EE5"/>
    <w:rsid w:val="00F85F84"/>
    <w:rsid w:val="00F90868"/>
    <w:rsid w:val="00F94B7B"/>
    <w:rsid w:val="00FA1F2A"/>
    <w:rsid w:val="00FB2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A5EF"/>
  <w15:chartTrackingRefBased/>
  <w15:docId w15:val="{BE82129F-EE44-4D06-BBEC-4AD65DD6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CB132-D740-4DD3-82EF-98AF7EA4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3288</Words>
  <Characters>18054</Characters>
  <Application>Microsoft Office Word</Application>
  <DocSecurity>0</DocSecurity>
  <Lines>261</Lines>
  <Paragraphs>61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Wildman</dc:creator>
  <cp:keywords/>
  <dc:description/>
  <cp:lastModifiedBy>John Wildman</cp:lastModifiedBy>
  <cp:revision>10</cp:revision>
  <dcterms:created xsi:type="dcterms:W3CDTF">2023-04-24T09:29:00Z</dcterms:created>
  <dcterms:modified xsi:type="dcterms:W3CDTF">2023-04-24T10:02:00Z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ef6962e7-d686-36e6-a260-838eab12e999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