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69977" w14:textId="159D9A34" w:rsidR="00141C1E" w:rsidRPr="00033A14" w:rsidRDefault="00141C1E" w:rsidP="00EB2F6F">
      <w:pPr>
        <w:spacing w:line="360" w:lineRule="auto"/>
        <w:rPr>
          <w:b/>
          <w:bCs/>
          <w:sz w:val="22"/>
          <w:szCs w:val="22"/>
        </w:rPr>
      </w:pPr>
      <w:r w:rsidRPr="00033A14">
        <w:rPr>
          <w:b/>
          <w:bCs/>
          <w:sz w:val="22"/>
          <w:szCs w:val="22"/>
        </w:rPr>
        <w:t>Socio-</w:t>
      </w:r>
      <w:r w:rsidR="000D6FD4">
        <w:rPr>
          <w:b/>
          <w:bCs/>
          <w:sz w:val="22"/>
          <w:szCs w:val="22"/>
        </w:rPr>
        <w:t>demographic</w:t>
      </w:r>
      <w:r w:rsidRPr="00033A14">
        <w:rPr>
          <w:b/>
          <w:bCs/>
          <w:sz w:val="22"/>
          <w:szCs w:val="22"/>
        </w:rPr>
        <w:t xml:space="preserve"> </w:t>
      </w:r>
      <w:r w:rsidR="00C57B75">
        <w:rPr>
          <w:b/>
          <w:bCs/>
          <w:sz w:val="22"/>
          <w:szCs w:val="22"/>
        </w:rPr>
        <w:t xml:space="preserve">disparities </w:t>
      </w:r>
      <w:r w:rsidRPr="00033A14">
        <w:rPr>
          <w:b/>
          <w:bCs/>
          <w:sz w:val="22"/>
          <w:szCs w:val="22"/>
        </w:rPr>
        <w:t xml:space="preserve">in </w:t>
      </w:r>
      <w:r w:rsidR="009E1B75" w:rsidRPr="00033A14">
        <w:rPr>
          <w:b/>
          <w:bCs/>
          <w:sz w:val="22"/>
          <w:szCs w:val="22"/>
        </w:rPr>
        <w:t>HER2+ breast cancer t</w:t>
      </w:r>
      <w:r w:rsidR="000D5348" w:rsidRPr="00033A14">
        <w:rPr>
          <w:b/>
          <w:bCs/>
          <w:sz w:val="22"/>
          <w:szCs w:val="22"/>
        </w:rPr>
        <w:t>rastuzumab</w:t>
      </w:r>
      <w:r w:rsidRPr="00033A14">
        <w:rPr>
          <w:b/>
          <w:bCs/>
          <w:sz w:val="22"/>
          <w:szCs w:val="22"/>
        </w:rPr>
        <w:t xml:space="preserve"> </w:t>
      </w:r>
      <w:r w:rsidR="002D06C5">
        <w:rPr>
          <w:b/>
          <w:bCs/>
          <w:sz w:val="22"/>
          <w:szCs w:val="22"/>
        </w:rPr>
        <w:t>r</w:t>
      </w:r>
      <w:r w:rsidR="00D16134">
        <w:rPr>
          <w:b/>
          <w:bCs/>
          <w:sz w:val="22"/>
          <w:szCs w:val="22"/>
        </w:rPr>
        <w:t>eceipt</w:t>
      </w:r>
      <w:r w:rsidR="00B4704D" w:rsidRPr="00033A14">
        <w:rPr>
          <w:b/>
          <w:bCs/>
          <w:sz w:val="22"/>
          <w:szCs w:val="22"/>
        </w:rPr>
        <w:t>:</w:t>
      </w:r>
      <w:r w:rsidR="009E1B75" w:rsidRPr="00033A14">
        <w:rPr>
          <w:b/>
          <w:bCs/>
          <w:sz w:val="22"/>
          <w:szCs w:val="22"/>
        </w:rPr>
        <w:t xml:space="preserve"> </w:t>
      </w:r>
      <w:r w:rsidRPr="00033A14">
        <w:rPr>
          <w:b/>
          <w:bCs/>
          <w:sz w:val="22"/>
          <w:szCs w:val="22"/>
        </w:rPr>
        <w:t>A</w:t>
      </w:r>
      <w:r w:rsidR="009E1B75" w:rsidRPr="00033A14">
        <w:rPr>
          <w:b/>
          <w:bCs/>
          <w:sz w:val="22"/>
          <w:szCs w:val="22"/>
        </w:rPr>
        <w:t>n English</w:t>
      </w:r>
      <w:r w:rsidRPr="00033A14">
        <w:rPr>
          <w:b/>
          <w:bCs/>
          <w:sz w:val="22"/>
          <w:szCs w:val="22"/>
        </w:rPr>
        <w:t xml:space="preserve"> population-based study</w:t>
      </w:r>
    </w:p>
    <w:p w14:paraId="73BA3442" w14:textId="77777777" w:rsidR="00141C1E" w:rsidRPr="00033A14" w:rsidRDefault="00141C1E" w:rsidP="00EB2F6F">
      <w:pPr>
        <w:spacing w:line="360" w:lineRule="auto"/>
        <w:rPr>
          <w:sz w:val="22"/>
          <w:szCs w:val="22"/>
        </w:rPr>
      </w:pPr>
    </w:p>
    <w:p w14:paraId="4973B380" w14:textId="77777777" w:rsidR="00141C1E" w:rsidRPr="00033A14" w:rsidRDefault="00141C1E" w:rsidP="00EB2F6F">
      <w:pPr>
        <w:spacing w:line="360" w:lineRule="auto"/>
        <w:rPr>
          <w:b/>
          <w:sz w:val="22"/>
          <w:szCs w:val="22"/>
          <w:lang w:val="en-US"/>
        </w:rPr>
      </w:pPr>
      <w:r w:rsidRPr="00033A14">
        <w:rPr>
          <w:b/>
          <w:sz w:val="22"/>
          <w:szCs w:val="22"/>
          <w:lang w:val="en-US"/>
        </w:rPr>
        <w:t>Authors:</w:t>
      </w:r>
    </w:p>
    <w:p w14:paraId="76BA0226" w14:textId="7BB92C99" w:rsidR="00141C1E" w:rsidRPr="00033A14" w:rsidRDefault="00141C1E" w:rsidP="00EB2F6F">
      <w:pPr>
        <w:pStyle w:val="ListParagraph"/>
        <w:numPr>
          <w:ilvl w:val="0"/>
          <w:numId w:val="1"/>
        </w:numPr>
        <w:spacing w:line="360" w:lineRule="auto"/>
        <w:rPr>
          <w:rFonts w:ascii="Times New Roman" w:hAnsi="Times New Roman" w:cs="Times New Roman"/>
          <w:sz w:val="22"/>
          <w:szCs w:val="22"/>
          <w:lang w:val="en-US"/>
        </w:rPr>
      </w:pPr>
      <w:r w:rsidRPr="00033A14">
        <w:rPr>
          <w:rFonts w:ascii="Times New Roman" w:hAnsi="Times New Roman" w:cs="Times New Roman"/>
          <w:sz w:val="22"/>
          <w:szCs w:val="22"/>
          <w:lang w:val="en-US"/>
        </w:rPr>
        <w:t>Ruth P Norris</w:t>
      </w:r>
      <w:r w:rsidRPr="00033A14">
        <w:rPr>
          <w:rFonts w:ascii="Times New Roman" w:hAnsi="Times New Roman" w:cs="Times New Roman"/>
          <w:sz w:val="22"/>
          <w:szCs w:val="22"/>
          <w:vertAlign w:val="superscript"/>
          <w:lang w:val="en-US"/>
        </w:rPr>
        <w:t xml:space="preserve">1 </w:t>
      </w:r>
      <w:hyperlink r:id="rId8" w:history="1">
        <w:r w:rsidR="00D90889" w:rsidRPr="00033A14">
          <w:rPr>
            <w:rStyle w:val="Hyperlink"/>
            <w:rFonts w:ascii="Times New Roman" w:hAnsi="Times New Roman" w:cs="Times New Roman"/>
            <w:sz w:val="22"/>
            <w:szCs w:val="22"/>
            <w:lang w:val="en-US"/>
          </w:rPr>
          <w:t>ruth.norris@newcastle.ac.uk</w:t>
        </w:r>
      </w:hyperlink>
      <w:r w:rsidRPr="00033A14">
        <w:rPr>
          <w:rFonts w:ascii="Times New Roman" w:hAnsi="Times New Roman" w:cs="Times New Roman"/>
          <w:sz w:val="22"/>
          <w:szCs w:val="22"/>
          <w:lang w:val="en-US"/>
        </w:rPr>
        <w:t xml:space="preserve"> </w:t>
      </w:r>
    </w:p>
    <w:p w14:paraId="5F1DEF8C" w14:textId="65FDCC80" w:rsidR="008B0F85" w:rsidRPr="00033A14" w:rsidRDefault="00141C1E" w:rsidP="00EB2F6F">
      <w:pPr>
        <w:pStyle w:val="ListParagraph"/>
        <w:numPr>
          <w:ilvl w:val="0"/>
          <w:numId w:val="1"/>
        </w:numPr>
        <w:spacing w:line="360" w:lineRule="auto"/>
        <w:rPr>
          <w:rFonts w:ascii="Times New Roman" w:hAnsi="Times New Roman" w:cs="Times New Roman"/>
          <w:sz w:val="22"/>
          <w:szCs w:val="22"/>
          <w:lang w:val="en-US"/>
        </w:rPr>
      </w:pPr>
      <w:r w:rsidRPr="00033A14">
        <w:rPr>
          <w:rFonts w:ascii="Times New Roman" w:hAnsi="Times New Roman" w:cs="Times New Roman"/>
          <w:sz w:val="22"/>
          <w:szCs w:val="22"/>
          <w:lang w:val="en-US"/>
        </w:rPr>
        <w:t>Rosie Dew</w:t>
      </w:r>
      <w:r w:rsidR="0019705D" w:rsidRPr="00033A14">
        <w:rPr>
          <w:rFonts w:ascii="Times New Roman" w:hAnsi="Times New Roman" w:cs="Times New Roman"/>
          <w:sz w:val="22"/>
          <w:szCs w:val="22"/>
          <w:vertAlign w:val="superscript"/>
          <w:lang w:val="en-US"/>
        </w:rPr>
        <w:t>1</w:t>
      </w:r>
      <w:r w:rsidR="008B0F85" w:rsidRPr="00033A14">
        <w:rPr>
          <w:sz w:val="22"/>
          <w:szCs w:val="22"/>
        </w:rPr>
        <w:t xml:space="preserve"> </w:t>
      </w:r>
      <w:hyperlink r:id="rId9" w:history="1">
        <w:r w:rsidR="008B0F85" w:rsidRPr="00033A14">
          <w:rPr>
            <w:rStyle w:val="Hyperlink"/>
            <w:rFonts w:ascii="Times New Roman" w:hAnsi="Times New Roman" w:cs="Times New Roman"/>
            <w:sz w:val="22"/>
            <w:szCs w:val="22"/>
          </w:rPr>
          <w:t>Rosie.Dew@sunderland.ac.uk</w:t>
        </w:r>
      </w:hyperlink>
      <w:r w:rsidR="0019705D" w:rsidRPr="00D14233">
        <w:rPr>
          <w:rStyle w:val="FootnoteReference"/>
        </w:rPr>
        <w:footnoteReference w:customMarkFollows="1" w:id="1"/>
        <w:t>*</w:t>
      </w:r>
    </w:p>
    <w:p w14:paraId="3FBE0693" w14:textId="3920BECB" w:rsidR="00141C1E" w:rsidRPr="00033A14" w:rsidRDefault="00141C1E" w:rsidP="00EB2F6F">
      <w:pPr>
        <w:pStyle w:val="ListParagraph"/>
        <w:numPr>
          <w:ilvl w:val="0"/>
          <w:numId w:val="1"/>
        </w:numPr>
        <w:spacing w:line="360" w:lineRule="auto"/>
        <w:rPr>
          <w:rFonts w:ascii="Times New Roman" w:hAnsi="Times New Roman" w:cs="Times New Roman"/>
          <w:sz w:val="22"/>
          <w:szCs w:val="22"/>
          <w:lang w:val="en-US"/>
        </w:rPr>
      </w:pPr>
      <w:r w:rsidRPr="00033A14">
        <w:rPr>
          <w:rFonts w:ascii="Times New Roman" w:hAnsi="Times New Roman" w:cs="Times New Roman"/>
          <w:sz w:val="22"/>
          <w:szCs w:val="22"/>
          <w:lang w:val="en-US"/>
        </w:rPr>
        <w:t>Alastair Greystoke</w:t>
      </w:r>
      <w:r w:rsidR="0019705D" w:rsidRPr="00033A14">
        <w:rPr>
          <w:rFonts w:ascii="Times New Roman" w:hAnsi="Times New Roman" w:cs="Times New Roman"/>
          <w:sz w:val="22"/>
          <w:szCs w:val="22"/>
          <w:vertAlign w:val="superscript"/>
          <w:lang w:val="en-US"/>
        </w:rPr>
        <w:t>2</w:t>
      </w:r>
      <w:r w:rsidR="008B0F85" w:rsidRPr="00033A14">
        <w:rPr>
          <w:rFonts w:ascii="Times New Roman" w:hAnsi="Times New Roman" w:cs="Times New Roman"/>
          <w:sz w:val="22"/>
          <w:szCs w:val="22"/>
          <w:vertAlign w:val="superscript"/>
          <w:lang w:val="en-US"/>
        </w:rPr>
        <w:t xml:space="preserve"> </w:t>
      </w:r>
      <w:hyperlink r:id="rId10" w:history="1">
        <w:r w:rsidR="008B0F85" w:rsidRPr="00033A14">
          <w:rPr>
            <w:rStyle w:val="Hyperlink"/>
            <w:rFonts w:ascii="Times New Roman" w:hAnsi="Times New Roman" w:cs="Times New Roman"/>
            <w:sz w:val="22"/>
            <w:szCs w:val="22"/>
            <w:lang w:val="en-US"/>
          </w:rPr>
          <w:t>Alastair.Greystoke@newcastle.ac.uk</w:t>
        </w:r>
      </w:hyperlink>
      <w:r w:rsidR="008B0F85" w:rsidRPr="00033A14">
        <w:rPr>
          <w:rFonts w:ascii="Times New Roman" w:hAnsi="Times New Roman" w:cs="Times New Roman"/>
          <w:sz w:val="22"/>
          <w:szCs w:val="22"/>
          <w:lang w:val="en-US"/>
        </w:rPr>
        <w:t xml:space="preserve"> </w:t>
      </w:r>
    </w:p>
    <w:p w14:paraId="780F1C5A" w14:textId="7CDEFBA2" w:rsidR="00141C1E" w:rsidRPr="00033A14" w:rsidRDefault="00141C1E" w:rsidP="00EB2F6F">
      <w:pPr>
        <w:pStyle w:val="ListParagraph"/>
        <w:numPr>
          <w:ilvl w:val="0"/>
          <w:numId w:val="1"/>
        </w:numPr>
        <w:spacing w:line="360" w:lineRule="auto"/>
        <w:rPr>
          <w:rFonts w:ascii="Times New Roman" w:hAnsi="Times New Roman" w:cs="Times New Roman"/>
          <w:sz w:val="22"/>
          <w:szCs w:val="22"/>
          <w:lang w:val="en-US"/>
        </w:rPr>
      </w:pPr>
      <w:r w:rsidRPr="00033A14">
        <w:rPr>
          <w:rFonts w:ascii="Times New Roman" w:hAnsi="Times New Roman" w:cs="Times New Roman"/>
          <w:sz w:val="22"/>
          <w:szCs w:val="22"/>
          <w:lang w:val="en-US"/>
        </w:rPr>
        <w:t>Nicola Cresti</w:t>
      </w:r>
      <w:r w:rsidR="0019705D" w:rsidRPr="00033A14">
        <w:rPr>
          <w:rFonts w:ascii="Times New Roman" w:hAnsi="Times New Roman" w:cs="Times New Roman"/>
          <w:sz w:val="22"/>
          <w:szCs w:val="22"/>
          <w:vertAlign w:val="superscript"/>
          <w:lang w:val="en-US"/>
        </w:rPr>
        <w:t>2</w:t>
      </w:r>
      <w:r w:rsidRPr="00033A14">
        <w:rPr>
          <w:rFonts w:ascii="Times New Roman" w:hAnsi="Times New Roman" w:cs="Times New Roman"/>
          <w:sz w:val="22"/>
          <w:szCs w:val="22"/>
          <w:lang w:val="en-US"/>
        </w:rPr>
        <w:t xml:space="preserve"> </w:t>
      </w:r>
      <w:hyperlink r:id="rId11" w:history="1">
        <w:r w:rsidRPr="00033A14">
          <w:rPr>
            <w:rStyle w:val="Hyperlink"/>
            <w:rFonts w:ascii="Times New Roman" w:hAnsi="Times New Roman" w:cs="Times New Roman"/>
            <w:sz w:val="22"/>
            <w:szCs w:val="22"/>
            <w:lang w:val="en-US"/>
          </w:rPr>
          <w:t>nicola.cresti@nhs.net</w:t>
        </w:r>
      </w:hyperlink>
      <w:r w:rsidRPr="00033A14">
        <w:rPr>
          <w:rFonts w:ascii="Times New Roman" w:hAnsi="Times New Roman" w:cs="Times New Roman"/>
          <w:sz w:val="22"/>
          <w:szCs w:val="22"/>
          <w:lang w:val="en-US"/>
        </w:rPr>
        <w:t xml:space="preserve"> </w:t>
      </w:r>
    </w:p>
    <w:p w14:paraId="29D67FB8" w14:textId="13B649C0" w:rsidR="008B0F85" w:rsidRPr="00033A14" w:rsidRDefault="00141C1E" w:rsidP="00EB2F6F">
      <w:pPr>
        <w:pStyle w:val="ListParagraph"/>
        <w:numPr>
          <w:ilvl w:val="0"/>
          <w:numId w:val="1"/>
        </w:numPr>
        <w:spacing w:line="360" w:lineRule="auto"/>
        <w:rPr>
          <w:rFonts w:ascii="Times New Roman" w:hAnsi="Times New Roman" w:cs="Times New Roman"/>
          <w:sz w:val="22"/>
          <w:szCs w:val="22"/>
          <w:lang w:val="en-US"/>
        </w:rPr>
      </w:pPr>
      <w:r w:rsidRPr="00033A14">
        <w:rPr>
          <w:rFonts w:ascii="Times New Roman" w:hAnsi="Times New Roman" w:cs="Times New Roman"/>
          <w:sz w:val="22"/>
          <w:szCs w:val="22"/>
          <w:lang w:val="en-US"/>
        </w:rPr>
        <w:t>Henry Cain</w:t>
      </w:r>
      <w:r w:rsidR="0019705D" w:rsidRPr="00033A14">
        <w:rPr>
          <w:rFonts w:ascii="Times New Roman" w:hAnsi="Times New Roman" w:cs="Times New Roman"/>
          <w:sz w:val="22"/>
          <w:szCs w:val="22"/>
          <w:vertAlign w:val="superscript"/>
          <w:lang w:val="en-US"/>
        </w:rPr>
        <w:t>2</w:t>
      </w:r>
      <w:r w:rsidRPr="00033A14">
        <w:rPr>
          <w:rFonts w:ascii="Times New Roman" w:hAnsi="Times New Roman" w:cs="Times New Roman"/>
          <w:sz w:val="22"/>
          <w:szCs w:val="22"/>
          <w:lang w:val="en-US"/>
        </w:rPr>
        <w:t xml:space="preserve"> </w:t>
      </w:r>
      <w:hyperlink r:id="rId12" w:history="1">
        <w:r w:rsidR="008B0F85" w:rsidRPr="00033A14">
          <w:rPr>
            <w:rStyle w:val="Hyperlink"/>
            <w:rFonts w:ascii="Times New Roman" w:hAnsi="Times New Roman" w:cs="Times New Roman"/>
            <w:sz w:val="22"/>
            <w:szCs w:val="22"/>
          </w:rPr>
          <w:t>henry.cain@nhs.net</w:t>
        </w:r>
      </w:hyperlink>
      <w:r w:rsidR="008B0F85" w:rsidRPr="00033A14">
        <w:rPr>
          <w:rFonts w:ascii="Times New Roman" w:hAnsi="Times New Roman" w:cs="Times New Roman"/>
          <w:sz w:val="22"/>
          <w:szCs w:val="22"/>
        </w:rPr>
        <w:t xml:space="preserve"> </w:t>
      </w:r>
    </w:p>
    <w:p w14:paraId="2F4CAD7F" w14:textId="29969DF2" w:rsidR="00141C1E" w:rsidRPr="00033A14" w:rsidRDefault="00141C1E" w:rsidP="00EB2F6F">
      <w:pPr>
        <w:pStyle w:val="ListParagraph"/>
        <w:numPr>
          <w:ilvl w:val="0"/>
          <w:numId w:val="1"/>
        </w:numPr>
        <w:spacing w:line="360" w:lineRule="auto"/>
        <w:rPr>
          <w:rFonts w:ascii="Times New Roman" w:hAnsi="Times New Roman" w:cs="Times New Roman"/>
          <w:sz w:val="22"/>
          <w:szCs w:val="22"/>
          <w:lang w:val="en-US"/>
        </w:rPr>
      </w:pPr>
      <w:r w:rsidRPr="00033A14">
        <w:rPr>
          <w:rFonts w:ascii="Times New Roman" w:hAnsi="Times New Roman" w:cs="Times New Roman"/>
          <w:sz w:val="22"/>
          <w:szCs w:val="22"/>
          <w:lang w:val="en-US"/>
        </w:rPr>
        <w:t>Adam Todd</w:t>
      </w:r>
      <w:r w:rsidR="0019705D" w:rsidRPr="00033A14">
        <w:rPr>
          <w:rFonts w:ascii="Times New Roman" w:hAnsi="Times New Roman" w:cs="Times New Roman"/>
          <w:sz w:val="22"/>
          <w:szCs w:val="22"/>
          <w:vertAlign w:val="superscript"/>
          <w:lang w:val="en-US"/>
        </w:rPr>
        <w:t>3</w:t>
      </w:r>
      <w:r w:rsidRPr="00033A14">
        <w:rPr>
          <w:rFonts w:ascii="Times New Roman" w:hAnsi="Times New Roman" w:cs="Times New Roman"/>
          <w:sz w:val="22"/>
          <w:szCs w:val="22"/>
          <w:vertAlign w:val="superscript"/>
          <w:lang w:val="en-US"/>
        </w:rPr>
        <w:t xml:space="preserve"> </w:t>
      </w:r>
      <w:hyperlink r:id="rId13" w:history="1">
        <w:r w:rsidRPr="00033A14">
          <w:rPr>
            <w:rStyle w:val="Hyperlink"/>
            <w:rFonts w:ascii="Times New Roman" w:hAnsi="Times New Roman" w:cs="Times New Roman"/>
            <w:sz w:val="22"/>
            <w:szCs w:val="22"/>
            <w:lang w:val="en-US"/>
          </w:rPr>
          <w:t>adam.todd@newcastle.ac.uk</w:t>
        </w:r>
      </w:hyperlink>
      <w:r w:rsidRPr="00033A14">
        <w:rPr>
          <w:rFonts w:ascii="Times New Roman" w:hAnsi="Times New Roman" w:cs="Times New Roman"/>
          <w:sz w:val="22"/>
          <w:szCs w:val="22"/>
          <w:lang w:val="en-US"/>
        </w:rPr>
        <w:t xml:space="preserve"> </w:t>
      </w:r>
    </w:p>
    <w:p w14:paraId="2BA8AB3E" w14:textId="65A1767D" w:rsidR="00141C1E" w:rsidRPr="00033A14" w:rsidRDefault="00141C1E" w:rsidP="00EB2F6F">
      <w:pPr>
        <w:pStyle w:val="ListParagraph"/>
        <w:numPr>
          <w:ilvl w:val="0"/>
          <w:numId w:val="1"/>
        </w:numPr>
        <w:spacing w:line="360" w:lineRule="auto"/>
        <w:rPr>
          <w:rFonts w:ascii="Times New Roman" w:hAnsi="Times New Roman" w:cs="Times New Roman"/>
          <w:sz w:val="22"/>
          <w:szCs w:val="22"/>
          <w:lang w:val="en-US"/>
        </w:rPr>
      </w:pPr>
      <w:r w:rsidRPr="00033A14">
        <w:rPr>
          <w:rFonts w:ascii="Times New Roman" w:hAnsi="Times New Roman" w:cs="Times New Roman"/>
          <w:sz w:val="22"/>
          <w:szCs w:val="22"/>
          <w:lang w:val="en-US"/>
        </w:rPr>
        <w:t>Linda Sharp</w:t>
      </w:r>
      <w:r w:rsidR="00C7452E" w:rsidRPr="00033A14">
        <w:rPr>
          <w:rFonts w:ascii="Times New Roman" w:hAnsi="Times New Roman" w:cs="Times New Roman"/>
          <w:sz w:val="22"/>
          <w:szCs w:val="22"/>
          <w:vertAlign w:val="superscript"/>
          <w:lang w:val="en-US"/>
        </w:rPr>
        <w:t>1</w:t>
      </w:r>
      <w:r w:rsidRPr="00033A14">
        <w:rPr>
          <w:rFonts w:ascii="Times New Roman" w:hAnsi="Times New Roman" w:cs="Times New Roman"/>
          <w:sz w:val="22"/>
          <w:szCs w:val="22"/>
          <w:vertAlign w:val="superscript"/>
          <w:lang w:val="en-US"/>
        </w:rPr>
        <w:t xml:space="preserve"> </w:t>
      </w:r>
      <w:hyperlink r:id="rId14" w:history="1">
        <w:r w:rsidRPr="00033A14">
          <w:rPr>
            <w:rStyle w:val="Hyperlink"/>
            <w:rFonts w:ascii="Times New Roman" w:hAnsi="Times New Roman" w:cs="Times New Roman"/>
            <w:sz w:val="22"/>
            <w:szCs w:val="22"/>
            <w:lang w:val="en-US"/>
          </w:rPr>
          <w:t>Linda.Sharp@newcastle.ac.uk</w:t>
        </w:r>
      </w:hyperlink>
      <w:r w:rsidR="007277A6" w:rsidRPr="00033A14">
        <w:rPr>
          <w:rStyle w:val="Hyperlink"/>
          <w:rFonts w:ascii="Times New Roman" w:hAnsi="Times New Roman" w:cs="Times New Roman"/>
          <w:color w:val="000000" w:themeColor="text1"/>
          <w:sz w:val="22"/>
          <w:szCs w:val="22"/>
          <w:u w:val="none"/>
          <w:vertAlign w:val="superscript"/>
          <w:lang w:val="en-US"/>
        </w:rPr>
        <w:t>**</w:t>
      </w:r>
      <w:r w:rsidRPr="00033A14">
        <w:rPr>
          <w:rFonts w:ascii="Times New Roman" w:hAnsi="Times New Roman" w:cs="Times New Roman"/>
          <w:color w:val="000000" w:themeColor="text1"/>
          <w:sz w:val="22"/>
          <w:szCs w:val="22"/>
          <w:vertAlign w:val="superscript"/>
          <w:lang w:val="en-US"/>
        </w:rPr>
        <w:t xml:space="preserve"> </w:t>
      </w:r>
    </w:p>
    <w:p w14:paraId="00BE35A8" w14:textId="77777777" w:rsidR="00141C1E" w:rsidRPr="00033A14" w:rsidRDefault="00141C1E" w:rsidP="00EB2F6F">
      <w:pPr>
        <w:pStyle w:val="ListParagraph"/>
        <w:spacing w:line="360" w:lineRule="auto"/>
        <w:rPr>
          <w:rFonts w:ascii="Times New Roman" w:hAnsi="Times New Roman" w:cs="Times New Roman"/>
          <w:sz w:val="22"/>
          <w:szCs w:val="22"/>
          <w:lang w:val="en-US"/>
        </w:rPr>
      </w:pPr>
    </w:p>
    <w:p w14:paraId="1C1D1020" w14:textId="77777777" w:rsidR="00141C1E" w:rsidRPr="00033A14" w:rsidRDefault="00141C1E" w:rsidP="00EB2F6F">
      <w:pPr>
        <w:spacing w:line="360" w:lineRule="auto"/>
        <w:rPr>
          <w:b/>
          <w:sz w:val="22"/>
          <w:szCs w:val="22"/>
        </w:rPr>
      </w:pPr>
      <w:r w:rsidRPr="00033A14">
        <w:rPr>
          <w:b/>
          <w:sz w:val="22"/>
          <w:szCs w:val="22"/>
        </w:rPr>
        <w:t>Affiliations:</w:t>
      </w:r>
    </w:p>
    <w:p w14:paraId="57445631" w14:textId="5E3308E0" w:rsidR="00C7452E" w:rsidRPr="00033A14" w:rsidRDefault="00141C1E" w:rsidP="00EB2F6F">
      <w:pPr>
        <w:spacing w:line="360" w:lineRule="auto"/>
        <w:rPr>
          <w:sz w:val="22"/>
          <w:szCs w:val="22"/>
          <w:lang w:val="en-US"/>
        </w:rPr>
      </w:pPr>
      <w:r w:rsidRPr="00033A14">
        <w:rPr>
          <w:sz w:val="22"/>
          <w:szCs w:val="22"/>
          <w:vertAlign w:val="superscript"/>
          <w:lang w:val="en-US"/>
        </w:rPr>
        <w:t>1</w:t>
      </w:r>
      <w:r w:rsidR="00C7452E" w:rsidRPr="00033A14">
        <w:rPr>
          <w:sz w:val="22"/>
          <w:szCs w:val="22"/>
          <w:lang w:val="en-US"/>
        </w:rPr>
        <w:t>Population Health Sciences Institute, Newcastle University</w:t>
      </w:r>
      <w:r w:rsidR="00176923">
        <w:rPr>
          <w:sz w:val="22"/>
          <w:szCs w:val="22"/>
          <w:lang w:val="en-US"/>
        </w:rPr>
        <w:t>,</w:t>
      </w:r>
      <w:r w:rsidR="00C7452E" w:rsidRPr="00033A14">
        <w:rPr>
          <w:sz w:val="22"/>
          <w:szCs w:val="22"/>
          <w:lang w:val="en-US"/>
        </w:rPr>
        <w:t xml:space="preserve"> Centre for Cancer, Newcastle-upon-Tyne, United Kingdom</w:t>
      </w:r>
    </w:p>
    <w:p w14:paraId="32495BE9" w14:textId="6E980DD2" w:rsidR="00C7452E" w:rsidRPr="00033A14" w:rsidRDefault="0019705D" w:rsidP="00EB2F6F">
      <w:pPr>
        <w:spacing w:line="360" w:lineRule="auto"/>
        <w:rPr>
          <w:color w:val="000000" w:themeColor="text1"/>
          <w:sz w:val="22"/>
          <w:szCs w:val="22"/>
        </w:rPr>
      </w:pPr>
      <w:r w:rsidRPr="00033A14">
        <w:rPr>
          <w:color w:val="000000" w:themeColor="text1"/>
          <w:sz w:val="22"/>
          <w:szCs w:val="22"/>
          <w:shd w:val="clear" w:color="auto" w:fill="FFFFFF"/>
          <w:vertAlign w:val="superscript"/>
        </w:rPr>
        <w:t>2</w:t>
      </w:r>
      <w:r w:rsidR="00C7452E" w:rsidRPr="00033A14">
        <w:rPr>
          <w:color w:val="000000" w:themeColor="text1"/>
          <w:sz w:val="22"/>
          <w:szCs w:val="22"/>
          <w:shd w:val="clear" w:color="auto" w:fill="FFFFFF"/>
        </w:rPr>
        <w:t>Northern Centre for Cancer Care, Freeman Hospital, Newcastle Hospital Trust, Newcastle-upon-Tyne, United Kingdom</w:t>
      </w:r>
    </w:p>
    <w:p w14:paraId="220067E8" w14:textId="5CAB30C2" w:rsidR="00141C1E" w:rsidRPr="00033A14" w:rsidRDefault="0019705D" w:rsidP="00EB2F6F">
      <w:pPr>
        <w:spacing w:line="360" w:lineRule="auto"/>
        <w:rPr>
          <w:sz w:val="22"/>
          <w:szCs w:val="22"/>
          <w:lang w:val="en-US"/>
        </w:rPr>
      </w:pPr>
      <w:r w:rsidRPr="00033A14">
        <w:rPr>
          <w:sz w:val="22"/>
          <w:szCs w:val="22"/>
          <w:vertAlign w:val="superscript"/>
          <w:lang w:val="en-US"/>
        </w:rPr>
        <w:t>3</w:t>
      </w:r>
      <w:r w:rsidR="00141C1E" w:rsidRPr="00033A14">
        <w:rPr>
          <w:sz w:val="22"/>
          <w:szCs w:val="22"/>
          <w:lang w:val="en-US"/>
        </w:rPr>
        <w:t>School of Pharmacy, Newcastle University, Newcastle-upon-Tyne, United Kingdom</w:t>
      </w:r>
    </w:p>
    <w:p w14:paraId="2EE0E73A" w14:textId="77777777" w:rsidR="00141C1E" w:rsidRDefault="00141C1E" w:rsidP="00EB2F6F">
      <w:pPr>
        <w:spacing w:line="360" w:lineRule="auto"/>
        <w:rPr>
          <w:sz w:val="22"/>
          <w:szCs w:val="22"/>
          <w:lang w:val="en-US"/>
        </w:rPr>
      </w:pPr>
    </w:p>
    <w:p w14:paraId="7DADA94A" w14:textId="45A089E4" w:rsidR="00FE33C0" w:rsidRPr="00033A14" w:rsidRDefault="00FE33C0" w:rsidP="00FE33C0">
      <w:pPr>
        <w:spacing w:line="360" w:lineRule="auto"/>
        <w:rPr>
          <w:b/>
          <w:bCs/>
          <w:sz w:val="22"/>
          <w:szCs w:val="22"/>
        </w:rPr>
      </w:pPr>
      <w:r>
        <w:rPr>
          <w:b/>
          <w:sz w:val="22"/>
          <w:szCs w:val="22"/>
        </w:rPr>
        <w:t xml:space="preserve">Running Title: </w:t>
      </w:r>
      <w:r w:rsidRPr="00FE33C0">
        <w:rPr>
          <w:sz w:val="22"/>
          <w:szCs w:val="22"/>
        </w:rPr>
        <w:t xml:space="preserve">Socio-demographic </w:t>
      </w:r>
      <w:r w:rsidR="00C57B75">
        <w:rPr>
          <w:sz w:val="22"/>
          <w:szCs w:val="22"/>
        </w:rPr>
        <w:t>disparities</w:t>
      </w:r>
      <w:r w:rsidRPr="00FE33C0">
        <w:rPr>
          <w:sz w:val="22"/>
          <w:szCs w:val="22"/>
        </w:rPr>
        <w:t xml:space="preserve"> in HER2+ trastuzumab receipt</w:t>
      </w:r>
    </w:p>
    <w:p w14:paraId="795984F2" w14:textId="77777777" w:rsidR="00FE33C0" w:rsidRDefault="00FE33C0" w:rsidP="00EB2F6F">
      <w:pPr>
        <w:spacing w:line="360" w:lineRule="auto"/>
        <w:rPr>
          <w:sz w:val="22"/>
          <w:szCs w:val="22"/>
          <w:lang w:val="en-US"/>
        </w:rPr>
      </w:pPr>
    </w:p>
    <w:p w14:paraId="35D224E0" w14:textId="2293F768" w:rsidR="00430058" w:rsidRPr="00631286" w:rsidRDefault="00430058" w:rsidP="00EB2F6F">
      <w:pPr>
        <w:spacing w:line="360" w:lineRule="auto"/>
        <w:rPr>
          <w:b/>
          <w:bCs/>
          <w:sz w:val="22"/>
          <w:szCs w:val="22"/>
          <w:lang w:val="en-US"/>
        </w:rPr>
      </w:pPr>
      <w:r w:rsidRPr="00631286">
        <w:rPr>
          <w:b/>
          <w:bCs/>
          <w:sz w:val="22"/>
          <w:szCs w:val="22"/>
          <w:lang w:val="en-US"/>
        </w:rPr>
        <w:t>Additional Information:</w:t>
      </w:r>
    </w:p>
    <w:p w14:paraId="05135D30" w14:textId="77777777" w:rsidR="00141C1E" w:rsidRPr="00033A14" w:rsidRDefault="00141C1E" w:rsidP="00EB2F6F">
      <w:pPr>
        <w:spacing w:line="360" w:lineRule="auto"/>
        <w:rPr>
          <w:b/>
          <w:sz w:val="22"/>
          <w:szCs w:val="22"/>
          <w:lang w:val="en-US"/>
        </w:rPr>
      </w:pPr>
      <w:r w:rsidRPr="00033A14">
        <w:rPr>
          <w:b/>
          <w:sz w:val="22"/>
          <w:szCs w:val="22"/>
          <w:lang w:val="en-US"/>
        </w:rPr>
        <w:t>Corresponding Author:</w:t>
      </w:r>
    </w:p>
    <w:p w14:paraId="52EAA7FE" w14:textId="4CDA0DB3" w:rsidR="00141C1E" w:rsidRPr="00033A14" w:rsidRDefault="007277A6" w:rsidP="0010330E">
      <w:pPr>
        <w:spacing w:line="360" w:lineRule="auto"/>
        <w:rPr>
          <w:sz w:val="22"/>
          <w:szCs w:val="22"/>
          <w:lang w:val="en-US"/>
        </w:rPr>
      </w:pPr>
      <w:r w:rsidRPr="00033A14">
        <w:rPr>
          <w:sz w:val="22"/>
          <w:szCs w:val="22"/>
          <w:lang w:val="en-US"/>
        </w:rPr>
        <w:t>**</w:t>
      </w:r>
      <w:r w:rsidR="00C6570F" w:rsidRPr="00033A14">
        <w:rPr>
          <w:sz w:val="22"/>
          <w:szCs w:val="22"/>
          <w:lang w:val="en-US"/>
        </w:rPr>
        <w:t>Professor</w:t>
      </w:r>
      <w:r w:rsidR="00141C1E" w:rsidRPr="00033A14">
        <w:rPr>
          <w:sz w:val="22"/>
          <w:szCs w:val="22"/>
          <w:lang w:val="en-US"/>
        </w:rPr>
        <w:t xml:space="preserve"> Linda Sharp, Professor </w:t>
      </w:r>
      <w:r w:rsidR="002A5E52">
        <w:rPr>
          <w:sz w:val="22"/>
          <w:szCs w:val="22"/>
          <w:lang w:val="en-US"/>
        </w:rPr>
        <w:t>of</w:t>
      </w:r>
      <w:r w:rsidR="00141C1E" w:rsidRPr="00033A14">
        <w:rPr>
          <w:sz w:val="22"/>
          <w:szCs w:val="22"/>
          <w:lang w:val="en-US"/>
        </w:rPr>
        <w:t xml:space="preserve"> Cancer Epidemiology, Population Health Sciences Institute, Newcastle University</w:t>
      </w:r>
      <w:r w:rsidR="002777DE">
        <w:rPr>
          <w:sz w:val="22"/>
          <w:szCs w:val="22"/>
          <w:lang w:val="en-US"/>
        </w:rPr>
        <w:t>,</w:t>
      </w:r>
      <w:r w:rsidR="00141C1E" w:rsidRPr="00033A14">
        <w:rPr>
          <w:sz w:val="22"/>
          <w:szCs w:val="22"/>
          <w:lang w:val="en-US"/>
        </w:rPr>
        <w:t xml:space="preserve"> Centre for Cancer, Room 5.15</w:t>
      </w:r>
      <w:r w:rsidR="00C7452E" w:rsidRPr="00033A14">
        <w:rPr>
          <w:sz w:val="22"/>
          <w:szCs w:val="22"/>
          <w:lang w:val="en-US"/>
        </w:rPr>
        <w:t>,</w:t>
      </w:r>
      <w:r w:rsidR="00141C1E" w:rsidRPr="00033A14">
        <w:rPr>
          <w:sz w:val="22"/>
          <w:szCs w:val="22"/>
          <w:lang w:val="en-US"/>
        </w:rPr>
        <w:t xml:space="preserve"> Fifth Floor, Ridley Building</w:t>
      </w:r>
      <w:r w:rsidR="00C7452E" w:rsidRPr="00033A14">
        <w:rPr>
          <w:sz w:val="22"/>
          <w:szCs w:val="22"/>
          <w:lang w:val="en-US"/>
        </w:rPr>
        <w:t xml:space="preserve"> 1</w:t>
      </w:r>
      <w:r w:rsidR="00141C1E" w:rsidRPr="00033A14">
        <w:rPr>
          <w:sz w:val="22"/>
          <w:szCs w:val="22"/>
          <w:lang w:val="en-US"/>
        </w:rPr>
        <w:t xml:space="preserve">, Newcastle University, </w:t>
      </w:r>
      <w:r w:rsidR="00C7452E" w:rsidRPr="00033A14">
        <w:rPr>
          <w:sz w:val="22"/>
          <w:szCs w:val="22"/>
          <w:lang w:val="en-US"/>
        </w:rPr>
        <w:t>Claremont</w:t>
      </w:r>
      <w:r w:rsidR="00141C1E" w:rsidRPr="00033A14">
        <w:rPr>
          <w:sz w:val="22"/>
          <w:szCs w:val="22"/>
          <w:lang w:val="en-US"/>
        </w:rPr>
        <w:t xml:space="preserve"> Road, Newcastle-upon-Tyne, NE1 </w:t>
      </w:r>
      <w:r w:rsidR="00C7452E" w:rsidRPr="00033A14">
        <w:rPr>
          <w:sz w:val="22"/>
          <w:szCs w:val="22"/>
          <w:lang w:val="en-US"/>
        </w:rPr>
        <w:t>7RU</w:t>
      </w:r>
      <w:r w:rsidR="00141C1E" w:rsidRPr="00033A14">
        <w:rPr>
          <w:sz w:val="22"/>
          <w:szCs w:val="22"/>
          <w:lang w:val="en-US"/>
        </w:rPr>
        <w:t>, United Kingdom</w:t>
      </w:r>
    </w:p>
    <w:p w14:paraId="0F3BA5E6" w14:textId="4C43D156" w:rsidR="00141C1E" w:rsidRDefault="00141C1E" w:rsidP="0010330E">
      <w:pPr>
        <w:spacing w:line="360" w:lineRule="auto"/>
        <w:rPr>
          <w:sz w:val="22"/>
          <w:szCs w:val="22"/>
          <w:lang w:val="en-US"/>
        </w:rPr>
      </w:pPr>
      <w:r w:rsidRPr="00033A14">
        <w:rPr>
          <w:sz w:val="22"/>
          <w:szCs w:val="22"/>
          <w:lang w:val="en-US"/>
        </w:rPr>
        <w:t xml:space="preserve">Email: </w:t>
      </w:r>
      <w:hyperlink r:id="rId15" w:history="1">
        <w:r w:rsidRPr="00033A14">
          <w:rPr>
            <w:rStyle w:val="Hyperlink"/>
            <w:sz w:val="22"/>
            <w:szCs w:val="22"/>
            <w:lang w:val="en-US"/>
          </w:rPr>
          <w:t>linda.sharp@ncl.ac.uk</w:t>
        </w:r>
      </w:hyperlink>
      <w:r w:rsidRPr="00033A14">
        <w:rPr>
          <w:sz w:val="22"/>
          <w:szCs w:val="22"/>
          <w:lang w:val="en-US"/>
        </w:rPr>
        <w:t xml:space="preserve"> | Tel: +44 (0)191 208 6275</w:t>
      </w:r>
      <w:r w:rsidR="00D90889" w:rsidRPr="00033A14">
        <w:rPr>
          <w:sz w:val="22"/>
          <w:szCs w:val="22"/>
          <w:lang w:val="en-US"/>
        </w:rPr>
        <w:t xml:space="preserve"> </w:t>
      </w:r>
      <w:r w:rsidR="001109E7" w:rsidRPr="00033A14">
        <w:rPr>
          <w:sz w:val="22"/>
          <w:szCs w:val="22"/>
          <w:lang w:val="en-US"/>
        </w:rPr>
        <w:t xml:space="preserve">| </w:t>
      </w:r>
      <w:r w:rsidR="00D90889" w:rsidRPr="00033A14">
        <w:rPr>
          <w:sz w:val="22"/>
          <w:szCs w:val="22"/>
          <w:lang w:val="en-US"/>
        </w:rPr>
        <w:t>ORCID</w:t>
      </w:r>
      <w:r w:rsidR="001109E7" w:rsidRPr="00033A14">
        <w:rPr>
          <w:sz w:val="22"/>
          <w:szCs w:val="22"/>
          <w:lang w:val="en-US"/>
        </w:rPr>
        <w:t xml:space="preserve"> ID</w:t>
      </w:r>
      <w:r w:rsidR="00D90889" w:rsidRPr="00033A14">
        <w:rPr>
          <w:sz w:val="22"/>
          <w:szCs w:val="22"/>
          <w:lang w:val="en-US"/>
        </w:rPr>
        <w:t>: 0000-0001-9515-1722</w:t>
      </w:r>
    </w:p>
    <w:p w14:paraId="707DA712" w14:textId="1F6EBFE0" w:rsidR="00A07B2A" w:rsidRPr="00033A14" w:rsidRDefault="00A07B2A" w:rsidP="00EB2F6F">
      <w:pPr>
        <w:spacing w:line="360" w:lineRule="auto"/>
        <w:rPr>
          <w:sz w:val="22"/>
          <w:szCs w:val="22"/>
        </w:rPr>
      </w:pPr>
    </w:p>
    <w:p w14:paraId="0304D71C" w14:textId="10C6DE2E" w:rsidR="00FE33C0" w:rsidRPr="00033A14" w:rsidRDefault="00FE33C0" w:rsidP="00FE33C0">
      <w:pPr>
        <w:spacing w:line="360" w:lineRule="auto"/>
        <w:rPr>
          <w:b/>
          <w:color w:val="000000" w:themeColor="text1"/>
          <w:sz w:val="22"/>
          <w:szCs w:val="22"/>
          <w:lang w:val="en-US"/>
        </w:rPr>
      </w:pPr>
      <w:r w:rsidRPr="00033A14">
        <w:rPr>
          <w:b/>
          <w:color w:val="000000" w:themeColor="text1"/>
          <w:sz w:val="22"/>
          <w:szCs w:val="22"/>
          <w:lang w:val="en-US"/>
        </w:rPr>
        <w:t>Co</w:t>
      </w:r>
      <w:r>
        <w:rPr>
          <w:b/>
          <w:color w:val="000000" w:themeColor="text1"/>
          <w:sz w:val="22"/>
          <w:szCs w:val="22"/>
          <w:lang w:val="en-US"/>
        </w:rPr>
        <w:t>nflicts of</w:t>
      </w:r>
      <w:r w:rsidRPr="00033A14">
        <w:rPr>
          <w:b/>
          <w:color w:val="000000" w:themeColor="text1"/>
          <w:sz w:val="22"/>
          <w:szCs w:val="22"/>
          <w:lang w:val="en-US"/>
        </w:rPr>
        <w:t xml:space="preserve"> Interests</w:t>
      </w:r>
      <w:r w:rsidR="00301F59">
        <w:rPr>
          <w:b/>
          <w:color w:val="000000" w:themeColor="text1"/>
          <w:sz w:val="22"/>
          <w:szCs w:val="22"/>
          <w:lang w:val="en-US"/>
        </w:rPr>
        <w:t>:</w:t>
      </w:r>
    </w:p>
    <w:p w14:paraId="6BBD0477" w14:textId="77777777" w:rsidR="00FE33C0" w:rsidRDefault="00FE33C0" w:rsidP="00FE33C0">
      <w:pPr>
        <w:spacing w:line="360" w:lineRule="auto"/>
        <w:rPr>
          <w:bCs/>
          <w:sz w:val="22"/>
          <w:szCs w:val="22"/>
        </w:rPr>
      </w:pPr>
      <w:r>
        <w:rPr>
          <w:bCs/>
          <w:sz w:val="22"/>
          <w:szCs w:val="22"/>
        </w:rPr>
        <w:t xml:space="preserve">AG declares consultancy and speaker fees from Roche; having a leadership role at the Northeast England Yorkshire and the Humber Genomics Laboratory Hub; and membership to the National Test Directory Working Group, outside of the submitted work. AT reports receiving royalties from Wiley Publishers, outside the submitted work. HC declares being on the Advisory Boards for Roche, Astra </w:t>
      </w:r>
      <w:r>
        <w:rPr>
          <w:bCs/>
          <w:sz w:val="22"/>
          <w:szCs w:val="22"/>
        </w:rPr>
        <w:lastRenderedPageBreak/>
        <w:t>Zeneca, Exact Health, Baxter, Lilly, Veracyte, MSD, and Novartis; honorarium for speaking with Roche, Astra Zeneca, Exact Health, Pfizer, Baxter, and MSD; travel support from Roche; speaking and meeting support from Allergan; and a research grant from Roche and Exact Health, outside the submitted work.  LS, NC, RD, and RN</w:t>
      </w:r>
      <w:r w:rsidRPr="00033A14">
        <w:rPr>
          <w:bCs/>
          <w:sz w:val="22"/>
          <w:szCs w:val="22"/>
        </w:rPr>
        <w:t xml:space="preserve"> declare no conflict</w:t>
      </w:r>
      <w:r>
        <w:rPr>
          <w:bCs/>
          <w:sz w:val="22"/>
          <w:szCs w:val="22"/>
        </w:rPr>
        <w:t xml:space="preserve">s </w:t>
      </w:r>
      <w:r w:rsidRPr="00033A14">
        <w:rPr>
          <w:bCs/>
          <w:sz w:val="22"/>
          <w:szCs w:val="22"/>
        </w:rPr>
        <w:t xml:space="preserve">of interests. </w:t>
      </w:r>
    </w:p>
    <w:p w14:paraId="0229954D" w14:textId="77777777" w:rsidR="004675D8" w:rsidRDefault="004675D8" w:rsidP="00FE33C0">
      <w:pPr>
        <w:spacing w:line="360" w:lineRule="auto"/>
        <w:rPr>
          <w:bCs/>
          <w:sz w:val="22"/>
          <w:szCs w:val="22"/>
        </w:rPr>
      </w:pPr>
    </w:p>
    <w:p w14:paraId="3A9F90E8" w14:textId="6908EC62" w:rsidR="00631286" w:rsidRPr="00631286" w:rsidRDefault="00631286" w:rsidP="00FE33C0">
      <w:pPr>
        <w:spacing w:line="360" w:lineRule="auto"/>
        <w:rPr>
          <w:b/>
          <w:sz w:val="22"/>
          <w:szCs w:val="22"/>
        </w:rPr>
      </w:pPr>
      <w:r w:rsidRPr="00631286">
        <w:rPr>
          <w:b/>
          <w:sz w:val="22"/>
          <w:szCs w:val="22"/>
        </w:rPr>
        <w:t>Other Information:</w:t>
      </w:r>
    </w:p>
    <w:p w14:paraId="609A6E7E" w14:textId="0676F5DC" w:rsidR="004675D8" w:rsidRDefault="004675D8" w:rsidP="00FE33C0">
      <w:pPr>
        <w:spacing w:line="360" w:lineRule="auto"/>
        <w:rPr>
          <w:b/>
          <w:sz w:val="22"/>
          <w:szCs w:val="22"/>
        </w:rPr>
      </w:pPr>
      <w:r w:rsidRPr="004675D8">
        <w:rPr>
          <w:b/>
          <w:sz w:val="22"/>
          <w:szCs w:val="22"/>
        </w:rPr>
        <w:t>Word Count</w:t>
      </w:r>
      <w:r w:rsidR="00301F59">
        <w:rPr>
          <w:b/>
          <w:sz w:val="22"/>
          <w:szCs w:val="22"/>
        </w:rPr>
        <w:t>:</w:t>
      </w:r>
    </w:p>
    <w:p w14:paraId="7BD3709C" w14:textId="73A2D915" w:rsidR="004675D8" w:rsidRDefault="00490637" w:rsidP="00FE33C0">
      <w:pPr>
        <w:spacing w:line="360" w:lineRule="auto"/>
        <w:rPr>
          <w:bCs/>
          <w:sz w:val="22"/>
          <w:szCs w:val="22"/>
        </w:rPr>
      </w:pPr>
      <w:r>
        <w:rPr>
          <w:bCs/>
          <w:sz w:val="22"/>
          <w:szCs w:val="22"/>
        </w:rPr>
        <w:t>4,3</w:t>
      </w:r>
      <w:r w:rsidR="007900F3">
        <w:rPr>
          <w:bCs/>
          <w:sz w:val="22"/>
          <w:szCs w:val="22"/>
        </w:rPr>
        <w:t>3</w:t>
      </w:r>
      <w:r w:rsidR="006D3EDE">
        <w:rPr>
          <w:bCs/>
          <w:sz w:val="22"/>
          <w:szCs w:val="22"/>
        </w:rPr>
        <w:t>4</w:t>
      </w:r>
      <w:r w:rsidR="004675D8" w:rsidRPr="004675D8">
        <w:rPr>
          <w:bCs/>
          <w:sz w:val="22"/>
          <w:szCs w:val="22"/>
        </w:rPr>
        <w:t xml:space="preserve"> words</w:t>
      </w:r>
    </w:p>
    <w:p w14:paraId="11938D0B" w14:textId="77777777" w:rsidR="004675D8" w:rsidRDefault="004675D8" w:rsidP="00FE33C0">
      <w:pPr>
        <w:spacing w:line="360" w:lineRule="auto"/>
        <w:rPr>
          <w:bCs/>
          <w:sz w:val="22"/>
          <w:szCs w:val="22"/>
        </w:rPr>
      </w:pPr>
    </w:p>
    <w:p w14:paraId="3A80AE10" w14:textId="247FBD7C" w:rsidR="004675D8" w:rsidRPr="004675D8" w:rsidRDefault="004675D8" w:rsidP="00FE33C0">
      <w:pPr>
        <w:spacing w:line="360" w:lineRule="auto"/>
        <w:rPr>
          <w:b/>
          <w:sz w:val="22"/>
          <w:szCs w:val="22"/>
        </w:rPr>
      </w:pPr>
      <w:r w:rsidRPr="004675D8">
        <w:rPr>
          <w:b/>
          <w:sz w:val="22"/>
          <w:szCs w:val="22"/>
        </w:rPr>
        <w:t>Total Number of Figures &amp; Tables</w:t>
      </w:r>
      <w:r w:rsidR="00301F59">
        <w:rPr>
          <w:b/>
          <w:sz w:val="22"/>
          <w:szCs w:val="22"/>
        </w:rPr>
        <w:t>:</w:t>
      </w:r>
    </w:p>
    <w:p w14:paraId="39C7AEF7" w14:textId="0AD70A34" w:rsidR="0010330E" w:rsidRDefault="004675D8" w:rsidP="00EB2F6F">
      <w:pPr>
        <w:spacing w:line="360" w:lineRule="auto"/>
        <w:rPr>
          <w:b/>
          <w:bCs/>
          <w:sz w:val="22"/>
          <w:szCs w:val="22"/>
        </w:rPr>
      </w:pPr>
      <w:r>
        <w:rPr>
          <w:bCs/>
          <w:sz w:val="22"/>
          <w:szCs w:val="22"/>
        </w:rPr>
        <w:t>3 Tables, 0 Figures</w:t>
      </w:r>
    </w:p>
    <w:p w14:paraId="614EFBDE" w14:textId="77777777" w:rsidR="00631286" w:rsidRDefault="00631286" w:rsidP="00EB2F6F">
      <w:pPr>
        <w:spacing w:line="360" w:lineRule="auto"/>
        <w:rPr>
          <w:b/>
          <w:bCs/>
          <w:sz w:val="22"/>
          <w:szCs w:val="22"/>
        </w:rPr>
      </w:pPr>
    </w:p>
    <w:p w14:paraId="78BFC3CF" w14:textId="77777777" w:rsidR="006F468A" w:rsidRDefault="006F468A" w:rsidP="00EB2F6F">
      <w:pPr>
        <w:spacing w:line="360" w:lineRule="auto"/>
        <w:rPr>
          <w:b/>
          <w:bCs/>
          <w:sz w:val="22"/>
          <w:szCs w:val="22"/>
        </w:rPr>
      </w:pPr>
    </w:p>
    <w:p w14:paraId="37DC3190" w14:textId="77777777" w:rsidR="006F468A" w:rsidRDefault="006F468A" w:rsidP="00EB2F6F">
      <w:pPr>
        <w:spacing w:line="360" w:lineRule="auto"/>
        <w:rPr>
          <w:sz w:val="22"/>
          <w:szCs w:val="22"/>
        </w:rPr>
      </w:pPr>
    </w:p>
    <w:p w14:paraId="1F4D73F2" w14:textId="77777777" w:rsidR="00FE33C0" w:rsidRDefault="00FE33C0" w:rsidP="00EB2F6F">
      <w:pPr>
        <w:spacing w:line="360" w:lineRule="auto"/>
        <w:rPr>
          <w:sz w:val="22"/>
          <w:szCs w:val="22"/>
        </w:rPr>
      </w:pPr>
    </w:p>
    <w:p w14:paraId="4A8D49F2" w14:textId="77777777" w:rsidR="00FE33C0" w:rsidRDefault="00FE33C0" w:rsidP="00EB2F6F">
      <w:pPr>
        <w:spacing w:line="360" w:lineRule="auto"/>
        <w:rPr>
          <w:sz w:val="22"/>
          <w:szCs w:val="22"/>
        </w:rPr>
      </w:pPr>
    </w:p>
    <w:p w14:paraId="64D046E1" w14:textId="77777777" w:rsidR="00FE33C0" w:rsidRDefault="00FE33C0" w:rsidP="00EB2F6F">
      <w:pPr>
        <w:spacing w:line="360" w:lineRule="auto"/>
        <w:rPr>
          <w:sz w:val="22"/>
          <w:szCs w:val="22"/>
        </w:rPr>
      </w:pPr>
    </w:p>
    <w:p w14:paraId="0E08B089" w14:textId="77777777" w:rsidR="00FE33C0" w:rsidRDefault="00FE33C0" w:rsidP="00EB2F6F">
      <w:pPr>
        <w:spacing w:line="360" w:lineRule="auto"/>
        <w:rPr>
          <w:sz w:val="22"/>
          <w:szCs w:val="22"/>
        </w:rPr>
      </w:pPr>
    </w:p>
    <w:p w14:paraId="11C2746B" w14:textId="77777777" w:rsidR="00FE33C0" w:rsidRDefault="00FE33C0" w:rsidP="00EB2F6F">
      <w:pPr>
        <w:spacing w:line="360" w:lineRule="auto"/>
        <w:rPr>
          <w:sz w:val="22"/>
          <w:szCs w:val="22"/>
        </w:rPr>
      </w:pPr>
    </w:p>
    <w:p w14:paraId="5CDE52A6" w14:textId="77777777" w:rsidR="00FE33C0" w:rsidRDefault="00FE33C0" w:rsidP="00EB2F6F">
      <w:pPr>
        <w:spacing w:line="360" w:lineRule="auto"/>
        <w:rPr>
          <w:sz w:val="22"/>
          <w:szCs w:val="22"/>
        </w:rPr>
      </w:pPr>
    </w:p>
    <w:p w14:paraId="5E885831" w14:textId="77777777" w:rsidR="00FE33C0" w:rsidRDefault="00FE33C0" w:rsidP="00EB2F6F">
      <w:pPr>
        <w:spacing w:line="360" w:lineRule="auto"/>
        <w:rPr>
          <w:sz w:val="22"/>
          <w:szCs w:val="22"/>
        </w:rPr>
      </w:pPr>
    </w:p>
    <w:p w14:paraId="0E3FE41B" w14:textId="77777777" w:rsidR="00FE33C0" w:rsidRDefault="00FE33C0" w:rsidP="00EB2F6F">
      <w:pPr>
        <w:spacing w:line="360" w:lineRule="auto"/>
        <w:rPr>
          <w:sz w:val="22"/>
          <w:szCs w:val="22"/>
        </w:rPr>
      </w:pPr>
    </w:p>
    <w:p w14:paraId="619E201F" w14:textId="77777777" w:rsidR="00FE33C0" w:rsidRDefault="00FE33C0" w:rsidP="00EB2F6F">
      <w:pPr>
        <w:spacing w:line="360" w:lineRule="auto"/>
        <w:rPr>
          <w:sz w:val="22"/>
          <w:szCs w:val="22"/>
        </w:rPr>
      </w:pPr>
    </w:p>
    <w:p w14:paraId="018D83EF" w14:textId="77777777" w:rsidR="00FE33C0" w:rsidRDefault="00FE33C0" w:rsidP="00EB2F6F">
      <w:pPr>
        <w:spacing w:line="360" w:lineRule="auto"/>
        <w:rPr>
          <w:sz w:val="22"/>
          <w:szCs w:val="22"/>
        </w:rPr>
      </w:pPr>
    </w:p>
    <w:p w14:paraId="23874017" w14:textId="77777777" w:rsidR="00FE33C0" w:rsidRDefault="00FE33C0" w:rsidP="00EB2F6F">
      <w:pPr>
        <w:spacing w:line="360" w:lineRule="auto"/>
        <w:rPr>
          <w:sz w:val="22"/>
          <w:szCs w:val="22"/>
        </w:rPr>
      </w:pPr>
    </w:p>
    <w:p w14:paraId="179270FD" w14:textId="77777777" w:rsidR="00FE33C0" w:rsidRDefault="00FE33C0" w:rsidP="00EB2F6F">
      <w:pPr>
        <w:spacing w:line="360" w:lineRule="auto"/>
        <w:rPr>
          <w:sz w:val="22"/>
          <w:szCs w:val="22"/>
        </w:rPr>
      </w:pPr>
    </w:p>
    <w:p w14:paraId="16434D81" w14:textId="77777777" w:rsidR="00FE33C0" w:rsidRDefault="00FE33C0" w:rsidP="00EB2F6F">
      <w:pPr>
        <w:spacing w:line="360" w:lineRule="auto"/>
        <w:rPr>
          <w:sz w:val="22"/>
          <w:szCs w:val="22"/>
        </w:rPr>
      </w:pPr>
    </w:p>
    <w:p w14:paraId="5EFE4251" w14:textId="77777777" w:rsidR="00631286" w:rsidRDefault="00631286" w:rsidP="00EB2F6F">
      <w:pPr>
        <w:spacing w:line="360" w:lineRule="auto"/>
        <w:rPr>
          <w:sz w:val="22"/>
          <w:szCs w:val="22"/>
        </w:rPr>
      </w:pPr>
    </w:p>
    <w:p w14:paraId="7A7FE7F8" w14:textId="77777777" w:rsidR="00631286" w:rsidRDefault="00631286" w:rsidP="00EB2F6F">
      <w:pPr>
        <w:spacing w:line="360" w:lineRule="auto"/>
        <w:rPr>
          <w:sz w:val="22"/>
          <w:szCs w:val="22"/>
        </w:rPr>
      </w:pPr>
    </w:p>
    <w:p w14:paraId="4E873943" w14:textId="77777777" w:rsidR="00631286" w:rsidRDefault="00631286" w:rsidP="00EB2F6F">
      <w:pPr>
        <w:spacing w:line="360" w:lineRule="auto"/>
        <w:rPr>
          <w:sz w:val="22"/>
          <w:szCs w:val="22"/>
        </w:rPr>
      </w:pPr>
    </w:p>
    <w:p w14:paraId="0C37BC2C" w14:textId="77777777" w:rsidR="00631286" w:rsidRDefault="00631286" w:rsidP="00EB2F6F">
      <w:pPr>
        <w:spacing w:line="360" w:lineRule="auto"/>
        <w:rPr>
          <w:sz w:val="22"/>
          <w:szCs w:val="22"/>
        </w:rPr>
      </w:pPr>
    </w:p>
    <w:p w14:paraId="31951179" w14:textId="77777777" w:rsidR="00631286" w:rsidRDefault="00631286" w:rsidP="00EB2F6F">
      <w:pPr>
        <w:spacing w:line="360" w:lineRule="auto"/>
        <w:rPr>
          <w:sz w:val="22"/>
          <w:szCs w:val="22"/>
        </w:rPr>
      </w:pPr>
    </w:p>
    <w:p w14:paraId="25A229B0" w14:textId="77777777" w:rsidR="00631286" w:rsidRDefault="00631286" w:rsidP="00EB2F6F">
      <w:pPr>
        <w:spacing w:line="360" w:lineRule="auto"/>
        <w:rPr>
          <w:sz w:val="22"/>
          <w:szCs w:val="22"/>
        </w:rPr>
      </w:pPr>
    </w:p>
    <w:p w14:paraId="02AA42EA" w14:textId="77777777" w:rsidR="00631286" w:rsidRDefault="00631286" w:rsidP="00EB2F6F">
      <w:pPr>
        <w:spacing w:line="360" w:lineRule="auto"/>
        <w:rPr>
          <w:sz w:val="22"/>
          <w:szCs w:val="22"/>
        </w:rPr>
      </w:pPr>
    </w:p>
    <w:p w14:paraId="2F30447B" w14:textId="77777777" w:rsidR="00631286" w:rsidRDefault="00631286" w:rsidP="00EB2F6F">
      <w:pPr>
        <w:spacing w:line="360" w:lineRule="auto"/>
        <w:rPr>
          <w:sz w:val="22"/>
          <w:szCs w:val="22"/>
        </w:rPr>
      </w:pPr>
    </w:p>
    <w:p w14:paraId="6CEAE062" w14:textId="77777777" w:rsidR="00FE33C0" w:rsidRDefault="00FE33C0" w:rsidP="00EB2F6F">
      <w:pPr>
        <w:spacing w:line="360" w:lineRule="auto"/>
        <w:rPr>
          <w:sz w:val="22"/>
          <w:szCs w:val="22"/>
        </w:rPr>
      </w:pPr>
    </w:p>
    <w:p w14:paraId="02B757C0" w14:textId="77777777" w:rsidR="00FE33C0" w:rsidRDefault="00FE33C0" w:rsidP="00EB2F6F">
      <w:pPr>
        <w:spacing w:line="360" w:lineRule="auto"/>
        <w:rPr>
          <w:sz w:val="22"/>
          <w:szCs w:val="22"/>
        </w:rPr>
      </w:pPr>
    </w:p>
    <w:p w14:paraId="58770E64" w14:textId="47DD1351" w:rsidR="002C7865" w:rsidRPr="00033A14" w:rsidRDefault="009E1B75" w:rsidP="00EB2F6F">
      <w:pPr>
        <w:spacing w:line="360" w:lineRule="auto"/>
        <w:rPr>
          <w:b/>
          <w:sz w:val="22"/>
          <w:szCs w:val="22"/>
        </w:rPr>
      </w:pPr>
      <w:r w:rsidRPr="00033A14">
        <w:rPr>
          <w:b/>
          <w:sz w:val="22"/>
          <w:szCs w:val="22"/>
        </w:rPr>
        <w:lastRenderedPageBreak/>
        <w:t>Abstract</w:t>
      </w:r>
    </w:p>
    <w:p w14:paraId="4122A46A" w14:textId="188C7EBB" w:rsidR="002C7865" w:rsidRPr="00033A14" w:rsidRDefault="002C7865" w:rsidP="00EB2F6F">
      <w:pPr>
        <w:spacing w:line="360" w:lineRule="auto"/>
        <w:rPr>
          <w:b/>
          <w:sz w:val="22"/>
          <w:szCs w:val="22"/>
        </w:rPr>
      </w:pPr>
      <w:r w:rsidRPr="00033A14">
        <w:rPr>
          <w:b/>
          <w:sz w:val="22"/>
          <w:szCs w:val="22"/>
        </w:rPr>
        <w:t>Background:</w:t>
      </w:r>
    </w:p>
    <w:p w14:paraId="71A9B8F6" w14:textId="6DA2C5B9" w:rsidR="007E11E4" w:rsidRPr="00033A14" w:rsidRDefault="00A86F69" w:rsidP="00EB2F6F">
      <w:pPr>
        <w:spacing w:line="360" w:lineRule="auto"/>
        <w:rPr>
          <w:bCs/>
          <w:sz w:val="22"/>
          <w:szCs w:val="22"/>
        </w:rPr>
      </w:pPr>
      <w:r w:rsidRPr="00033A14">
        <w:rPr>
          <w:bCs/>
          <w:sz w:val="22"/>
          <w:szCs w:val="22"/>
        </w:rPr>
        <w:t>Socio-</w:t>
      </w:r>
      <w:r w:rsidR="000D6FD4">
        <w:rPr>
          <w:bCs/>
          <w:sz w:val="22"/>
          <w:szCs w:val="22"/>
        </w:rPr>
        <w:t>demographic</w:t>
      </w:r>
      <w:r w:rsidR="00E957E0" w:rsidRPr="00033A14">
        <w:rPr>
          <w:bCs/>
          <w:sz w:val="22"/>
          <w:szCs w:val="22"/>
        </w:rPr>
        <w:t xml:space="preserve"> </w:t>
      </w:r>
      <w:r w:rsidR="00C57B75">
        <w:rPr>
          <w:bCs/>
          <w:sz w:val="22"/>
          <w:szCs w:val="22"/>
        </w:rPr>
        <w:t>disparities</w:t>
      </w:r>
      <w:r w:rsidRPr="00033A14">
        <w:rPr>
          <w:bCs/>
          <w:sz w:val="22"/>
          <w:szCs w:val="22"/>
        </w:rPr>
        <w:t xml:space="preserve"> in </w:t>
      </w:r>
      <w:r w:rsidR="002A5E52">
        <w:rPr>
          <w:bCs/>
          <w:sz w:val="22"/>
          <w:szCs w:val="22"/>
        </w:rPr>
        <w:t>traditional</w:t>
      </w:r>
      <w:r w:rsidRPr="00033A14">
        <w:rPr>
          <w:bCs/>
          <w:sz w:val="22"/>
          <w:szCs w:val="22"/>
        </w:rPr>
        <w:t xml:space="preserve"> breast cancer treatment</w:t>
      </w:r>
      <w:r w:rsidR="002A6775">
        <w:rPr>
          <w:bCs/>
          <w:sz w:val="22"/>
          <w:szCs w:val="22"/>
        </w:rPr>
        <w:t xml:space="preserve"> </w:t>
      </w:r>
      <w:r w:rsidR="00790AE5">
        <w:rPr>
          <w:bCs/>
          <w:sz w:val="22"/>
          <w:szCs w:val="22"/>
        </w:rPr>
        <w:t>r</w:t>
      </w:r>
      <w:r w:rsidR="00D16134">
        <w:rPr>
          <w:bCs/>
          <w:sz w:val="22"/>
          <w:szCs w:val="22"/>
        </w:rPr>
        <w:t>eceipt</w:t>
      </w:r>
      <w:r w:rsidR="00B35731" w:rsidRPr="00033A14">
        <w:rPr>
          <w:bCs/>
          <w:sz w:val="22"/>
          <w:szCs w:val="22"/>
        </w:rPr>
        <w:t xml:space="preserve"> </w:t>
      </w:r>
      <w:r w:rsidR="00D646EB">
        <w:rPr>
          <w:bCs/>
          <w:sz w:val="22"/>
          <w:szCs w:val="22"/>
        </w:rPr>
        <w:t>in</w:t>
      </w:r>
      <w:r w:rsidR="00E957E0" w:rsidRPr="00033A14">
        <w:rPr>
          <w:bCs/>
          <w:sz w:val="22"/>
          <w:szCs w:val="22"/>
        </w:rPr>
        <w:t xml:space="preserve"> non-publicly funded healthcare system</w:t>
      </w:r>
      <w:r w:rsidR="00AE3E81" w:rsidRPr="00033A14">
        <w:rPr>
          <w:bCs/>
          <w:sz w:val="22"/>
          <w:szCs w:val="22"/>
        </w:rPr>
        <w:t>s</w:t>
      </w:r>
      <w:r w:rsidR="004B00E8" w:rsidRPr="00033A14">
        <w:rPr>
          <w:bCs/>
          <w:sz w:val="22"/>
          <w:szCs w:val="22"/>
        </w:rPr>
        <w:t xml:space="preserve"> are well documented. </w:t>
      </w:r>
      <w:r w:rsidRPr="00033A14">
        <w:rPr>
          <w:bCs/>
          <w:sz w:val="22"/>
          <w:szCs w:val="22"/>
        </w:rPr>
        <w:t xml:space="preserve">This study investigated trastuzumab </w:t>
      </w:r>
      <w:r w:rsidR="00790AE5">
        <w:rPr>
          <w:bCs/>
          <w:sz w:val="22"/>
          <w:szCs w:val="22"/>
        </w:rPr>
        <w:t>r</w:t>
      </w:r>
      <w:r w:rsidR="00D16134">
        <w:rPr>
          <w:bCs/>
          <w:sz w:val="22"/>
          <w:szCs w:val="22"/>
        </w:rPr>
        <w:t>eceipt</w:t>
      </w:r>
      <w:r w:rsidR="00E957E0" w:rsidRPr="00033A14">
        <w:rPr>
          <w:bCs/>
          <w:sz w:val="22"/>
          <w:szCs w:val="22"/>
        </w:rPr>
        <w:t xml:space="preserve"> by </w:t>
      </w:r>
      <w:r w:rsidR="000D6FD4">
        <w:rPr>
          <w:bCs/>
          <w:sz w:val="22"/>
          <w:szCs w:val="22"/>
        </w:rPr>
        <w:t xml:space="preserve">socio-demographic factors </w:t>
      </w:r>
      <w:r w:rsidRPr="00033A14">
        <w:rPr>
          <w:bCs/>
          <w:sz w:val="22"/>
          <w:szCs w:val="22"/>
        </w:rPr>
        <w:t>within a female, HER2+ breast cancer population in England</w:t>
      </w:r>
      <w:r w:rsidR="00D646EB">
        <w:rPr>
          <w:bCs/>
          <w:sz w:val="22"/>
          <w:szCs w:val="22"/>
        </w:rPr>
        <w:t xml:space="preserve">’s </w:t>
      </w:r>
      <w:r w:rsidR="004B00E8" w:rsidRPr="00033A14">
        <w:rPr>
          <w:bCs/>
          <w:sz w:val="22"/>
          <w:szCs w:val="22"/>
        </w:rPr>
        <w:t>publicly funded National Health Service</w:t>
      </w:r>
      <w:r w:rsidRPr="00033A14">
        <w:rPr>
          <w:bCs/>
          <w:sz w:val="22"/>
          <w:szCs w:val="22"/>
        </w:rPr>
        <w:t>.</w:t>
      </w:r>
    </w:p>
    <w:p w14:paraId="03980ACE" w14:textId="77777777" w:rsidR="003E5112" w:rsidRPr="00033A14" w:rsidRDefault="003E5112" w:rsidP="00EB2F6F">
      <w:pPr>
        <w:spacing w:line="360" w:lineRule="auto"/>
        <w:rPr>
          <w:bCs/>
          <w:sz w:val="22"/>
          <w:szCs w:val="22"/>
        </w:rPr>
      </w:pPr>
    </w:p>
    <w:p w14:paraId="49D08DFD" w14:textId="079E4CF7" w:rsidR="002C7865" w:rsidRPr="00033A14" w:rsidRDefault="002C7865" w:rsidP="00EB2F6F">
      <w:pPr>
        <w:spacing w:line="360" w:lineRule="auto"/>
        <w:rPr>
          <w:b/>
          <w:sz w:val="22"/>
          <w:szCs w:val="22"/>
        </w:rPr>
      </w:pPr>
      <w:r w:rsidRPr="00033A14">
        <w:rPr>
          <w:b/>
          <w:sz w:val="22"/>
          <w:szCs w:val="22"/>
        </w:rPr>
        <w:t>Methods:</w:t>
      </w:r>
    </w:p>
    <w:p w14:paraId="2E59B2E9" w14:textId="4325FAA9" w:rsidR="00E31C0B" w:rsidRPr="00033A14" w:rsidRDefault="00E31C0B" w:rsidP="00EB2F6F">
      <w:pPr>
        <w:spacing w:line="360" w:lineRule="auto"/>
        <w:rPr>
          <w:bCs/>
          <w:sz w:val="22"/>
          <w:szCs w:val="22"/>
        </w:rPr>
      </w:pPr>
      <w:r w:rsidRPr="00033A14">
        <w:rPr>
          <w:bCs/>
          <w:sz w:val="22"/>
          <w:szCs w:val="22"/>
        </w:rPr>
        <w:t xml:space="preserve">The English </w:t>
      </w:r>
      <w:r w:rsidR="003E5112" w:rsidRPr="00033A14">
        <w:rPr>
          <w:bCs/>
          <w:sz w:val="22"/>
          <w:szCs w:val="22"/>
        </w:rPr>
        <w:t>n</w:t>
      </w:r>
      <w:r w:rsidRPr="00033A14">
        <w:rPr>
          <w:bCs/>
          <w:sz w:val="22"/>
          <w:szCs w:val="22"/>
        </w:rPr>
        <w:t xml:space="preserve">ational </w:t>
      </w:r>
      <w:r w:rsidR="003E5112" w:rsidRPr="00033A14">
        <w:rPr>
          <w:bCs/>
          <w:sz w:val="22"/>
          <w:szCs w:val="22"/>
        </w:rPr>
        <w:t>population-based c</w:t>
      </w:r>
      <w:r w:rsidRPr="00033A14">
        <w:rPr>
          <w:bCs/>
          <w:sz w:val="22"/>
          <w:szCs w:val="22"/>
        </w:rPr>
        <w:t xml:space="preserve">ancer </w:t>
      </w:r>
      <w:r w:rsidR="003E5112" w:rsidRPr="00033A14">
        <w:rPr>
          <w:bCs/>
          <w:sz w:val="22"/>
          <w:szCs w:val="22"/>
        </w:rPr>
        <w:t>r</w:t>
      </w:r>
      <w:r w:rsidRPr="00033A14">
        <w:rPr>
          <w:bCs/>
          <w:sz w:val="22"/>
          <w:szCs w:val="22"/>
        </w:rPr>
        <w:t xml:space="preserve">egistry and </w:t>
      </w:r>
      <w:r w:rsidR="00A86F69" w:rsidRPr="00033A14">
        <w:rPr>
          <w:bCs/>
          <w:sz w:val="22"/>
          <w:szCs w:val="22"/>
        </w:rPr>
        <w:t xml:space="preserve">linked </w:t>
      </w:r>
      <w:r w:rsidR="009F1B4D" w:rsidRPr="00033A14">
        <w:rPr>
          <w:bCs/>
          <w:sz w:val="22"/>
          <w:szCs w:val="22"/>
        </w:rPr>
        <w:t>Systemic Anti-Cancer Therapy (</w:t>
      </w:r>
      <w:r w:rsidRPr="00033A14">
        <w:rPr>
          <w:bCs/>
          <w:sz w:val="22"/>
          <w:szCs w:val="22"/>
        </w:rPr>
        <w:t>SACT</w:t>
      </w:r>
      <w:r w:rsidR="009F1B4D" w:rsidRPr="00033A14">
        <w:rPr>
          <w:bCs/>
          <w:sz w:val="22"/>
          <w:szCs w:val="22"/>
        </w:rPr>
        <w:t>)</w:t>
      </w:r>
      <w:r w:rsidR="00C0531A" w:rsidRPr="00033A14">
        <w:rPr>
          <w:bCs/>
          <w:sz w:val="22"/>
          <w:szCs w:val="22"/>
        </w:rPr>
        <w:t xml:space="preserve"> database</w:t>
      </w:r>
      <w:r w:rsidRPr="00033A14">
        <w:rPr>
          <w:bCs/>
          <w:sz w:val="22"/>
          <w:szCs w:val="22"/>
        </w:rPr>
        <w:t xml:space="preserve"> identif</w:t>
      </w:r>
      <w:r w:rsidR="00E310E0" w:rsidRPr="00033A14">
        <w:rPr>
          <w:bCs/>
          <w:sz w:val="22"/>
          <w:szCs w:val="22"/>
        </w:rPr>
        <w:t>ied</w:t>
      </w:r>
      <w:r w:rsidRPr="00033A14">
        <w:rPr>
          <w:bCs/>
          <w:sz w:val="22"/>
          <w:szCs w:val="22"/>
        </w:rPr>
        <w:t xml:space="preserve"> </w:t>
      </w:r>
      <w:r w:rsidR="00CB66D4">
        <w:rPr>
          <w:bCs/>
          <w:sz w:val="22"/>
          <w:szCs w:val="22"/>
        </w:rPr>
        <w:t>36,</w:t>
      </w:r>
      <w:r w:rsidR="00DC4C25">
        <w:rPr>
          <w:bCs/>
          <w:sz w:val="22"/>
          <w:szCs w:val="22"/>
        </w:rPr>
        <w:t>985</w:t>
      </w:r>
      <w:r w:rsidR="00CB66D4" w:rsidRPr="00033A14">
        <w:rPr>
          <w:bCs/>
          <w:sz w:val="22"/>
          <w:szCs w:val="22"/>
        </w:rPr>
        <w:t xml:space="preserve"> </w:t>
      </w:r>
      <w:r w:rsidRPr="00033A14">
        <w:rPr>
          <w:bCs/>
          <w:sz w:val="22"/>
          <w:szCs w:val="22"/>
        </w:rPr>
        <w:t xml:space="preserve">women with HER2+ </w:t>
      </w:r>
      <w:r w:rsidR="003E6EF4">
        <w:rPr>
          <w:bCs/>
          <w:sz w:val="22"/>
          <w:szCs w:val="22"/>
        </w:rPr>
        <w:t xml:space="preserve">invasive </w:t>
      </w:r>
      <w:r w:rsidRPr="00033A14">
        <w:rPr>
          <w:bCs/>
          <w:sz w:val="22"/>
          <w:szCs w:val="22"/>
        </w:rPr>
        <w:t>breast cancer</w:t>
      </w:r>
      <w:r w:rsidR="003E5112" w:rsidRPr="00033A14">
        <w:rPr>
          <w:bCs/>
          <w:sz w:val="22"/>
          <w:szCs w:val="22"/>
        </w:rPr>
        <w:t xml:space="preserve"> </w:t>
      </w:r>
      <w:r w:rsidRPr="00033A14">
        <w:rPr>
          <w:bCs/>
          <w:sz w:val="22"/>
          <w:szCs w:val="22"/>
        </w:rPr>
        <w:t>diagnosed 01/01/2012–31/12/2017. Multivariable logistic regression</w:t>
      </w:r>
      <w:r w:rsidR="003E5112" w:rsidRPr="00033A14">
        <w:rPr>
          <w:bCs/>
          <w:sz w:val="22"/>
          <w:szCs w:val="22"/>
        </w:rPr>
        <w:t xml:space="preserve"> determined</w:t>
      </w:r>
      <w:r w:rsidRPr="00033A14">
        <w:rPr>
          <w:bCs/>
          <w:sz w:val="22"/>
          <w:szCs w:val="22"/>
        </w:rPr>
        <w:t xml:space="preserve"> </w:t>
      </w:r>
      <w:r w:rsidR="00843AE5" w:rsidRPr="00033A14">
        <w:rPr>
          <w:bCs/>
          <w:sz w:val="22"/>
          <w:szCs w:val="22"/>
        </w:rPr>
        <w:t>likelihood of</w:t>
      </w:r>
      <w:r w:rsidR="000E456C">
        <w:rPr>
          <w:bCs/>
          <w:sz w:val="22"/>
          <w:szCs w:val="22"/>
        </w:rPr>
        <w:t xml:space="preserve"> </w:t>
      </w:r>
      <w:r w:rsidRPr="00033A14">
        <w:rPr>
          <w:bCs/>
          <w:sz w:val="22"/>
          <w:szCs w:val="22"/>
        </w:rPr>
        <w:t xml:space="preserve">trastuzumab </w:t>
      </w:r>
      <w:r w:rsidR="009242F5">
        <w:rPr>
          <w:bCs/>
          <w:sz w:val="22"/>
          <w:szCs w:val="22"/>
        </w:rPr>
        <w:t>r</w:t>
      </w:r>
      <w:r w:rsidR="00D16134">
        <w:rPr>
          <w:bCs/>
          <w:sz w:val="22"/>
          <w:szCs w:val="22"/>
        </w:rPr>
        <w:t>eceipt</w:t>
      </w:r>
      <w:r w:rsidR="00163E6F" w:rsidRPr="00033A14">
        <w:rPr>
          <w:bCs/>
          <w:sz w:val="22"/>
          <w:szCs w:val="22"/>
        </w:rPr>
        <w:t xml:space="preserve"> </w:t>
      </w:r>
      <w:r w:rsidR="007629CB">
        <w:rPr>
          <w:bCs/>
          <w:sz w:val="22"/>
          <w:szCs w:val="22"/>
        </w:rPr>
        <w:t>in</w:t>
      </w:r>
      <w:r w:rsidR="00843AE5" w:rsidRPr="00033A14">
        <w:rPr>
          <w:bCs/>
          <w:sz w:val="22"/>
          <w:szCs w:val="22"/>
        </w:rPr>
        <w:t xml:space="preserve"> </w:t>
      </w:r>
      <w:r w:rsidR="000E456C">
        <w:rPr>
          <w:bCs/>
          <w:sz w:val="22"/>
          <w:szCs w:val="22"/>
        </w:rPr>
        <w:t xml:space="preserve">(i) </w:t>
      </w:r>
      <w:r w:rsidR="00BD6230">
        <w:rPr>
          <w:bCs/>
          <w:sz w:val="22"/>
          <w:szCs w:val="22"/>
        </w:rPr>
        <w:t>early</w:t>
      </w:r>
      <w:r w:rsidR="000E456C">
        <w:rPr>
          <w:bCs/>
          <w:sz w:val="22"/>
          <w:szCs w:val="22"/>
        </w:rPr>
        <w:t xml:space="preserve"> and (ii) </w:t>
      </w:r>
      <w:r w:rsidR="00BD6230">
        <w:rPr>
          <w:bCs/>
          <w:sz w:val="22"/>
          <w:szCs w:val="22"/>
        </w:rPr>
        <w:t>metastatic</w:t>
      </w:r>
      <w:r w:rsidR="000E456C">
        <w:rPr>
          <w:bCs/>
          <w:sz w:val="22"/>
          <w:szCs w:val="22"/>
        </w:rPr>
        <w:t xml:space="preserve"> </w:t>
      </w:r>
      <w:r w:rsidR="007A6294">
        <w:rPr>
          <w:bCs/>
          <w:sz w:val="22"/>
          <w:szCs w:val="22"/>
        </w:rPr>
        <w:t>disease</w:t>
      </w:r>
      <w:r w:rsidR="000E456C">
        <w:rPr>
          <w:bCs/>
          <w:sz w:val="22"/>
          <w:szCs w:val="22"/>
        </w:rPr>
        <w:t xml:space="preserve"> by </w:t>
      </w:r>
      <w:r w:rsidR="00F73001">
        <w:rPr>
          <w:bCs/>
          <w:sz w:val="22"/>
          <w:szCs w:val="22"/>
        </w:rPr>
        <w:t xml:space="preserve">deprivation category of area of residence and </w:t>
      </w:r>
      <w:r w:rsidR="00DC4C25">
        <w:rPr>
          <w:bCs/>
          <w:sz w:val="22"/>
          <w:szCs w:val="22"/>
        </w:rPr>
        <w:t>other</w:t>
      </w:r>
      <w:r w:rsidR="00F73001">
        <w:rPr>
          <w:bCs/>
          <w:sz w:val="22"/>
          <w:szCs w:val="22"/>
        </w:rPr>
        <w:t xml:space="preserve"> </w:t>
      </w:r>
      <w:r w:rsidR="000E456C">
        <w:rPr>
          <w:bCs/>
          <w:sz w:val="22"/>
          <w:szCs w:val="22"/>
        </w:rPr>
        <w:t xml:space="preserve">socio-demographic </w:t>
      </w:r>
      <w:r w:rsidR="00AE6B1E">
        <w:rPr>
          <w:bCs/>
          <w:sz w:val="22"/>
          <w:szCs w:val="22"/>
        </w:rPr>
        <w:t>characteristics</w:t>
      </w:r>
      <w:r w:rsidR="000E456C">
        <w:rPr>
          <w:bCs/>
          <w:sz w:val="22"/>
          <w:szCs w:val="22"/>
        </w:rPr>
        <w:t xml:space="preserve">. </w:t>
      </w:r>
      <w:r w:rsidR="00F27A3F" w:rsidRPr="00033A14">
        <w:rPr>
          <w:bCs/>
          <w:sz w:val="22"/>
          <w:szCs w:val="22"/>
        </w:rPr>
        <w:t xml:space="preserve"> </w:t>
      </w:r>
    </w:p>
    <w:p w14:paraId="5EFB5FB8" w14:textId="3A998395" w:rsidR="00E31C0B" w:rsidRPr="00033A14" w:rsidRDefault="00E31C0B" w:rsidP="00EB2F6F">
      <w:pPr>
        <w:spacing w:line="360" w:lineRule="auto"/>
        <w:rPr>
          <w:bCs/>
          <w:sz w:val="22"/>
          <w:szCs w:val="22"/>
        </w:rPr>
      </w:pPr>
      <w:r w:rsidRPr="00033A14">
        <w:rPr>
          <w:bCs/>
          <w:sz w:val="22"/>
          <w:szCs w:val="22"/>
        </w:rPr>
        <w:t xml:space="preserve"> </w:t>
      </w:r>
    </w:p>
    <w:p w14:paraId="26D412DF" w14:textId="60772218" w:rsidR="002C7865" w:rsidRPr="00033A14" w:rsidRDefault="00843AE5" w:rsidP="00EB2F6F">
      <w:pPr>
        <w:spacing w:line="360" w:lineRule="auto"/>
        <w:rPr>
          <w:b/>
          <w:sz w:val="22"/>
          <w:szCs w:val="22"/>
        </w:rPr>
      </w:pPr>
      <w:r w:rsidRPr="00033A14">
        <w:rPr>
          <w:b/>
          <w:sz w:val="22"/>
          <w:szCs w:val="22"/>
        </w:rPr>
        <w:t>Results</w:t>
      </w:r>
      <w:r w:rsidR="002C7865" w:rsidRPr="00033A14">
        <w:rPr>
          <w:b/>
          <w:sz w:val="22"/>
          <w:szCs w:val="22"/>
        </w:rPr>
        <w:t>:</w:t>
      </w:r>
    </w:p>
    <w:p w14:paraId="6724E60E" w14:textId="4956E3BB" w:rsidR="00F73001" w:rsidRDefault="00BD6230" w:rsidP="00F73001">
      <w:pPr>
        <w:spacing w:line="360" w:lineRule="auto"/>
        <w:rPr>
          <w:bCs/>
          <w:sz w:val="22"/>
          <w:szCs w:val="22"/>
        </w:rPr>
      </w:pPr>
      <w:r>
        <w:rPr>
          <w:bCs/>
          <w:sz w:val="22"/>
          <w:szCs w:val="22"/>
        </w:rPr>
        <w:t>Early</w:t>
      </w:r>
      <w:r w:rsidR="00A353F1">
        <w:rPr>
          <w:bCs/>
          <w:sz w:val="22"/>
          <w:szCs w:val="22"/>
        </w:rPr>
        <w:t>-</w:t>
      </w:r>
      <w:r>
        <w:rPr>
          <w:bCs/>
          <w:sz w:val="22"/>
          <w:szCs w:val="22"/>
        </w:rPr>
        <w:t>s</w:t>
      </w:r>
      <w:r w:rsidR="00F73001">
        <w:rPr>
          <w:bCs/>
          <w:sz w:val="22"/>
          <w:szCs w:val="22"/>
        </w:rPr>
        <w:t xml:space="preserve">tage trastuzumab receipt followed a socio-economic gradient. </w:t>
      </w:r>
      <w:r w:rsidR="00F73001" w:rsidRPr="00033A14">
        <w:rPr>
          <w:bCs/>
          <w:sz w:val="22"/>
          <w:szCs w:val="22"/>
        </w:rPr>
        <w:t xml:space="preserve">Women residing in the most deprived areas were </w:t>
      </w:r>
      <w:r w:rsidR="00F73001">
        <w:rPr>
          <w:bCs/>
          <w:sz w:val="22"/>
          <w:szCs w:val="22"/>
        </w:rPr>
        <w:t>10</w:t>
      </w:r>
      <w:r w:rsidR="00F73001" w:rsidRPr="00033A14">
        <w:rPr>
          <w:bCs/>
          <w:sz w:val="22"/>
          <w:szCs w:val="22"/>
        </w:rPr>
        <w:t xml:space="preserve">% less likely to </w:t>
      </w:r>
      <w:r w:rsidR="00F73001">
        <w:rPr>
          <w:bCs/>
          <w:sz w:val="22"/>
          <w:szCs w:val="22"/>
        </w:rPr>
        <w:t>receive</w:t>
      </w:r>
      <w:r w:rsidR="00F73001" w:rsidRPr="00033A14">
        <w:rPr>
          <w:bCs/>
          <w:sz w:val="22"/>
          <w:szCs w:val="22"/>
        </w:rPr>
        <w:t xml:space="preserve"> trastuzumab (m</w:t>
      </w:r>
      <w:r w:rsidR="003E6EF4">
        <w:rPr>
          <w:bCs/>
          <w:sz w:val="22"/>
          <w:szCs w:val="22"/>
        </w:rPr>
        <w:t xml:space="preserve">ultivariable </w:t>
      </w:r>
      <w:r w:rsidR="00F73001" w:rsidRPr="00033A14">
        <w:rPr>
          <w:bCs/>
          <w:sz w:val="22"/>
          <w:szCs w:val="22"/>
        </w:rPr>
        <w:t>OR 0.9</w:t>
      </w:r>
      <w:r w:rsidR="00F73001">
        <w:rPr>
          <w:bCs/>
          <w:sz w:val="22"/>
          <w:szCs w:val="22"/>
        </w:rPr>
        <w:t>0</w:t>
      </w:r>
      <w:r w:rsidR="00F73001" w:rsidRPr="00033A14">
        <w:rPr>
          <w:bCs/>
          <w:sz w:val="22"/>
          <w:szCs w:val="22"/>
        </w:rPr>
        <w:t>, (95% CI) 0.8</w:t>
      </w:r>
      <w:r w:rsidR="00DC4C25">
        <w:rPr>
          <w:bCs/>
          <w:sz w:val="22"/>
          <w:szCs w:val="22"/>
        </w:rPr>
        <w:t>3</w:t>
      </w:r>
      <w:r w:rsidR="00F73001" w:rsidRPr="00033A14">
        <w:rPr>
          <w:bCs/>
          <w:sz w:val="22"/>
          <w:szCs w:val="22"/>
        </w:rPr>
        <w:t>, 0.9</w:t>
      </w:r>
      <w:r w:rsidR="00F73001">
        <w:rPr>
          <w:bCs/>
          <w:sz w:val="22"/>
          <w:szCs w:val="22"/>
        </w:rPr>
        <w:t>8</w:t>
      </w:r>
      <w:r w:rsidR="00F73001" w:rsidRPr="00033A14">
        <w:rPr>
          <w:bCs/>
          <w:sz w:val="22"/>
          <w:szCs w:val="22"/>
        </w:rPr>
        <w:t>) compared to women residing in the least deprived areas.</w:t>
      </w:r>
      <w:r w:rsidR="00F73001">
        <w:rPr>
          <w:bCs/>
          <w:sz w:val="22"/>
          <w:szCs w:val="22"/>
        </w:rPr>
        <w:t xml:space="preserve"> </w:t>
      </w:r>
      <w:r w:rsidR="00DC4C25">
        <w:rPr>
          <w:bCs/>
          <w:sz w:val="22"/>
          <w:szCs w:val="22"/>
        </w:rPr>
        <w:t xml:space="preserve">In both early and metastatic </w:t>
      </w:r>
      <w:r w:rsidR="007A6294">
        <w:rPr>
          <w:bCs/>
          <w:sz w:val="22"/>
          <w:szCs w:val="22"/>
        </w:rPr>
        <w:t>disease</w:t>
      </w:r>
      <w:r w:rsidR="00DC4C25">
        <w:rPr>
          <w:bCs/>
          <w:sz w:val="22"/>
          <w:szCs w:val="22"/>
        </w:rPr>
        <w:t>,</w:t>
      </w:r>
      <w:r w:rsidR="00F73001">
        <w:rPr>
          <w:bCs/>
          <w:sz w:val="22"/>
          <w:szCs w:val="22"/>
        </w:rPr>
        <w:t xml:space="preserve"> trastuzumab receipt was </w:t>
      </w:r>
      <w:r w:rsidR="007A6294">
        <w:rPr>
          <w:bCs/>
          <w:sz w:val="22"/>
          <w:szCs w:val="22"/>
        </w:rPr>
        <w:t>less</w:t>
      </w:r>
      <w:r w:rsidR="00F73001">
        <w:rPr>
          <w:bCs/>
          <w:sz w:val="22"/>
          <w:szCs w:val="22"/>
        </w:rPr>
        <w:t xml:space="preserve"> likely in </w:t>
      </w:r>
      <w:r w:rsidR="00A353F1">
        <w:rPr>
          <w:bCs/>
          <w:sz w:val="22"/>
          <w:szCs w:val="22"/>
        </w:rPr>
        <w:t>older women w</w:t>
      </w:r>
      <w:r w:rsidR="00B21675">
        <w:rPr>
          <w:bCs/>
          <w:sz w:val="22"/>
          <w:szCs w:val="22"/>
        </w:rPr>
        <w:t xml:space="preserve">ith </w:t>
      </w:r>
      <w:r w:rsidR="007A6294">
        <w:rPr>
          <w:bCs/>
          <w:sz w:val="22"/>
          <w:szCs w:val="22"/>
        </w:rPr>
        <w:t>more</w:t>
      </w:r>
      <w:r w:rsidR="00F73001">
        <w:rPr>
          <w:bCs/>
          <w:sz w:val="22"/>
          <w:szCs w:val="22"/>
        </w:rPr>
        <w:t xml:space="preserve"> comorbidities, ER </w:t>
      </w:r>
      <w:r w:rsidR="007A6294">
        <w:rPr>
          <w:bCs/>
          <w:sz w:val="22"/>
          <w:szCs w:val="22"/>
        </w:rPr>
        <w:t>positive</w:t>
      </w:r>
      <w:r w:rsidR="00F73001">
        <w:rPr>
          <w:bCs/>
          <w:sz w:val="22"/>
          <w:szCs w:val="22"/>
        </w:rPr>
        <w:t xml:space="preserve"> disease</w:t>
      </w:r>
      <w:r w:rsidR="00DC4C25">
        <w:rPr>
          <w:bCs/>
          <w:sz w:val="22"/>
          <w:szCs w:val="22"/>
        </w:rPr>
        <w:t>,</w:t>
      </w:r>
      <w:r w:rsidR="00F73001">
        <w:rPr>
          <w:bCs/>
          <w:sz w:val="22"/>
          <w:szCs w:val="22"/>
        </w:rPr>
        <w:t xml:space="preserve"> and</w:t>
      </w:r>
      <w:r w:rsidR="0048226E">
        <w:rPr>
          <w:bCs/>
          <w:sz w:val="22"/>
          <w:szCs w:val="22"/>
        </w:rPr>
        <w:t xml:space="preserve"> </w:t>
      </w:r>
      <w:r w:rsidR="00B21675">
        <w:rPr>
          <w:bCs/>
          <w:sz w:val="22"/>
          <w:szCs w:val="22"/>
        </w:rPr>
        <w:t xml:space="preserve">who </w:t>
      </w:r>
      <w:r w:rsidR="00F73001">
        <w:rPr>
          <w:bCs/>
          <w:sz w:val="22"/>
          <w:szCs w:val="22"/>
        </w:rPr>
        <w:t xml:space="preserve">were </w:t>
      </w:r>
      <w:r w:rsidR="007A6294">
        <w:rPr>
          <w:bCs/>
          <w:sz w:val="22"/>
          <w:szCs w:val="22"/>
        </w:rPr>
        <w:t xml:space="preserve">not </w:t>
      </w:r>
      <w:r w:rsidR="00F73001">
        <w:rPr>
          <w:bCs/>
          <w:sz w:val="22"/>
          <w:szCs w:val="22"/>
        </w:rPr>
        <w:t xml:space="preserve">discussed at </w:t>
      </w:r>
      <w:r w:rsidR="003E6EF4">
        <w:rPr>
          <w:bCs/>
          <w:sz w:val="22"/>
          <w:szCs w:val="22"/>
        </w:rPr>
        <w:t>a multidisciplinary team meeting</w:t>
      </w:r>
      <w:r w:rsidR="00F73001">
        <w:rPr>
          <w:bCs/>
          <w:sz w:val="22"/>
          <w:szCs w:val="22"/>
        </w:rPr>
        <w:t xml:space="preserve">. </w:t>
      </w:r>
    </w:p>
    <w:p w14:paraId="469535D5" w14:textId="77777777" w:rsidR="000A1732" w:rsidRPr="00033A14" w:rsidRDefault="000A1732" w:rsidP="00EB2F6F">
      <w:pPr>
        <w:spacing w:line="360" w:lineRule="auto"/>
        <w:rPr>
          <w:bCs/>
          <w:sz w:val="22"/>
          <w:szCs w:val="22"/>
        </w:rPr>
      </w:pPr>
    </w:p>
    <w:p w14:paraId="507F454E" w14:textId="48075E19" w:rsidR="002C7865" w:rsidRPr="00033A14" w:rsidRDefault="00843AE5" w:rsidP="00EB2F6F">
      <w:pPr>
        <w:spacing w:line="360" w:lineRule="auto"/>
        <w:rPr>
          <w:b/>
          <w:sz w:val="22"/>
          <w:szCs w:val="22"/>
        </w:rPr>
      </w:pPr>
      <w:r w:rsidRPr="00033A14">
        <w:rPr>
          <w:b/>
          <w:sz w:val="22"/>
          <w:szCs w:val="22"/>
        </w:rPr>
        <w:t>Conclusions</w:t>
      </w:r>
      <w:r w:rsidR="002C7865" w:rsidRPr="00033A14">
        <w:rPr>
          <w:b/>
          <w:sz w:val="22"/>
          <w:szCs w:val="22"/>
        </w:rPr>
        <w:t>:</w:t>
      </w:r>
    </w:p>
    <w:p w14:paraId="5F5F255F" w14:textId="0C53B6BA" w:rsidR="00A12326" w:rsidRDefault="00F27A3F" w:rsidP="00EB2F6F">
      <w:pPr>
        <w:spacing w:line="360" w:lineRule="auto"/>
        <w:rPr>
          <w:bCs/>
          <w:sz w:val="22"/>
          <w:szCs w:val="22"/>
        </w:rPr>
      </w:pPr>
      <w:r w:rsidRPr="00033A14">
        <w:rPr>
          <w:bCs/>
          <w:sz w:val="22"/>
          <w:szCs w:val="22"/>
        </w:rPr>
        <w:t xml:space="preserve">Despite </w:t>
      </w:r>
      <w:r w:rsidR="00A27DDE">
        <w:rPr>
          <w:bCs/>
          <w:sz w:val="22"/>
          <w:szCs w:val="22"/>
        </w:rPr>
        <w:t>provision</w:t>
      </w:r>
      <w:r w:rsidRPr="00033A14">
        <w:rPr>
          <w:bCs/>
          <w:sz w:val="22"/>
          <w:szCs w:val="22"/>
        </w:rPr>
        <w:t xml:space="preserve"> </w:t>
      </w:r>
      <w:r w:rsidR="00033060">
        <w:rPr>
          <w:bCs/>
          <w:sz w:val="22"/>
          <w:szCs w:val="22"/>
        </w:rPr>
        <w:t xml:space="preserve">of </w:t>
      </w:r>
      <w:r w:rsidR="00C14EED">
        <w:rPr>
          <w:bCs/>
          <w:sz w:val="22"/>
          <w:szCs w:val="22"/>
        </w:rPr>
        <w:t xml:space="preserve">free </w:t>
      </w:r>
      <w:r w:rsidR="005D1255">
        <w:rPr>
          <w:bCs/>
          <w:sz w:val="22"/>
          <w:szCs w:val="22"/>
        </w:rPr>
        <w:t>at the point of delivery</w:t>
      </w:r>
      <w:r w:rsidR="001E123C">
        <w:rPr>
          <w:bCs/>
          <w:sz w:val="22"/>
          <w:szCs w:val="22"/>
        </w:rPr>
        <w:t xml:space="preserve"> </w:t>
      </w:r>
      <w:r w:rsidR="00033060">
        <w:rPr>
          <w:bCs/>
          <w:sz w:val="22"/>
          <w:szCs w:val="22"/>
        </w:rPr>
        <w:t xml:space="preserve">care </w:t>
      </w:r>
      <w:r w:rsidR="001E123C">
        <w:rPr>
          <w:bCs/>
          <w:sz w:val="22"/>
          <w:szCs w:val="22"/>
        </w:rPr>
        <w:t>in England</w:t>
      </w:r>
      <w:r w:rsidR="00C14EED">
        <w:rPr>
          <w:bCs/>
          <w:sz w:val="22"/>
          <w:szCs w:val="22"/>
        </w:rPr>
        <w:t xml:space="preserve">, </w:t>
      </w:r>
      <w:r w:rsidRPr="00033A14">
        <w:rPr>
          <w:bCs/>
          <w:sz w:val="22"/>
          <w:szCs w:val="22"/>
        </w:rPr>
        <w:t>socio-</w:t>
      </w:r>
      <w:r w:rsidR="00DC4C25">
        <w:rPr>
          <w:bCs/>
          <w:sz w:val="22"/>
          <w:szCs w:val="22"/>
        </w:rPr>
        <w:t>demographic</w:t>
      </w:r>
      <w:r w:rsidRPr="00033A14">
        <w:rPr>
          <w:bCs/>
          <w:sz w:val="22"/>
          <w:szCs w:val="22"/>
        </w:rPr>
        <w:t xml:space="preserve"> </w:t>
      </w:r>
      <w:r w:rsidR="00C57B75">
        <w:rPr>
          <w:bCs/>
          <w:sz w:val="22"/>
          <w:szCs w:val="22"/>
        </w:rPr>
        <w:t>disparities</w:t>
      </w:r>
      <w:r w:rsidRPr="00033A14">
        <w:rPr>
          <w:bCs/>
          <w:sz w:val="22"/>
          <w:szCs w:val="22"/>
        </w:rPr>
        <w:t xml:space="preserve"> in </w:t>
      </w:r>
      <w:r w:rsidR="00D73DAF">
        <w:rPr>
          <w:bCs/>
          <w:sz w:val="22"/>
          <w:szCs w:val="22"/>
        </w:rPr>
        <w:t>early</w:t>
      </w:r>
      <w:r w:rsidR="004937DF">
        <w:rPr>
          <w:bCs/>
          <w:sz w:val="22"/>
          <w:szCs w:val="22"/>
        </w:rPr>
        <w:t>-</w:t>
      </w:r>
      <w:r w:rsidR="00D73DAF">
        <w:rPr>
          <w:bCs/>
          <w:sz w:val="22"/>
          <w:szCs w:val="22"/>
        </w:rPr>
        <w:t xml:space="preserve">stage </w:t>
      </w:r>
      <w:r w:rsidR="00716F98" w:rsidRPr="00033A14">
        <w:rPr>
          <w:bCs/>
          <w:sz w:val="22"/>
          <w:szCs w:val="22"/>
        </w:rPr>
        <w:t>HER2+ t</w:t>
      </w:r>
      <w:r w:rsidR="007A6294">
        <w:rPr>
          <w:bCs/>
          <w:sz w:val="22"/>
          <w:szCs w:val="22"/>
        </w:rPr>
        <w:t>rastuzumab</w:t>
      </w:r>
      <w:r w:rsidR="00716F98" w:rsidRPr="00033A14">
        <w:rPr>
          <w:bCs/>
          <w:sz w:val="22"/>
          <w:szCs w:val="22"/>
        </w:rPr>
        <w:t xml:space="preserve"> </w:t>
      </w:r>
      <w:r w:rsidR="009242F5">
        <w:rPr>
          <w:bCs/>
          <w:sz w:val="22"/>
          <w:szCs w:val="22"/>
        </w:rPr>
        <w:t>r</w:t>
      </w:r>
      <w:r w:rsidR="00D16134">
        <w:rPr>
          <w:bCs/>
          <w:sz w:val="22"/>
          <w:szCs w:val="22"/>
        </w:rPr>
        <w:t>eceipt</w:t>
      </w:r>
      <w:r w:rsidRPr="00033A14">
        <w:rPr>
          <w:bCs/>
          <w:sz w:val="22"/>
          <w:szCs w:val="22"/>
        </w:rPr>
        <w:t xml:space="preserve"> </w:t>
      </w:r>
      <w:r w:rsidR="00EE5343" w:rsidRPr="00033A14">
        <w:rPr>
          <w:bCs/>
          <w:sz w:val="22"/>
          <w:szCs w:val="22"/>
        </w:rPr>
        <w:t>occur</w:t>
      </w:r>
      <w:r w:rsidRPr="00033A14">
        <w:rPr>
          <w:bCs/>
          <w:sz w:val="22"/>
          <w:szCs w:val="22"/>
        </w:rPr>
        <w:t xml:space="preserve">. </w:t>
      </w:r>
      <w:r w:rsidR="005D1255">
        <w:rPr>
          <w:bCs/>
          <w:sz w:val="22"/>
          <w:szCs w:val="22"/>
        </w:rPr>
        <w:t>Further research determin</w:t>
      </w:r>
      <w:r w:rsidR="00C14EED">
        <w:rPr>
          <w:bCs/>
          <w:sz w:val="22"/>
          <w:szCs w:val="22"/>
        </w:rPr>
        <w:t>ing</w:t>
      </w:r>
      <w:r w:rsidR="005D1255">
        <w:rPr>
          <w:bCs/>
          <w:sz w:val="22"/>
          <w:szCs w:val="22"/>
        </w:rPr>
        <w:t xml:space="preserve"> </w:t>
      </w:r>
      <w:r w:rsidR="001E123C">
        <w:rPr>
          <w:bCs/>
          <w:sz w:val="22"/>
          <w:szCs w:val="22"/>
        </w:rPr>
        <w:t xml:space="preserve">how </w:t>
      </w:r>
      <w:r w:rsidR="005D1255">
        <w:rPr>
          <w:bCs/>
          <w:sz w:val="22"/>
          <w:szCs w:val="22"/>
        </w:rPr>
        <w:t>inequ</w:t>
      </w:r>
      <w:r w:rsidR="00C57B75">
        <w:rPr>
          <w:bCs/>
          <w:sz w:val="22"/>
          <w:szCs w:val="22"/>
        </w:rPr>
        <w:t>ities</w:t>
      </w:r>
      <w:r w:rsidR="005D1255">
        <w:rPr>
          <w:bCs/>
          <w:sz w:val="22"/>
          <w:szCs w:val="22"/>
        </w:rPr>
        <w:t xml:space="preserve"> contribute to disparities </w:t>
      </w:r>
      <w:r w:rsidR="009242F5">
        <w:rPr>
          <w:bCs/>
          <w:sz w:val="22"/>
          <w:szCs w:val="22"/>
        </w:rPr>
        <w:t xml:space="preserve">in outcomes </w:t>
      </w:r>
      <w:r w:rsidR="005D1255">
        <w:rPr>
          <w:bCs/>
          <w:sz w:val="22"/>
          <w:szCs w:val="22"/>
        </w:rPr>
        <w:t>is warranted</w:t>
      </w:r>
      <w:r w:rsidR="001E123C">
        <w:rPr>
          <w:bCs/>
          <w:sz w:val="22"/>
          <w:szCs w:val="22"/>
        </w:rPr>
        <w:t xml:space="preserve"> to</w:t>
      </w:r>
      <w:r w:rsidR="00125E22" w:rsidRPr="00033A14">
        <w:rPr>
          <w:bCs/>
          <w:sz w:val="22"/>
          <w:szCs w:val="22"/>
        </w:rPr>
        <w:t xml:space="preserve"> ensure </w:t>
      </w:r>
      <w:r w:rsidR="00EE5343" w:rsidRPr="00033A14">
        <w:rPr>
          <w:bCs/>
          <w:sz w:val="22"/>
          <w:szCs w:val="22"/>
        </w:rPr>
        <w:t>optimi</w:t>
      </w:r>
      <w:r w:rsidR="004E42A3">
        <w:rPr>
          <w:bCs/>
          <w:sz w:val="22"/>
          <w:szCs w:val="22"/>
        </w:rPr>
        <w:t>z</w:t>
      </w:r>
      <w:r w:rsidR="00EE5343" w:rsidRPr="00033A14">
        <w:rPr>
          <w:bCs/>
          <w:sz w:val="22"/>
          <w:szCs w:val="22"/>
        </w:rPr>
        <w:t>ed</w:t>
      </w:r>
      <w:r w:rsidR="00125E22" w:rsidRPr="00033A14">
        <w:rPr>
          <w:bCs/>
          <w:sz w:val="22"/>
          <w:szCs w:val="22"/>
        </w:rPr>
        <w:t xml:space="preserve"> </w:t>
      </w:r>
      <w:r w:rsidR="007A6294">
        <w:rPr>
          <w:bCs/>
          <w:sz w:val="22"/>
          <w:szCs w:val="22"/>
        </w:rPr>
        <w:t>trastuzumab use</w:t>
      </w:r>
      <w:r w:rsidR="00A90B30" w:rsidRPr="00033A14">
        <w:rPr>
          <w:bCs/>
          <w:sz w:val="22"/>
          <w:szCs w:val="22"/>
        </w:rPr>
        <w:t xml:space="preserve"> </w:t>
      </w:r>
      <w:r w:rsidR="000F0057" w:rsidRPr="00033A14">
        <w:rPr>
          <w:bCs/>
          <w:sz w:val="22"/>
          <w:szCs w:val="22"/>
        </w:rPr>
        <w:t xml:space="preserve">for </w:t>
      </w:r>
      <w:r w:rsidR="00125E22" w:rsidRPr="00033A14">
        <w:rPr>
          <w:bCs/>
          <w:sz w:val="22"/>
          <w:szCs w:val="22"/>
        </w:rPr>
        <w:t xml:space="preserve">all. </w:t>
      </w:r>
    </w:p>
    <w:p w14:paraId="5E24886B" w14:textId="77777777" w:rsidR="00364867" w:rsidRDefault="00364867" w:rsidP="00EB2F6F">
      <w:pPr>
        <w:spacing w:line="360" w:lineRule="auto"/>
        <w:rPr>
          <w:bCs/>
          <w:sz w:val="22"/>
          <w:szCs w:val="22"/>
        </w:rPr>
      </w:pPr>
    </w:p>
    <w:p w14:paraId="29C2015F" w14:textId="752E8685" w:rsidR="00364867" w:rsidRDefault="00364867" w:rsidP="00EB2F6F">
      <w:pPr>
        <w:spacing w:line="360" w:lineRule="auto"/>
        <w:rPr>
          <w:b/>
          <w:color w:val="000000" w:themeColor="text1"/>
          <w:sz w:val="22"/>
          <w:szCs w:val="22"/>
        </w:rPr>
      </w:pPr>
      <w:r w:rsidRPr="00364867">
        <w:rPr>
          <w:b/>
          <w:color w:val="000000" w:themeColor="text1"/>
          <w:sz w:val="22"/>
          <w:szCs w:val="22"/>
        </w:rPr>
        <w:t>Impact:</w:t>
      </w:r>
      <w:r w:rsidR="00965B72">
        <w:rPr>
          <w:b/>
          <w:color w:val="000000" w:themeColor="text1"/>
          <w:sz w:val="22"/>
          <w:szCs w:val="22"/>
        </w:rPr>
        <w:t xml:space="preserve"> </w:t>
      </w:r>
    </w:p>
    <w:p w14:paraId="5DE7F2DA" w14:textId="12BBAC86" w:rsidR="00965B72" w:rsidRPr="00965B72" w:rsidRDefault="00F22453" w:rsidP="00EB2F6F">
      <w:pPr>
        <w:spacing w:line="360" w:lineRule="auto"/>
        <w:rPr>
          <w:bCs/>
          <w:color w:val="000000" w:themeColor="text1"/>
          <w:sz w:val="22"/>
          <w:szCs w:val="22"/>
        </w:rPr>
      </w:pPr>
      <w:r>
        <w:rPr>
          <w:bCs/>
          <w:color w:val="000000" w:themeColor="text1"/>
          <w:sz w:val="22"/>
          <w:szCs w:val="22"/>
        </w:rPr>
        <w:t>Fair access to novel cancer treatments</w:t>
      </w:r>
      <w:r w:rsidR="00965B72">
        <w:rPr>
          <w:bCs/>
          <w:color w:val="000000" w:themeColor="text1"/>
          <w:sz w:val="22"/>
          <w:szCs w:val="22"/>
        </w:rPr>
        <w:t xml:space="preserve"> regardless of place of residence, socio-demographic characteristics, and/or cancer stage</w:t>
      </w:r>
      <w:r>
        <w:rPr>
          <w:bCs/>
          <w:color w:val="000000" w:themeColor="text1"/>
          <w:sz w:val="22"/>
          <w:szCs w:val="22"/>
        </w:rPr>
        <w:t xml:space="preserve"> requires prioritization in future cancer improvement policies. </w:t>
      </w:r>
    </w:p>
    <w:p w14:paraId="42A95CCA" w14:textId="76597F61" w:rsidR="00396066" w:rsidRPr="00033A14" w:rsidRDefault="00396066" w:rsidP="00EB2F6F">
      <w:pPr>
        <w:spacing w:line="360" w:lineRule="auto"/>
        <w:rPr>
          <w:bCs/>
          <w:sz w:val="22"/>
          <w:szCs w:val="22"/>
        </w:rPr>
      </w:pPr>
    </w:p>
    <w:p w14:paraId="4F5EC8F1" w14:textId="33AC2FAB" w:rsidR="002C7865" w:rsidRPr="00033A14" w:rsidRDefault="002C7865" w:rsidP="00EB2F6F">
      <w:pPr>
        <w:spacing w:line="360" w:lineRule="auto"/>
        <w:rPr>
          <w:b/>
          <w:sz w:val="22"/>
          <w:szCs w:val="22"/>
        </w:rPr>
      </w:pPr>
    </w:p>
    <w:p w14:paraId="0F80B223" w14:textId="77777777" w:rsidR="00D83655" w:rsidRPr="00033A14" w:rsidRDefault="00D83655" w:rsidP="00EB2F6F">
      <w:pPr>
        <w:spacing w:line="360" w:lineRule="auto"/>
        <w:rPr>
          <w:b/>
          <w:sz w:val="22"/>
          <w:szCs w:val="22"/>
        </w:rPr>
      </w:pPr>
    </w:p>
    <w:p w14:paraId="422F738E" w14:textId="77777777" w:rsidR="00D83655" w:rsidRPr="00033A14" w:rsidRDefault="00D83655" w:rsidP="00EB2F6F">
      <w:pPr>
        <w:spacing w:line="360" w:lineRule="auto"/>
        <w:rPr>
          <w:b/>
          <w:sz w:val="22"/>
          <w:szCs w:val="22"/>
        </w:rPr>
      </w:pPr>
    </w:p>
    <w:p w14:paraId="2BE33FC1" w14:textId="77777777" w:rsidR="00D83655" w:rsidRPr="00033A14" w:rsidRDefault="00D83655" w:rsidP="00EB2F6F">
      <w:pPr>
        <w:spacing w:line="360" w:lineRule="auto"/>
        <w:rPr>
          <w:b/>
          <w:sz w:val="22"/>
          <w:szCs w:val="22"/>
        </w:rPr>
      </w:pPr>
    </w:p>
    <w:p w14:paraId="6FAD931A" w14:textId="70F1406F" w:rsidR="00BA070B" w:rsidRPr="00033A14" w:rsidRDefault="00BA070B" w:rsidP="00EB2F6F">
      <w:pPr>
        <w:spacing w:line="360" w:lineRule="auto"/>
        <w:rPr>
          <w:b/>
          <w:sz w:val="22"/>
          <w:szCs w:val="22"/>
        </w:rPr>
      </w:pPr>
    </w:p>
    <w:p w14:paraId="7241C30E" w14:textId="5FE4DD1B" w:rsidR="00BA070B" w:rsidRPr="00033A14" w:rsidRDefault="00BA070B" w:rsidP="00EB2F6F">
      <w:pPr>
        <w:spacing w:line="360" w:lineRule="auto"/>
        <w:rPr>
          <w:b/>
          <w:sz w:val="22"/>
          <w:szCs w:val="22"/>
        </w:rPr>
      </w:pPr>
    </w:p>
    <w:p w14:paraId="6A0339BC" w14:textId="18CAD4D7" w:rsidR="00BA070B" w:rsidRDefault="00BA070B" w:rsidP="00EB2F6F">
      <w:pPr>
        <w:spacing w:line="360" w:lineRule="auto"/>
        <w:rPr>
          <w:b/>
          <w:sz w:val="22"/>
          <w:szCs w:val="22"/>
        </w:rPr>
      </w:pPr>
    </w:p>
    <w:p w14:paraId="44B3A4B7" w14:textId="5AF4ED2A" w:rsidR="002C7865" w:rsidRPr="00033A14" w:rsidRDefault="00FE33C0" w:rsidP="00EB2F6F">
      <w:pPr>
        <w:spacing w:line="360" w:lineRule="auto"/>
        <w:rPr>
          <w:b/>
          <w:sz w:val="22"/>
          <w:szCs w:val="22"/>
        </w:rPr>
      </w:pPr>
      <w:r>
        <w:rPr>
          <w:b/>
          <w:sz w:val="22"/>
          <w:szCs w:val="22"/>
        </w:rPr>
        <w:lastRenderedPageBreak/>
        <w:t>Introduction</w:t>
      </w:r>
    </w:p>
    <w:p w14:paraId="76D81E20" w14:textId="40A2421C" w:rsidR="00CC6D26" w:rsidRPr="00033A14" w:rsidRDefault="00D32079" w:rsidP="00EB2F6F">
      <w:pPr>
        <w:spacing w:line="360" w:lineRule="auto"/>
        <w:rPr>
          <w:bCs/>
          <w:sz w:val="22"/>
          <w:szCs w:val="22"/>
        </w:rPr>
      </w:pPr>
      <w:r w:rsidRPr="00033A14">
        <w:rPr>
          <w:bCs/>
          <w:sz w:val="22"/>
          <w:szCs w:val="22"/>
        </w:rPr>
        <w:t>Over the past decades,</w:t>
      </w:r>
      <w:r w:rsidR="00803FF6">
        <w:rPr>
          <w:bCs/>
          <w:sz w:val="22"/>
          <w:szCs w:val="22"/>
        </w:rPr>
        <w:t xml:space="preserve"> </w:t>
      </w:r>
      <w:r w:rsidR="00E206AC">
        <w:rPr>
          <w:bCs/>
          <w:sz w:val="22"/>
          <w:szCs w:val="22"/>
        </w:rPr>
        <w:t xml:space="preserve">patients with </w:t>
      </w:r>
      <w:r w:rsidRPr="00033A14">
        <w:rPr>
          <w:bCs/>
          <w:sz w:val="22"/>
          <w:szCs w:val="22"/>
        </w:rPr>
        <w:t>breast cancer</w:t>
      </w:r>
      <w:r w:rsidR="002D3FB1">
        <w:rPr>
          <w:bCs/>
          <w:sz w:val="22"/>
          <w:szCs w:val="22"/>
        </w:rPr>
        <w:t xml:space="preserve"> </w:t>
      </w:r>
      <w:r w:rsidRPr="00033A14">
        <w:rPr>
          <w:bCs/>
          <w:sz w:val="22"/>
          <w:szCs w:val="22"/>
        </w:rPr>
        <w:t>ha</w:t>
      </w:r>
      <w:r w:rsidR="00803FF6">
        <w:rPr>
          <w:bCs/>
          <w:sz w:val="22"/>
          <w:szCs w:val="22"/>
        </w:rPr>
        <w:t>ve</w:t>
      </w:r>
      <w:r w:rsidRPr="00033A14">
        <w:rPr>
          <w:bCs/>
          <w:sz w:val="22"/>
          <w:szCs w:val="22"/>
        </w:rPr>
        <w:t xml:space="preserve"> </w:t>
      </w:r>
      <w:r w:rsidR="0010330E" w:rsidRPr="00033A14">
        <w:rPr>
          <w:bCs/>
          <w:sz w:val="22"/>
          <w:szCs w:val="22"/>
        </w:rPr>
        <w:t xml:space="preserve">benefitted from the </w:t>
      </w:r>
      <w:r w:rsidR="002F7418">
        <w:rPr>
          <w:bCs/>
          <w:sz w:val="22"/>
          <w:szCs w:val="22"/>
        </w:rPr>
        <w:t>use</w:t>
      </w:r>
      <w:r w:rsidRPr="00033A14">
        <w:rPr>
          <w:bCs/>
          <w:sz w:val="22"/>
          <w:szCs w:val="22"/>
        </w:rPr>
        <w:t xml:space="preserve"> of novel</w:t>
      </w:r>
      <w:r w:rsidR="003A18CE" w:rsidRPr="00033A14">
        <w:rPr>
          <w:bCs/>
          <w:sz w:val="22"/>
          <w:szCs w:val="22"/>
        </w:rPr>
        <w:t>, targeted</w:t>
      </w:r>
      <w:r w:rsidRPr="00033A14">
        <w:rPr>
          <w:bCs/>
          <w:sz w:val="22"/>
          <w:szCs w:val="22"/>
        </w:rPr>
        <w:t xml:space="preserve"> </w:t>
      </w:r>
      <w:r w:rsidR="0010330E" w:rsidRPr="00033A14">
        <w:rPr>
          <w:bCs/>
          <w:sz w:val="22"/>
          <w:szCs w:val="22"/>
        </w:rPr>
        <w:t xml:space="preserve">anti-cancer </w:t>
      </w:r>
      <w:r w:rsidRPr="00033A14">
        <w:rPr>
          <w:bCs/>
          <w:sz w:val="22"/>
          <w:szCs w:val="22"/>
        </w:rPr>
        <w:t>therapies</w:t>
      </w:r>
      <w:r w:rsidR="0010330E" w:rsidRPr="00033A14">
        <w:rPr>
          <w:bCs/>
          <w:sz w:val="22"/>
          <w:szCs w:val="22"/>
        </w:rPr>
        <w:t>.</w:t>
      </w:r>
      <w:r w:rsidR="00AF7BA2" w:rsidRPr="00033A14">
        <w:rPr>
          <w:bCs/>
          <w:sz w:val="22"/>
          <w:szCs w:val="22"/>
        </w:rPr>
        <w:fldChar w:fldCharType="begin"/>
      </w:r>
      <w:r w:rsidR="00203C6E">
        <w:rPr>
          <w:bCs/>
          <w:sz w:val="22"/>
          <w:szCs w:val="22"/>
        </w:rPr>
        <w:instrText xml:space="preserve"> ADDIN ZOTERO_ITEM CSL_CITATION {"citationID":"tJwiDZj3","properties":{"formattedCitation":"\\super 1\\nosupersub{}","plainCitation":"1","noteIndex":0},"citationItems":[{"id":"nMalwRdq/vgA7rteM","uris":["http://zotero.org/users/6915713/items/4A6V64S6",["http://zotero.org/users/6915713/items/4A6V64S6"]],"itemData":{"id":614,"type":"article-journal","abstract":"INTRODUCTION: Breast cancer (BC) is the most common cancer in women and, despite the undeniable improvements in the outcome of these patients obtained in the last decade, the discovery and the validation of new actionable molecular targets represent a priority. ESCAT permits to rank molecular alterations in different classes according to their evidence of actionability in a specific cancer type, assisting clinicians in their therapeutical decisions. MAIN: ERBB2, PIK3CA and germline BRCA1/2 alterations are biomarkers prospectively validated in BC, driving the selection of targeted therapies, and are therefore classified in the highest level of evidence (Ia). Agnostic biomarkers, namely microsatellite instability, NTRK fusions and high tumor mutational burden, demonstrated similar activity across different tumor types and are consequently ranked in tier Ic. In tier II are classified alterations that still need confirmatory prospective studies but for which evidence of efficacy is available. Somatic BRCA1/2 mutations, germline PALB2 mutations, HER2-low expression, ERBB2 mutations, PTEN deletions, AKT1 mutations, ESR1 resistance mutations satisfy the requirements to be classified in this tier. In tier III are ranked various molecular alterations for which there is evidence of actionability in other tumors (IIIa) or that have similar functional impact in the same gene or pathway of a tier I alteration, without clinical data (IIIb). In tier IV are listed the molecular alterations for which only preclinical studies are available.\nCONCLUSION: In this review we report the most relevant molecular targets in BC, ordered pursuant to their pathway and classified in concordance with ESCAT.","container-title":"Cancer Treatment Reviews","DOI":"10.1016/j.ctrv.2021.102223","ISSN":"1532-1967","journalAbbreviation":"Cancer Treat Rev","language":"eng","note":"PMID: 34049187","page":"102223","source":"PubMed","title":"Precision medicine in breast cancer: From clinical trials to clinical practice","title-short":"Precision medicine in breast cancer","volume":"98","author":[{"family":"Crimini","given":"Edoardo"},{"family":"Repetto","given":"Matteo"},{"family":"Aftimos","given":"Philippe"},{"family":"Botticelli","given":"Andrea"},{"family":"Marchetti","given":"Paolo"},{"family":"Curigliano","given":"Giuseppe"}],"issued":{"date-parts":[["2021",7]]}}}],"schema":"https://github.com/citation-style-language/schema/raw/master/csl-citation.json"} </w:instrText>
      </w:r>
      <w:r w:rsidR="00AF7BA2" w:rsidRPr="00033A14">
        <w:rPr>
          <w:bCs/>
          <w:sz w:val="22"/>
          <w:szCs w:val="22"/>
        </w:rPr>
        <w:fldChar w:fldCharType="separate"/>
      </w:r>
      <w:r w:rsidR="00A5191F" w:rsidRPr="00033A14">
        <w:rPr>
          <w:sz w:val="22"/>
          <w:szCs w:val="22"/>
          <w:vertAlign w:val="superscript"/>
        </w:rPr>
        <w:t>1</w:t>
      </w:r>
      <w:r w:rsidR="00AF7BA2" w:rsidRPr="00033A14">
        <w:rPr>
          <w:bCs/>
          <w:sz w:val="22"/>
          <w:szCs w:val="22"/>
        </w:rPr>
        <w:fldChar w:fldCharType="end"/>
      </w:r>
      <w:r w:rsidRPr="00033A14">
        <w:rPr>
          <w:bCs/>
          <w:sz w:val="22"/>
          <w:szCs w:val="22"/>
        </w:rPr>
        <w:t xml:space="preserve"> </w:t>
      </w:r>
      <w:r w:rsidR="003A18CE" w:rsidRPr="00033A14">
        <w:rPr>
          <w:bCs/>
          <w:sz w:val="22"/>
          <w:szCs w:val="22"/>
        </w:rPr>
        <w:t>The</w:t>
      </w:r>
      <w:r w:rsidRPr="00033A14">
        <w:rPr>
          <w:bCs/>
          <w:sz w:val="22"/>
          <w:szCs w:val="22"/>
        </w:rPr>
        <w:t xml:space="preserve"> monoclonal antibody</w:t>
      </w:r>
      <w:r w:rsidR="0010330E" w:rsidRPr="00033A14">
        <w:rPr>
          <w:bCs/>
          <w:sz w:val="22"/>
          <w:szCs w:val="22"/>
        </w:rPr>
        <w:t xml:space="preserve"> (</w:t>
      </w:r>
      <w:r w:rsidR="002F7418">
        <w:rPr>
          <w:bCs/>
          <w:sz w:val="22"/>
          <w:szCs w:val="22"/>
        </w:rPr>
        <w:t>m</w:t>
      </w:r>
      <w:r w:rsidR="0010330E" w:rsidRPr="00033A14">
        <w:rPr>
          <w:bCs/>
          <w:sz w:val="22"/>
          <w:szCs w:val="22"/>
        </w:rPr>
        <w:t>A</w:t>
      </w:r>
      <w:r w:rsidR="002F7418">
        <w:rPr>
          <w:bCs/>
          <w:sz w:val="22"/>
          <w:szCs w:val="22"/>
        </w:rPr>
        <w:t>b</w:t>
      </w:r>
      <w:r w:rsidR="0010330E" w:rsidRPr="00033A14">
        <w:rPr>
          <w:bCs/>
          <w:sz w:val="22"/>
          <w:szCs w:val="22"/>
        </w:rPr>
        <w:t>)</w:t>
      </w:r>
      <w:r w:rsidRPr="00033A14">
        <w:rPr>
          <w:bCs/>
          <w:sz w:val="22"/>
          <w:szCs w:val="22"/>
        </w:rPr>
        <w:t xml:space="preserve"> trastuzumab</w:t>
      </w:r>
      <w:r w:rsidR="0010330E" w:rsidRPr="00033A14">
        <w:rPr>
          <w:bCs/>
          <w:sz w:val="22"/>
          <w:szCs w:val="22"/>
        </w:rPr>
        <w:t xml:space="preserve">, </w:t>
      </w:r>
      <w:r w:rsidR="003A18CE" w:rsidRPr="00033A14">
        <w:rPr>
          <w:bCs/>
          <w:sz w:val="22"/>
          <w:szCs w:val="22"/>
        </w:rPr>
        <w:t xml:space="preserve">targeting </w:t>
      </w:r>
      <w:r w:rsidR="00464DB2">
        <w:rPr>
          <w:bCs/>
          <w:sz w:val="22"/>
          <w:szCs w:val="22"/>
        </w:rPr>
        <w:t xml:space="preserve">the </w:t>
      </w:r>
      <w:r w:rsidR="003A18CE" w:rsidRPr="00033A14">
        <w:rPr>
          <w:bCs/>
          <w:sz w:val="22"/>
          <w:szCs w:val="22"/>
        </w:rPr>
        <w:t xml:space="preserve">human epidermal growth factor receptor 2 (HER2) </w:t>
      </w:r>
      <w:r w:rsidR="0010330E" w:rsidRPr="00033A14">
        <w:rPr>
          <w:bCs/>
          <w:sz w:val="22"/>
          <w:szCs w:val="22"/>
        </w:rPr>
        <w:t xml:space="preserve">in </w:t>
      </w:r>
      <w:r w:rsidR="00D15EF2" w:rsidRPr="00033A14">
        <w:rPr>
          <w:bCs/>
          <w:sz w:val="22"/>
          <w:szCs w:val="22"/>
        </w:rPr>
        <w:t>patients with HER</w:t>
      </w:r>
      <w:r w:rsidR="00803FF6">
        <w:rPr>
          <w:bCs/>
          <w:sz w:val="22"/>
          <w:szCs w:val="22"/>
        </w:rPr>
        <w:t xml:space="preserve">2 over-expressed/amplified (HER2+) </w:t>
      </w:r>
      <w:r w:rsidR="00735E39">
        <w:rPr>
          <w:bCs/>
          <w:sz w:val="22"/>
          <w:szCs w:val="22"/>
        </w:rPr>
        <w:t>breast cancer</w:t>
      </w:r>
      <w:r w:rsidR="003A18CE" w:rsidRPr="00033A14">
        <w:rPr>
          <w:bCs/>
          <w:sz w:val="22"/>
          <w:szCs w:val="22"/>
        </w:rPr>
        <w:t xml:space="preserve"> </w:t>
      </w:r>
      <w:r w:rsidR="009569D3">
        <w:rPr>
          <w:bCs/>
          <w:sz w:val="22"/>
          <w:szCs w:val="22"/>
        </w:rPr>
        <w:t xml:space="preserve">(approximately 20% of breast </w:t>
      </w:r>
      <w:r w:rsidR="00803FF6">
        <w:rPr>
          <w:bCs/>
          <w:sz w:val="22"/>
          <w:szCs w:val="22"/>
        </w:rPr>
        <w:t xml:space="preserve">cancer </w:t>
      </w:r>
      <w:r w:rsidR="009569D3">
        <w:rPr>
          <w:bCs/>
          <w:sz w:val="22"/>
          <w:szCs w:val="22"/>
        </w:rPr>
        <w:t>diagnoses worldwide)</w:t>
      </w:r>
      <w:r w:rsidR="009569D3">
        <w:rPr>
          <w:bCs/>
          <w:sz w:val="22"/>
          <w:szCs w:val="22"/>
        </w:rPr>
        <w:fldChar w:fldCharType="begin"/>
      </w:r>
      <w:r w:rsidR="009569D3">
        <w:rPr>
          <w:bCs/>
          <w:sz w:val="22"/>
          <w:szCs w:val="22"/>
        </w:rPr>
        <w:instrText xml:space="preserve"> ADDIN ZOTERO_ITEM CSL_CITATION {"citationID":"WVEJbWiO","properties":{"formattedCitation":"\\super 2\\nosupersub{}","plainCitation":"2","noteIndex":0},"citationItems":[{"id":997,"uris":["http://zotero.org/users/local/nRdURiV3/items/Q9ZW25Z2"],"itemData":{"id":997,"type":"article-journal","abstract":"The advent of HER2-directed therapies has significantly improved the outlook for patients with HER2-positive early stage breast cancer. However, a significant proportion of these patients still relapse and die of breast cancer. Trials to define, refine and optimize the use of the two approved HER2-targeted agents (trastuzumab and lapatinib) in patients with HER2-positive early stage breast cancer are ongoing. In addition, promising new approaches are being developed including monoclonal antibodies and small-molecule tyrosine kinase inhibitors targeting HER2 or other HER family members, antibodies linked to cytotoxic moieties or modified to improve their immunological function, immunostimulatory peptides, and targeting the PI3K and IGF-1R pathways. Improved understanding of the HER2 signaling pathway, its relationship with other signaling pathways and mechanisms of resistance has also led to the development of rational combination therapies and to a greater insight into treatment response in patients with HER2-positive breast cancer. Based on promising results with new agents in HER2-positive advanced-stage disease, a series of large trials in the adjuvant and neoadjuvant settings are planned or ongoing. This Review focuses on current treatment for patients with HER2-positive breast cancer and aims to update practicing clinicians on likely future developments in the treatment for this disease according to ongoing clinical trials and translational research.","container-title":"Nature Reviews. Clinical Oncology","DOI":"10.1038/nrclinonc.2011.177","ISSN":"1759-4782","issue":"1","journalAbbreviation":"Nat Rev Clin Oncol","language":"eng","note":"PMID: 22124364","page":"16-32","source":"PubMed","title":"Treatment of HER2 positive breast cancer: current status and future perspectives","title-short":"Treatment of HER2-positive breast cancer","volume":"9","author":[{"family":"Arteaga","given":"Carlos L."},{"family":"Sliwkowski","given":"Mark X."},{"family":"Osborne","given":"C. Kent"},{"family":"Perez","given":"Edith A."},{"family":"Puglisi","given":"Fabio"},{"family":"Gianni","given":"Luca"}],"issued":{"date-parts":[["2011"]]}}}],"schema":"https://github.com/citation-style-language/schema/raw/master/csl-citation.json"} </w:instrText>
      </w:r>
      <w:r w:rsidR="009569D3">
        <w:rPr>
          <w:bCs/>
          <w:sz w:val="22"/>
          <w:szCs w:val="22"/>
        </w:rPr>
        <w:fldChar w:fldCharType="separate"/>
      </w:r>
      <w:r w:rsidR="009569D3" w:rsidRPr="009569D3">
        <w:rPr>
          <w:sz w:val="22"/>
          <w:vertAlign w:val="superscript"/>
        </w:rPr>
        <w:t>2</w:t>
      </w:r>
      <w:r w:rsidR="009569D3">
        <w:rPr>
          <w:bCs/>
          <w:sz w:val="22"/>
          <w:szCs w:val="22"/>
        </w:rPr>
        <w:fldChar w:fldCharType="end"/>
      </w:r>
      <w:r w:rsidR="009569D3">
        <w:rPr>
          <w:bCs/>
          <w:sz w:val="22"/>
          <w:szCs w:val="22"/>
        </w:rPr>
        <w:t xml:space="preserve"> </w:t>
      </w:r>
      <w:r w:rsidR="003A18CE" w:rsidRPr="00033A14">
        <w:rPr>
          <w:bCs/>
          <w:sz w:val="22"/>
          <w:szCs w:val="22"/>
        </w:rPr>
        <w:t>provides a clear example</w:t>
      </w:r>
      <w:r w:rsidR="009247B0" w:rsidRPr="00033A14">
        <w:rPr>
          <w:bCs/>
          <w:sz w:val="22"/>
          <w:szCs w:val="22"/>
        </w:rPr>
        <w:t>.</w:t>
      </w:r>
      <w:r w:rsidR="00AF7BA2" w:rsidRPr="00033A14">
        <w:rPr>
          <w:bCs/>
          <w:sz w:val="22"/>
          <w:szCs w:val="22"/>
        </w:rPr>
        <w:fldChar w:fldCharType="begin"/>
      </w:r>
      <w:r w:rsidR="00203C6E">
        <w:rPr>
          <w:bCs/>
          <w:sz w:val="22"/>
          <w:szCs w:val="22"/>
        </w:rPr>
        <w:instrText xml:space="preserve"> ADDIN ZOTERO_ITEM CSL_CITATION {"citationID":"UI63sCFq","properties":{"formattedCitation":"\\super 3\\nosupersub{}","plainCitation":"3","noteIndex":0},"citationItems":[{"id":"nMalwRdq/OByDysgA","uris":["http://zotero.org/users/6915713/items/C6KATLDC",["http://zotero.org/users/6915713/items/C6KATLDC"]],"itemData":{"id":618,"type":"article-journal","container-title":"The New England Journal of Medicine","DOI":"10.1056/NEJMra043186","ISSN":"1533-4406","issue":"1","journalAbbreviation":"N Engl J Med","language":"eng","note":"PMID: 17611206","page":"39-51","source":"PubMed","title":"Trastuzumab--mechanism of action and use in clinical practice","volume":"357","author":[{"family":"Hudis","given":"Clifford A."}],"issued":{"date-parts":[["2007",7,5]]}}}],"schema":"https://github.com/citation-style-language/schema/raw/master/csl-citation.json"} </w:instrText>
      </w:r>
      <w:r w:rsidR="00AF7BA2" w:rsidRPr="00033A14">
        <w:rPr>
          <w:bCs/>
          <w:sz w:val="22"/>
          <w:szCs w:val="22"/>
        </w:rPr>
        <w:fldChar w:fldCharType="separate"/>
      </w:r>
      <w:r w:rsidR="009569D3" w:rsidRPr="009569D3">
        <w:rPr>
          <w:sz w:val="22"/>
          <w:vertAlign w:val="superscript"/>
        </w:rPr>
        <w:t>3</w:t>
      </w:r>
      <w:r w:rsidR="00AF7BA2" w:rsidRPr="00033A14">
        <w:rPr>
          <w:bCs/>
          <w:sz w:val="22"/>
          <w:szCs w:val="22"/>
        </w:rPr>
        <w:fldChar w:fldCharType="end"/>
      </w:r>
      <w:r w:rsidR="00E2328B" w:rsidRPr="00033A14">
        <w:rPr>
          <w:bCs/>
          <w:sz w:val="22"/>
          <w:szCs w:val="22"/>
        </w:rPr>
        <w:t xml:space="preserve"> </w:t>
      </w:r>
      <w:r w:rsidR="003A18CE" w:rsidRPr="00033A14">
        <w:rPr>
          <w:bCs/>
          <w:sz w:val="22"/>
          <w:szCs w:val="22"/>
        </w:rPr>
        <w:t xml:space="preserve">Trastuzumab </w:t>
      </w:r>
      <w:r w:rsidR="000C0F1C" w:rsidRPr="00033A14">
        <w:rPr>
          <w:bCs/>
          <w:sz w:val="22"/>
          <w:szCs w:val="22"/>
        </w:rPr>
        <w:t xml:space="preserve">has </w:t>
      </w:r>
      <w:r w:rsidR="003E6EF4">
        <w:rPr>
          <w:bCs/>
          <w:sz w:val="22"/>
          <w:szCs w:val="22"/>
        </w:rPr>
        <w:t xml:space="preserve">extended </w:t>
      </w:r>
      <w:r w:rsidR="003A18CE" w:rsidRPr="00033A14">
        <w:rPr>
          <w:bCs/>
          <w:sz w:val="22"/>
          <w:szCs w:val="22"/>
        </w:rPr>
        <w:t>treatment</w:t>
      </w:r>
      <w:r w:rsidR="0010330E" w:rsidRPr="00033A14">
        <w:rPr>
          <w:bCs/>
          <w:sz w:val="22"/>
          <w:szCs w:val="22"/>
        </w:rPr>
        <w:t xml:space="preserve"> </w:t>
      </w:r>
      <w:r w:rsidR="003A18CE" w:rsidRPr="00033A14">
        <w:rPr>
          <w:bCs/>
          <w:sz w:val="22"/>
          <w:szCs w:val="22"/>
        </w:rPr>
        <w:t xml:space="preserve">choice </w:t>
      </w:r>
      <w:r w:rsidR="0010330E" w:rsidRPr="00033A14">
        <w:rPr>
          <w:bCs/>
          <w:sz w:val="22"/>
          <w:szCs w:val="22"/>
        </w:rPr>
        <w:t xml:space="preserve">beyond </w:t>
      </w:r>
      <w:r w:rsidR="002A5E52">
        <w:rPr>
          <w:bCs/>
          <w:sz w:val="22"/>
          <w:szCs w:val="22"/>
        </w:rPr>
        <w:t>traditional</w:t>
      </w:r>
      <w:r w:rsidR="0010330E" w:rsidRPr="00033A14">
        <w:rPr>
          <w:bCs/>
          <w:sz w:val="22"/>
          <w:szCs w:val="22"/>
        </w:rPr>
        <w:t xml:space="preserve"> </w:t>
      </w:r>
      <w:r w:rsidR="004B00E8" w:rsidRPr="00033A14">
        <w:rPr>
          <w:bCs/>
          <w:sz w:val="22"/>
          <w:szCs w:val="22"/>
        </w:rPr>
        <w:t>t</w:t>
      </w:r>
      <w:r w:rsidR="002A5E52">
        <w:rPr>
          <w:bCs/>
          <w:sz w:val="22"/>
          <w:szCs w:val="22"/>
        </w:rPr>
        <w:t xml:space="preserve">reatments </w:t>
      </w:r>
      <w:r w:rsidR="00FB3307" w:rsidRPr="00033A14">
        <w:rPr>
          <w:bCs/>
          <w:sz w:val="22"/>
          <w:szCs w:val="22"/>
        </w:rPr>
        <w:t>(surgery and cytotoxic chemotherapy)</w:t>
      </w:r>
      <w:r w:rsidR="00C42182" w:rsidRPr="00033A14">
        <w:rPr>
          <w:bCs/>
          <w:sz w:val="22"/>
          <w:szCs w:val="22"/>
        </w:rPr>
        <w:fldChar w:fldCharType="begin"/>
      </w:r>
      <w:r w:rsidR="00203C6E">
        <w:rPr>
          <w:bCs/>
          <w:sz w:val="22"/>
          <w:szCs w:val="22"/>
        </w:rPr>
        <w:instrText xml:space="preserve"> ADDIN ZOTERO_ITEM CSL_CITATION {"citationID":"uiGhaDzD","properties":{"formattedCitation":"\\super 4\\nosupersub{}","plainCitation":"4","noteIndex":0},"citationItems":[{"id":"nMalwRdq/016FyOYo","uris":["http://zotero.org/users/6915713/items/95H7XPH7",["http://zotero.org/users/6915713/items/95H7XPH7"]],"itemData":{"id":616,"type":"article-journal","abstract":"The discovery of the HER2/neu proto-oncogene and its role in the pathogenesis of breast cancer tumors, and the development of the anti-HER2 monoclonal antibody, trastuzumab (Herceptin; Genentech, South San Francisco, CA), directed against the HER2 receptor represent major milestones in the research developments in breast cancer, making trastuzumab the first monoclonal antibody available for treatment of this disease. Clinical trials in HER2-positive patients have demonstrated that the combined use of targeted therapy with trastuzumab in conjunction with cytotoxic chemotherapy is associated with improved time to disease progression and overall survival. Unfortunately, findings also demonstrate an increased risk for cardiotoxicity when trastuzumab is combined with anthracyclines. For HER2/neu-overexpressing breast cancer patients, the adjuvant use of trastuzumab will become paramount; therefore, it must be evaluated in a randomized controlled trial. There is disagreement regarding the design of such a trial, largely because of the ubiquitous use of anthracyclines in the adjuvant setting and the opposing necessity of avoiding anthracycline plus trastuzumab combinations. Combination index values for various chemotherapeutic drugs in combination with trastuzumab demonstrate dramatic synergistic interactions with the platinum agents and with docetaxel (Taxotere; Aventis Pharmaceuticals, Inc, Parsippany, NJ). The greatest level of synergy has been demonstrated with the triple-drug combination of docetaxel, platinum, and trastuzumab in which synergy is demonstrated, even at low doses. The adjuvant trial design for the Breast Cancer International Research Group uses a control arm of doxorubicin/cyclophosphamide for four cycles followed by docetaxel for four cycles and the second arm contains the addition of trastuzumab to the taxane sequence. The third arm, a non-anthracycline-containing regimen, contains docetaxel, a platinum agent (either cisplatin or carboplatin), and trastuzumab. The rationale for the selection of this three-drug regimen is based on the biology of the system and preclinical and clinical findings that demonstrate a high potential for clinical synergy.","container-title":"Seminars in Oncology","DOI":"10.1016/s0093-7754(01)90188-5","ISSN":"0093-7754","issue":"1 Suppl 3","journalAbbreviation":"Semin Oncol","language":"eng","note":"PMID: 11301370","page":"13-19","source":"PubMed","title":"Rationale for trastuzumab (Herceptin) in adjuvant breast cancer trials","volume":"28","author":[{"family":"Slamon","given":"D."},{"family":"Pegram","given":"M."}],"issued":{"date-parts":[["2001",2]]}}}],"schema":"https://github.com/citation-style-language/schema/raw/master/csl-citation.json"} </w:instrText>
      </w:r>
      <w:r w:rsidR="00C42182" w:rsidRPr="00033A14">
        <w:rPr>
          <w:bCs/>
          <w:sz w:val="22"/>
          <w:szCs w:val="22"/>
        </w:rPr>
        <w:fldChar w:fldCharType="separate"/>
      </w:r>
      <w:r w:rsidR="009569D3" w:rsidRPr="009569D3">
        <w:rPr>
          <w:sz w:val="22"/>
          <w:vertAlign w:val="superscript"/>
        </w:rPr>
        <w:t>4</w:t>
      </w:r>
      <w:r w:rsidR="00C42182" w:rsidRPr="00033A14">
        <w:rPr>
          <w:bCs/>
          <w:sz w:val="22"/>
          <w:szCs w:val="22"/>
        </w:rPr>
        <w:fldChar w:fldCharType="end"/>
      </w:r>
      <w:r w:rsidR="00267B8A" w:rsidRPr="00033A14">
        <w:rPr>
          <w:bCs/>
          <w:sz w:val="22"/>
          <w:szCs w:val="22"/>
        </w:rPr>
        <w:t xml:space="preserve"> </w:t>
      </w:r>
      <w:r w:rsidR="003A18CE" w:rsidRPr="00033A14">
        <w:rPr>
          <w:bCs/>
          <w:sz w:val="22"/>
          <w:szCs w:val="22"/>
        </w:rPr>
        <w:t>and this</w:t>
      </w:r>
      <w:r w:rsidR="00226D35" w:rsidRPr="00033A14">
        <w:rPr>
          <w:bCs/>
          <w:sz w:val="22"/>
          <w:szCs w:val="22"/>
        </w:rPr>
        <w:t xml:space="preserve"> </w:t>
      </w:r>
      <w:r w:rsidR="00803FF6">
        <w:rPr>
          <w:bCs/>
          <w:sz w:val="22"/>
          <w:szCs w:val="22"/>
        </w:rPr>
        <w:t xml:space="preserve">has </w:t>
      </w:r>
      <w:r w:rsidR="00267B8A" w:rsidRPr="00033A14">
        <w:rPr>
          <w:bCs/>
          <w:sz w:val="22"/>
          <w:szCs w:val="22"/>
        </w:rPr>
        <w:t>improve</w:t>
      </w:r>
      <w:r w:rsidR="00E67AD1">
        <w:rPr>
          <w:bCs/>
          <w:sz w:val="22"/>
          <w:szCs w:val="22"/>
        </w:rPr>
        <w:t>d</w:t>
      </w:r>
      <w:r w:rsidR="0010330E" w:rsidRPr="00033A14">
        <w:rPr>
          <w:bCs/>
          <w:sz w:val="22"/>
          <w:szCs w:val="22"/>
        </w:rPr>
        <w:t xml:space="preserve"> </w:t>
      </w:r>
      <w:r w:rsidR="00267B8A" w:rsidRPr="00033A14">
        <w:rPr>
          <w:bCs/>
          <w:sz w:val="22"/>
          <w:szCs w:val="22"/>
        </w:rPr>
        <w:t xml:space="preserve">prognosis </w:t>
      </w:r>
      <w:r w:rsidR="003A18CE" w:rsidRPr="00033A14">
        <w:rPr>
          <w:bCs/>
          <w:sz w:val="22"/>
          <w:szCs w:val="22"/>
        </w:rPr>
        <w:t xml:space="preserve">in </w:t>
      </w:r>
      <w:r w:rsidR="003A7553">
        <w:rPr>
          <w:bCs/>
          <w:sz w:val="22"/>
          <w:szCs w:val="22"/>
        </w:rPr>
        <w:t>an</w:t>
      </w:r>
      <w:r w:rsidR="0010330E" w:rsidRPr="00033A14">
        <w:rPr>
          <w:bCs/>
          <w:sz w:val="22"/>
          <w:szCs w:val="22"/>
        </w:rPr>
        <w:t xml:space="preserve"> </w:t>
      </w:r>
      <w:r w:rsidR="00267B8A" w:rsidRPr="00033A14">
        <w:rPr>
          <w:bCs/>
          <w:sz w:val="22"/>
          <w:szCs w:val="22"/>
        </w:rPr>
        <w:t xml:space="preserve">aggressive </w:t>
      </w:r>
      <w:r w:rsidR="0010330E" w:rsidRPr="00033A14">
        <w:rPr>
          <w:bCs/>
          <w:sz w:val="22"/>
          <w:szCs w:val="22"/>
        </w:rPr>
        <w:t>breast cancer sub-type.</w:t>
      </w:r>
      <w:r w:rsidR="00C42182" w:rsidRPr="00033A14">
        <w:rPr>
          <w:bCs/>
          <w:sz w:val="22"/>
          <w:szCs w:val="22"/>
        </w:rPr>
        <w:fldChar w:fldCharType="begin"/>
      </w:r>
      <w:r w:rsidR="00203C6E">
        <w:rPr>
          <w:bCs/>
          <w:sz w:val="22"/>
          <w:szCs w:val="22"/>
        </w:rPr>
        <w:instrText xml:space="preserve"> ADDIN ZOTERO_ITEM CSL_CITATION {"citationID":"ZjycYuNr","properties":{"formattedCitation":"\\super 5\\nosupersub{}","plainCitation":"5","noteIndex":0},"citationItems":[{"id":"nMalwRdq/UL7zCMwj","uris":["http://zotero.org/users/6915713/items/WY78Z8NY",["http://zotero.org/users/6915713/items/WY78Z8NY"]],"itemData":{"id":610,"type":"article-journal","abstract":"The HER-2/neu oncogene is a member of the erbB-like oncogene family, and is related to, but distinct from, the epidermal growth factor receptor. This gene has been shown to be amplified in human breast cancer cell lines. In the current study, alterations of the gene in 189 primary human breast cancers were investigated. HER-2/neu was found to be amplified from 2- to greater than 20-fold in 30% of the tumors. Correlation of gene amplification with several disease parameters was evaluated. Amplification of the HER-2/neu gene was a significant predictor of both overall survival and time to relapse in patients with breast cancer. It retained its significance even when adjustments were made for other known prognostic factors. Moreover, HER-2/neu amplification had greater prognostic value than most currently used prognostic factors, including hormonal-receptor status, in lymph node-positive disease. These data indicate that this gene may play a role in the biologic behavior and/or pathogenesis of human breast cancer.","container-title":"Science (New York, N.Y.)","DOI":"10.1126/science.3798106","ISSN":"0036-8075","issue":"4785","journalAbbreviation":"Science","language":"eng","note":"PMID: 3798106","page":"177-182","source":"PubMed","title":"Human breast cancer: correlation of relapse and survival with amplification of the HER-2/neu oncogene","title-short":"Human breast cancer","volume":"235","author":[{"family":"Slamon","given":"D. J."},{"family":"Clark","given":"G. M."},{"family":"Wong","given":"S. G."},{"family":"Levin","given":"W. J."},{"family":"Ullrich","given":"A."},{"family":"McGuire","given":"W. L."}],"issued":{"date-parts":[["1987",1,9]]}}}],"schema":"https://github.com/citation-style-language/schema/raw/master/csl-citation.json"} </w:instrText>
      </w:r>
      <w:r w:rsidR="00C42182" w:rsidRPr="00033A14">
        <w:rPr>
          <w:bCs/>
          <w:sz w:val="22"/>
          <w:szCs w:val="22"/>
        </w:rPr>
        <w:fldChar w:fldCharType="separate"/>
      </w:r>
      <w:r w:rsidR="009569D3" w:rsidRPr="009569D3">
        <w:rPr>
          <w:sz w:val="22"/>
          <w:vertAlign w:val="superscript"/>
        </w:rPr>
        <w:t>5</w:t>
      </w:r>
      <w:r w:rsidR="00C42182" w:rsidRPr="00033A14">
        <w:rPr>
          <w:bCs/>
          <w:sz w:val="22"/>
          <w:szCs w:val="22"/>
        </w:rPr>
        <w:fldChar w:fldCharType="end"/>
      </w:r>
      <w:r w:rsidR="003E6EF4">
        <w:rPr>
          <w:bCs/>
          <w:sz w:val="22"/>
          <w:szCs w:val="22"/>
        </w:rPr>
        <w:t xml:space="preserve"> While</w:t>
      </w:r>
      <w:r w:rsidR="003E6EF4" w:rsidRPr="00033A14">
        <w:rPr>
          <w:bCs/>
          <w:sz w:val="22"/>
          <w:szCs w:val="22"/>
        </w:rPr>
        <w:t xml:space="preserve"> </w:t>
      </w:r>
      <w:r w:rsidR="00EF021F">
        <w:rPr>
          <w:bCs/>
          <w:sz w:val="22"/>
          <w:szCs w:val="22"/>
        </w:rPr>
        <w:t xml:space="preserve">treatment of </w:t>
      </w:r>
      <w:r w:rsidR="003E6EF4" w:rsidRPr="00033A14">
        <w:rPr>
          <w:bCs/>
          <w:sz w:val="22"/>
          <w:szCs w:val="22"/>
        </w:rPr>
        <w:t>HER2+ breast cancer is increasingly personali</w:t>
      </w:r>
      <w:r w:rsidR="00FA7FB8">
        <w:rPr>
          <w:bCs/>
          <w:sz w:val="22"/>
          <w:szCs w:val="22"/>
        </w:rPr>
        <w:t>z</w:t>
      </w:r>
      <w:r w:rsidR="003E6EF4" w:rsidRPr="00033A14">
        <w:rPr>
          <w:bCs/>
          <w:sz w:val="22"/>
          <w:szCs w:val="22"/>
        </w:rPr>
        <w:t>ed and evolving</w:t>
      </w:r>
      <w:r w:rsidR="003E6EF4">
        <w:rPr>
          <w:bCs/>
          <w:sz w:val="22"/>
          <w:szCs w:val="22"/>
        </w:rPr>
        <w:t>,</w:t>
      </w:r>
      <w:r w:rsidR="00947784" w:rsidRPr="00033A14">
        <w:rPr>
          <w:bCs/>
          <w:sz w:val="22"/>
          <w:szCs w:val="22"/>
        </w:rPr>
        <w:fldChar w:fldCharType="begin"/>
      </w:r>
      <w:r w:rsidR="009569D3">
        <w:rPr>
          <w:bCs/>
          <w:sz w:val="22"/>
          <w:szCs w:val="22"/>
        </w:rPr>
        <w:instrText xml:space="preserve"> ADDIN ZOTERO_ITEM CSL_CITATION {"citationID":"Y4bBmlpH","properties":{"formattedCitation":"\\super 6,7\\nosupersub{}","plainCitation":"6,7","noteIndex":0},"citationItems":[{"id":873,"uris":["http://zotero.org/users/local/nRdURiV3/items/VRR83J7P"],"itemData":{"id":873,"type":"article-journal","container-title":"Annals of Oncology: Official Journal of the European Society for Medical Oncology","DOI":"10.1093/annonc/mdz173","ISSN":"1569-8041","issue":"8","journalAbbreviation":"Ann Oncol","language":"eng","note":"PMID: 31161190","page":"1194-1220","source":"PubMed","title":"Early breast cancer: ESMO Clinical Practice Guidelines for diagnosis, treatment and follow-up†","title-short":"Early breast cancer","volume":"30","author":[{"family":"Cardoso","given":"F."},{"family":"Kyriakides","given":"S."},{"family":"Ohno","given":"S."},{"family":"Penault-Llorca","given":"F."},{"family":"Poortmans","given":"P."},{"family":"Rubio","given":"I. T."},{"family":"Zackrisson","given":"S."},{"family":"Senkus","given":"E."},{"literal":"ESMO Guidelines Committee. Electronic address: clinicalguidelines@esmo.org"}],"issued":{"date-parts":[["2019",8,1]]}}},{"id":876,"uris":["http://zotero.org/users/local/nRdURiV3/items/P286U4P3"],"itemData":{"id":876,"type":"article-journal","container-title":"Annals of Oncology: Official Journal of the European Society for Medical Oncology","DOI":"10.1016/j.annonc.2021.09.019","ISSN":"1569-8041","issue":"12","journalAbbreviation":"Ann Oncol","language":"eng","note":"PMID: 34678411","page":"1475-1495","source":"PubMed","title":"ESMO Clinical Practice Guideline for the diagnosis, staging and treatment of patients with metastatic breast cancer","volume":"32","author":[{"family":"Gennari","given":"A."},{"family":"André","given":"F."},{"family":"Barrios","given":"C. H."},{"family":"Cortés","given":"J."},{"family":"Azambuja","given":"E.","non-dropping-particle":"de"},{"family":"DeMichele","given":"A."},{"family":"Dent","given":"R."},{"family":"Fenlon","given":"D."},{"family":"Gligorov","given":"J."},{"family":"Hurvitz","given":"S. A."},{"family":"Im","given":"S.-A."},{"family":"Krug","given":"D."},{"family":"Kunz","given":"W. G."},{"family":"Loi","given":"S."},{"family":"Penault-Llorca","given":"F."},{"family":"Ricke","given":"J."},{"family":"Robson","given":"M."},{"family":"Rugo","given":"H. S."},{"family":"Saura","given":"C."},{"family":"Schmid","given":"P."},{"family":"Singer","given":"C. F."},{"family":"Spanic","given":"T."},{"family":"Tolaney","given":"S. M."},{"family":"Turner","given":"N. C."},{"family":"Curigliano","given":"G."},{"family":"Loibl","given":"S."},{"family":"Paluch-Shimon","given":"S."},{"family":"Harbeck","given":"N."},{"literal":"ESMO Guidelines Committee. Electronic address: clinicalguidelines@esmo.org"}],"issued":{"date-parts":[["2021",12]]}}}],"schema":"https://github.com/citation-style-language/schema/raw/master/csl-citation.json"} </w:instrText>
      </w:r>
      <w:r w:rsidR="00947784" w:rsidRPr="00033A14">
        <w:rPr>
          <w:bCs/>
          <w:sz w:val="22"/>
          <w:szCs w:val="22"/>
        </w:rPr>
        <w:fldChar w:fldCharType="separate"/>
      </w:r>
      <w:r w:rsidR="009569D3" w:rsidRPr="009569D3">
        <w:rPr>
          <w:sz w:val="22"/>
          <w:vertAlign w:val="superscript"/>
        </w:rPr>
        <w:t>6,7</w:t>
      </w:r>
      <w:r w:rsidR="00947784" w:rsidRPr="00033A14">
        <w:rPr>
          <w:bCs/>
          <w:sz w:val="22"/>
          <w:szCs w:val="22"/>
        </w:rPr>
        <w:fldChar w:fldCharType="end"/>
      </w:r>
      <w:r w:rsidR="003E6EF4">
        <w:rPr>
          <w:bCs/>
          <w:sz w:val="22"/>
          <w:szCs w:val="22"/>
        </w:rPr>
        <w:t xml:space="preserve"> </w:t>
      </w:r>
      <w:r w:rsidR="00FB3307" w:rsidRPr="00033A14">
        <w:rPr>
          <w:bCs/>
          <w:sz w:val="22"/>
          <w:szCs w:val="22"/>
        </w:rPr>
        <w:t>trastuzumab remain</w:t>
      </w:r>
      <w:r w:rsidR="0010330E" w:rsidRPr="00033A14">
        <w:rPr>
          <w:bCs/>
          <w:sz w:val="22"/>
          <w:szCs w:val="22"/>
        </w:rPr>
        <w:t>s</w:t>
      </w:r>
      <w:r w:rsidR="00FB3307" w:rsidRPr="00033A14">
        <w:rPr>
          <w:bCs/>
          <w:sz w:val="22"/>
          <w:szCs w:val="22"/>
        </w:rPr>
        <w:t xml:space="preserve"> </w:t>
      </w:r>
      <w:r w:rsidR="00803FF6">
        <w:rPr>
          <w:bCs/>
          <w:sz w:val="22"/>
          <w:szCs w:val="22"/>
        </w:rPr>
        <w:t xml:space="preserve">a crucial </w:t>
      </w:r>
      <w:r w:rsidR="00BC0301">
        <w:rPr>
          <w:bCs/>
          <w:sz w:val="22"/>
          <w:szCs w:val="22"/>
        </w:rPr>
        <w:t xml:space="preserve">care </w:t>
      </w:r>
      <w:r w:rsidR="00803FF6">
        <w:rPr>
          <w:bCs/>
          <w:sz w:val="22"/>
          <w:szCs w:val="22"/>
        </w:rPr>
        <w:t>component</w:t>
      </w:r>
      <w:r w:rsidR="007A358A">
        <w:rPr>
          <w:bCs/>
          <w:sz w:val="22"/>
          <w:szCs w:val="22"/>
        </w:rPr>
        <w:t>, offering</w:t>
      </w:r>
      <w:r w:rsidR="000421A7">
        <w:rPr>
          <w:bCs/>
          <w:sz w:val="22"/>
          <w:szCs w:val="22"/>
        </w:rPr>
        <w:t xml:space="preserve"> </w:t>
      </w:r>
      <w:r w:rsidR="00ED1CF5">
        <w:rPr>
          <w:bCs/>
          <w:sz w:val="22"/>
          <w:szCs w:val="22"/>
        </w:rPr>
        <w:t xml:space="preserve">women </w:t>
      </w:r>
      <w:r w:rsidR="000421A7">
        <w:rPr>
          <w:bCs/>
          <w:sz w:val="22"/>
          <w:szCs w:val="22"/>
        </w:rPr>
        <w:t>a</w:t>
      </w:r>
      <w:r w:rsidR="004C0B59">
        <w:rPr>
          <w:bCs/>
          <w:sz w:val="22"/>
          <w:szCs w:val="22"/>
        </w:rPr>
        <w:t xml:space="preserve"> 33% reduction in breast cancer mortality in early </w:t>
      </w:r>
      <w:r w:rsidR="000421A7">
        <w:rPr>
          <w:bCs/>
          <w:sz w:val="22"/>
          <w:szCs w:val="22"/>
        </w:rPr>
        <w:t xml:space="preserve">stage </w:t>
      </w:r>
      <w:r w:rsidR="004C0B59">
        <w:rPr>
          <w:bCs/>
          <w:sz w:val="22"/>
          <w:szCs w:val="22"/>
        </w:rPr>
        <w:t>disease (ratio of annual death rate</w:t>
      </w:r>
      <w:r w:rsidR="000421A7">
        <w:rPr>
          <w:bCs/>
          <w:sz w:val="22"/>
          <w:szCs w:val="22"/>
        </w:rPr>
        <w:t>s</w:t>
      </w:r>
      <w:r w:rsidR="004C0B59">
        <w:rPr>
          <w:bCs/>
          <w:sz w:val="22"/>
          <w:szCs w:val="22"/>
        </w:rPr>
        <w:t xml:space="preserve">=0.67, 95% </w:t>
      </w:r>
      <w:r w:rsidR="00261385">
        <w:rPr>
          <w:bCs/>
          <w:sz w:val="22"/>
          <w:szCs w:val="22"/>
        </w:rPr>
        <w:t>confidence interval (CI)</w:t>
      </w:r>
      <w:r w:rsidR="004C0B59">
        <w:rPr>
          <w:bCs/>
          <w:sz w:val="22"/>
          <w:szCs w:val="22"/>
        </w:rPr>
        <w:t xml:space="preserve"> 0.61-0.73)</w:t>
      </w:r>
      <w:r w:rsidR="00092A1B">
        <w:rPr>
          <w:bCs/>
          <w:sz w:val="22"/>
          <w:szCs w:val="22"/>
        </w:rPr>
        <w:fldChar w:fldCharType="begin"/>
      </w:r>
      <w:r w:rsidR="00092A1B">
        <w:rPr>
          <w:bCs/>
          <w:sz w:val="22"/>
          <w:szCs w:val="22"/>
        </w:rPr>
        <w:instrText xml:space="preserve"> ADDIN ZOTERO_ITEM CSL_CITATION {"citationID":"iOXOTjPb","properties":{"formattedCitation":"\\super 8\\nosupersub{}","plainCitation":"8","noteIndex":0},"citationItems":[{"id":1828,"uris":["http://zotero.org/users/local/nRdURiV3/items/Z7EAYBE7"],"itemData":{"id":1828,"type":"article-journal","container-title":"The Lancet Oncology","DOI":"10.1016/S1470-2045(21)00288-6","ISSN":"1470-2045, 1474-5488","issue":"8","journalAbbreviation":"The Lancet Oncology","language":"English","note":"publisher: Elsevier\nPMID: 34339645","page":"1139-1150","source":"www.thelancet.com","title":"Trastuzumab for early-stage, HER2-positive breast cancer: a meta-analysis of 13 864 women in seven randomised trials","title-short":"Trastuzumab for early-stage, HER2-positive breast cancer","volume":"22","author":[{"family":"Bradley","given":"Rosie"},{"family":"Braybrooke","given":"Jeremy"},{"family":"Gray","given":"Richard"},{"family":"Hills","given":"Robert"},{"family":"Liu","given":"Zulian"},{"family":"Peto","given":"Richard"},{"family":"Davies","given":"Lucy"},{"family":"Dodwell","given":"David"},{"family":"McGale","given":"Paul"},{"family":"Pan","given":"Hongchao"},{"family":"Taylor","given":"Carolyn"},{"family":"Anderson","given":"Stewart"},{"family":"Gelber","given":"Richard"},{"family":"Gianni","given":"Luca"},{"family":"Jacot","given":"William"},{"family":"Joensuu","given":"Heikki"},{"family":"Moreno-Aspitia","given":"Alvaro"},{"family":"Piccart","given":"Martine"},{"family":"Press","given":"Michael"},{"family":"Romond","given":"Edward"},{"family":"Slamon","given":"Dennis"},{"family":"Suman","given":"Vera"},{"family":"Berry","given":"Richard"},{"family":"Boddington","given":"Clare"},{"family":"Clarke","given":"Mike"},{"family":"Davies","given":"Christina"},{"family":"Duane","given":"Fran"},{"family":"Evans","given":"Vaughan"},{"family":"Gay","given":"Jo"},{"family":"Gettins","given":"Lucy"},{"family":"Godwin","given":"Jon"},{"family":"James","given":"Sam"},{"family":"Liu","given":"Hui"},{"family":"MacKinnon","given":"Elizabeth"},{"family":"Mannu","given":"Gurdeep"},{"family":"McHugh","given":"Theresa"},{"family":"Morris","given":"Philip"},{"family":"Read","given":"Simon"},{"family":"Straiton","given":"Ewan"},{"family":"Wang","given":"Yaochen"},{"family":"Crown","given":"John"},{"family":"Azambuja","given":"Evandro","dropping-particle":"de"},{"family":"Delaloge","given":"Suzette"},{"family":"Fung","given":"Helena"},{"family":"Geyer","given":"Charles"},{"family":"Spielmann","given":"Marc"},{"family":"Valagussa","given":"Pinuccia"},{"family":"Albain","given":"Kathy"},{"family":"Anderson","given":"Stewart"},{"family":"Arriagada","given":"Rodrigo"},{"family":"Bartlett","given":"John"},{"family":"Bergsten-Nordström","given":"Elizabeth"},{"family":"Bliss","given":"Judith"},{"family":"Brain","given":"Etienne"},{"family":"Carey","given":"Lisa"},{"family":"Coleman","given":"Robert"},{"family":"Cuzick","given":"Jack"},{"family":"Davidson","given":"Nancy"},{"family":"Mastro","given":"Lucia Del"},{"family":"Leo","given":"Angelo Di"},{"family":"Dignam","given":"James"},{"family":"Dowsett","given":"Mitch"},{"family":"Ejlertsen","given":"Bent"},{"family":"Francis","given":"Prue"},{"family":"Gnant","given":"Michael"},{"family":"Goetz","given":"Matthew"},{"family":"Goodwin","given":"Pam"},{"family":"Halpin-Murphy","given":"Pat"},{"family":"Hayes","given":"Dan"},{"family":"Hill","given":"Catherine"},{"family":"Jagsi","given":"Reshma"},{"family":"Janni","given":"Wolfgang"},{"family":"Loibl","given":"Sibylle"},{"family":"Mamounas","given":"Eleftherios P."},{"family":"Martín","given":"Miguel"},{"family":"Mukai","given":"Hirofumi"},{"family":"Nekljudova","given":"Valentina"},{"family":"Norton","given":"Larry"},{"family":"Ohashi","given":"Yasuo"},{"family":"Pierce","given":"Lori"},{"family":"Poortmans","given":"Philip"},{"family":"Raina","given":"Vinod"},{"family":"Rea","given":"Daniel"},{"family":"Regan","given":"Meredith"},{"family":"Robertson","given":"John"},{"family":"Rutgers","given":"Emiel"},{"family":"Spanic","given":"Tanja"},{"family":"Sparano","given":"Joseph"},{"family":"Steger","given":"Guenther"},{"family":"Tang","given":"Gong"},{"family":"Toi","given":"Masakazu"},{"family":"Tutt","given":"Andrew"},{"family":"Viale","given":"Giuseppe"},{"family":"Wang","given":"Xiang"},{"family":"Whelan","given":"Tim"},{"family":"Wilcken","given":"Nicholas"},{"family":"Wolmark","given":"Norman"},{"family":"Cameron","given":"David"},{"family":"Bergh","given":"Jonas"},{"family":"Pritchard","given":"Kathleen I."},{"family":"Swain","given":"Sandra M."}],"issued":{"date-parts":[["2021",8,1]]}}}],"schema":"https://github.com/citation-style-language/schema/raw/master/csl-citation.json"} </w:instrText>
      </w:r>
      <w:r w:rsidR="00092A1B">
        <w:rPr>
          <w:bCs/>
          <w:sz w:val="22"/>
          <w:szCs w:val="22"/>
        </w:rPr>
        <w:fldChar w:fldCharType="separate"/>
      </w:r>
      <w:r w:rsidR="00092A1B" w:rsidRPr="00092A1B">
        <w:rPr>
          <w:sz w:val="22"/>
          <w:vertAlign w:val="superscript"/>
        </w:rPr>
        <w:t>8</w:t>
      </w:r>
      <w:r w:rsidR="00092A1B">
        <w:rPr>
          <w:bCs/>
          <w:sz w:val="22"/>
          <w:szCs w:val="22"/>
        </w:rPr>
        <w:fldChar w:fldCharType="end"/>
      </w:r>
      <w:r w:rsidR="0033429B">
        <w:rPr>
          <w:bCs/>
          <w:sz w:val="22"/>
          <w:szCs w:val="22"/>
        </w:rPr>
        <w:t xml:space="preserve"> </w:t>
      </w:r>
      <w:r w:rsidR="000421A7">
        <w:rPr>
          <w:bCs/>
          <w:sz w:val="22"/>
          <w:szCs w:val="22"/>
        </w:rPr>
        <w:t>and an 18% reduction in overall survival in women with metastatic disease (pooled hazard ratio (HR)=0.82, 95% CI 0.71-0.94)</w:t>
      </w:r>
      <w:r w:rsidR="00994AE6">
        <w:rPr>
          <w:bCs/>
          <w:sz w:val="22"/>
          <w:szCs w:val="22"/>
        </w:rPr>
        <w:t>.</w:t>
      </w:r>
      <w:r w:rsidR="00103315">
        <w:rPr>
          <w:bCs/>
          <w:sz w:val="22"/>
          <w:szCs w:val="22"/>
        </w:rPr>
        <w:fldChar w:fldCharType="begin"/>
      </w:r>
      <w:r w:rsidR="00103315">
        <w:rPr>
          <w:bCs/>
          <w:sz w:val="22"/>
          <w:szCs w:val="22"/>
        </w:rPr>
        <w:instrText xml:space="preserve"> ADDIN ZOTERO_ITEM CSL_CITATION {"citationID":"kqVmILWF","properties":{"formattedCitation":"\\super 9\\nosupersub{}","plainCitation":"9","noteIndex":0},"citationItems":[{"id":1968,"uris":["http://zotero.org/users/local/nRdURiV3/items/UM6LV7WX"],"itemData":{"id":1968,"type":"article-journal","container-title":"Cochrane Database of Systematic Reviews","DOI":"10.1002/14651858.CD006242.pub2","ISSN":"1465-1858","issue":"6","language":"en","note":"publisher: John Wiley &amp; Sons, Ltd","source":"www.cochranelibrary.com","title":"Trastuzumab‐containing regimens for metastatic breast cancer","URL":"https://www.cochranelibrary.com/cdsr/doi/10.1002/14651858.CD006242.pub2/full","author":[{"family":"Balduzzi","given":"Sara"},{"family":"Mantarro","given":"Stefania"},{"family":"Guarneri","given":"Valentina"},{"family":"Tagliabue","given":"Ludovica"},{"family":"Pistotti","given":"Vanna"},{"family":"Moja","given":"Lorenzo"},{"family":"D'Amico","given":"Roberto"}],"accessed":{"date-parts":[["2024",4,15]]},"issued":{"date-parts":[["2014"]]}}}],"schema":"https://github.com/citation-style-language/schema/raw/master/csl-citation.json"} </w:instrText>
      </w:r>
      <w:r w:rsidR="00103315">
        <w:rPr>
          <w:bCs/>
          <w:sz w:val="22"/>
          <w:szCs w:val="22"/>
        </w:rPr>
        <w:fldChar w:fldCharType="separate"/>
      </w:r>
      <w:r w:rsidR="00103315" w:rsidRPr="00103315">
        <w:rPr>
          <w:sz w:val="22"/>
          <w:vertAlign w:val="superscript"/>
        </w:rPr>
        <w:t>9</w:t>
      </w:r>
      <w:r w:rsidR="00103315">
        <w:rPr>
          <w:bCs/>
          <w:sz w:val="22"/>
          <w:szCs w:val="22"/>
        </w:rPr>
        <w:fldChar w:fldCharType="end"/>
      </w:r>
    </w:p>
    <w:p w14:paraId="2FED54B5" w14:textId="77777777" w:rsidR="00491E11" w:rsidRPr="00033A14" w:rsidRDefault="00491E11" w:rsidP="00EB2F6F">
      <w:pPr>
        <w:spacing w:line="360" w:lineRule="auto"/>
        <w:rPr>
          <w:bCs/>
          <w:sz w:val="22"/>
          <w:szCs w:val="22"/>
        </w:rPr>
      </w:pPr>
    </w:p>
    <w:p w14:paraId="4177AE50" w14:textId="614FC606" w:rsidR="006B720E" w:rsidRPr="00033A14" w:rsidRDefault="001445FF" w:rsidP="00EB2F6F">
      <w:pPr>
        <w:spacing w:line="360" w:lineRule="auto"/>
        <w:rPr>
          <w:bCs/>
          <w:sz w:val="22"/>
          <w:szCs w:val="22"/>
        </w:rPr>
      </w:pPr>
      <w:r w:rsidRPr="00033A14">
        <w:rPr>
          <w:bCs/>
          <w:sz w:val="22"/>
          <w:szCs w:val="22"/>
        </w:rPr>
        <w:t>Breast</w:t>
      </w:r>
      <w:r w:rsidR="00287EBA" w:rsidRPr="00033A14">
        <w:rPr>
          <w:bCs/>
          <w:sz w:val="22"/>
          <w:szCs w:val="22"/>
        </w:rPr>
        <w:t xml:space="preserve"> </w:t>
      </w:r>
      <w:r w:rsidRPr="00033A14">
        <w:rPr>
          <w:bCs/>
          <w:sz w:val="22"/>
          <w:szCs w:val="22"/>
        </w:rPr>
        <w:t>cancer</w:t>
      </w:r>
      <w:r w:rsidR="00287EBA" w:rsidRPr="00033A14">
        <w:rPr>
          <w:bCs/>
          <w:sz w:val="22"/>
          <w:szCs w:val="22"/>
        </w:rPr>
        <w:t xml:space="preserve"> </w:t>
      </w:r>
      <w:r w:rsidR="00A91652">
        <w:rPr>
          <w:bCs/>
          <w:sz w:val="22"/>
          <w:szCs w:val="22"/>
        </w:rPr>
        <w:t>is</w:t>
      </w:r>
      <w:r w:rsidR="00287EBA" w:rsidRPr="00033A14">
        <w:rPr>
          <w:bCs/>
          <w:sz w:val="22"/>
          <w:szCs w:val="22"/>
        </w:rPr>
        <w:t xml:space="preserve"> subject to</w:t>
      </w:r>
      <w:r w:rsidR="00BD6230">
        <w:rPr>
          <w:bCs/>
          <w:sz w:val="22"/>
          <w:szCs w:val="22"/>
        </w:rPr>
        <w:t xml:space="preserve"> </w:t>
      </w:r>
      <w:r w:rsidR="00287EBA" w:rsidRPr="00033A14">
        <w:rPr>
          <w:bCs/>
          <w:sz w:val="22"/>
          <w:szCs w:val="22"/>
        </w:rPr>
        <w:t>s</w:t>
      </w:r>
      <w:r w:rsidR="00997511" w:rsidRPr="00033A14">
        <w:rPr>
          <w:bCs/>
          <w:sz w:val="22"/>
          <w:szCs w:val="22"/>
        </w:rPr>
        <w:t xml:space="preserve">ocio-economic </w:t>
      </w:r>
      <w:r w:rsidR="00BD6230">
        <w:rPr>
          <w:bCs/>
          <w:sz w:val="22"/>
          <w:szCs w:val="22"/>
        </w:rPr>
        <w:t xml:space="preserve">and socio-demographic </w:t>
      </w:r>
      <w:r w:rsidR="00C57B75">
        <w:rPr>
          <w:bCs/>
          <w:sz w:val="22"/>
          <w:szCs w:val="22"/>
        </w:rPr>
        <w:t>disparities</w:t>
      </w:r>
      <w:r w:rsidR="00287EBA" w:rsidRPr="00033A14">
        <w:rPr>
          <w:bCs/>
          <w:sz w:val="22"/>
          <w:szCs w:val="22"/>
        </w:rPr>
        <w:t>.</w:t>
      </w:r>
      <w:r w:rsidR="009527A3">
        <w:rPr>
          <w:bCs/>
          <w:sz w:val="22"/>
          <w:szCs w:val="22"/>
        </w:rPr>
        <w:t xml:space="preserve"> I</w:t>
      </w:r>
      <w:r w:rsidR="00FA5CAF">
        <w:rPr>
          <w:bCs/>
          <w:sz w:val="22"/>
          <w:szCs w:val="22"/>
        </w:rPr>
        <w:t xml:space="preserve">ncreased incidence is associated with </w:t>
      </w:r>
      <w:r w:rsidR="00183BA7" w:rsidRPr="00033A14">
        <w:rPr>
          <w:bCs/>
          <w:sz w:val="22"/>
          <w:szCs w:val="22"/>
        </w:rPr>
        <w:t>higher socio-economic status</w:t>
      </w:r>
      <w:r w:rsidRPr="00033A14">
        <w:rPr>
          <w:bCs/>
          <w:sz w:val="22"/>
          <w:szCs w:val="22"/>
        </w:rPr>
        <w:t xml:space="preserve"> (SES</w:t>
      </w:r>
      <w:r w:rsidR="00183BA7" w:rsidRPr="00033A14">
        <w:rPr>
          <w:bCs/>
          <w:sz w:val="22"/>
          <w:szCs w:val="22"/>
        </w:rPr>
        <w:t>)</w:t>
      </w:r>
      <w:r w:rsidR="009A1CFD">
        <w:rPr>
          <w:bCs/>
          <w:sz w:val="22"/>
          <w:szCs w:val="22"/>
        </w:rPr>
        <w:t>,</w:t>
      </w:r>
      <w:r w:rsidR="00B941D5" w:rsidRPr="00033A14">
        <w:rPr>
          <w:bCs/>
          <w:sz w:val="22"/>
          <w:szCs w:val="22"/>
        </w:rPr>
        <w:fldChar w:fldCharType="begin"/>
      </w:r>
      <w:r w:rsidR="00103315">
        <w:rPr>
          <w:bCs/>
          <w:sz w:val="22"/>
          <w:szCs w:val="22"/>
        </w:rPr>
        <w:instrText xml:space="preserve"> ADDIN ZOTERO_ITEM CSL_CITATION {"citationID":"WiteprSn","properties":{"formattedCitation":"\\super 10\\nosupersub{}","plainCitation":"10","noteIndex":0},"citationItems":[{"id":1135,"uris":["http://zotero.org/users/local/nRdURiV3/items/97UK2JB6"],"itemData":{"id":1135,"type":"article-journal","abstract":"BACKGROUND: To gain more insight into the relation between socioeconomic status (SES) and breast cancer risk, we have studied that association, before and after adjustment for traditional risk factors for breast cancer, in a prospective cohort study on lifestyle and cancer that started in 1986 in the Netherlands amongst 62,573 women aged 55-69 years.\nMETHODS: At baseline, data on SES, diet, reproductive factors and other covariates were collected by means of a self-administered questionnaire. For data-analysis a case-cohort approach was used. After 3.3 years of follow-up, 471 incident cases were available for analysis.\nRESULTS: We did not find a higher age-adjusted risk of breast cancer for those with a higher level of education (RR highest/lowest level of education = 0.94, 95% confidence interval [CI]: 0.63-1.39, trend-P = 0.15). Although upper white-collar workers had a slightly higher breast cancer risk than blue-collar workers (RR = 1.16, 95% CI: 0.83-1.62, trend-P = 0.34), women with a profession of higher social standing did not have a higher risk (RR highest/lowest social standing = 0.73, 95% CI: 0.24-2.23, trend-P = 0.86). Additional adjustment for traditional risk factors did not alter the association between SES and breast cancer risk.\nCONCLUSIONS: We did not find an association between SES and breast cancer risk. This is not in agreement with studies conducted in other European countries and North America.","container-title":"International Journal of Epidemiology","DOI":"10.1093/ije/23.5.899","ISSN":"0300-5771","issue":"5","journalAbbreviation":"Int J Epidemiol","language":"eng","note":"PMID: 7860169","page":"899-905","source":"PubMed","title":"Socioeconomic status and breast cancer incidence: a prospective cohort study","title-short":"Socioeconomic status and breast cancer incidence","volume":"23","author":[{"family":"Van Loon","given":"A. J."},{"family":"Goldbohm","given":"R. A."},{"family":"Van den Brandt","given":"P. A."}],"issued":{"date-parts":[["1994"]]}}}],"schema":"https://github.com/citation-style-language/schema/raw/master/csl-citation.json"} </w:instrText>
      </w:r>
      <w:r w:rsidR="00B941D5" w:rsidRPr="00033A14">
        <w:rPr>
          <w:bCs/>
          <w:sz w:val="22"/>
          <w:szCs w:val="22"/>
        </w:rPr>
        <w:fldChar w:fldCharType="separate"/>
      </w:r>
      <w:r w:rsidR="00103315" w:rsidRPr="00103315">
        <w:rPr>
          <w:sz w:val="22"/>
          <w:vertAlign w:val="superscript"/>
        </w:rPr>
        <w:t>10</w:t>
      </w:r>
      <w:r w:rsidR="00B941D5" w:rsidRPr="00033A14">
        <w:rPr>
          <w:bCs/>
          <w:sz w:val="22"/>
          <w:szCs w:val="22"/>
        </w:rPr>
        <w:fldChar w:fldCharType="end"/>
      </w:r>
      <w:r w:rsidR="00A45D9D" w:rsidRPr="00033A14">
        <w:rPr>
          <w:bCs/>
          <w:sz w:val="22"/>
          <w:szCs w:val="22"/>
        </w:rPr>
        <w:t xml:space="preserve"> </w:t>
      </w:r>
      <w:r w:rsidR="009A1CFD">
        <w:rPr>
          <w:bCs/>
          <w:sz w:val="22"/>
          <w:szCs w:val="22"/>
        </w:rPr>
        <w:t xml:space="preserve">whilst </w:t>
      </w:r>
      <w:r w:rsidR="00FA5CAF">
        <w:rPr>
          <w:bCs/>
          <w:sz w:val="22"/>
          <w:szCs w:val="22"/>
        </w:rPr>
        <w:t xml:space="preserve">higher </w:t>
      </w:r>
      <w:r w:rsidR="00183BA7" w:rsidRPr="00033A14">
        <w:rPr>
          <w:bCs/>
          <w:sz w:val="22"/>
          <w:szCs w:val="22"/>
        </w:rPr>
        <w:t xml:space="preserve">mortality and </w:t>
      </w:r>
      <w:r w:rsidR="00160BF8">
        <w:rPr>
          <w:bCs/>
          <w:sz w:val="22"/>
          <w:szCs w:val="22"/>
        </w:rPr>
        <w:t xml:space="preserve">reduced </w:t>
      </w:r>
      <w:r w:rsidR="00183BA7" w:rsidRPr="00033A14">
        <w:rPr>
          <w:bCs/>
          <w:sz w:val="22"/>
          <w:szCs w:val="22"/>
        </w:rPr>
        <w:t>survival</w:t>
      </w:r>
      <w:r w:rsidR="00B941D5" w:rsidRPr="00033A14">
        <w:rPr>
          <w:bCs/>
          <w:sz w:val="22"/>
          <w:szCs w:val="22"/>
        </w:rPr>
        <w:t xml:space="preserve"> are</w:t>
      </w:r>
      <w:r w:rsidR="00183BA7" w:rsidRPr="00033A14">
        <w:rPr>
          <w:bCs/>
          <w:sz w:val="22"/>
          <w:szCs w:val="22"/>
        </w:rPr>
        <w:t xml:space="preserve"> </w:t>
      </w:r>
      <w:r w:rsidR="00B461FC">
        <w:rPr>
          <w:bCs/>
          <w:sz w:val="22"/>
          <w:szCs w:val="22"/>
        </w:rPr>
        <w:t>linked to</w:t>
      </w:r>
      <w:r w:rsidR="00183BA7" w:rsidRPr="00033A14">
        <w:rPr>
          <w:bCs/>
          <w:sz w:val="22"/>
          <w:szCs w:val="22"/>
        </w:rPr>
        <w:t xml:space="preserve"> women with a low</w:t>
      </w:r>
      <w:r w:rsidR="00735E39">
        <w:rPr>
          <w:bCs/>
          <w:sz w:val="22"/>
          <w:szCs w:val="22"/>
        </w:rPr>
        <w:t>er</w:t>
      </w:r>
      <w:r w:rsidR="00183BA7" w:rsidRPr="00033A14">
        <w:rPr>
          <w:bCs/>
          <w:sz w:val="22"/>
          <w:szCs w:val="22"/>
        </w:rPr>
        <w:t xml:space="preserve"> </w:t>
      </w:r>
      <w:r w:rsidR="00A45D9D" w:rsidRPr="00033A14">
        <w:rPr>
          <w:bCs/>
          <w:sz w:val="22"/>
          <w:szCs w:val="22"/>
        </w:rPr>
        <w:t>SES</w:t>
      </w:r>
      <w:r w:rsidR="00183BA7" w:rsidRPr="00033A14">
        <w:rPr>
          <w:bCs/>
          <w:sz w:val="22"/>
          <w:szCs w:val="22"/>
        </w:rPr>
        <w:t xml:space="preserve"> - perhaps in part due to barriers</w:t>
      </w:r>
      <w:r w:rsidR="004B00E8" w:rsidRPr="00033A14">
        <w:rPr>
          <w:bCs/>
          <w:sz w:val="22"/>
          <w:szCs w:val="22"/>
        </w:rPr>
        <w:t xml:space="preserve"> related to</w:t>
      </w:r>
      <w:r w:rsidR="00183BA7" w:rsidRPr="00033A14">
        <w:rPr>
          <w:bCs/>
          <w:sz w:val="22"/>
          <w:szCs w:val="22"/>
        </w:rPr>
        <w:t xml:space="preserve"> treatment</w:t>
      </w:r>
      <w:r w:rsidR="00A02F78">
        <w:rPr>
          <w:bCs/>
          <w:sz w:val="22"/>
          <w:szCs w:val="22"/>
        </w:rPr>
        <w:t xml:space="preserve"> </w:t>
      </w:r>
      <w:r w:rsidR="00183BA7" w:rsidRPr="00033A14">
        <w:rPr>
          <w:bCs/>
          <w:sz w:val="22"/>
          <w:szCs w:val="22"/>
        </w:rPr>
        <w:t>access</w:t>
      </w:r>
      <w:r w:rsidR="00B941D5" w:rsidRPr="00033A14">
        <w:rPr>
          <w:bCs/>
          <w:sz w:val="22"/>
          <w:szCs w:val="22"/>
        </w:rPr>
        <w:t>.</w:t>
      </w:r>
      <w:r w:rsidR="00B941D5" w:rsidRPr="00033A14">
        <w:rPr>
          <w:bCs/>
          <w:sz w:val="22"/>
          <w:szCs w:val="22"/>
        </w:rPr>
        <w:fldChar w:fldCharType="begin"/>
      </w:r>
      <w:r w:rsidR="00103315">
        <w:rPr>
          <w:bCs/>
          <w:sz w:val="22"/>
          <w:szCs w:val="22"/>
        </w:rPr>
        <w:instrText xml:space="preserve"> ADDIN ZOTERO_ITEM CSL_CITATION {"citationID":"c9lq4pkq","properties":{"formattedCitation":"\\super 11\\nosupersub{}","plainCitation":"11","noteIndex":0},"citationItems":[{"id":1138,"uris":["http://zotero.org/users/local/nRdURiV3/items/I4GW96C9"],"itemData":{"id":1138,"type":"article-journal","abstract":"OBJECTIVE: To assess the influence of socio-economic factors on breast cancer survival in Sweden, a country with population-based mammography screening and a uniform health care system aiming to provide care to all on equal terms.\nMETHODS: All women with a first diagnosis of invasive breast cancer in Sweden in 1993 were identified in the Swedish Cancer Register. Their sociodemographic characteristics were determined by record linkages to the 1970, 1980, 1985 and 1990 Census databases, and a nationwide Fertility Register. Information on tumor characteristics at diagnosis was obtained from five Swedish Regional Cancer Registers. Survival status on 31 December 1998, was assessed through follow-up in the Swedish Cause of Death Register.\nRESULTS: Of totally 4645 eligible women diagnosed with breast cancer in 1993, 772 had died from breast cancer through 1998. After adjustment for tumor characteristics and age, risk of death was 37 higher among women of low compared to high socio-economic status (HR high vs. low 0.73; 95 CI: 0.54-0.99). This difference was most pronounced in women less than 50 years at diagnosis.\nCONCLUSIONS: These results show that socio-economic disparities in breast cancer survival prevail even in this relatively homogenous society, offering outreach mammography and standardised treatment regimens in a tax-funded health care system.","container-title":"Cancer causes &amp; control: CCC","DOI":"10.1007/s10552-004-6255-7","ISSN":"0957-5243","issue":"4","journalAbbreviation":"Cancer Causes Control","language":"eng","note":"PMID: 15953984","page":"419-430","source":"PubMed","title":"Socio-economic factors and breast cancer survival- a population-based cohort study (Sweden)","volume":"16","author":[{"family":"Lagerlund","given":"Magdalena"},{"family":"Bellocco","given":"Rino"},{"family":"Karlsson","given":"Per"},{"family":"Tejler","given":"Göran"},{"family":"Lambe","given":"Mats"}],"issued":{"date-parts":[["2005"]]}}}],"schema":"https://github.com/citation-style-language/schema/raw/master/csl-citation.json"} </w:instrText>
      </w:r>
      <w:r w:rsidR="00B941D5" w:rsidRPr="00033A14">
        <w:rPr>
          <w:bCs/>
          <w:sz w:val="22"/>
          <w:szCs w:val="22"/>
        </w:rPr>
        <w:fldChar w:fldCharType="separate"/>
      </w:r>
      <w:r w:rsidR="00103315" w:rsidRPr="00103315">
        <w:rPr>
          <w:sz w:val="22"/>
          <w:vertAlign w:val="superscript"/>
        </w:rPr>
        <w:t>11</w:t>
      </w:r>
      <w:r w:rsidR="00B941D5" w:rsidRPr="00033A14">
        <w:rPr>
          <w:bCs/>
          <w:sz w:val="22"/>
          <w:szCs w:val="22"/>
        </w:rPr>
        <w:fldChar w:fldCharType="end"/>
      </w:r>
      <w:r w:rsidR="00A02F78">
        <w:rPr>
          <w:bCs/>
          <w:sz w:val="22"/>
          <w:szCs w:val="22"/>
        </w:rPr>
        <w:t xml:space="preserve"> </w:t>
      </w:r>
      <w:r w:rsidR="002E0686">
        <w:rPr>
          <w:bCs/>
          <w:sz w:val="22"/>
          <w:szCs w:val="22"/>
        </w:rPr>
        <w:t>L</w:t>
      </w:r>
      <w:r w:rsidRPr="00033A14">
        <w:rPr>
          <w:bCs/>
          <w:sz w:val="22"/>
          <w:szCs w:val="22"/>
        </w:rPr>
        <w:t>ow</w:t>
      </w:r>
      <w:r w:rsidR="00735E39">
        <w:rPr>
          <w:bCs/>
          <w:sz w:val="22"/>
          <w:szCs w:val="22"/>
        </w:rPr>
        <w:t>er</w:t>
      </w:r>
      <w:r w:rsidRPr="00033A14">
        <w:rPr>
          <w:bCs/>
          <w:sz w:val="22"/>
          <w:szCs w:val="22"/>
        </w:rPr>
        <w:t xml:space="preserve"> SES</w:t>
      </w:r>
      <w:r w:rsidR="008D1AE3">
        <w:rPr>
          <w:bCs/>
          <w:sz w:val="22"/>
          <w:szCs w:val="22"/>
        </w:rPr>
        <w:t xml:space="preserve"> </w:t>
      </w:r>
      <w:r w:rsidR="002E0686">
        <w:rPr>
          <w:bCs/>
          <w:sz w:val="22"/>
          <w:szCs w:val="22"/>
        </w:rPr>
        <w:t xml:space="preserve">has historically </w:t>
      </w:r>
      <w:r w:rsidR="004014CA">
        <w:rPr>
          <w:bCs/>
          <w:sz w:val="22"/>
          <w:szCs w:val="22"/>
        </w:rPr>
        <w:t>been</w:t>
      </w:r>
      <w:r w:rsidR="008D1AE3">
        <w:rPr>
          <w:bCs/>
          <w:sz w:val="22"/>
          <w:szCs w:val="22"/>
        </w:rPr>
        <w:t xml:space="preserve"> </w:t>
      </w:r>
      <w:r w:rsidRPr="00033A14">
        <w:rPr>
          <w:bCs/>
          <w:sz w:val="22"/>
          <w:szCs w:val="22"/>
        </w:rPr>
        <w:t xml:space="preserve">associated with reduced </w:t>
      </w:r>
      <w:r w:rsidR="002E0686">
        <w:rPr>
          <w:bCs/>
          <w:sz w:val="22"/>
          <w:szCs w:val="22"/>
        </w:rPr>
        <w:t>r</w:t>
      </w:r>
      <w:r w:rsidR="00D16134">
        <w:rPr>
          <w:bCs/>
          <w:sz w:val="22"/>
          <w:szCs w:val="22"/>
        </w:rPr>
        <w:t>eceipt</w:t>
      </w:r>
      <w:r w:rsidRPr="00033A14">
        <w:rPr>
          <w:bCs/>
          <w:sz w:val="22"/>
          <w:szCs w:val="22"/>
        </w:rPr>
        <w:t xml:space="preserve"> of </w:t>
      </w:r>
      <w:r w:rsidR="002A5E52">
        <w:rPr>
          <w:bCs/>
          <w:sz w:val="22"/>
          <w:szCs w:val="22"/>
        </w:rPr>
        <w:t>traditional</w:t>
      </w:r>
      <w:r w:rsidR="004014CA">
        <w:rPr>
          <w:bCs/>
          <w:sz w:val="22"/>
          <w:szCs w:val="22"/>
        </w:rPr>
        <w:t xml:space="preserve"> </w:t>
      </w:r>
      <w:r w:rsidR="008D1AE3">
        <w:rPr>
          <w:bCs/>
          <w:sz w:val="22"/>
          <w:szCs w:val="22"/>
        </w:rPr>
        <w:t>breast cancer</w:t>
      </w:r>
      <w:r w:rsidR="00A02F78">
        <w:rPr>
          <w:bCs/>
          <w:sz w:val="22"/>
          <w:szCs w:val="22"/>
        </w:rPr>
        <w:t xml:space="preserve"> </w:t>
      </w:r>
      <w:r w:rsidR="008D1AE3">
        <w:rPr>
          <w:bCs/>
          <w:sz w:val="22"/>
          <w:szCs w:val="22"/>
        </w:rPr>
        <w:t>treatment</w:t>
      </w:r>
      <w:r w:rsidR="004014CA">
        <w:rPr>
          <w:bCs/>
          <w:sz w:val="22"/>
          <w:szCs w:val="22"/>
        </w:rPr>
        <w:t>s, including</w:t>
      </w:r>
      <w:r w:rsidR="008D1AE3">
        <w:rPr>
          <w:bCs/>
          <w:sz w:val="22"/>
          <w:szCs w:val="22"/>
        </w:rPr>
        <w:t xml:space="preserve"> breast conserving surgery,</w:t>
      </w:r>
      <w:r w:rsidR="00387C2E">
        <w:rPr>
          <w:bCs/>
          <w:sz w:val="22"/>
          <w:szCs w:val="22"/>
        </w:rPr>
        <w:fldChar w:fldCharType="begin"/>
      </w:r>
      <w:r w:rsidR="00103315">
        <w:rPr>
          <w:bCs/>
          <w:sz w:val="22"/>
          <w:szCs w:val="22"/>
        </w:rPr>
        <w:instrText xml:space="preserve"> ADDIN ZOTERO_ITEM CSL_CITATION {"citationID":"UFKc2Ssj","properties":{"formattedCitation":"\\super 12\\nosupersub{}","plainCitation":"12","noteIndex":0},"citationItems":[{"id":1291,"uris":["http://zotero.org/users/local/nRdURiV3/items/ZSP43HAQ"],"itemData":{"id":1291,"type":"article-journal","abstract":"PURPOSE: Evidence suggests substantial disparities in breast cancer survival by socioeconomic status (SES). We examine the extent to which receipt of newer, less invasive, or more effective treatments-a plausible source of disparities in survival-varies by SES among elderly women with early-stage breast cancer.\nMETHODS: Multivariate regression analyses applied to 11,368 women (age 66-90 years) identified from SEER-Medicare as having invasive breast cancer diagnosed in 2006-2009. Socioeconomic status was defined based on Medicaid enrollment and level of poverty of the census tract of residence. All analyses controlled for demographic, clinical health status, spatial, and healthcare system characteristics.\nRESULTS: Poor and near-poor women were less likely than high SES women to receive sentinel lymph node biopsy and radiation after breast-conserving surgery (BCS). Poor women were also less likely than near-poor or high SES women to receive any axillary surgery and adjuvant chemotherapy. There were no significant differences in use of aromatase inhibitors (AI) between poor and high SES women. However, near-poor women who initiated hormonal therapy were more likely to rely exclusively on tamoxifen, and less likely to use the more expensive but more effective AI when compared to both poor and high SES women.\nCONCLUSIONS: Our results indicate that SES disparities in the receipt of treatments for incident breast cancer are both pervasive and substantial. These disparities remained despite women's geographic area of residence and extent of disease, suggesting important gaps in access to effective breast cancer care.","container-title":"Breast Cancer Research and Treatment","DOI":"10.1007/s10549-017-4490-3","ISSN":"1573-7217","issue":"1","journalAbbreviation":"Breast Cancer Res Treat","language":"eng","note":"PMID: 28884392\nPMCID: PMC5790605","page":"1-8","source":"PubMed","title":"Socioeconomic status and breast cancer treatment","volume":"167","author":[{"family":"Dreyer","given":"Marie S."},{"family":"Nattinger","given":"Ann B."},{"family":"McGinley","given":"Emily L."},{"family":"Pezzin","given":"Liliana E."}],"issued":{"date-parts":[["2018"]]}}}],"schema":"https://github.com/citation-style-language/schema/raw/master/csl-citation.json"} </w:instrText>
      </w:r>
      <w:r w:rsidR="00387C2E">
        <w:rPr>
          <w:bCs/>
          <w:sz w:val="22"/>
          <w:szCs w:val="22"/>
        </w:rPr>
        <w:fldChar w:fldCharType="separate"/>
      </w:r>
      <w:r w:rsidR="00103315" w:rsidRPr="00103315">
        <w:rPr>
          <w:sz w:val="22"/>
          <w:vertAlign w:val="superscript"/>
        </w:rPr>
        <w:t>12</w:t>
      </w:r>
      <w:r w:rsidR="00387C2E">
        <w:rPr>
          <w:bCs/>
          <w:sz w:val="22"/>
          <w:szCs w:val="22"/>
        </w:rPr>
        <w:fldChar w:fldCharType="end"/>
      </w:r>
      <w:r w:rsidR="008D1AE3">
        <w:rPr>
          <w:bCs/>
          <w:sz w:val="22"/>
          <w:szCs w:val="22"/>
        </w:rPr>
        <w:t xml:space="preserve"> neoadjuvant chemotherapy </w:t>
      </w:r>
      <w:r w:rsidR="00387C2E">
        <w:rPr>
          <w:bCs/>
          <w:sz w:val="22"/>
          <w:szCs w:val="22"/>
        </w:rPr>
        <w:t>(e.g. anthracy</w:t>
      </w:r>
      <w:r w:rsidR="00464DB2">
        <w:rPr>
          <w:bCs/>
          <w:sz w:val="22"/>
          <w:szCs w:val="22"/>
        </w:rPr>
        <w:t>cl</w:t>
      </w:r>
      <w:r w:rsidR="00387C2E">
        <w:rPr>
          <w:bCs/>
          <w:sz w:val="22"/>
          <w:szCs w:val="22"/>
        </w:rPr>
        <w:t>ines and taxanes),</w:t>
      </w:r>
      <w:r w:rsidR="00387C2E">
        <w:rPr>
          <w:bCs/>
          <w:sz w:val="22"/>
          <w:szCs w:val="22"/>
        </w:rPr>
        <w:fldChar w:fldCharType="begin"/>
      </w:r>
      <w:r w:rsidR="00103315">
        <w:rPr>
          <w:bCs/>
          <w:sz w:val="22"/>
          <w:szCs w:val="22"/>
        </w:rPr>
        <w:instrText xml:space="preserve"> ADDIN ZOTERO_ITEM CSL_CITATION {"citationID":"LfBbL2sU","properties":{"formattedCitation":"\\super 13\\nosupersub{}","plainCitation":"13","noteIndex":0},"citationItems":[{"id":1294,"uris":["http://zotero.org/users/local/nRdURiV3/items/KSTP9DCD"],"itemData":{"id":1294,"type":"article-journal","abstract":"BACKGROUND\nThere are advantages to neoadjuvant chemotherapy in operable breast\ncancer, particularly for those with higher-risk cancers, but little is known\nabout factors that are associated with the use of neoadjuvant chemotherapy\noutside of clinical trials. We examined whether use of neoadjuvant\nchemotherapy instead of adjuvant chemotherapy varies by nonclinical factors\nsuch as patient socioeconomic status or rural residence.\n\nMETHODS\nWomen diagnosed with breast cancer in 2013–14 at eight medical\ninstitutions were surveyed by mail regarding their experiences with breast\ncancer treatment, and this information was linked to hospital-based cancer\nregistries. We examined the use of neoadjuvant chemotherapy among women with\nhistologically-confirmed invasive stage I-III breast cancer and used\nregression models to examine the association of socioeconomic status with\nchemotherapy timing. We also explored potential mechanisms for those\ndifferences.\n\nRESULTS\nOver 29% of the sample overall received neoadjuvant chemotherapy.\nNeoadjuvant receipt was lower for those with income &lt;$100,000 (AOR\n0.56, 95% CI 0.2–0.9) even with adjustment for other demographics,\nstage, and biomarker status, and findings for education and a variable for\nboth lowest education and income&lt;$100,000 were similar. Rural/urban\nresidence was not associated with neoadjuvant receipt. Differences by income\nin perceptions of the importance of neoadjuvant chemotherapy advantages and\ndisadvantages did not appear to explain the differences in use by\nincome.\n\nCONCLUSIONS\nIn a multicenter sample of breast cancer patients, lower income was\nstrongly associated with less receipt of neoadjuvant chemotherapy. Since\npatients with lower socioeconomic status are more likely to present with\nlater-stage disease, this pattern has the potential to contribute to breast\ncancer outcome disparities.","container-title":"Breast cancer research and treatment","DOI":"10.1007/s10549-018-4954-0","ISSN":"0167-6806","issue":"1","journalAbbreviation":"Breast Cancer Res Treat","note":"PMID: 30232683\nPMCID: PMC6687292","page":"179-188","source":"PubMed Central","title":"The association of socioeconomic status with receipt of neoadjuvant chemotherapy","volume":"173","author":[{"family":"Neuner","given":"Joan M."},{"family":"Kong","given":"Amanda"},{"family":"Blaes","given":"Ann"},{"family":"Riley","given":"Danielle"},{"family":"Chrischilles","given":"Elizabeth"},{"family":"Smallwood","given":"Alicia"},{"family":"Lizarraga","given":"Ingrid"},{"family":"Schroeder","given":"Mary"}],"issued":{"date-parts":[["2019"]]}}}],"schema":"https://github.com/citation-style-language/schema/raw/master/csl-citation.json"} </w:instrText>
      </w:r>
      <w:r w:rsidR="00387C2E">
        <w:rPr>
          <w:bCs/>
          <w:sz w:val="22"/>
          <w:szCs w:val="22"/>
        </w:rPr>
        <w:fldChar w:fldCharType="separate"/>
      </w:r>
      <w:r w:rsidR="00103315" w:rsidRPr="00103315">
        <w:rPr>
          <w:sz w:val="22"/>
          <w:vertAlign w:val="superscript"/>
        </w:rPr>
        <w:t>13</w:t>
      </w:r>
      <w:r w:rsidR="00387C2E">
        <w:rPr>
          <w:bCs/>
          <w:sz w:val="22"/>
          <w:szCs w:val="22"/>
        </w:rPr>
        <w:fldChar w:fldCharType="end"/>
      </w:r>
      <w:r w:rsidR="00387C2E">
        <w:rPr>
          <w:bCs/>
          <w:sz w:val="22"/>
          <w:szCs w:val="22"/>
        </w:rPr>
        <w:t xml:space="preserve"> </w:t>
      </w:r>
      <w:r w:rsidR="008D1AE3">
        <w:rPr>
          <w:bCs/>
          <w:sz w:val="22"/>
          <w:szCs w:val="22"/>
        </w:rPr>
        <w:t>and radiation therapy.</w:t>
      </w:r>
      <w:r w:rsidR="00387C2E">
        <w:rPr>
          <w:bCs/>
          <w:sz w:val="22"/>
          <w:szCs w:val="22"/>
        </w:rPr>
        <w:fldChar w:fldCharType="begin"/>
      </w:r>
      <w:r w:rsidR="00103315">
        <w:rPr>
          <w:bCs/>
          <w:sz w:val="22"/>
          <w:szCs w:val="22"/>
        </w:rPr>
        <w:instrText xml:space="preserve"> ADDIN ZOTERO_ITEM CSL_CITATION {"citationID":"jRDd6sNs","properties":{"formattedCitation":"\\super 12\\nosupersub{}","plainCitation":"12","noteIndex":0},"citationItems":[{"id":1291,"uris":["http://zotero.org/users/local/nRdURiV3/items/ZSP43HAQ"],"itemData":{"id":1291,"type":"article-journal","abstract":"PURPOSE: Evidence suggests substantial disparities in breast cancer survival by socioeconomic status (SES). We examine the extent to which receipt of newer, less invasive, or more effective treatments-a plausible source of disparities in survival-varies by SES among elderly women with early-stage breast cancer.\nMETHODS: Multivariate regression analyses applied to 11,368 women (age 66-90 years) identified from SEER-Medicare as having invasive breast cancer diagnosed in 2006-2009. Socioeconomic status was defined based on Medicaid enrollment and level of poverty of the census tract of residence. All analyses controlled for demographic, clinical health status, spatial, and healthcare system characteristics.\nRESULTS: Poor and near-poor women were less likely than high SES women to receive sentinel lymph node biopsy and radiation after breast-conserving surgery (BCS). Poor women were also less likely than near-poor or high SES women to receive any axillary surgery and adjuvant chemotherapy. There were no significant differences in use of aromatase inhibitors (AI) between poor and high SES women. However, near-poor women who initiated hormonal therapy were more likely to rely exclusively on tamoxifen, and less likely to use the more expensive but more effective AI when compared to both poor and high SES women.\nCONCLUSIONS: Our results indicate that SES disparities in the receipt of treatments for incident breast cancer are both pervasive and substantial. These disparities remained despite women's geographic area of residence and extent of disease, suggesting important gaps in access to effective breast cancer care.","container-title":"Breast Cancer Research and Treatment","DOI":"10.1007/s10549-017-4490-3","ISSN":"1573-7217","issue":"1","journalAbbreviation":"Breast Cancer Res Treat","language":"eng","note":"PMID: 28884392\nPMCID: PMC5790605","page":"1-8","source":"PubMed","title":"Socioeconomic status and breast cancer treatment","volume":"167","author":[{"family":"Dreyer","given":"Marie S."},{"family":"Nattinger","given":"Ann B."},{"family":"McGinley","given":"Emily L."},{"family":"Pezzin","given":"Liliana E."}],"issued":{"date-parts":[["2018"]]}}}],"schema":"https://github.com/citation-style-language/schema/raw/master/csl-citation.json"} </w:instrText>
      </w:r>
      <w:r w:rsidR="00387C2E">
        <w:rPr>
          <w:bCs/>
          <w:sz w:val="22"/>
          <w:szCs w:val="22"/>
        </w:rPr>
        <w:fldChar w:fldCharType="separate"/>
      </w:r>
      <w:r w:rsidR="00103315" w:rsidRPr="00103315">
        <w:rPr>
          <w:sz w:val="22"/>
          <w:vertAlign w:val="superscript"/>
        </w:rPr>
        <w:t>12</w:t>
      </w:r>
      <w:r w:rsidR="00387C2E">
        <w:rPr>
          <w:bCs/>
          <w:sz w:val="22"/>
          <w:szCs w:val="22"/>
        </w:rPr>
        <w:fldChar w:fldCharType="end"/>
      </w:r>
      <w:r w:rsidR="008D1AE3">
        <w:rPr>
          <w:bCs/>
          <w:sz w:val="22"/>
          <w:szCs w:val="22"/>
        </w:rPr>
        <w:t xml:space="preserve"> </w:t>
      </w:r>
      <w:r w:rsidR="009527A3">
        <w:rPr>
          <w:bCs/>
          <w:sz w:val="22"/>
          <w:szCs w:val="22"/>
        </w:rPr>
        <w:t>A</w:t>
      </w:r>
      <w:r w:rsidR="009E644C">
        <w:rPr>
          <w:bCs/>
          <w:sz w:val="22"/>
          <w:szCs w:val="22"/>
        </w:rPr>
        <w:t>lso a</w:t>
      </w:r>
      <w:r w:rsidR="009527A3">
        <w:rPr>
          <w:bCs/>
          <w:sz w:val="22"/>
          <w:szCs w:val="22"/>
        </w:rPr>
        <w:t>ccess</w:t>
      </w:r>
      <w:r w:rsidR="00036699">
        <w:rPr>
          <w:bCs/>
          <w:sz w:val="22"/>
          <w:szCs w:val="22"/>
        </w:rPr>
        <w:t xml:space="preserve"> to breast cancer treatment var</w:t>
      </w:r>
      <w:r w:rsidR="009E644C">
        <w:rPr>
          <w:bCs/>
          <w:sz w:val="22"/>
          <w:szCs w:val="22"/>
        </w:rPr>
        <w:t>ies</w:t>
      </w:r>
      <w:r w:rsidR="00036699">
        <w:rPr>
          <w:bCs/>
          <w:sz w:val="22"/>
          <w:szCs w:val="22"/>
        </w:rPr>
        <w:t xml:space="preserve"> by ethnicity, health insurance status</w:t>
      </w:r>
      <w:r w:rsidR="00D2524E">
        <w:rPr>
          <w:bCs/>
          <w:sz w:val="22"/>
          <w:szCs w:val="22"/>
        </w:rPr>
        <w:t>,</w:t>
      </w:r>
      <w:r w:rsidR="00036699">
        <w:rPr>
          <w:bCs/>
          <w:sz w:val="22"/>
          <w:szCs w:val="22"/>
        </w:rPr>
        <w:t xml:space="preserve"> and geographical location.</w:t>
      </w:r>
      <w:r w:rsidR="00036699">
        <w:rPr>
          <w:bCs/>
          <w:sz w:val="22"/>
          <w:szCs w:val="22"/>
        </w:rPr>
        <w:fldChar w:fldCharType="begin"/>
      </w:r>
      <w:r w:rsidR="00103315">
        <w:rPr>
          <w:bCs/>
          <w:sz w:val="22"/>
          <w:szCs w:val="22"/>
        </w:rPr>
        <w:instrText xml:space="preserve"> ADDIN ZOTERO_ITEM CSL_CITATION {"citationID":"tM5PUCHx","properties":{"formattedCitation":"\\super 14,15\\nosupersub{}","plainCitation":"14,15","noteIndex":0},"citationItems":[{"id":1840,"uris":["http://zotero.org/users/local/nRdURiV3/items/FLXCTC26"],"itemData":{"id":1840,"type":"article-journal","abstract":"There is a well-established association between multiple sociodemographic risk factors and disparities in cancer care. These risk factors include minority race and ethnicity, low socioeconomic status (SES) including low income and education level, non-English primary language, immigrant status, and residential segregation, and distance to facilities that deliver cancer care. As cancer care advances, existing disparities in screening, treatment, and outcomes have become more evident. Lung cancer remains the most common and fatal malignancy in the United States, with breast, colorectal, and prostate cancer being the three most common and deadly extrathoracic malignancies. Achieving the best outcomes for patients with these malignancies relies on strong physician-patient relationships leading to robust screening, early diagnosis, and early referral to facilities that can deliver multidisciplinary care and multimodal therapy. It is likely that challenges experienced in developing patient trust and understanding, providing access to screening, and building referral pipelines for definitive therapy in lung cancer care to vulnerable populations are paralleled by those in extrathoracic malignancies. Likewise, progress made in delivering optimal care to all patients across sociodemographic and geographic barriers can serve as a roadmap. Therefore, we provide a narrative review of current disparities in screening, treatment, and outcomes for patients with breast, prostate, and colorectal malignancies.","container-title":"Journal of Thoracic Disease","DOI":"10.21037/jtd-21-87","ISSN":"2072-1439","issue":"6","journalAbbreviation":"J Thorac Dis","language":"eng","note":"PMID: 34277073\nPMCID: PMC8264686","page":"3827-3843","source":"PubMed","title":"A narrative review of sociodemographic risk and disparities in screening, diagnosis, treatment, and outcomes of the most common extrathoracic malignancies in the United States","volume":"13","author":[{"family":"Singh","given":"Sarah"},{"family":"Sridhar","given":"Praveen"}],"issued":{"date-parts":[["2021",6]]}}},{"id":1839,"uris":["http://zotero.org/users/local/nRdURiV3/items/PAZQVX2I"],"itemData":{"id":1839,"type":"document","title":"A mixed picture: an inquiry into geographical inequalities and breast cancer","URL":"https://breastcancernow.org/sites/default/files/appgbc_a_mixed_picture.pdf","author":[{"family":"All-Party Parliamentary Group on Breast Cancer","given":""}],"accessed":{"date-parts":[["2023",11,29]]},"issued":{"date-parts":[["2018"]]}}}],"schema":"https://github.com/citation-style-language/schema/raw/master/csl-citation.json"} </w:instrText>
      </w:r>
      <w:r w:rsidR="00036699">
        <w:rPr>
          <w:bCs/>
          <w:sz w:val="22"/>
          <w:szCs w:val="22"/>
        </w:rPr>
        <w:fldChar w:fldCharType="separate"/>
      </w:r>
      <w:r w:rsidR="00103315" w:rsidRPr="00103315">
        <w:rPr>
          <w:sz w:val="22"/>
          <w:vertAlign w:val="superscript"/>
        </w:rPr>
        <w:t>14,15</w:t>
      </w:r>
      <w:r w:rsidR="00036699">
        <w:rPr>
          <w:bCs/>
          <w:sz w:val="22"/>
          <w:szCs w:val="22"/>
        </w:rPr>
        <w:fldChar w:fldCharType="end"/>
      </w:r>
      <w:r w:rsidR="00036699">
        <w:rPr>
          <w:bCs/>
          <w:sz w:val="22"/>
          <w:szCs w:val="22"/>
        </w:rPr>
        <w:t xml:space="preserve"> </w:t>
      </w:r>
      <w:r w:rsidR="00387C2E">
        <w:rPr>
          <w:bCs/>
          <w:sz w:val="22"/>
          <w:szCs w:val="22"/>
        </w:rPr>
        <w:t>However</w:t>
      </w:r>
      <w:r w:rsidR="008D1AE3">
        <w:rPr>
          <w:bCs/>
          <w:sz w:val="22"/>
          <w:szCs w:val="22"/>
        </w:rPr>
        <w:t xml:space="preserve">, </w:t>
      </w:r>
      <w:r w:rsidR="004014CA">
        <w:rPr>
          <w:bCs/>
          <w:sz w:val="22"/>
          <w:szCs w:val="22"/>
        </w:rPr>
        <w:t xml:space="preserve">this </w:t>
      </w:r>
      <w:r w:rsidR="00803FF6">
        <w:rPr>
          <w:bCs/>
          <w:sz w:val="22"/>
          <w:szCs w:val="22"/>
        </w:rPr>
        <w:t xml:space="preserve">body of </w:t>
      </w:r>
      <w:r w:rsidR="00FB1E24">
        <w:rPr>
          <w:bCs/>
          <w:sz w:val="22"/>
          <w:szCs w:val="22"/>
        </w:rPr>
        <w:t xml:space="preserve">research </w:t>
      </w:r>
      <w:r w:rsidR="004014CA">
        <w:rPr>
          <w:bCs/>
          <w:sz w:val="22"/>
          <w:szCs w:val="22"/>
        </w:rPr>
        <w:t>has</w:t>
      </w:r>
      <w:r w:rsidR="008D1AE3">
        <w:rPr>
          <w:bCs/>
          <w:sz w:val="22"/>
          <w:szCs w:val="22"/>
        </w:rPr>
        <w:t xml:space="preserve"> tended to combine all breast cancer subtypes</w:t>
      </w:r>
      <w:r w:rsidR="004014CA">
        <w:rPr>
          <w:bCs/>
          <w:sz w:val="22"/>
          <w:szCs w:val="22"/>
        </w:rPr>
        <w:t>. It i</w:t>
      </w:r>
      <w:r w:rsidR="00387C2E">
        <w:rPr>
          <w:bCs/>
          <w:sz w:val="22"/>
          <w:szCs w:val="22"/>
        </w:rPr>
        <w:t xml:space="preserve">s less clear </w:t>
      </w:r>
      <w:r w:rsidR="004014CA">
        <w:rPr>
          <w:bCs/>
          <w:sz w:val="22"/>
          <w:szCs w:val="22"/>
        </w:rPr>
        <w:t xml:space="preserve">therefore </w:t>
      </w:r>
      <w:r w:rsidR="00387C2E">
        <w:rPr>
          <w:bCs/>
          <w:sz w:val="22"/>
          <w:szCs w:val="22"/>
        </w:rPr>
        <w:t xml:space="preserve">whether </w:t>
      </w:r>
      <w:r w:rsidR="004014CA">
        <w:rPr>
          <w:bCs/>
          <w:sz w:val="22"/>
          <w:szCs w:val="22"/>
        </w:rPr>
        <w:t>HER2+ specific treatment, in particular</w:t>
      </w:r>
      <w:r w:rsidR="00387C2E">
        <w:rPr>
          <w:bCs/>
          <w:sz w:val="22"/>
          <w:szCs w:val="22"/>
        </w:rPr>
        <w:t xml:space="preserve"> targeted</w:t>
      </w:r>
      <w:r w:rsidR="00EA4CA2">
        <w:rPr>
          <w:bCs/>
          <w:sz w:val="22"/>
          <w:szCs w:val="22"/>
        </w:rPr>
        <w:t xml:space="preserve"> </w:t>
      </w:r>
      <w:r w:rsidR="00387C2E">
        <w:rPr>
          <w:bCs/>
          <w:sz w:val="22"/>
          <w:szCs w:val="22"/>
        </w:rPr>
        <w:t xml:space="preserve">and </w:t>
      </w:r>
      <w:r w:rsidR="007C3E5A">
        <w:rPr>
          <w:bCs/>
          <w:sz w:val="22"/>
          <w:szCs w:val="22"/>
        </w:rPr>
        <w:t xml:space="preserve">historically </w:t>
      </w:r>
      <w:r w:rsidR="00387C2E">
        <w:rPr>
          <w:bCs/>
          <w:sz w:val="22"/>
          <w:szCs w:val="22"/>
        </w:rPr>
        <w:t xml:space="preserve">high cost treatments </w:t>
      </w:r>
      <w:r w:rsidR="006B720E" w:rsidRPr="00033A14">
        <w:rPr>
          <w:bCs/>
          <w:sz w:val="22"/>
          <w:szCs w:val="22"/>
        </w:rPr>
        <w:t>such as trastuzumab</w:t>
      </w:r>
      <w:r w:rsidR="00735E39">
        <w:rPr>
          <w:bCs/>
          <w:sz w:val="22"/>
          <w:szCs w:val="22"/>
        </w:rPr>
        <w:t xml:space="preserve"> - </w:t>
      </w:r>
      <w:r w:rsidR="00A45D9D" w:rsidRPr="00033A14">
        <w:rPr>
          <w:bCs/>
          <w:sz w:val="22"/>
          <w:szCs w:val="22"/>
        </w:rPr>
        <w:t xml:space="preserve">which may </w:t>
      </w:r>
      <w:r w:rsidR="009156CF">
        <w:rPr>
          <w:bCs/>
          <w:sz w:val="22"/>
          <w:szCs w:val="22"/>
        </w:rPr>
        <w:t>be hypothesi</w:t>
      </w:r>
      <w:r w:rsidR="00826036">
        <w:rPr>
          <w:bCs/>
          <w:sz w:val="22"/>
          <w:szCs w:val="22"/>
        </w:rPr>
        <w:t>z</w:t>
      </w:r>
      <w:r w:rsidR="009156CF">
        <w:rPr>
          <w:bCs/>
          <w:sz w:val="22"/>
          <w:szCs w:val="22"/>
        </w:rPr>
        <w:t xml:space="preserve">ed </w:t>
      </w:r>
      <w:r w:rsidR="00735E39">
        <w:rPr>
          <w:bCs/>
          <w:sz w:val="22"/>
          <w:szCs w:val="22"/>
        </w:rPr>
        <w:t xml:space="preserve">to be more frequently </w:t>
      </w:r>
      <w:r w:rsidR="00D16134">
        <w:rPr>
          <w:bCs/>
          <w:sz w:val="22"/>
          <w:szCs w:val="22"/>
        </w:rPr>
        <w:t>received</w:t>
      </w:r>
      <w:r w:rsidR="00735E39">
        <w:rPr>
          <w:bCs/>
          <w:sz w:val="22"/>
          <w:szCs w:val="22"/>
        </w:rPr>
        <w:t xml:space="preserve"> by </w:t>
      </w:r>
      <w:r w:rsidR="006B720E" w:rsidRPr="00033A14">
        <w:rPr>
          <w:bCs/>
          <w:sz w:val="22"/>
          <w:szCs w:val="22"/>
        </w:rPr>
        <w:t>the economically advantaged (</w:t>
      </w:r>
      <w:r w:rsidR="009527A3">
        <w:rPr>
          <w:bCs/>
          <w:sz w:val="22"/>
          <w:szCs w:val="22"/>
        </w:rPr>
        <w:t xml:space="preserve">i.e. </w:t>
      </w:r>
      <w:r w:rsidR="006B720E" w:rsidRPr="00033A14">
        <w:rPr>
          <w:bCs/>
          <w:sz w:val="22"/>
          <w:szCs w:val="22"/>
        </w:rPr>
        <w:t>those with private finance and/or insurance)</w:t>
      </w:r>
      <w:r w:rsidR="00735E39">
        <w:rPr>
          <w:bCs/>
          <w:sz w:val="22"/>
          <w:szCs w:val="22"/>
        </w:rPr>
        <w:t xml:space="preserve"> - </w:t>
      </w:r>
      <w:r w:rsidR="00B941D5" w:rsidRPr="00033A14">
        <w:rPr>
          <w:bCs/>
          <w:sz w:val="22"/>
          <w:szCs w:val="22"/>
        </w:rPr>
        <w:t>are</w:t>
      </w:r>
      <w:r w:rsidR="006B720E" w:rsidRPr="00033A14">
        <w:rPr>
          <w:bCs/>
          <w:sz w:val="22"/>
          <w:szCs w:val="22"/>
        </w:rPr>
        <w:t xml:space="preserve"> also subject to </w:t>
      </w:r>
      <w:r w:rsidR="00735E39">
        <w:rPr>
          <w:bCs/>
          <w:sz w:val="22"/>
          <w:szCs w:val="22"/>
        </w:rPr>
        <w:t xml:space="preserve">differences in </w:t>
      </w:r>
      <w:r w:rsidR="009527A3">
        <w:rPr>
          <w:bCs/>
          <w:sz w:val="22"/>
          <w:szCs w:val="22"/>
        </w:rPr>
        <w:t>receipt</w:t>
      </w:r>
      <w:r w:rsidR="009156CF">
        <w:rPr>
          <w:bCs/>
          <w:sz w:val="22"/>
          <w:szCs w:val="22"/>
        </w:rPr>
        <w:t xml:space="preserve"> by SES</w:t>
      </w:r>
      <w:r w:rsidR="00DC4C25">
        <w:rPr>
          <w:bCs/>
          <w:sz w:val="22"/>
          <w:szCs w:val="22"/>
        </w:rPr>
        <w:t xml:space="preserve"> and wider socio-demographic factors</w:t>
      </w:r>
      <w:r w:rsidR="006B720E" w:rsidRPr="00033A14">
        <w:rPr>
          <w:bCs/>
          <w:sz w:val="22"/>
          <w:szCs w:val="22"/>
        </w:rPr>
        <w:t>.</w:t>
      </w:r>
      <w:r w:rsidR="00E545E9" w:rsidRPr="00033A14">
        <w:rPr>
          <w:bCs/>
          <w:sz w:val="22"/>
          <w:szCs w:val="22"/>
        </w:rPr>
        <w:fldChar w:fldCharType="begin"/>
      </w:r>
      <w:r w:rsidR="00203C6E">
        <w:rPr>
          <w:bCs/>
          <w:sz w:val="22"/>
          <w:szCs w:val="22"/>
        </w:rPr>
        <w:instrText xml:space="preserve"> ADDIN ZOTERO_ITEM CSL_CITATION {"citationID":"QWwVakcr","properties":{"formattedCitation":"\\super 16\\nosupersub{}","plainCitation":"16","noteIndex":0},"citationItems":[{"id":"nMalwRdq/YiHwaDKq","uris":["http://zotero.org/users/6915713/items/3MZQNESU",["http://zotero.org/users/6915713/items/3MZQNESU"]],"itemData":{"id":304,"type":"article-journal","abstract":"Advances in the understanding of the genome, combined with affordable sequencing techniques and innovations in drug development, are ushering in an era of molecular diagnostics and individualized therapeutics with the potential to meaningfully enhance human health through effective prevention,...","container-title":"JAMA","DOI":"10.1001/jama.2013.1468","ISSN":"0098-7484","issue":"14","journalAbbreviation":"JAMA","language":"en","note":"publisher: American Medical Association","page":"1469-1470","source":"jamanetwork.com","title":"Accessing Genomic Medicine: Affordability, Diffusion, and Disparities","title-short":"Accessing Genomic Medicine","URL":"https://jamanetwork.com/journals/jama/fullarticle/1677384","volume":"309","author":[{"family":"Tuckson","given":"Reed V."},{"family":"Newcomer","given":"Lee"},{"family":"Sa","given":"Jeanne M. De"}],"accessed":{"date-parts":[["2020",9,30]]},"issued":{"date-parts":[["2013",4,10]]}},"label":"page"}],"schema":"https://github.com/citation-style-language/schema/raw/master/csl-citation.json"} </w:instrText>
      </w:r>
      <w:r w:rsidR="00E545E9" w:rsidRPr="00033A14">
        <w:rPr>
          <w:bCs/>
          <w:sz w:val="22"/>
          <w:szCs w:val="22"/>
        </w:rPr>
        <w:fldChar w:fldCharType="separate"/>
      </w:r>
      <w:r w:rsidR="00103315" w:rsidRPr="00103315">
        <w:rPr>
          <w:sz w:val="22"/>
          <w:vertAlign w:val="superscript"/>
        </w:rPr>
        <w:t>16</w:t>
      </w:r>
      <w:r w:rsidR="00E545E9" w:rsidRPr="00033A14">
        <w:rPr>
          <w:bCs/>
          <w:sz w:val="22"/>
          <w:szCs w:val="22"/>
        </w:rPr>
        <w:fldChar w:fldCharType="end"/>
      </w:r>
      <w:r w:rsidR="001D7953" w:rsidRPr="00033A14">
        <w:rPr>
          <w:bCs/>
          <w:sz w:val="22"/>
          <w:szCs w:val="22"/>
        </w:rPr>
        <w:t xml:space="preserve"> </w:t>
      </w:r>
    </w:p>
    <w:p w14:paraId="5429CA9B" w14:textId="77777777" w:rsidR="006B720E" w:rsidRPr="00033A14" w:rsidRDefault="006B720E" w:rsidP="00EB2F6F">
      <w:pPr>
        <w:spacing w:line="360" w:lineRule="auto"/>
        <w:rPr>
          <w:bCs/>
          <w:sz w:val="22"/>
          <w:szCs w:val="22"/>
        </w:rPr>
      </w:pPr>
    </w:p>
    <w:p w14:paraId="32E82BCD" w14:textId="00D58DE9" w:rsidR="00735E39" w:rsidRDefault="00A45D9D" w:rsidP="004B00E8">
      <w:pPr>
        <w:spacing w:line="360" w:lineRule="auto"/>
        <w:rPr>
          <w:bCs/>
          <w:sz w:val="22"/>
          <w:szCs w:val="22"/>
        </w:rPr>
      </w:pPr>
      <w:r w:rsidRPr="00033A14">
        <w:rPr>
          <w:bCs/>
          <w:sz w:val="22"/>
          <w:szCs w:val="22"/>
        </w:rPr>
        <w:t>Real</w:t>
      </w:r>
      <w:r w:rsidR="006B720E" w:rsidRPr="00033A14">
        <w:rPr>
          <w:bCs/>
          <w:sz w:val="22"/>
          <w:szCs w:val="22"/>
        </w:rPr>
        <w:t xml:space="preserve">-world evidence </w:t>
      </w:r>
      <w:r w:rsidR="00B00596" w:rsidRPr="00033A14">
        <w:rPr>
          <w:bCs/>
          <w:sz w:val="22"/>
          <w:szCs w:val="22"/>
        </w:rPr>
        <w:t xml:space="preserve">documenting socio-economic </w:t>
      </w:r>
      <w:r w:rsidR="00C57B75">
        <w:rPr>
          <w:bCs/>
          <w:sz w:val="22"/>
          <w:szCs w:val="22"/>
        </w:rPr>
        <w:t>disparities</w:t>
      </w:r>
      <w:r w:rsidR="00B00596" w:rsidRPr="00033A14">
        <w:rPr>
          <w:bCs/>
          <w:sz w:val="22"/>
          <w:szCs w:val="22"/>
        </w:rPr>
        <w:t xml:space="preserve"> i</w:t>
      </w:r>
      <w:r w:rsidR="00B941D5" w:rsidRPr="00033A14">
        <w:rPr>
          <w:bCs/>
          <w:sz w:val="22"/>
          <w:szCs w:val="22"/>
        </w:rPr>
        <w:t xml:space="preserve">n novel </w:t>
      </w:r>
      <w:r w:rsidR="004D7AB7">
        <w:rPr>
          <w:bCs/>
          <w:sz w:val="22"/>
          <w:szCs w:val="22"/>
        </w:rPr>
        <w:t>breast cancer treatment</w:t>
      </w:r>
      <w:r w:rsidR="004B00E8" w:rsidRPr="00033A14">
        <w:rPr>
          <w:bCs/>
          <w:sz w:val="22"/>
          <w:szCs w:val="22"/>
        </w:rPr>
        <w:t xml:space="preserve"> </w:t>
      </w:r>
      <w:r w:rsidR="00464DB2">
        <w:rPr>
          <w:bCs/>
          <w:sz w:val="22"/>
          <w:szCs w:val="22"/>
        </w:rPr>
        <w:t>r</w:t>
      </w:r>
      <w:r w:rsidR="00D16134">
        <w:rPr>
          <w:bCs/>
          <w:sz w:val="22"/>
          <w:szCs w:val="22"/>
        </w:rPr>
        <w:t>eceipt</w:t>
      </w:r>
      <w:r w:rsidR="00B941D5" w:rsidRPr="00033A14">
        <w:rPr>
          <w:bCs/>
          <w:sz w:val="22"/>
          <w:szCs w:val="22"/>
        </w:rPr>
        <w:t xml:space="preserve"> is emerging</w:t>
      </w:r>
      <w:r w:rsidR="006B720E" w:rsidRPr="00033A14">
        <w:rPr>
          <w:bCs/>
          <w:sz w:val="22"/>
          <w:szCs w:val="22"/>
        </w:rPr>
        <w:t xml:space="preserve">. For example, a </w:t>
      </w:r>
      <w:r w:rsidR="005A0611" w:rsidRPr="00033A14">
        <w:rPr>
          <w:bCs/>
          <w:sz w:val="22"/>
          <w:szCs w:val="22"/>
        </w:rPr>
        <w:t xml:space="preserve">recent meta-analysis </w:t>
      </w:r>
      <w:r w:rsidR="006B720E" w:rsidRPr="00033A14">
        <w:rPr>
          <w:bCs/>
          <w:sz w:val="22"/>
          <w:szCs w:val="22"/>
        </w:rPr>
        <w:t>concluded</w:t>
      </w:r>
      <w:r w:rsidR="005A0611" w:rsidRPr="00033A14">
        <w:rPr>
          <w:bCs/>
          <w:sz w:val="22"/>
          <w:szCs w:val="22"/>
        </w:rPr>
        <w:t xml:space="preserve"> </w:t>
      </w:r>
      <w:r w:rsidR="00F625CB">
        <w:rPr>
          <w:bCs/>
          <w:sz w:val="22"/>
          <w:szCs w:val="22"/>
        </w:rPr>
        <w:t xml:space="preserve">that </w:t>
      </w:r>
      <w:r w:rsidR="009156CF">
        <w:rPr>
          <w:bCs/>
          <w:sz w:val="22"/>
          <w:szCs w:val="22"/>
        </w:rPr>
        <w:t xml:space="preserve">a low SES is </w:t>
      </w:r>
      <w:r w:rsidR="00EA4BA6">
        <w:rPr>
          <w:bCs/>
          <w:sz w:val="22"/>
          <w:szCs w:val="22"/>
        </w:rPr>
        <w:t>associated with lower</w:t>
      </w:r>
      <w:r w:rsidR="009156CF">
        <w:rPr>
          <w:bCs/>
          <w:sz w:val="22"/>
          <w:szCs w:val="22"/>
        </w:rPr>
        <w:t xml:space="preserve"> </w:t>
      </w:r>
      <w:r w:rsidR="004B00E8" w:rsidRPr="00033A14">
        <w:rPr>
          <w:bCs/>
          <w:sz w:val="22"/>
          <w:szCs w:val="22"/>
        </w:rPr>
        <w:t>novel anti-cancer therapy</w:t>
      </w:r>
      <w:r w:rsidR="00BE6ED2" w:rsidRPr="00033A14">
        <w:rPr>
          <w:bCs/>
          <w:sz w:val="22"/>
          <w:szCs w:val="22"/>
        </w:rPr>
        <w:t xml:space="preserve"> </w:t>
      </w:r>
      <w:r w:rsidR="00464DB2">
        <w:rPr>
          <w:bCs/>
          <w:sz w:val="22"/>
          <w:szCs w:val="22"/>
        </w:rPr>
        <w:t>r</w:t>
      </w:r>
      <w:r w:rsidR="00D16134">
        <w:rPr>
          <w:bCs/>
          <w:sz w:val="22"/>
          <w:szCs w:val="22"/>
        </w:rPr>
        <w:t>eceipt</w:t>
      </w:r>
      <w:r w:rsidR="00513964" w:rsidRPr="00033A14">
        <w:rPr>
          <w:bCs/>
          <w:sz w:val="22"/>
          <w:szCs w:val="22"/>
        </w:rPr>
        <w:t xml:space="preserve"> </w:t>
      </w:r>
      <w:r w:rsidR="003A326C">
        <w:rPr>
          <w:bCs/>
          <w:sz w:val="22"/>
          <w:szCs w:val="22"/>
        </w:rPr>
        <w:t xml:space="preserve">across a range of cancers </w:t>
      </w:r>
      <w:r w:rsidR="00513964" w:rsidRPr="00033A14">
        <w:rPr>
          <w:bCs/>
          <w:sz w:val="22"/>
          <w:szCs w:val="22"/>
        </w:rPr>
        <w:t>(</w:t>
      </w:r>
      <w:r w:rsidR="001A58BE" w:rsidRPr="00033A14">
        <w:rPr>
          <w:bCs/>
          <w:sz w:val="22"/>
          <w:szCs w:val="22"/>
        </w:rPr>
        <w:t xml:space="preserve">including </w:t>
      </w:r>
      <w:r w:rsidR="002750EC" w:rsidRPr="00033A14">
        <w:rPr>
          <w:bCs/>
          <w:sz w:val="22"/>
          <w:szCs w:val="22"/>
        </w:rPr>
        <w:t>trastuzumab</w:t>
      </w:r>
      <w:r w:rsidR="004B00E8" w:rsidRPr="00033A14">
        <w:rPr>
          <w:bCs/>
          <w:sz w:val="22"/>
          <w:szCs w:val="22"/>
        </w:rPr>
        <w:t xml:space="preserve"> </w:t>
      </w:r>
      <w:r w:rsidRPr="00033A14">
        <w:rPr>
          <w:bCs/>
          <w:sz w:val="22"/>
          <w:szCs w:val="22"/>
        </w:rPr>
        <w:t>use in</w:t>
      </w:r>
      <w:r w:rsidR="004B00E8" w:rsidRPr="00033A14">
        <w:rPr>
          <w:bCs/>
          <w:sz w:val="22"/>
          <w:szCs w:val="22"/>
        </w:rPr>
        <w:t xml:space="preserve"> HER2+ breast cancer</w:t>
      </w:r>
      <w:r w:rsidR="00513964" w:rsidRPr="00033A14">
        <w:rPr>
          <w:bCs/>
          <w:sz w:val="22"/>
          <w:szCs w:val="22"/>
        </w:rPr>
        <w:t>)</w:t>
      </w:r>
      <w:r w:rsidR="00E73A99" w:rsidRPr="00033A14">
        <w:rPr>
          <w:bCs/>
          <w:sz w:val="22"/>
          <w:szCs w:val="22"/>
        </w:rPr>
        <w:t>.</w:t>
      </w:r>
      <w:r w:rsidR="00EF04C3" w:rsidRPr="00033A14">
        <w:rPr>
          <w:bCs/>
          <w:sz w:val="22"/>
          <w:szCs w:val="22"/>
        </w:rPr>
        <w:fldChar w:fldCharType="begin"/>
      </w:r>
      <w:r w:rsidR="00203C6E">
        <w:rPr>
          <w:bCs/>
          <w:sz w:val="22"/>
          <w:szCs w:val="22"/>
        </w:rPr>
        <w:instrText xml:space="preserve"> ADDIN ZOTERO_ITEM CSL_CITATION {"citationID":"RiG2tiob","properties":{"formattedCitation":"\\super 17\\nosupersub{}","plainCitation":"17","noteIndex":0},"citationItems":[{"id":"nMalwRdq/96VfIS9i","uris":["http://zotero.org/users/6915713/items/8Y9F5ZFW",["http://zotero.org/users/6915713/items/8Y9F5ZFW"]],"itemData":{"id":339,"type":"article-journal","abstract":"Novel biological and precision therapies and their associated predictive biomarker tests offer opportunities for increased tumor response, reduced adverse effects, and improved survival. This systematic review determined if there are socio-economic inequalities in utilization of predictive biomarker tests and/or biological and precision cancer therapies.","container-title":"BMC Medicine","DOI":"10.1186/s12916-020-01753-0","ISSN":"1741-7015","issue":"1","journalAbbreviation":"BMC Medicine","page":"282","source":"BioMed Central","title":"Are there socio-economic inequalities in utilization of predictive biomarker tests and biological and precision therapies for cancer? A systematic review and meta-analysis","title-short":"Are there socio-economic inequalities in utilization of predictive biomarker tests and biological and precision therapies for cancer?","URL":"https://doi.org/10.1186/s12916-020-01753-0","volume":"18","author":[{"family":"Norris","given":"Ruth P."},{"family":"Dew","given":"Rosie"},{"family":"Sharp","given":"Linda"},{"family":"Greystoke","given":"Alastair"},{"family":"Rice","given":"Stephen"},{"family":"Johnell","given":"Kristina"},{"family":"Todd","given":"Adam"}],"accessed":{"date-parts":[["2021",7,26]]},"issued":{"date-parts":[["2020",10,23]]}}}],"schema":"https://github.com/citation-style-language/schema/raw/master/csl-citation.json"} </w:instrText>
      </w:r>
      <w:r w:rsidR="00EF04C3" w:rsidRPr="00033A14">
        <w:rPr>
          <w:bCs/>
          <w:sz w:val="22"/>
          <w:szCs w:val="22"/>
        </w:rPr>
        <w:fldChar w:fldCharType="separate"/>
      </w:r>
      <w:r w:rsidR="00103315" w:rsidRPr="00103315">
        <w:rPr>
          <w:sz w:val="22"/>
          <w:vertAlign w:val="superscript"/>
        </w:rPr>
        <w:t>17</w:t>
      </w:r>
      <w:r w:rsidR="00EF04C3" w:rsidRPr="00033A14">
        <w:rPr>
          <w:bCs/>
          <w:sz w:val="22"/>
          <w:szCs w:val="22"/>
        </w:rPr>
        <w:fldChar w:fldCharType="end"/>
      </w:r>
      <w:r w:rsidR="00E73A99" w:rsidRPr="00033A14">
        <w:rPr>
          <w:bCs/>
          <w:sz w:val="22"/>
          <w:szCs w:val="22"/>
        </w:rPr>
        <w:t xml:space="preserve"> </w:t>
      </w:r>
      <w:r w:rsidR="001A58BE" w:rsidRPr="00033A14">
        <w:rPr>
          <w:bCs/>
          <w:sz w:val="22"/>
          <w:szCs w:val="22"/>
        </w:rPr>
        <w:t xml:space="preserve">Similar </w:t>
      </w:r>
      <w:r w:rsidR="006B720E" w:rsidRPr="00033A14">
        <w:rPr>
          <w:bCs/>
          <w:sz w:val="22"/>
          <w:szCs w:val="22"/>
        </w:rPr>
        <w:t>findings</w:t>
      </w:r>
      <w:r w:rsidR="001A58BE" w:rsidRPr="00033A14">
        <w:rPr>
          <w:bCs/>
          <w:sz w:val="22"/>
          <w:szCs w:val="22"/>
        </w:rPr>
        <w:t xml:space="preserve"> have </w:t>
      </w:r>
      <w:r w:rsidR="00BE6ED2" w:rsidRPr="00033A14">
        <w:rPr>
          <w:bCs/>
          <w:sz w:val="22"/>
          <w:szCs w:val="22"/>
        </w:rPr>
        <w:t>subsequently been reported in</w:t>
      </w:r>
      <w:r w:rsidR="007E5A33">
        <w:rPr>
          <w:bCs/>
          <w:sz w:val="22"/>
          <w:szCs w:val="22"/>
        </w:rPr>
        <w:t xml:space="preserve"> </w:t>
      </w:r>
      <w:r w:rsidR="00BE6ED2" w:rsidRPr="00033A14">
        <w:rPr>
          <w:bCs/>
          <w:sz w:val="22"/>
          <w:szCs w:val="22"/>
        </w:rPr>
        <w:t xml:space="preserve">recent </w:t>
      </w:r>
      <w:r w:rsidR="001A58BE" w:rsidRPr="00033A14">
        <w:rPr>
          <w:bCs/>
          <w:sz w:val="22"/>
          <w:szCs w:val="22"/>
        </w:rPr>
        <w:t>observational</w:t>
      </w:r>
      <w:r w:rsidR="00BE6ED2" w:rsidRPr="00033A14">
        <w:rPr>
          <w:bCs/>
          <w:sz w:val="22"/>
          <w:szCs w:val="22"/>
        </w:rPr>
        <w:t xml:space="preserve"> studies</w:t>
      </w:r>
      <w:r w:rsidR="00E73A99" w:rsidRPr="00033A14">
        <w:rPr>
          <w:bCs/>
          <w:sz w:val="22"/>
          <w:szCs w:val="22"/>
        </w:rPr>
        <w:t>.</w:t>
      </w:r>
      <w:r w:rsidR="00DC6A42" w:rsidRPr="00033A14">
        <w:rPr>
          <w:bCs/>
          <w:sz w:val="22"/>
          <w:szCs w:val="22"/>
        </w:rPr>
        <w:fldChar w:fldCharType="begin"/>
      </w:r>
      <w:r w:rsidR="00203C6E">
        <w:rPr>
          <w:bCs/>
          <w:sz w:val="22"/>
          <w:szCs w:val="22"/>
        </w:rPr>
        <w:instrText xml:space="preserve"> ADDIN ZOTERO_ITEM CSL_CITATION {"citationID":"xkadr1Oa","properties":{"formattedCitation":"\\super 18,19\\nosupersub{}","plainCitation":"18,19","noteIndex":0},"citationItems":[{"id":"nMalwRdq/cuNfJMUs","uris":["http://zotero.org/users/6915713/items/KYBYJLC3",["http://zotero.org/users/6915713/items/KYBYJLC3"]],"itemData":{"id":371,"type":"article-journal","abstract":"BACKGROUND: Systemic Therapies for HER2-Positive Metastatic Breast Cancer Study (SystHERs, NCT01615068) was a prospective, observational disease registry designed to identify treatment patterns and clinical outcomes in patients with HER2-positive metastatic breast cancer (MBC) in real-world treatment settings.\nMETHODS: SystHERs enrolled patients aged ≥ 18 years with recently diagnosed HER2-positive MBC. Treatment regimens and clinical management were determined by the treating physician. In this analysis, patients were compared descriptively by first-line treatment, age, or race. Multivariate logistic regression was used to examine the associations between baseline variables and treatment selections. Clinical outcomes were assessed in patients treated with trastuzumab (Herceptin [H]) + pertuzumab (Perjeta [P]).\nRESULTS: Patients were enrolled from June 2012 to June 2016. As of February 22, 2018, 948 patients from 135 US treatment sites had received first-line treatment, including HP (n = 711), H without P (n = 175), or no H (n = 62) (with or without chemotherapy and/or hormonal therapy). Overall, 68.7% received HP + taxane and 9.3% received H without P + taxane. Patients aged &lt; 50 years received HP (versus H without P) more commonly than those ≥ 70 years (odds ratio 4.20; 95% CI, 1.62-10.89). Chemotherapy was less common in patients ≥ 70 years (68.2%) versus those &lt; 50 years (88.0%) or 50-69 years (87.4%). Patients treated with HP had median overall survival of 53.8 months and median progression-free survival of 15.8 months.\nCONCLUSIONS: Our analysis of real-world data shows that most patients with HER2-positive MBC received first-line treatment with HP + taxane. However, older patients were less likely to receive dual HER2-targeted therapy and chemotherapy.","container-title":"Breast Cancer Research and Treatment","DOI":"10.1007/s10549-021-06103-z","ISSN":"1573-7217","issue":"1","journalAbbreviation":"Breast Cancer Res Treat","language":"eng","note":"PMID: 33641083","page":"179-190","source":"PubMed","title":"Baseline characteristics and first-line treatment patterns in patients with HER2-positive metastatic breast cancer in the SystHERs registry","volume":"188","author":[{"family":"Kaufman","given":"Peter A."},{"family":"Hurvitz","given":"Sara A."},{"family":"O'Shaughnessy","given":"Joyce"},{"family":"Mason","given":"Ginny"},{"family":"Yardley","given":"Denise A."},{"family":"Brufsky","given":"Adam M."},{"family":"Rugo","given":"Hope S."},{"family":"Cobleigh","given":"Melody"},{"family":"Swain","given":"Sandra M."},{"family":"Tripathy","given":"Debu"},{"family":"Morris","given":"Anne"},{"family":"Antao","given":"Vincent"},{"family":"Li","given":"Haocheng"},{"family":"Jahanzeb","given":"Mohammad"}],"issued":{"date-parts":[["2021",7]]}}},{"id":"nMalwRdq/PI4fuwCI","uris":["http://zotero.org/users/6915713/items/KLABZU3R",["http://zotero.org/users/6915713/items/KLABZU3R"]],"itemData":{"id":368,"type":"article-journal","abstract":"Anti-HER2 therapy delivered in the adjuvant setting for breast cancer is given in conjunction with cytotoxic chemotherapy. For HER2-positive (HER2+) patients who cannot tolerate chemotherapy, there is no randomized data regarding the role of anti-HER2 therapy without chemotherapy.","container-title":"Breast Cancer Research and Treatment","DOI":"10.1007/s10549-021-06115-9","ISSN":"1573-7217","issue":"3","journalAbbreviation":"Breast Cancer Res Treat","language":"en","page":"815-830","source":"Springer Link","title":"Outcomes of HER2-positive non-metastatic breast cancer patients treated with anti-HER2 therapy without chemotherapy","URL":"https://doi.org/10.1007/s10549-021-06115-9","volume":"187","author":[{"family":"Nguy","given":"Susanna"},{"family":"Wu","given":"S. Peter"},{"family":"Oh","given":"Cheongeun"},{"family":"Gerber","given":"Naamit K."}],"accessed":{"date-parts":[["2021",8,16]]},"issued":{"date-parts":[["2021",6,1]]}}}],"schema":"https://github.com/citation-style-language/schema/raw/master/csl-citation.json"} </w:instrText>
      </w:r>
      <w:r w:rsidR="00DC6A42" w:rsidRPr="00033A14">
        <w:rPr>
          <w:bCs/>
          <w:sz w:val="22"/>
          <w:szCs w:val="22"/>
        </w:rPr>
        <w:fldChar w:fldCharType="separate"/>
      </w:r>
      <w:r w:rsidR="00103315" w:rsidRPr="00103315">
        <w:rPr>
          <w:sz w:val="22"/>
          <w:vertAlign w:val="superscript"/>
        </w:rPr>
        <w:t>18,19</w:t>
      </w:r>
      <w:r w:rsidR="00DC6A42" w:rsidRPr="00033A14">
        <w:rPr>
          <w:bCs/>
          <w:sz w:val="22"/>
          <w:szCs w:val="22"/>
        </w:rPr>
        <w:fldChar w:fldCharType="end"/>
      </w:r>
      <w:r w:rsidR="00E73A99" w:rsidRPr="00033A14">
        <w:rPr>
          <w:bCs/>
          <w:sz w:val="22"/>
          <w:szCs w:val="22"/>
        </w:rPr>
        <w:t xml:space="preserve"> </w:t>
      </w:r>
      <w:r w:rsidR="004D7AB7">
        <w:rPr>
          <w:bCs/>
          <w:sz w:val="22"/>
          <w:szCs w:val="22"/>
        </w:rPr>
        <w:t>In a</w:t>
      </w:r>
      <w:r w:rsidR="00D20120">
        <w:rPr>
          <w:bCs/>
          <w:sz w:val="22"/>
          <w:szCs w:val="22"/>
        </w:rPr>
        <w:t xml:space="preserve">ddition, socio-demographic </w:t>
      </w:r>
      <w:r w:rsidR="00A720DC">
        <w:rPr>
          <w:bCs/>
          <w:sz w:val="22"/>
          <w:szCs w:val="22"/>
        </w:rPr>
        <w:t xml:space="preserve">and clinical </w:t>
      </w:r>
      <w:r w:rsidR="00D20120">
        <w:rPr>
          <w:bCs/>
          <w:sz w:val="22"/>
          <w:szCs w:val="22"/>
        </w:rPr>
        <w:t>ineq</w:t>
      </w:r>
      <w:r w:rsidR="00C57B75">
        <w:rPr>
          <w:bCs/>
          <w:sz w:val="22"/>
          <w:szCs w:val="22"/>
        </w:rPr>
        <w:t>uities</w:t>
      </w:r>
      <w:r w:rsidR="00D20120">
        <w:rPr>
          <w:bCs/>
          <w:sz w:val="22"/>
          <w:szCs w:val="22"/>
        </w:rPr>
        <w:t xml:space="preserve"> in trastuzumab receipt </w:t>
      </w:r>
      <w:r w:rsidR="004F62B6">
        <w:rPr>
          <w:bCs/>
          <w:sz w:val="22"/>
          <w:szCs w:val="22"/>
        </w:rPr>
        <w:t>are highlighted</w:t>
      </w:r>
      <w:r w:rsidR="004D7AB7">
        <w:rPr>
          <w:bCs/>
          <w:sz w:val="22"/>
          <w:szCs w:val="22"/>
        </w:rPr>
        <w:t xml:space="preserve"> in a</w:t>
      </w:r>
      <w:r w:rsidR="001C11C1">
        <w:rPr>
          <w:bCs/>
          <w:sz w:val="22"/>
          <w:szCs w:val="22"/>
        </w:rPr>
        <w:t>n</w:t>
      </w:r>
      <w:r w:rsidR="004D7AB7">
        <w:rPr>
          <w:bCs/>
          <w:sz w:val="22"/>
          <w:szCs w:val="22"/>
        </w:rPr>
        <w:t xml:space="preserve"> </w:t>
      </w:r>
      <w:r w:rsidR="001C11C1">
        <w:rPr>
          <w:bCs/>
          <w:sz w:val="22"/>
          <w:szCs w:val="22"/>
        </w:rPr>
        <w:t xml:space="preserve">older </w:t>
      </w:r>
      <w:r w:rsidR="004D7AB7">
        <w:rPr>
          <w:bCs/>
          <w:sz w:val="22"/>
          <w:szCs w:val="22"/>
        </w:rPr>
        <w:t>systematic review of observational studies</w:t>
      </w:r>
      <w:r w:rsidR="00D20120">
        <w:rPr>
          <w:bCs/>
          <w:sz w:val="22"/>
          <w:szCs w:val="22"/>
        </w:rPr>
        <w:t xml:space="preserve">; receipt </w:t>
      </w:r>
      <w:r w:rsidR="004D7AB7">
        <w:rPr>
          <w:bCs/>
          <w:sz w:val="22"/>
          <w:szCs w:val="22"/>
        </w:rPr>
        <w:t>wa</w:t>
      </w:r>
      <w:r w:rsidR="00D20120">
        <w:rPr>
          <w:bCs/>
          <w:sz w:val="22"/>
          <w:szCs w:val="22"/>
        </w:rPr>
        <w:t xml:space="preserve">s higher in women who </w:t>
      </w:r>
      <w:r w:rsidR="004D7AB7">
        <w:rPr>
          <w:bCs/>
          <w:sz w:val="22"/>
          <w:szCs w:val="22"/>
        </w:rPr>
        <w:t>were</w:t>
      </w:r>
      <w:r w:rsidR="00D20120">
        <w:rPr>
          <w:bCs/>
          <w:sz w:val="22"/>
          <w:szCs w:val="22"/>
        </w:rPr>
        <w:t xml:space="preserve"> younger, ha</w:t>
      </w:r>
      <w:r w:rsidR="004D7AB7">
        <w:rPr>
          <w:bCs/>
          <w:sz w:val="22"/>
          <w:szCs w:val="22"/>
        </w:rPr>
        <w:t>d</w:t>
      </w:r>
      <w:r w:rsidR="00D20120">
        <w:rPr>
          <w:bCs/>
          <w:sz w:val="22"/>
          <w:szCs w:val="22"/>
        </w:rPr>
        <w:t xml:space="preserve"> fewer comorbidities, a higher tumor grade, a larger tumor size, an advanced stage cancer</w:t>
      </w:r>
      <w:r w:rsidR="00251382">
        <w:rPr>
          <w:bCs/>
          <w:sz w:val="22"/>
          <w:szCs w:val="22"/>
        </w:rPr>
        <w:t>,</w:t>
      </w:r>
      <w:r w:rsidR="00D20120">
        <w:rPr>
          <w:bCs/>
          <w:sz w:val="22"/>
          <w:szCs w:val="22"/>
        </w:rPr>
        <w:t xml:space="preserve"> and a negative hormone receptor status.</w:t>
      </w:r>
      <w:r w:rsidR="004D7AB7">
        <w:rPr>
          <w:bCs/>
          <w:sz w:val="22"/>
          <w:szCs w:val="22"/>
        </w:rPr>
        <w:fldChar w:fldCharType="begin"/>
      </w:r>
      <w:r w:rsidR="00103315">
        <w:rPr>
          <w:bCs/>
          <w:sz w:val="22"/>
          <w:szCs w:val="22"/>
        </w:rPr>
        <w:instrText xml:space="preserve"> ADDIN ZOTERO_ITEM CSL_CITATION {"citationID":"uSHoanI9","properties":{"formattedCitation":"\\super 20\\nosupersub{}","plainCitation":"20","noteIndex":0},"citationItems":[{"id":233,"uris":["http://zotero.org/users/local/nRdURiV3/items/FFG63F3S"],"itemData":{"id":233,"type":"article-journal","abstract":"Overexpression of the HER2 gene is predictive of treatment benefit with trastuzumab therapy for breast cancer (BC) patients. The study objective was to investigate whether all eligible patients with HER2-positive BC initiated trastuzumab therapy. A systematic search was conducted through PubMed, Web of Science PsycINFO, Cumulative Index to Nursing and Allied Health Literature (CINAHL) and Cochrane Library. From 2651 studies identified, 107 observational studies were included for full text review, of which 26 met the inclusion criteria and an additional 7 studies were identified through citation searching. Two independent reviewers extracted data for accuracy and completeness. From 33 observational studies, 14,644 patients were exposed to trastuzumab therapy. Age range varied across studies; the youngest cohort had a median age of 50 and the oldest had a median age of 84. Sample sizes ranged from 11 to 1928 and included patients from 10 countries. Studies were heterogenous and few studies accounted for confounders. We identified large variability in uptake of trastuzumab in HER2-positive early BC patients (9.1-100%) and metastatic BC patients (50.8-84.0%). The pooled uptake was 71.3% (95% CI 64.6-77.9%), with high heterogeneity (I2 = 99.05%). The most conservative predictors of higher uptake included younger age (OR 2.09; 95% CI 1.36-3.20) and lower Charlson Comorbidity Index of patients (OR 1.62; 95% CI 1.32-1.99). In addition, tumour characteristics including higher tumour grade (OR 1.73; 95% CI 1.23-2.45), larger tumour size (OR 1.80; 95% CI 1.54-2.10), advanced tumour stage (OR 2.07; 95% CI 1.44-2.96) and hormone receptor negative tumor (OR 1.54; 95% CI 1.35-1.77) were associated with higher uptake. The uptake of trastuzumab therapy varied widely between studies and across subgroups suggesting that there may be some inequalities in the use of this agent. However, our findings should be interpreted with caution due to study heterogeneity and potential confounding, and thus additional studies of individual level data which control for confounders are needed to understand more about inequalities in uptake.","container-title":"Critical Reviews in Oncology/Hematology","DOI":"10.1016/j.critrevonc.2018.07.012","ISSN":"1879-0461","journalAbbreviation":"Crit. Rev. Oncol. Hematol.","language":"eng","note":"PMID: 30196916","page":"92-107","source":"PubMed","title":"Trastuzumab uptake in HER2-positive breast cancer patients: a systematic review and meta-analysis of observational studies","title-short":"Trastuzumab uptake in HER2-positive breast cancer patients","volume":"130","author":[{"family":"Martin","given":"Antony P."},{"family":"Downing","given":"Jennifer"},{"family":"Cochrane","given":"Madeleine"},{"family":"Collins","given":"Brendan"},{"family":"Francis","given":"Ben"},{"family":"Haycox","given":"Alan"},{"family":"Alfirevic","given":"Ana"},{"family":"Pirmohamed","given":"Munir"}],"issued":{"date-parts":[["2018"]]}}}],"schema":"https://github.com/citation-style-language/schema/raw/master/csl-citation.json"} </w:instrText>
      </w:r>
      <w:r w:rsidR="004D7AB7">
        <w:rPr>
          <w:bCs/>
          <w:sz w:val="22"/>
          <w:szCs w:val="22"/>
        </w:rPr>
        <w:fldChar w:fldCharType="separate"/>
      </w:r>
      <w:r w:rsidR="00103315" w:rsidRPr="00103315">
        <w:rPr>
          <w:sz w:val="22"/>
          <w:vertAlign w:val="superscript"/>
        </w:rPr>
        <w:t>20</w:t>
      </w:r>
      <w:r w:rsidR="004D7AB7">
        <w:rPr>
          <w:bCs/>
          <w:sz w:val="22"/>
          <w:szCs w:val="22"/>
        </w:rPr>
        <w:fldChar w:fldCharType="end"/>
      </w:r>
      <w:r w:rsidR="00D20120">
        <w:rPr>
          <w:bCs/>
          <w:sz w:val="22"/>
          <w:szCs w:val="22"/>
        </w:rPr>
        <w:t xml:space="preserve"> </w:t>
      </w:r>
      <w:r w:rsidR="001C11C1">
        <w:rPr>
          <w:bCs/>
          <w:sz w:val="22"/>
          <w:szCs w:val="22"/>
        </w:rPr>
        <w:t xml:space="preserve">However, </w:t>
      </w:r>
      <w:r w:rsidR="00005125">
        <w:rPr>
          <w:bCs/>
          <w:sz w:val="22"/>
          <w:szCs w:val="22"/>
        </w:rPr>
        <w:t>previous population-based studies have predominantly reported USA data</w:t>
      </w:r>
      <w:r w:rsidR="00EA4CA2">
        <w:rPr>
          <w:bCs/>
          <w:sz w:val="22"/>
          <w:szCs w:val="22"/>
        </w:rPr>
        <w:t>; trastuzumab receipt in a publicly funded healthcare system has seldom been reported</w:t>
      </w:r>
      <w:r w:rsidR="00005125">
        <w:rPr>
          <w:bCs/>
          <w:sz w:val="22"/>
          <w:szCs w:val="22"/>
        </w:rPr>
        <w:t>.</w:t>
      </w:r>
      <w:r w:rsidR="00513964" w:rsidRPr="00033A14">
        <w:rPr>
          <w:bCs/>
          <w:sz w:val="22"/>
          <w:szCs w:val="22"/>
        </w:rPr>
        <w:fldChar w:fldCharType="begin"/>
      </w:r>
      <w:r w:rsidR="00203C6E">
        <w:rPr>
          <w:bCs/>
          <w:sz w:val="22"/>
          <w:szCs w:val="22"/>
        </w:rPr>
        <w:instrText xml:space="preserve"> ADDIN ZOTERO_ITEM CSL_CITATION {"citationID":"Bn9zv0oO","properties":{"formattedCitation":"\\super 17\\nosupersub{}","plainCitation":"17","noteIndex":0},"citationItems":[{"id":"nMalwRdq/96VfIS9i","uris":["http://zotero.org/users/6915713/items/8Y9F5ZFW",["http://zotero.org/users/6915713/items/8Y9F5ZFW"]],"itemData":{"id":339,"type":"article-journal","abstract":"Novel biological and precision therapies and their associated predictive biomarker tests offer opportunities for increased tumor response, reduced adverse effects, and improved survival. This systematic review determined if there are socio-economic inequalities in utilization of predictive biomarker tests and/or biological and precision cancer therapies.","container-title":"BMC Medicine","DOI":"10.1186/s12916-020-01753-0","ISSN":"1741-7015","issue":"1","journalAbbreviation":"BMC Medicine","page":"282","source":"BioMed Central","title":"Are there socio-economic inequalities in utilization of predictive biomarker tests and biological and precision therapies for cancer? A systematic review and meta-analysis","title-short":"Are there socio-economic inequalities in utilization of predictive biomarker tests and biological and precision therapies for cancer?","URL":"https://doi.org/10.1186/s12916-020-01753-0","volume":"18","author":[{"family":"Norris","given":"Ruth P."},{"family":"Dew","given":"Rosie"},{"family":"Sharp","given":"Linda"},{"family":"Greystoke","given":"Alastair"},{"family":"Rice","given":"Stephen"},{"family":"Johnell","given":"Kristina"},{"family":"Todd","given":"Adam"}],"accessed":{"date-parts":[["2021",7,26]]},"issued":{"date-parts":[["2020",10,23]]}}}],"schema":"https://github.com/citation-style-language/schema/raw/master/csl-citation.json"} </w:instrText>
      </w:r>
      <w:r w:rsidR="00513964" w:rsidRPr="00033A14">
        <w:rPr>
          <w:bCs/>
          <w:sz w:val="22"/>
          <w:szCs w:val="22"/>
        </w:rPr>
        <w:fldChar w:fldCharType="separate"/>
      </w:r>
      <w:r w:rsidR="00103315" w:rsidRPr="00103315">
        <w:rPr>
          <w:sz w:val="22"/>
          <w:vertAlign w:val="superscript"/>
        </w:rPr>
        <w:t>17</w:t>
      </w:r>
      <w:r w:rsidR="00513964" w:rsidRPr="00033A14">
        <w:rPr>
          <w:bCs/>
          <w:sz w:val="22"/>
          <w:szCs w:val="22"/>
        </w:rPr>
        <w:fldChar w:fldCharType="end"/>
      </w:r>
      <w:r w:rsidR="00201840" w:rsidRPr="00033A14">
        <w:rPr>
          <w:bCs/>
          <w:sz w:val="22"/>
          <w:szCs w:val="22"/>
        </w:rPr>
        <w:t xml:space="preserve"> </w:t>
      </w:r>
      <w:r w:rsidR="006D6987">
        <w:rPr>
          <w:bCs/>
          <w:sz w:val="22"/>
          <w:szCs w:val="22"/>
        </w:rPr>
        <w:t xml:space="preserve">There </w:t>
      </w:r>
      <w:r w:rsidR="00B00596" w:rsidRPr="00033A14">
        <w:rPr>
          <w:bCs/>
          <w:sz w:val="22"/>
          <w:szCs w:val="22"/>
        </w:rPr>
        <w:t>is some</w:t>
      </w:r>
      <w:r w:rsidR="00201840" w:rsidRPr="00033A14">
        <w:rPr>
          <w:bCs/>
          <w:sz w:val="22"/>
          <w:szCs w:val="22"/>
        </w:rPr>
        <w:t xml:space="preserve"> </w:t>
      </w:r>
      <w:r w:rsidR="006F22C0">
        <w:rPr>
          <w:bCs/>
          <w:sz w:val="22"/>
          <w:szCs w:val="22"/>
        </w:rPr>
        <w:t>data</w:t>
      </w:r>
      <w:r w:rsidR="00C74379">
        <w:rPr>
          <w:bCs/>
          <w:sz w:val="22"/>
          <w:szCs w:val="22"/>
        </w:rPr>
        <w:t xml:space="preserve"> </w:t>
      </w:r>
      <w:r w:rsidR="004D145E" w:rsidRPr="00033A14">
        <w:rPr>
          <w:bCs/>
          <w:sz w:val="22"/>
          <w:szCs w:val="22"/>
        </w:rPr>
        <w:t xml:space="preserve">from </w:t>
      </w:r>
      <w:r w:rsidR="006B720E" w:rsidRPr="00033A14">
        <w:rPr>
          <w:bCs/>
          <w:sz w:val="22"/>
          <w:szCs w:val="22"/>
        </w:rPr>
        <w:t xml:space="preserve">the </w:t>
      </w:r>
      <w:r w:rsidR="00765415">
        <w:rPr>
          <w:bCs/>
          <w:sz w:val="22"/>
          <w:szCs w:val="22"/>
        </w:rPr>
        <w:t xml:space="preserve">mixed </w:t>
      </w:r>
      <w:r w:rsidR="006B720E" w:rsidRPr="00033A14">
        <w:rPr>
          <w:bCs/>
          <w:sz w:val="22"/>
          <w:szCs w:val="22"/>
        </w:rPr>
        <w:t>Chinese</w:t>
      </w:r>
      <w:r w:rsidR="004D145E" w:rsidRPr="00033A14">
        <w:rPr>
          <w:bCs/>
          <w:sz w:val="22"/>
          <w:szCs w:val="22"/>
        </w:rPr>
        <w:fldChar w:fldCharType="begin"/>
      </w:r>
      <w:r w:rsidR="00203C6E">
        <w:rPr>
          <w:bCs/>
          <w:sz w:val="22"/>
          <w:szCs w:val="22"/>
        </w:rPr>
        <w:instrText xml:space="preserve"> ADDIN ZOTERO_ITEM CSL_CITATION {"citationID":"MCiOuKW6","properties":{"formattedCitation":"\\super 21,22\\nosupersub{}","plainCitation":"21,22","noteIndex":0},"citationItems":[{"id":"nMalwRdq/AGPqWlOI","uris":["http://zotero.org/users/6915713/items/NR5K2PMM",["http://zotero.org/users/6915713/items/NR5K2PMM"]],"itemData":{"id":629,"type":"article-journal","abstract":"BACKGROUND: China started to cover novel medicines for the treatment of major cancers, such as trastuzumab for breast cancer by the government health insurance programs since 2016. Limited data have been published on the use of cancer medications and little is known about how government health insurance coverage of novel anti-cancer medicines benefited patients in the real world. This study aimed to generate evidence to inform the health security authorities to optimize the government health insurance coverage of novel anti-cancer medicines as a more inclusive and equal policy, through which each of the needed patient can get access to the novel anti-cancer medicines regardless of the ability to pay.\nMETHODS: The study targeted one of the government health insurance newly covered novel medicines for breast cancer and the breast cancer patients. The analyses were based on the data collected from one tertiary public hospital in Fujian province of China. We conducted interrupted time series analysis with a segmented regression model and multivariate analyses with a binary logistic regression model to analyze the impact of the government health insurance coverage on medicines utilization and the determinants of patient's medication choice.\nRESULTS: The average proportion of patients who initiated medication with novel medicines increased from 37.4% before the government health insurance coverage to 69.2% afterwards. Such an increase was observed in all patient sub-groups. The monthly proportion of patients who initiated medication with novel medicines increased sharply by 18.3 % (95 %CI,10.4-34.0 %, p = 0.01) in September 2017, the afterwards trend continuously increased (95 %CI,1.03-3.60, p = 0.02). The critical determinants of patient's medication choice were mostly connected with the patient's health insurance benefits packages.\nCONCLUSIONS: The government health insurance coverage of novel anti-breast-cancer medicines benefited the patients generally. The utilization of novel medicines such as trastuzumab continuously increased. The insurance coverage benefited well the patients in the high-risk age groups. However, rural patients, patients enrolled in the \"resident program\", and patients from low-income residential areas and non-local patients benefited less from this policy. Improving the benefits package of the low-income patients and the \"resident program\" beneficiary would be of considerable significance for a more inclusive and equal health insurance coverage of novel anti-cancer medicines.","container-title":"BMC health services research","DOI":"10.1186/s12913-021-06840-3","ISSN":"1472-6963","issue":"1","journalAbbreviation":"BMC Health Serv Res","language":"eng","note":"PMID: 34419013\nPMCID: PMC8380313","page":"856","source":"PubMed","title":"How government health insurance coverage of novel anti-cancer medicines benefited patients in China - a retrospective analysis of hospital clinical data","volume":"21","author":[{"family":"Diao","given":"Yifan"},{"family":"Lin","given":"Mengbo"},{"family":"Xu","given":"Kai"},{"family":"Huang","given":"Ji"},{"family":"Wu","given":"Xiongwei"},{"family":"Li","given":"Mingshuang"},{"family":"Sun","given":"Jing"},{"family":"Li","given":"Hong"}],"issued":{"date-parts":[["2021",8,21]]}}},{"id":1815,"uris":["http://zotero.org/users/local/nRdURiV3/items/HP8GS59Z"],"itemData":{"id":1815,"type":"article-journal","abstract":"BACKGROUND: Cancer is a significant health concern and is China's leading cause of mortality. Targeted therapies, such as trastuzumab and rituximab, have enhanced clinical treatment efficacy. However, their high costs burden patients and healthcare systems considerably. Patient demographic factors further influence the utilization of these expensive drugs. On September 1, 2017, China implemented the National Health Insurance Coverage (NHIC) policy, necessitating additional real-world evidence to assess its impact on patients.\nMETHODS: Data on human epidermal growth factor receptor 2-positive breast cancer and CD20-positive non-Hodgkin B-cell lymphoma patients were gathered in Jiangsu Cancer Hospital and Fujian Cancer Hospital from September 2015 to August 2019, including demographic and clinical information. All eligible patients were divided into two groups. Univariate analysis and multivariable logistic regression were used to investigate the differences between subgroups. An interrupted time-series regression was used to examine the change in trastuzumab and rituximab utilization percentages.\nRESULTS: Before and after the NHIC policy, utilization of trastuzumab increased from 61.13% to 75.10%, and the increase was statistically significant. Rituximab therapy increased statistically significantly from 64.79% to 74.88%. The key factor influencing trastuzumab and rituximab use was the NHIC policy. With policy implementation, medical insurance status, occupations, and cancer disease stage affected trastuzumab and rituximab use.\nCONCLUSION: The NHIC policy is essential to the utilization of trastuzumab and rituximab, and the patient's income level and repayment abilities continue to impact the use of innovative anti-cancer drugs. Appropriate steps, such as reducing the urban-rural gap and broadening medical insurance coverage, would enable more people to access novel anti-cancer drugs.","container-title":"Risk Management and Healthcare Policy","DOI":"10.2147/RMHP.S420899","ISSN":"1179-1594","journalAbbreviation":"Risk Manag Healthc Policy","language":"eng","note":"PMID: 37692767\nPMCID: PMC10488736","page":"1739-1753","source":"PubMed","title":"How National Health Insurance Coverage Policy Affected the Use of Trastuzumab and Rituximab in China: A Bicentric Retrospective Study","title-short":"How National Health Insurance Coverage Policy Affected the Use of Trastuzumab and Rituximab in China","volume":"16","author":[{"family":"Shang","given":"Linlin"},{"family":"Lin","given":"Yingtao"},{"family":"Fang","given":"Wenqing"},{"family":"Liu","given":"Yanyan"},{"family":"Bao","given":"Yuwen"},{"family":"Li","given":"Xin"},{"family":"Zhang","given":"Yuanyuan"}],"issued":{"date-parts":[["2023"]]}}}],"schema":"https://github.com/citation-style-language/schema/raw/master/csl-citation.json"} </w:instrText>
      </w:r>
      <w:r w:rsidR="004D145E" w:rsidRPr="00033A14">
        <w:rPr>
          <w:bCs/>
          <w:sz w:val="22"/>
          <w:szCs w:val="22"/>
        </w:rPr>
        <w:fldChar w:fldCharType="separate"/>
      </w:r>
      <w:r w:rsidR="00103315" w:rsidRPr="00103315">
        <w:rPr>
          <w:sz w:val="22"/>
          <w:vertAlign w:val="superscript"/>
        </w:rPr>
        <w:t>21,22</w:t>
      </w:r>
      <w:r w:rsidR="004D145E" w:rsidRPr="00033A14">
        <w:rPr>
          <w:bCs/>
          <w:sz w:val="22"/>
          <w:szCs w:val="22"/>
        </w:rPr>
        <w:fldChar w:fldCharType="end"/>
      </w:r>
      <w:r w:rsidR="00765415">
        <w:rPr>
          <w:bCs/>
          <w:sz w:val="22"/>
          <w:szCs w:val="22"/>
        </w:rPr>
        <w:t xml:space="preserve"> and Indian</w:t>
      </w:r>
      <w:r w:rsidR="00765415">
        <w:rPr>
          <w:bCs/>
          <w:sz w:val="22"/>
          <w:szCs w:val="22"/>
        </w:rPr>
        <w:fldChar w:fldCharType="begin"/>
      </w:r>
      <w:r w:rsidR="00103315">
        <w:rPr>
          <w:bCs/>
          <w:sz w:val="22"/>
          <w:szCs w:val="22"/>
        </w:rPr>
        <w:instrText xml:space="preserve"> ADDIN ZOTERO_ITEM CSL_CITATION {"citationID":"fZlzyPFX","properties":{"formattedCitation":"\\super 23\\nosupersub{}","plainCitation":"23","noteIndex":0},"citationItems":[{"id":1818,"uris":["http://zotero.org/users/local/nRdURiV3/items/GU27BY87"],"itemData":{"id":1818,"type":"article-journal","abstract":"Background: Trastuzumab is now the standard of care in patients with Her-2 positive breast cancer. Despite its availability, high cost of treatment of trastuzumab makes it out of reach for many patients. This study analyses access to trastuzumab and identified potential barriers to its use in a large tertiary care hospital in northern India.Methods: This is a cross- sectional study of all the Her-2 positive breast cancer patients diagnosed and treated in our institute in 2018. These patients were investigated to look into various socio-economic factors for acceptance or non-acceptance of trastuzumab by using a predesigned questionnaire. Chi square test or Fishers exact test was applied.Results: Out of 310 diagnosed cases of carcinoma breast 52 (16%) patients were Her-2 positive. The majority of the trastuzumab recipients belonged to upper/middle socioeconomic status as compared to the non-recipient group (75% vs. 34.4%, P=0.004). Most of the receiver were well-educated (75% vs. 28.2%, P= 0.0009) and belonged to the high-income strata (55% vs. 37.5%, P= 0.22). It was found that the treatment of maximum (84.6%) Her-2 positive patients were met by out- of- pocket expenditure (OOPE) and 71.9% of the patients cited financial issues as the main cause of not taking the drug.Conclusions: The patient’s socioeconomic class and their education level significantly influenced the usage of the drug. Improving patient education as well as the implementation of the government health scheme can improve the availability and usage of this drug.","container-title":"International Journal Of Community Medicine And Public Health","DOI":"10.18203/2394-6040.ijcmph20205708","ISSN":"2394-6040","issue":"1","language":"en","page":"279-285","source":"www.ijcmph.com","title":"Socioeconomic factors affecting trastuzumab usage in patients with breast cancer in a resource constrained setting in North India","volume":"8","author":[{"family":"Singh","given":"Pragya"},{"family":"Pasricha","given":"Rajesh"},{"family":"Pandey","given":"Laxman"},{"family":"Joseph","given":"Deepa"},{"family":"Ibrahim","given":"Ajas"},{"family":"Bhadoria","given":"Ajeet S."},{"family":"Gupta","given":"Manoj"},{"family":"Ravi","given":"Bina"}],"issued":{"date-parts":[["2021"]]}}}],"schema":"https://github.com/citation-style-language/schema/raw/master/csl-citation.json"} </w:instrText>
      </w:r>
      <w:r w:rsidR="00765415">
        <w:rPr>
          <w:bCs/>
          <w:sz w:val="22"/>
          <w:szCs w:val="22"/>
        </w:rPr>
        <w:fldChar w:fldCharType="separate"/>
      </w:r>
      <w:r w:rsidR="00103315" w:rsidRPr="00103315">
        <w:rPr>
          <w:sz w:val="22"/>
          <w:vertAlign w:val="superscript"/>
        </w:rPr>
        <w:t>23</w:t>
      </w:r>
      <w:r w:rsidR="00765415">
        <w:rPr>
          <w:bCs/>
          <w:sz w:val="22"/>
          <w:szCs w:val="22"/>
        </w:rPr>
        <w:fldChar w:fldCharType="end"/>
      </w:r>
      <w:r w:rsidR="004D145E" w:rsidRPr="00033A14">
        <w:rPr>
          <w:bCs/>
          <w:sz w:val="22"/>
          <w:szCs w:val="22"/>
        </w:rPr>
        <w:t xml:space="preserve"> </w:t>
      </w:r>
      <w:r w:rsidR="00765415">
        <w:rPr>
          <w:bCs/>
          <w:sz w:val="22"/>
          <w:szCs w:val="22"/>
        </w:rPr>
        <w:t>healthcare systems</w:t>
      </w:r>
      <w:r w:rsidR="00765415" w:rsidRPr="00033A14">
        <w:rPr>
          <w:bCs/>
          <w:sz w:val="22"/>
          <w:szCs w:val="22"/>
        </w:rPr>
        <w:t xml:space="preserve"> </w:t>
      </w:r>
      <w:r w:rsidR="004D145E" w:rsidRPr="00033A14">
        <w:rPr>
          <w:bCs/>
          <w:sz w:val="22"/>
          <w:szCs w:val="22"/>
        </w:rPr>
        <w:t>a</w:t>
      </w:r>
      <w:r w:rsidR="00D349AC">
        <w:rPr>
          <w:bCs/>
          <w:sz w:val="22"/>
          <w:szCs w:val="22"/>
        </w:rPr>
        <w:t>s well as</w:t>
      </w:r>
      <w:r w:rsidR="004D145E" w:rsidRPr="00033A14">
        <w:rPr>
          <w:bCs/>
          <w:sz w:val="22"/>
          <w:szCs w:val="22"/>
        </w:rPr>
        <w:t xml:space="preserve"> </w:t>
      </w:r>
      <w:r w:rsidR="006B720E" w:rsidRPr="00033A14">
        <w:rPr>
          <w:bCs/>
          <w:sz w:val="22"/>
          <w:szCs w:val="22"/>
        </w:rPr>
        <w:t xml:space="preserve">the </w:t>
      </w:r>
      <w:r w:rsidR="00201840" w:rsidRPr="00033A14">
        <w:rPr>
          <w:bCs/>
          <w:sz w:val="22"/>
          <w:szCs w:val="22"/>
        </w:rPr>
        <w:t>publicly funded</w:t>
      </w:r>
      <w:r w:rsidR="004D145E" w:rsidRPr="00033A14">
        <w:rPr>
          <w:bCs/>
          <w:sz w:val="22"/>
          <w:szCs w:val="22"/>
        </w:rPr>
        <w:t xml:space="preserve"> Canadian and Australian</w:t>
      </w:r>
      <w:r w:rsidR="00201840" w:rsidRPr="00033A14">
        <w:rPr>
          <w:bCs/>
          <w:sz w:val="22"/>
          <w:szCs w:val="22"/>
        </w:rPr>
        <w:t xml:space="preserve"> health </w:t>
      </w:r>
      <w:r w:rsidR="00B00596" w:rsidRPr="00033A14">
        <w:rPr>
          <w:bCs/>
          <w:sz w:val="22"/>
          <w:szCs w:val="22"/>
        </w:rPr>
        <w:t>system</w:t>
      </w:r>
      <w:r w:rsidR="001C11C1">
        <w:rPr>
          <w:bCs/>
          <w:sz w:val="22"/>
          <w:szCs w:val="22"/>
        </w:rPr>
        <w:t>s</w:t>
      </w:r>
      <w:r w:rsidR="00E73A99" w:rsidRPr="00033A14">
        <w:rPr>
          <w:bCs/>
          <w:sz w:val="22"/>
          <w:szCs w:val="22"/>
        </w:rPr>
        <w:t>,</w:t>
      </w:r>
      <w:r w:rsidR="00522563" w:rsidRPr="00033A14">
        <w:rPr>
          <w:bCs/>
          <w:sz w:val="22"/>
          <w:szCs w:val="22"/>
        </w:rPr>
        <w:fldChar w:fldCharType="begin"/>
      </w:r>
      <w:r w:rsidR="00203C6E">
        <w:rPr>
          <w:bCs/>
          <w:sz w:val="22"/>
          <w:szCs w:val="22"/>
        </w:rPr>
        <w:instrText xml:space="preserve"> ADDIN ZOTERO_ITEM CSL_CITATION {"citationID":"wMgipcvy","properties":{"formattedCitation":"\\super 24\\uc0\\u8211{}29\\nosupersub{}","plainCitation":"24–29","noteIndex":0},"citationItems":[{"id":"nMalwRdq/CRcXkrU8","uris":["http://zotero.org/users/6915713/items/8TCHW66L",["http://zotero.org/users/6915713/items/8TCHW66L"]],"itemData":{"id":88,"type":"article-journal","abstract":"BACKGROUND: The Canadian health care system provides equitable access to equivalent standards of care. The authors investigated to determine whether patients with breast cancer who had different socioeconomic status (SES) received different care and had different overall survival (OS) in Ontario, Canada.\nMETHODS: Women who were diagnosed with breast cancer between 2004 and 2009 were identified from the Ontario Cancer Registry and linked to provincial databases to ascertain patient demographics, screening, diagnosis, treatment patterns, and survival. SES was defined as neighborhood income by postal code and was divided into income quintiles (Q1-Q5; with Q5 the highest SES quintile). Univariable and multivariable analyses were used to examine the associations between: 1) SES and mammogram screening and breast cancer treatments, and 2) SES and OS.\nRESULTS: In total, 34,776 patients with breast cancer who had information on disease stage available at diagnosis were identified. Seventy-six percent of women were aged &gt;50 years. Patients with higher SES were more likely to be diagnosed at an earlier stage (Q5 [44.3%] vs Q1 [37.7%]; odds ratio [OR], 1.31; 95% confidence interval [CI], 1.23-1.41; P &lt; .0001) and also were more likely to receive adjuvant chemotherapy (Q5 vs Q1: OR, 1.18; 95% CI, 1.10-1.26; P &lt; .0001) and radiotherapy (Q5 vs Q1: OR, 1.24; 95% CI, 1.15-1.33; P &lt; .0001). The 5-year OS rates for Q1 through Q5 were 80%, 81%, 82.2%, 83.9%, and 85.7%, respectively (P &lt; .0001). After adjusting for patient demographics, cancer stage at diagnosis, adjuvant chemotherapy, trastuzumab, radiotherapy and surgery types, higher SES remained associated with better OS (P = .0017).\nCONCLUSIONS: In a universal health care system, higher SES is associated with greater screening and treatments and with better OS after adjusting for screening, cancer stage at diagnosis, and treatments.","container-title":"Cancer","DOI":"10.1002/cncr.29838","ISSN":"1097-0142","issue":"6","journalAbbreviation":"Cancer","language":"eng","note":"PMID: 26696022","page":"893-898","source":"PubMed","title":"Associations among socioeconomic status, patterns of care and outcomes in breast cancer patients in a universal health care system: Ontario's experience","title-short":"Associations among socioeconomic status, patterns of care and outcomes in breast cancer patients in a universal health care system","volume":"122","author":[{"family":"Kumachev","given":"Alexander"},{"family":"Trudeau","given":"Maureen E."},{"family":"Chan","given":"Kelvin K. W."}],"issued":{"date-parts":[["2016",3,15]]}},"label":"page"},{"id":"nMalwRdq/tdakd7v9","uris":["http://zotero.org/users/6915713/items/EI7SEV6S",["http://zotero.org/users/6915713/items/EI7SEV6S"]],"itemData":{"id":85,"type":"article-journal","abstract":"AbstractBackground:.  The late cardiac effect of adjuvant trastuzumab and its potential interaction with anthracycline have not been well-studied on a populatio","container-title":"JNCI: Journal of the National Cancer Institute","DOI":"10.1093/jnci/djv301","ISSN":"0027-8874","issue":"1","journalAbbreviation":"J Natl Cancer Inst","language":"en","note":"publisher: Oxford Academic","source":"academic.oup.com","title":"The Temporal Risk of Heart Failure Associated With Adjuvant Trastuzumab in Breast Cancer Patients: A Population Study","title-short":"The Temporal Risk of Heart Failure Associated With Adjuvant Trastuzumab in Breast Cancer Patients","URL":"https://academic.oup.com/jnci/article/108/1/djv301/2457761","volume":"108","author":[{"family":"Goldhar","given":"Hart A."},{"family":"Yan","given":"Andrew T."},{"family":"Ko","given":"Dennis T."},{"family":"Earle","given":"Craig C."},{"family":"Tomlinson","given":"George A."},{"family":"Trudeau","given":"Maureen E."},{"family":"Krahn","given":"Murray D."},{"family":"Krzyzanowska","given":"Monika K."},{"family":"Pal","given":"Raveen S."},{"family":"Brezden-Masley","given":"Christine"},{"family":"Gavura","given":"Scott"},{"family":"Lien","given":"Kelly"},{"family":"Chan","given":"Kelvin K. W."}],"accessed":{"date-parts":[["2020",9,22]]},"issued":{"date-parts":[["2016",1,1]]}}},{"id":"nMalwRdq/sHiuqphu","uris":["http://zotero.org/users/6915713/items/X45QZLAW",["http://zotero.org/users/6915713/items/X45QZLAW"]],"itemData":{"id":91,"type":"article-journal","abstract":"PURPOSE: Most women diagnosed with breast cancer are younger than 65 years of age. Population-based studies on cancer therapy-related cardiotoxicity have focused on older women. We sought to determine the risk of cardiotoxicity with breast cancer therapy in women with an age distribution representative of routine clinical practice.\nMETHODS: This was a population-based retrospective cohort study including 14 regional cancer centers in Ontario, Canada. Adult women receiving chemotherapy for stage I to III breast cancer between 2007 and 2012 were included. Cancer treatment was categorized as follows: anthracycline-based chemotherapy without trastuzumab, trastuzumab with nonanthracycline chemotherapy, anthracyclines followed by trastuzumab (sequential therapy), and chemotherapy without anthracycline/trastuzumab (other chemotherapy). The primary outcome was a composite of hospitalization or emergency room visit for congestive heart failure (CHF), outpatient diagnosis of CHF, or cardiovascular death. A sensitivity analysis limited the outcomes to hospital-based CHF events. Cause-specific hazard models were used accounting for the competing risk of noncardiovascular death.\nRESULTS: Of 18,540 women included (median age, 54 years; interquartile range, 47 to 63 years), 79% were younger than age 65 years. The cumulative incidence of the primary outcome was 3.08% (95% CI, 2.81% to 3.36%) by 3 years of follow-up, whereas in an age-matched sample of Ontario women (n = 92,700) without breast cancer, it was 0.96% (95% CI, 0.89% to 1.04%). Compared with those receiving other chemotherapy, patients receiving trastuzumab with nonanthracycline chemotherapy and sequential therapy were at a higher risk of cardiotoxicity (hazard ratio, 1.76 [95% CI, 1.19 to 2.60] and 3.96 [95% CI, 3.01 to 5.22], respectively). Hospital-based CHF events were only increased with sequential therapy (hazard ratio, 1.86; 95% CI, 1.07 to 3.22).\nCONCLUSION: In women with breast cancer and an age distribution representative of routine clinical practice, trastuzumab-based regimens, including those without anthracyclines, were associated with an increased risk of cardiotoxicity. Sequential therapy increased the risk of hospital-based CHF events.","container-title":"Journal of Clinical Oncology: Official Journal of the American Society of Clinical Oncology","DOI":"10.1200/JCO.2015.65.1505","ISSN":"1527-7755","issue":"19","journalAbbreviation":"J. Clin. Oncol.","language":"eng","note":"PMID: 27091709","page":"2239-2246","source":"PubMed","title":"Breast Cancer Therapy-Related Cardiac Dysfunction in Adult Women Treated in Routine Clinical Practice: A Population-Based Cohort Study","title-short":"Breast Cancer Therapy-Related Cardiac Dysfunction in Adult Women Treated in Routine Clinical Practice","volume":"34","author":[{"family":"Thavendiranathan","given":"Paaladinesh"},{"family":"Abdel-Qadir","given":"Husam"},{"family":"Fischer","given":"Hadas D."},{"family":"Camacho","given":"Ximena"},{"family":"Amir","given":"Eitan"},{"family":"Austin","given":"Peter C."},{"family":"Lee","given":"Douglas S."}],"issued":{"date-parts":[["2016"]],"season":"01"}}},{"id":188,"uris":["http://zotero.org/users/local/nRdURiV3/items/9YHEW4IF"],"itemData":{"id":188,"type":"article-journal","abstract":"PURPOSE: To manage the potential trastuzumab mediated cardiotoxicity, clinical guidelines recommend pre-treatment cardiac function assessment and 3-monthly reassessment during therapy. This study examined rates of cardiac function assessment and predictors of assessment among patients receiving trastuzumab for HER2+ metastatic breast cancer treatment in routine clinical care.\nMETHODS: Our cohort comprised 3418 women receiving trastuzumab for HER2+ metastatic breast cancer under Australia's nationally funded Herceptin Program (2001-2010). We examined rates of pre-treatment and during-treatment assessment. We used logistic regression and zero-inflated Poisson regression to examine predictors of pre-treatment and during-treatment assessment respectively.\nRESULTS: 37.7% of patients were assessed pre-treatment, 50.4% during therapy, and 26.4% both before and during therapy. Among patients assessed for cardiac function, reassessment occurred regularly (median of 3.9 months). History of cardiovascular conditions and prior anthracycline use predicted pre-treatment assessment (OR = 1.32, 95% CI: 1.08-1.61; OR = 1.23, 95% CI: 1.05-1.44 respectively). Concurrent trastuzumab and taxane use, exposure to anthracyclines, and older age predicted during-treatment assessment (IRR = 1.17, 95% CI: 1.06-1.29; IRR = 1.12, 95% CI: 1.02-1.23; and IRR = 1.05, 95% CI: 1.01-1.09 respectively). Patients with multi-morbidities were less likely to receive during-treatment assessment.\nCONCLUSION: Over the last decade, cardiac function assessment in a large cohort of patients receiving trastuzumab was not consistent with guideline recommendations. The association between cardiac monitoring and risk factors for cardiac dysfunction suggest clinicians are triaging patients prior to implementing cardiac assessment. Efforts are needed to identify barriers to implementing current guidelines for cardiac monitoring in metastatic breast cancer patients undergoing trastuzumab treatment, particularly those with multi-morbidities.","container-title":"Breast (Edinburgh, Scotland)","DOI":"10.1016/j.breast.2013.04.011","ISSN":"1532-3080","issue":"4","journalAbbreviation":"Breast","language":"eng","note":"number: 4\nPMID: 23664254","page":"482-487","source":"PubMed","title":"Trastuzumab therapy in Australia: which patients with HER2+ metastatic breast cancer are assessed for cardiac function?","title-short":"Trastuzumab therapy in Australia","volume":"22","author":[{"family":"Lu","given":"Christine Y."},{"family":"Srasuebkul","given":"Preeyaporn"},{"family":"Drew","given":"Anna K."},{"family":"Chen","given":"Katie"},{"family":"Ward","given":"Robyn L."},{"family":"Pearson","given":"Sallie-Anne"}],"issued":{"date-parts":[["2013"]]}}},{"id":386,"uris":["http://zotero.org/users/local/nRdURiV3/items/HCCSZZPG"],"itemData":{"id":386,"type":"article-journal","container-title":"Breast Cancer Research and Treatment","page":"893 - 902","title":"Cardiac assessment in Australian patients receiving (neo)adjuvant trastuzumab for HER2-positive early breast cancer: a population-based study","volume":"187","author":[{"family":"Tang","given":"Monica"},{"family":"Schaffer","given":"Andrea L"},{"family":"Kiely","given":"Belinda E"},{"family":"Daniels","given":"Benjamin"},{"family":"Lee","given":"Chee K"},{"family":"Simes","given":"Robert J"},{"family":"Pearson","given":"Sallie-Anne"}],"issued":{"date-parts":[["2021"]]}}},{"id":1825,"uris":["http://zotero.org/users/local/nRdURiV3/items/LZTHFSMU"],"itemData":{"id":1825,"type":"article-journal","abstract":"Background\nRandomised clinical trials (RCTs) demonstrate that trastuzumab improves survival in patients with human epidermal growth factor 2-positive early breast cancer (HER2 + EBC), but real-world patients and clinical practice often differ from RCTs. We examine real-world treatment patterns and outcomes associated with trastuzumab for HER2 + EBC.\n\nMethods\nWe identified all Australians dispensed trastuzumab for HER2 + EBC between 1/1/2007 and 30/6/2016. We estimated the proportion of patients completing 12 months of treatment (defined as ≥350 days of exposure within 540 days of initiation). We estimated overall survival (OS) and recurrence-free survival (RFS) by using trastuzumab dispensing for metastatic breast cancer as a surrogate for recurrence.\n\nResults\nOur study included 14,644 patients. Among patients with ≥540 days of follow-up (n = 11,903), 67.4% completed 12 months of trastuzumab. OS rates at 5 and 9 years were 92.7 and 87.9%, and RFS rates at 5 and 9 years were 86.8 and 81.4%, respectively. Patients who completed 12 months of trastuzumab had a 9-year OS rate of 90.2% compared with 86.2% among patients receiving &lt;12 months of therapy (adjusted HR 0.71, 95% CI 0.62–0.81).\n\nConclusions\nReal-world HER2 + EBC patients are less likely to complete 12 months of trastuzumab than some clinical trial counterparts but have survival outcomes comparable to those reported in landmark RCTs.","container-title":"British Journal of Cancer","DOI":"10.1038/s41416-019-0612-5","ISSN":"0007-0920","issue":"11","journalAbbreviation":"Br J Cancer","note":"PMID: 31673103\nPMCID: PMC6889396","page":"904-911","source":"PubMed Central","title":"Treatment patterns and survival in HER2-positive early breast cancer: a whole-of-population Australian cohort study (2007–2016)","title-short":"Treatment patterns and survival in HER2-positive early breast cancer","volume":"121","author":[{"family":"Tang","given":"Monica"},{"family":"Schaffer","given":"Andrea"},{"family":"Kiely","given":"Belinda E."},{"family":"Daniels","given":"Benjamin"},{"family":"Simes","given":"Robert J."},{"family":"Lee","given":"Chee K."},{"family":"Pearson","given":"Sallie-Anne"}],"issued":{"date-parts":[["2019",11,26]]}}}],"schema":"https://github.com/citation-style-language/schema/raw/master/csl-citation.json"} </w:instrText>
      </w:r>
      <w:r w:rsidR="00522563" w:rsidRPr="00033A14">
        <w:rPr>
          <w:bCs/>
          <w:sz w:val="22"/>
          <w:szCs w:val="22"/>
        </w:rPr>
        <w:fldChar w:fldCharType="separate"/>
      </w:r>
      <w:r w:rsidR="00103315" w:rsidRPr="00103315">
        <w:rPr>
          <w:sz w:val="22"/>
          <w:vertAlign w:val="superscript"/>
        </w:rPr>
        <w:t>24–29</w:t>
      </w:r>
      <w:r w:rsidR="00522563" w:rsidRPr="00033A14">
        <w:rPr>
          <w:bCs/>
          <w:sz w:val="22"/>
          <w:szCs w:val="22"/>
        </w:rPr>
        <w:fldChar w:fldCharType="end"/>
      </w:r>
      <w:r w:rsidR="006479D2" w:rsidRPr="00033A14">
        <w:rPr>
          <w:bCs/>
          <w:sz w:val="22"/>
          <w:szCs w:val="22"/>
        </w:rPr>
        <w:t xml:space="preserve"> </w:t>
      </w:r>
      <w:r w:rsidR="00735E39">
        <w:rPr>
          <w:bCs/>
          <w:sz w:val="22"/>
          <w:szCs w:val="22"/>
        </w:rPr>
        <w:t>b</w:t>
      </w:r>
      <w:r w:rsidR="00735E39" w:rsidRPr="007A0A14">
        <w:rPr>
          <w:bCs/>
          <w:color w:val="000000" w:themeColor="text1"/>
          <w:sz w:val="22"/>
          <w:szCs w:val="22"/>
        </w:rPr>
        <w:t>ut</w:t>
      </w:r>
      <w:r w:rsidR="004B00E8" w:rsidRPr="007A0A14">
        <w:rPr>
          <w:bCs/>
          <w:color w:val="000000" w:themeColor="text1"/>
          <w:sz w:val="22"/>
          <w:szCs w:val="22"/>
        </w:rPr>
        <w:t xml:space="preserve"> </w:t>
      </w:r>
      <w:r w:rsidR="006479D2" w:rsidRPr="007A0A14">
        <w:rPr>
          <w:bCs/>
          <w:color w:val="000000" w:themeColor="text1"/>
          <w:sz w:val="22"/>
          <w:szCs w:val="22"/>
        </w:rPr>
        <w:t xml:space="preserve">these studies </w:t>
      </w:r>
      <w:r w:rsidR="001E54E2" w:rsidRPr="007A0A14">
        <w:rPr>
          <w:bCs/>
          <w:color w:val="000000" w:themeColor="text1"/>
          <w:sz w:val="22"/>
          <w:szCs w:val="22"/>
        </w:rPr>
        <w:t xml:space="preserve">are </w:t>
      </w:r>
      <w:r w:rsidR="001D2B88" w:rsidRPr="007A0A14">
        <w:rPr>
          <w:bCs/>
          <w:color w:val="000000" w:themeColor="text1"/>
          <w:sz w:val="22"/>
          <w:szCs w:val="22"/>
        </w:rPr>
        <w:t>few</w:t>
      </w:r>
      <w:r w:rsidR="001E54E2" w:rsidRPr="007A0A14">
        <w:rPr>
          <w:bCs/>
          <w:color w:val="000000" w:themeColor="text1"/>
          <w:sz w:val="22"/>
          <w:szCs w:val="22"/>
        </w:rPr>
        <w:t xml:space="preserve"> </w:t>
      </w:r>
      <w:r w:rsidR="001D2B88">
        <w:rPr>
          <w:bCs/>
          <w:color w:val="000000" w:themeColor="text1"/>
          <w:sz w:val="22"/>
          <w:szCs w:val="22"/>
        </w:rPr>
        <w:t xml:space="preserve">in number </w:t>
      </w:r>
      <w:r w:rsidR="001E54E2" w:rsidRPr="007A0A14">
        <w:rPr>
          <w:bCs/>
          <w:color w:val="000000" w:themeColor="text1"/>
          <w:sz w:val="22"/>
          <w:szCs w:val="22"/>
        </w:rPr>
        <w:t xml:space="preserve">or </w:t>
      </w:r>
      <w:r w:rsidR="00735E39" w:rsidRPr="007A0A14">
        <w:rPr>
          <w:bCs/>
          <w:color w:val="000000" w:themeColor="text1"/>
          <w:sz w:val="22"/>
          <w:szCs w:val="22"/>
        </w:rPr>
        <w:t xml:space="preserve">include </w:t>
      </w:r>
      <w:r w:rsidR="00E73A99" w:rsidRPr="007A0A14">
        <w:rPr>
          <w:bCs/>
          <w:color w:val="000000" w:themeColor="text1"/>
          <w:sz w:val="22"/>
          <w:szCs w:val="22"/>
        </w:rPr>
        <w:t xml:space="preserve">comparatively small cohorts </w:t>
      </w:r>
      <w:r w:rsidR="00735E39" w:rsidRPr="007A0A14">
        <w:rPr>
          <w:bCs/>
          <w:color w:val="000000" w:themeColor="text1"/>
          <w:sz w:val="22"/>
          <w:szCs w:val="22"/>
        </w:rPr>
        <w:t>of treated patients only (</w:t>
      </w:r>
      <w:r w:rsidR="00E73A99" w:rsidRPr="007A0A14">
        <w:rPr>
          <w:bCs/>
          <w:color w:val="000000" w:themeColor="text1"/>
          <w:sz w:val="22"/>
          <w:szCs w:val="22"/>
        </w:rPr>
        <w:t xml:space="preserve">with no </w:t>
      </w:r>
      <w:r w:rsidR="006840EA" w:rsidRPr="007A0A14">
        <w:rPr>
          <w:bCs/>
          <w:color w:val="000000" w:themeColor="text1"/>
          <w:sz w:val="22"/>
          <w:szCs w:val="22"/>
        </w:rPr>
        <w:t>denominator</w:t>
      </w:r>
      <w:r w:rsidR="00E73A99" w:rsidRPr="007A0A14">
        <w:rPr>
          <w:bCs/>
          <w:color w:val="000000" w:themeColor="text1"/>
          <w:sz w:val="22"/>
          <w:szCs w:val="22"/>
        </w:rPr>
        <w:t xml:space="preserve"> population</w:t>
      </w:r>
      <w:r w:rsidR="009156CF" w:rsidRPr="007A0A14">
        <w:rPr>
          <w:bCs/>
          <w:color w:val="000000" w:themeColor="text1"/>
          <w:sz w:val="22"/>
          <w:szCs w:val="22"/>
        </w:rPr>
        <w:t>s</w:t>
      </w:r>
      <w:r w:rsidR="00735E39" w:rsidRPr="007A0A14">
        <w:rPr>
          <w:bCs/>
          <w:color w:val="000000" w:themeColor="text1"/>
          <w:sz w:val="22"/>
          <w:szCs w:val="22"/>
        </w:rPr>
        <w:t xml:space="preserve"> </w:t>
      </w:r>
      <w:r w:rsidR="00735E39" w:rsidRPr="007A0A14">
        <w:rPr>
          <w:bCs/>
          <w:color w:val="000000" w:themeColor="text1"/>
          <w:sz w:val="22"/>
          <w:szCs w:val="22"/>
        </w:rPr>
        <w:lastRenderedPageBreak/>
        <w:t xml:space="preserve">precluding calculation of </w:t>
      </w:r>
      <w:r w:rsidR="001E54E2" w:rsidRPr="007A0A14">
        <w:rPr>
          <w:bCs/>
          <w:color w:val="000000" w:themeColor="text1"/>
          <w:sz w:val="22"/>
          <w:szCs w:val="22"/>
        </w:rPr>
        <w:t xml:space="preserve">odds of </w:t>
      </w:r>
      <w:r w:rsidR="00464DB2">
        <w:rPr>
          <w:bCs/>
          <w:color w:val="000000" w:themeColor="text1"/>
          <w:sz w:val="22"/>
          <w:szCs w:val="22"/>
        </w:rPr>
        <w:t>r</w:t>
      </w:r>
      <w:r w:rsidR="00D16134">
        <w:rPr>
          <w:bCs/>
          <w:color w:val="000000" w:themeColor="text1"/>
          <w:sz w:val="22"/>
          <w:szCs w:val="22"/>
        </w:rPr>
        <w:t>eceipt</w:t>
      </w:r>
      <w:r w:rsidR="00735E39" w:rsidRPr="007A0A14">
        <w:rPr>
          <w:bCs/>
          <w:color w:val="000000" w:themeColor="text1"/>
          <w:sz w:val="22"/>
          <w:szCs w:val="22"/>
        </w:rPr>
        <w:t>)</w:t>
      </w:r>
      <w:r w:rsidR="001E54E2" w:rsidRPr="007A0A14">
        <w:rPr>
          <w:bCs/>
          <w:color w:val="000000" w:themeColor="text1"/>
          <w:sz w:val="22"/>
          <w:szCs w:val="22"/>
        </w:rPr>
        <w:t>.</w:t>
      </w:r>
      <w:r w:rsidR="006840EA" w:rsidRPr="007A0A14">
        <w:rPr>
          <w:bCs/>
          <w:color w:val="000000" w:themeColor="text1"/>
          <w:sz w:val="22"/>
          <w:szCs w:val="22"/>
        </w:rPr>
        <w:t xml:space="preserve"> </w:t>
      </w:r>
      <w:r w:rsidR="002B3B28">
        <w:rPr>
          <w:bCs/>
          <w:color w:val="000000" w:themeColor="text1"/>
          <w:sz w:val="22"/>
          <w:szCs w:val="22"/>
        </w:rPr>
        <w:t xml:space="preserve">The UK </w:t>
      </w:r>
      <w:r w:rsidR="002B3B28" w:rsidRPr="00033A14">
        <w:rPr>
          <w:bCs/>
          <w:sz w:val="22"/>
          <w:szCs w:val="22"/>
        </w:rPr>
        <w:t xml:space="preserve">National Health Service (NHS) provides </w:t>
      </w:r>
      <w:r w:rsidR="002B3B28">
        <w:rPr>
          <w:bCs/>
          <w:sz w:val="22"/>
          <w:szCs w:val="22"/>
        </w:rPr>
        <w:t xml:space="preserve">an example of a nationwide </w:t>
      </w:r>
      <w:r w:rsidR="003E4A84">
        <w:rPr>
          <w:bCs/>
          <w:sz w:val="22"/>
          <w:szCs w:val="22"/>
        </w:rPr>
        <w:t>publicly funded</w:t>
      </w:r>
      <w:r w:rsidR="002B3B28">
        <w:rPr>
          <w:bCs/>
          <w:sz w:val="22"/>
          <w:szCs w:val="22"/>
        </w:rPr>
        <w:t xml:space="preserve"> healthcare system where </w:t>
      </w:r>
      <w:r w:rsidR="002B3B28" w:rsidRPr="00033A14">
        <w:rPr>
          <w:bCs/>
          <w:sz w:val="22"/>
          <w:szCs w:val="22"/>
        </w:rPr>
        <w:t xml:space="preserve">trastuzumab </w:t>
      </w:r>
      <w:r w:rsidR="002B3B28">
        <w:rPr>
          <w:bCs/>
          <w:sz w:val="22"/>
          <w:szCs w:val="22"/>
        </w:rPr>
        <w:t xml:space="preserve">access </w:t>
      </w:r>
      <w:r w:rsidR="002B3B28" w:rsidRPr="00033A14">
        <w:rPr>
          <w:bCs/>
          <w:sz w:val="22"/>
          <w:szCs w:val="22"/>
        </w:rPr>
        <w:t>is free at the point of delivery</w:t>
      </w:r>
      <w:r w:rsidR="002B3B28">
        <w:rPr>
          <w:bCs/>
          <w:sz w:val="22"/>
          <w:szCs w:val="22"/>
        </w:rPr>
        <w:t xml:space="preserve"> to all patients and clinical guidelines are biomarker driven. The only available UK data reported to date </w:t>
      </w:r>
      <w:r w:rsidR="00623C7C">
        <w:rPr>
          <w:bCs/>
          <w:sz w:val="22"/>
          <w:szCs w:val="22"/>
        </w:rPr>
        <w:t xml:space="preserve">has </w:t>
      </w:r>
      <w:r w:rsidR="002B3B28">
        <w:rPr>
          <w:bCs/>
          <w:sz w:val="22"/>
          <w:szCs w:val="22"/>
        </w:rPr>
        <w:t>examined</w:t>
      </w:r>
      <w:r w:rsidR="002B3B28">
        <w:rPr>
          <w:bCs/>
          <w:color w:val="000000" w:themeColor="text1"/>
          <w:sz w:val="22"/>
          <w:szCs w:val="22"/>
        </w:rPr>
        <w:t xml:space="preserve"> </w:t>
      </w:r>
      <w:r w:rsidR="001A0A55">
        <w:rPr>
          <w:bCs/>
          <w:color w:val="000000" w:themeColor="text1"/>
          <w:sz w:val="22"/>
          <w:szCs w:val="22"/>
        </w:rPr>
        <w:t xml:space="preserve">trastuzumab initiation </w:t>
      </w:r>
      <w:r w:rsidR="0070384F">
        <w:rPr>
          <w:bCs/>
          <w:color w:val="000000" w:themeColor="text1"/>
          <w:sz w:val="22"/>
          <w:szCs w:val="22"/>
        </w:rPr>
        <w:t>in</w:t>
      </w:r>
      <w:r w:rsidR="001A0A55">
        <w:rPr>
          <w:bCs/>
          <w:color w:val="000000" w:themeColor="text1"/>
          <w:sz w:val="22"/>
          <w:szCs w:val="22"/>
        </w:rPr>
        <w:t xml:space="preserve"> </w:t>
      </w:r>
      <w:r w:rsidR="002B3B28">
        <w:rPr>
          <w:bCs/>
          <w:color w:val="000000" w:themeColor="text1"/>
          <w:sz w:val="22"/>
          <w:szCs w:val="22"/>
        </w:rPr>
        <w:t xml:space="preserve">older women in the context of </w:t>
      </w:r>
      <w:r w:rsidR="00EA61BD">
        <w:rPr>
          <w:bCs/>
          <w:color w:val="000000" w:themeColor="text1"/>
          <w:sz w:val="22"/>
          <w:szCs w:val="22"/>
        </w:rPr>
        <w:t xml:space="preserve">adjuvant </w:t>
      </w:r>
      <w:r w:rsidR="001A0A55">
        <w:rPr>
          <w:bCs/>
          <w:color w:val="000000" w:themeColor="text1"/>
          <w:sz w:val="22"/>
          <w:szCs w:val="22"/>
        </w:rPr>
        <w:t>chemotherapy</w:t>
      </w:r>
      <w:r w:rsidR="00C52A2C">
        <w:rPr>
          <w:bCs/>
          <w:color w:val="000000" w:themeColor="text1"/>
          <w:sz w:val="22"/>
          <w:szCs w:val="22"/>
        </w:rPr>
        <w:t xml:space="preserve"> receipt</w:t>
      </w:r>
      <w:r w:rsidR="002B3B28">
        <w:rPr>
          <w:bCs/>
          <w:color w:val="000000" w:themeColor="text1"/>
          <w:sz w:val="22"/>
          <w:szCs w:val="22"/>
        </w:rPr>
        <w:t>.</w:t>
      </w:r>
      <w:r w:rsidR="005A4BD9">
        <w:rPr>
          <w:bCs/>
          <w:color w:val="000000" w:themeColor="text1"/>
          <w:sz w:val="22"/>
          <w:szCs w:val="22"/>
        </w:rPr>
        <w:fldChar w:fldCharType="begin"/>
      </w:r>
      <w:r w:rsidR="00103315">
        <w:rPr>
          <w:bCs/>
          <w:color w:val="000000" w:themeColor="text1"/>
          <w:sz w:val="22"/>
          <w:szCs w:val="22"/>
        </w:rPr>
        <w:instrText xml:space="preserve"> ADDIN ZOTERO_ITEM CSL_CITATION {"citationID":"BD4J6OUF","properties":{"formattedCitation":"\\super 30\\nosupersub{}","plainCitation":"30","noteIndex":0},"citationItems":[{"id":1820,"uris":["http://zotero.org/users/local/nRdURiV3/items/MJBG2HGV"],"itemData":{"id":1820,"type":"article-journal","abstract":"BACKGROUND: Clinical guidance on recommended treatment for older patients with breast cancer is often ambiguous, particularly in the context of comorbidities and poor functional status. Older patients, aged 70 years and over, account for a substantial proportion of women with breast cancer yet are underrepresented in randomized controlled trials. This paper investigates the initiation of adjuvant chemotherapy and trastuzumab in older patients in routine care.\nMATERIALS AND METHODS: Women, aged 50 years and over, newly diagnosed with human epidermal growth receptor 2 (HER2)-positive early invasive breast cancer from January 2014 to December 2017 were identified from the England Cancer Registry. Chemotherapy and trastuzumab use was obtained from the Systemic Anti-Cancer Therapy (SACT) dataset. Patient and tumor characteristics influential in treatment decision-making were included in multilevel mixed-effects logistic regression models.\nRESULTS: 10% of women had HER2-positive tumors. Initiation of adjuvant chemotherapy and trastuzumab decreased with age from ≥70% among women aged 50-64 years to &lt;15% among women aged 80+ years. Initiation varied additionally by tumor characteristics and number of comorbidities. Age remained a factor in treatment decisions despite favorable other factors, with lower use among women aged 70+ years. There was also marked variation across geographical regions.\nCONCLUSIONS: In women with operable HER2-positive early invasive breast cancer, adjuvant chemotherapy plus trastuzumab was started less frequently as age increased, regardless of tumor characteristics or comorbidity burden. There was substantial variation in the proportion of women who started these treatments across the country.","container-title":"Journal of Geriatric Oncology","DOI":"10.1016/j.jgo.2020.01.005","ISSN":"1879-4076","issue":"5","journalAbbreviation":"J Geriatr Oncol","language":"eng","note":"PMID: 32007402","page":"836-842","source":"PubMed","title":"Initiation of adjuvant chemotherapy and trastuzumab for human epidermal growth receptor 2-positive early invasive breast cancer in a population-based cohort study of older women in England","volume":"11","author":[{"family":"Gannon","given":"Melissa Ruth"},{"family":"Dodwell","given":"David"},{"family":"Jauhari","given":"Yasmin"},{"family":"Horgan","given":"Kieran"},{"family":"Clements","given":"Karen"},{"family":"Medina","given":"Jibby"},{"family":"Cromwell","given":"David Alan"}],"issued":{"date-parts":[["2020",6]]}}}],"schema":"https://github.com/citation-style-language/schema/raw/master/csl-citation.json"} </w:instrText>
      </w:r>
      <w:r w:rsidR="005A4BD9">
        <w:rPr>
          <w:bCs/>
          <w:color w:val="000000" w:themeColor="text1"/>
          <w:sz w:val="22"/>
          <w:szCs w:val="22"/>
        </w:rPr>
        <w:fldChar w:fldCharType="separate"/>
      </w:r>
      <w:r w:rsidR="00103315" w:rsidRPr="00103315">
        <w:rPr>
          <w:color w:val="000000"/>
          <w:sz w:val="22"/>
          <w:vertAlign w:val="superscript"/>
        </w:rPr>
        <w:t>30</w:t>
      </w:r>
      <w:r w:rsidR="005A4BD9">
        <w:rPr>
          <w:bCs/>
          <w:color w:val="000000" w:themeColor="text1"/>
          <w:sz w:val="22"/>
          <w:szCs w:val="22"/>
        </w:rPr>
        <w:fldChar w:fldCharType="end"/>
      </w:r>
      <w:r w:rsidR="001A0A55">
        <w:rPr>
          <w:bCs/>
          <w:color w:val="000000" w:themeColor="text1"/>
          <w:sz w:val="22"/>
          <w:szCs w:val="22"/>
        </w:rPr>
        <w:t xml:space="preserve"> </w:t>
      </w:r>
      <w:r w:rsidR="006B720E" w:rsidRPr="007A0A14">
        <w:rPr>
          <w:bCs/>
          <w:color w:val="000000" w:themeColor="text1"/>
          <w:sz w:val="22"/>
          <w:szCs w:val="22"/>
        </w:rPr>
        <w:t xml:space="preserve">It </w:t>
      </w:r>
      <w:r w:rsidR="00B941D5" w:rsidRPr="00033A14">
        <w:rPr>
          <w:bCs/>
          <w:sz w:val="22"/>
          <w:szCs w:val="22"/>
        </w:rPr>
        <w:t xml:space="preserve">therefore </w:t>
      </w:r>
      <w:r w:rsidR="006840EA" w:rsidRPr="00033A14">
        <w:rPr>
          <w:bCs/>
          <w:sz w:val="22"/>
          <w:szCs w:val="22"/>
        </w:rPr>
        <w:t>remains</w:t>
      </w:r>
      <w:r w:rsidR="00201840" w:rsidRPr="00033A14">
        <w:rPr>
          <w:bCs/>
          <w:sz w:val="22"/>
          <w:szCs w:val="22"/>
        </w:rPr>
        <w:t xml:space="preserve"> </w:t>
      </w:r>
      <w:r w:rsidR="002F38DF" w:rsidRPr="00033A14">
        <w:rPr>
          <w:bCs/>
          <w:sz w:val="22"/>
          <w:szCs w:val="22"/>
        </w:rPr>
        <w:t>un</w:t>
      </w:r>
      <w:r w:rsidR="00735E39">
        <w:rPr>
          <w:bCs/>
          <w:sz w:val="22"/>
          <w:szCs w:val="22"/>
        </w:rPr>
        <w:t>clear whether</w:t>
      </w:r>
      <w:r w:rsidR="00465168">
        <w:rPr>
          <w:bCs/>
          <w:sz w:val="22"/>
          <w:szCs w:val="22"/>
        </w:rPr>
        <w:t xml:space="preserve"> socio-economic </w:t>
      </w:r>
      <w:r w:rsidR="00C57B75">
        <w:rPr>
          <w:bCs/>
          <w:sz w:val="22"/>
          <w:szCs w:val="22"/>
        </w:rPr>
        <w:t>disparities</w:t>
      </w:r>
      <w:r w:rsidR="00465168">
        <w:rPr>
          <w:bCs/>
          <w:sz w:val="22"/>
          <w:szCs w:val="22"/>
        </w:rPr>
        <w:t xml:space="preserve"> </w:t>
      </w:r>
      <w:r w:rsidR="002B3B28">
        <w:rPr>
          <w:bCs/>
          <w:sz w:val="22"/>
          <w:szCs w:val="22"/>
        </w:rPr>
        <w:t xml:space="preserve">in trastuzumab receipt </w:t>
      </w:r>
      <w:r w:rsidR="00465168">
        <w:rPr>
          <w:bCs/>
          <w:sz w:val="22"/>
          <w:szCs w:val="22"/>
        </w:rPr>
        <w:t>occur</w:t>
      </w:r>
      <w:r w:rsidR="00735E39">
        <w:rPr>
          <w:bCs/>
          <w:sz w:val="22"/>
          <w:szCs w:val="22"/>
        </w:rPr>
        <w:t xml:space="preserve"> in healthcare systems</w:t>
      </w:r>
      <w:r w:rsidR="005A0611" w:rsidRPr="00033A14">
        <w:rPr>
          <w:bCs/>
          <w:sz w:val="22"/>
          <w:szCs w:val="22"/>
        </w:rPr>
        <w:t xml:space="preserve"> </w:t>
      </w:r>
      <w:r w:rsidR="00735E39">
        <w:rPr>
          <w:bCs/>
          <w:sz w:val="22"/>
          <w:szCs w:val="22"/>
        </w:rPr>
        <w:t>where</w:t>
      </w:r>
      <w:r w:rsidR="00BE6ED2" w:rsidRPr="00033A14">
        <w:rPr>
          <w:bCs/>
          <w:sz w:val="22"/>
          <w:szCs w:val="22"/>
        </w:rPr>
        <w:t xml:space="preserve"> </w:t>
      </w:r>
      <w:r w:rsidR="00A00953" w:rsidRPr="00033A14">
        <w:rPr>
          <w:bCs/>
          <w:sz w:val="22"/>
          <w:szCs w:val="22"/>
        </w:rPr>
        <w:t xml:space="preserve">individual </w:t>
      </w:r>
      <w:r w:rsidR="00BE6ED2" w:rsidRPr="00033A14">
        <w:rPr>
          <w:bCs/>
          <w:sz w:val="22"/>
          <w:szCs w:val="22"/>
        </w:rPr>
        <w:t xml:space="preserve">finance </w:t>
      </w:r>
      <w:r w:rsidR="00735E39">
        <w:rPr>
          <w:bCs/>
          <w:sz w:val="22"/>
          <w:szCs w:val="22"/>
        </w:rPr>
        <w:t xml:space="preserve">and/or insurance </w:t>
      </w:r>
      <w:r w:rsidR="00465168">
        <w:rPr>
          <w:bCs/>
          <w:sz w:val="22"/>
          <w:szCs w:val="22"/>
        </w:rPr>
        <w:t xml:space="preserve">are </w:t>
      </w:r>
      <w:r w:rsidR="00BE6ED2" w:rsidRPr="00033A14">
        <w:rPr>
          <w:bCs/>
          <w:sz w:val="22"/>
          <w:szCs w:val="22"/>
        </w:rPr>
        <w:t xml:space="preserve">not </w:t>
      </w:r>
      <w:r w:rsidR="00735E39">
        <w:rPr>
          <w:bCs/>
          <w:sz w:val="22"/>
          <w:szCs w:val="22"/>
        </w:rPr>
        <w:t xml:space="preserve">considered </w:t>
      </w:r>
      <w:r w:rsidR="00BE6ED2" w:rsidRPr="00033A14">
        <w:rPr>
          <w:bCs/>
          <w:sz w:val="22"/>
          <w:szCs w:val="22"/>
        </w:rPr>
        <w:t>a factor</w:t>
      </w:r>
      <w:r w:rsidR="002B3B28">
        <w:rPr>
          <w:bCs/>
          <w:sz w:val="22"/>
          <w:szCs w:val="22"/>
        </w:rPr>
        <w:t>, and whether such inequ</w:t>
      </w:r>
      <w:r w:rsidR="00C57B75">
        <w:rPr>
          <w:bCs/>
          <w:sz w:val="22"/>
          <w:szCs w:val="22"/>
        </w:rPr>
        <w:t>ities</w:t>
      </w:r>
      <w:r w:rsidR="002B3B28">
        <w:rPr>
          <w:bCs/>
          <w:sz w:val="22"/>
          <w:szCs w:val="22"/>
        </w:rPr>
        <w:t xml:space="preserve"> are present in patients of all ages</w:t>
      </w:r>
      <w:r w:rsidR="00B27AA8">
        <w:rPr>
          <w:bCs/>
          <w:sz w:val="22"/>
          <w:szCs w:val="22"/>
        </w:rPr>
        <w:t>,</w:t>
      </w:r>
      <w:r w:rsidR="002B3B28">
        <w:rPr>
          <w:bCs/>
          <w:sz w:val="22"/>
          <w:szCs w:val="22"/>
        </w:rPr>
        <w:t xml:space="preserve"> and with both early and metastatic disease</w:t>
      </w:r>
      <w:r w:rsidR="00B27AA8">
        <w:rPr>
          <w:bCs/>
          <w:sz w:val="22"/>
          <w:szCs w:val="22"/>
        </w:rPr>
        <w:t>.</w:t>
      </w:r>
    </w:p>
    <w:p w14:paraId="452D0517" w14:textId="77777777" w:rsidR="00735E39" w:rsidRDefault="00735E39" w:rsidP="004B00E8">
      <w:pPr>
        <w:spacing w:line="360" w:lineRule="auto"/>
        <w:rPr>
          <w:bCs/>
          <w:sz w:val="22"/>
          <w:szCs w:val="22"/>
        </w:rPr>
      </w:pPr>
    </w:p>
    <w:p w14:paraId="7D2D9744" w14:textId="22815CE7" w:rsidR="00C35193" w:rsidRPr="00033A14" w:rsidRDefault="00F019CF" w:rsidP="00EB2F6F">
      <w:pPr>
        <w:spacing w:line="360" w:lineRule="auto"/>
        <w:rPr>
          <w:bCs/>
          <w:sz w:val="22"/>
          <w:szCs w:val="22"/>
        </w:rPr>
      </w:pPr>
      <w:r>
        <w:rPr>
          <w:bCs/>
          <w:sz w:val="22"/>
          <w:szCs w:val="22"/>
        </w:rPr>
        <w:t>To investigate, a large population-based observational study was undertaken using NHS data</w:t>
      </w:r>
      <w:r w:rsidR="00064666">
        <w:rPr>
          <w:bCs/>
          <w:sz w:val="22"/>
          <w:szCs w:val="22"/>
        </w:rPr>
        <w:t xml:space="preserve"> in England</w:t>
      </w:r>
      <w:r>
        <w:rPr>
          <w:bCs/>
          <w:sz w:val="22"/>
          <w:szCs w:val="22"/>
        </w:rPr>
        <w:t>.</w:t>
      </w:r>
      <w:r w:rsidR="00183773" w:rsidRPr="00033A14">
        <w:rPr>
          <w:bCs/>
          <w:sz w:val="22"/>
          <w:szCs w:val="22"/>
        </w:rPr>
        <w:t xml:space="preserve"> </w:t>
      </w:r>
      <w:r>
        <w:rPr>
          <w:bCs/>
          <w:sz w:val="22"/>
          <w:szCs w:val="22"/>
        </w:rPr>
        <w:t>The aim of this study was to determine the association of SES (</w:t>
      </w:r>
      <w:r w:rsidR="00EA4BA6">
        <w:rPr>
          <w:bCs/>
          <w:sz w:val="22"/>
          <w:szCs w:val="22"/>
        </w:rPr>
        <w:t xml:space="preserve">measured using </w:t>
      </w:r>
      <w:r>
        <w:rPr>
          <w:bCs/>
          <w:sz w:val="22"/>
          <w:szCs w:val="22"/>
        </w:rPr>
        <w:t xml:space="preserve">deprivation category at area of residence) </w:t>
      </w:r>
      <w:r w:rsidR="00CB66D4">
        <w:rPr>
          <w:bCs/>
          <w:sz w:val="22"/>
          <w:szCs w:val="22"/>
        </w:rPr>
        <w:t>and wider socio-demographic</w:t>
      </w:r>
      <w:r w:rsidR="002C73EE">
        <w:rPr>
          <w:bCs/>
          <w:sz w:val="22"/>
          <w:szCs w:val="22"/>
        </w:rPr>
        <w:t xml:space="preserve"> </w:t>
      </w:r>
      <w:r w:rsidR="002879F3">
        <w:rPr>
          <w:bCs/>
          <w:sz w:val="22"/>
          <w:szCs w:val="22"/>
        </w:rPr>
        <w:t xml:space="preserve">characteristics </w:t>
      </w:r>
      <w:r>
        <w:rPr>
          <w:bCs/>
          <w:sz w:val="22"/>
          <w:szCs w:val="22"/>
        </w:rPr>
        <w:t xml:space="preserve">with </w:t>
      </w:r>
      <w:r w:rsidR="00464DB2">
        <w:rPr>
          <w:bCs/>
          <w:sz w:val="22"/>
          <w:szCs w:val="22"/>
        </w:rPr>
        <w:t>r</w:t>
      </w:r>
      <w:r w:rsidR="00D16134">
        <w:rPr>
          <w:bCs/>
          <w:sz w:val="22"/>
          <w:szCs w:val="22"/>
        </w:rPr>
        <w:t>eceipt</w:t>
      </w:r>
      <w:r>
        <w:rPr>
          <w:bCs/>
          <w:sz w:val="22"/>
          <w:szCs w:val="22"/>
        </w:rPr>
        <w:t xml:space="preserve"> of trastuzumab </w:t>
      </w:r>
      <w:r w:rsidR="00CE3BA8">
        <w:rPr>
          <w:bCs/>
          <w:sz w:val="22"/>
          <w:szCs w:val="22"/>
        </w:rPr>
        <w:t>in</w:t>
      </w:r>
      <w:r w:rsidR="002879F3">
        <w:rPr>
          <w:bCs/>
          <w:sz w:val="22"/>
          <w:szCs w:val="22"/>
        </w:rPr>
        <w:t xml:space="preserve"> </w:t>
      </w:r>
      <w:r w:rsidR="00BE493B">
        <w:rPr>
          <w:bCs/>
          <w:sz w:val="22"/>
          <w:szCs w:val="22"/>
        </w:rPr>
        <w:t xml:space="preserve">a </w:t>
      </w:r>
      <w:r w:rsidR="00CE3BA8">
        <w:rPr>
          <w:bCs/>
          <w:sz w:val="22"/>
          <w:szCs w:val="22"/>
        </w:rPr>
        <w:t>(i) stage I</w:t>
      </w:r>
      <w:r w:rsidR="002C73EE">
        <w:rPr>
          <w:bCs/>
          <w:sz w:val="22"/>
          <w:szCs w:val="22"/>
        </w:rPr>
        <w:t>-III</w:t>
      </w:r>
      <w:r w:rsidR="00CE3BA8">
        <w:rPr>
          <w:bCs/>
          <w:sz w:val="22"/>
          <w:szCs w:val="22"/>
        </w:rPr>
        <w:t xml:space="preserve"> </w:t>
      </w:r>
      <w:r w:rsidR="001A0A55">
        <w:rPr>
          <w:bCs/>
          <w:sz w:val="22"/>
          <w:szCs w:val="22"/>
        </w:rPr>
        <w:t>(early</w:t>
      </w:r>
      <w:r w:rsidR="002879F3">
        <w:rPr>
          <w:bCs/>
          <w:sz w:val="22"/>
          <w:szCs w:val="22"/>
        </w:rPr>
        <w:t>)</w:t>
      </w:r>
      <w:r w:rsidR="00CE3BA8">
        <w:rPr>
          <w:bCs/>
          <w:sz w:val="22"/>
          <w:szCs w:val="22"/>
        </w:rPr>
        <w:t xml:space="preserve"> and; (ii) stage I</w:t>
      </w:r>
      <w:r w:rsidR="002C73EE">
        <w:rPr>
          <w:bCs/>
          <w:sz w:val="22"/>
          <w:szCs w:val="22"/>
        </w:rPr>
        <w:t>V</w:t>
      </w:r>
      <w:r w:rsidR="00CE3BA8">
        <w:rPr>
          <w:bCs/>
          <w:sz w:val="22"/>
          <w:szCs w:val="22"/>
        </w:rPr>
        <w:t xml:space="preserve"> </w:t>
      </w:r>
      <w:r w:rsidR="001A0A55">
        <w:rPr>
          <w:bCs/>
          <w:sz w:val="22"/>
          <w:szCs w:val="22"/>
        </w:rPr>
        <w:t xml:space="preserve">(metastatic) </w:t>
      </w:r>
      <w:r w:rsidR="002879F3">
        <w:rPr>
          <w:bCs/>
          <w:sz w:val="22"/>
          <w:szCs w:val="22"/>
        </w:rPr>
        <w:t xml:space="preserve">HER2+ </w:t>
      </w:r>
      <w:r w:rsidR="00064666">
        <w:rPr>
          <w:bCs/>
          <w:sz w:val="22"/>
          <w:szCs w:val="22"/>
        </w:rPr>
        <w:t xml:space="preserve">invasive </w:t>
      </w:r>
      <w:r w:rsidR="002879F3">
        <w:rPr>
          <w:bCs/>
          <w:sz w:val="22"/>
          <w:szCs w:val="22"/>
        </w:rPr>
        <w:t xml:space="preserve">breast cancer </w:t>
      </w:r>
      <w:r w:rsidR="00766A6B">
        <w:rPr>
          <w:bCs/>
          <w:sz w:val="22"/>
          <w:szCs w:val="22"/>
        </w:rPr>
        <w:t xml:space="preserve">female </w:t>
      </w:r>
      <w:r w:rsidR="002879F3">
        <w:rPr>
          <w:bCs/>
          <w:sz w:val="22"/>
          <w:szCs w:val="22"/>
        </w:rPr>
        <w:t>population using data from a publicly funded healthcare system.</w:t>
      </w:r>
    </w:p>
    <w:p w14:paraId="0333AE29" w14:textId="77777777" w:rsidR="00C35193" w:rsidRPr="00033A14" w:rsidRDefault="00C35193" w:rsidP="00EB2F6F">
      <w:pPr>
        <w:spacing w:line="360" w:lineRule="auto"/>
        <w:rPr>
          <w:bCs/>
          <w:sz w:val="22"/>
          <w:szCs w:val="22"/>
        </w:rPr>
      </w:pPr>
    </w:p>
    <w:p w14:paraId="61CAEAB1" w14:textId="5E1F73DD" w:rsidR="002C7865" w:rsidRPr="00033A14" w:rsidRDefault="002C7865" w:rsidP="00EB2F6F">
      <w:pPr>
        <w:spacing w:line="360" w:lineRule="auto"/>
        <w:rPr>
          <w:b/>
          <w:sz w:val="22"/>
          <w:szCs w:val="22"/>
        </w:rPr>
      </w:pPr>
      <w:r w:rsidRPr="00033A14">
        <w:rPr>
          <w:b/>
          <w:sz w:val="22"/>
          <w:szCs w:val="22"/>
        </w:rPr>
        <w:t>M</w:t>
      </w:r>
      <w:r w:rsidR="003072BE">
        <w:rPr>
          <w:b/>
          <w:sz w:val="22"/>
          <w:szCs w:val="22"/>
        </w:rPr>
        <w:t>aterials and M</w:t>
      </w:r>
      <w:r w:rsidRPr="00033A14">
        <w:rPr>
          <w:b/>
          <w:sz w:val="22"/>
          <w:szCs w:val="22"/>
        </w:rPr>
        <w:t>ethods</w:t>
      </w:r>
    </w:p>
    <w:p w14:paraId="5916EC33" w14:textId="591D672D" w:rsidR="00F77AD8" w:rsidRPr="00033A14" w:rsidRDefault="00F77AD8" w:rsidP="00EB2F6F">
      <w:pPr>
        <w:spacing w:line="360" w:lineRule="auto"/>
        <w:rPr>
          <w:bCs/>
          <w:i/>
          <w:iCs/>
          <w:color w:val="000000"/>
          <w:sz w:val="22"/>
          <w:szCs w:val="22"/>
        </w:rPr>
      </w:pPr>
      <w:r w:rsidRPr="00033A14">
        <w:rPr>
          <w:bCs/>
          <w:i/>
          <w:iCs/>
          <w:sz w:val="22"/>
          <w:szCs w:val="22"/>
        </w:rPr>
        <w:t xml:space="preserve">Study </w:t>
      </w:r>
      <w:r w:rsidR="00A81FA4" w:rsidRPr="00033A14">
        <w:rPr>
          <w:bCs/>
          <w:i/>
          <w:iCs/>
          <w:sz w:val="22"/>
          <w:szCs w:val="22"/>
        </w:rPr>
        <w:t>Design and Setting</w:t>
      </w:r>
    </w:p>
    <w:p w14:paraId="691155D6" w14:textId="23ED60E6" w:rsidR="00F77AD8" w:rsidRPr="00033A14" w:rsidRDefault="00AE17C5" w:rsidP="00EB2F6F">
      <w:pPr>
        <w:spacing w:line="360" w:lineRule="auto"/>
        <w:rPr>
          <w:bCs/>
          <w:sz w:val="22"/>
          <w:szCs w:val="22"/>
        </w:rPr>
      </w:pPr>
      <w:r w:rsidRPr="00033A14">
        <w:rPr>
          <w:color w:val="000000"/>
          <w:sz w:val="22"/>
          <w:szCs w:val="22"/>
        </w:rPr>
        <w:t>Population-based d</w:t>
      </w:r>
      <w:r w:rsidR="00F77AD8" w:rsidRPr="00033A14">
        <w:rPr>
          <w:color w:val="000000"/>
          <w:sz w:val="22"/>
          <w:szCs w:val="22"/>
        </w:rPr>
        <w:t xml:space="preserve">ata was </w:t>
      </w:r>
      <w:r w:rsidR="00E377ED">
        <w:rPr>
          <w:color w:val="000000"/>
          <w:sz w:val="22"/>
          <w:szCs w:val="22"/>
        </w:rPr>
        <w:t>extracted</w:t>
      </w:r>
      <w:r w:rsidR="00F77AD8" w:rsidRPr="00033A14">
        <w:rPr>
          <w:color w:val="000000"/>
          <w:sz w:val="22"/>
          <w:szCs w:val="22"/>
        </w:rPr>
        <w:t xml:space="preserve"> </w:t>
      </w:r>
      <w:r w:rsidR="00A81FA4" w:rsidRPr="00033A14">
        <w:rPr>
          <w:color w:val="000000"/>
          <w:sz w:val="22"/>
          <w:szCs w:val="22"/>
        </w:rPr>
        <w:t xml:space="preserve">from the National Cancer Registry Database (NCRD) </w:t>
      </w:r>
      <w:r w:rsidR="00E65978" w:rsidRPr="00033A14">
        <w:rPr>
          <w:color w:val="000000"/>
          <w:sz w:val="22"/>
          <w:szCs w:val="22"/>
        </w:rPr>
        <w:t xml:space="preserve">and </w:t>
      </w:r>
      <w:r w:rsidR="00E214F1">
        <w:rPr>
          <w:color w:val="000000"/>
          <w:sz w:val="22"/>
          <w:szCs w:val="22"/>
        </w:rPr>
        <w:t>S</w:t>
      </w:r>
      <w:r w:rsidR="00E65978" w:rsidRPr="00033A14">
        <w:rPr>
          <w:color w:val="000000"/>
          <w:sz w:val="22"/>
          <w:szCs w:val="22"/>
        </w:rPr>
        <w:t xml:space="preserve">ystemic </w:t>
      </w:r>
      <w:r w:rsidR="00E214F1">
        <w:rPr>
          <w:color w:val="000000"/>
          <w:sz w:val="22"/>
          <w:szCs w:val="22"/>
        </w:rPr>
        <w:t>A</w:t>
      </w:r>
      <w:r w:rsidR="00E65978" w:rsidRPr="00033A14">
        <w:rPr>
          <w:color w:val="000000"/>
          <w:sz w:val="22"/>
          <w:szCs w:val="22"/>
        </w:rPr>
        <w:t>nti-</w:t>
      </w:r>
      <w:r w:rsidR="00E214F1">
        <w:rPr>
          <w:color w:val="000000"/>
          <w:sz w:val="22"/>
          <w:szCs w:val="22"/>
        </w:rPr>
        <w:t>C</w:t>
      </w:r>
      <w:r w:rsidR="00E65978" w:rsidRPr="00033A14">
        <w:rPr>
          <w:color w:val="000000"/>
          <w:sz w:val="22"/>
          <w:szCs w:val="22"/>
        </w:rPr>
        <w:t xml:space="preserve">ancer </w:t>
      </w:r>
      <w:r w:rsidR="00E214F1">
        <w:rPr>
          <w:color w:val="000000"/>
          <w:sz w:val="22"/>
          <w:szCs w:val="22"/>
        </w:rPr>
        <w:t>T</w:t>
      </w:r>
      <w:r w:rsidR="00E65978" w:rsidRPr="00033A14">
        <w:rPr>
          <w:color w:val="000000"/>
          <w:sz w:val="22"/>
          <w:szCs w:val="22"/>
        </w:rPr>
        <w:t xml:space="preserve">herapy (SACT) dataset </w:t>
      </w:r>
      <w:r w:rsidR="00A81FA4" w:rsidRPr="00033A14">
        <w:rPr>
          <w:color w:val="000000"/>
          <w:sz w:val="22"/>
          <w:szCs w:val="22"/>
        </w:rPr>
        <w:t xml:space="preserve">in England </w:t>
      </w:r>
      <w:r w:rsidR="00F77AD8" w:rsidRPr="00033A14">
        <w:rPr>
          <w:color w:val="000000"/>
          <w:sz w:val="22"/>
          <w:szCs w:val="22"/>
        </w:rPr>
        <w:t xml:space="preserve">for </w:t>
      </w:r>
      <w:r w:rsidR="000C0F1C" w:rsidRPr="00033A14">
        <w:rPr>
          <w:color w:val="000000"/>
          <w:sz w:val="22"/>
          <w:szCs w:val="22"/>
        </w:rPr>
        <w:t xml:space="preserve">all </w:t>
      </w:r>
      <w:r w:rsidR="00F77AD8" w:rsidRPr="00033A14">
        <w:rPr>
          <w:color w:val="000000"/>
          <w:sz w:val="22"/>
          <w:szCs w:val="22"/>
        </w:rPr>
        <w:t>cases of women, of any age</w:t>
      </w:r>
      <w:r w:rsidR="00EA4BA6">
        <w:rPr>
          <w:color w:val="000000"/>
          <w:sz w:val="22"/>
          <w:szCs w:val="22"/>
        </w:rPr>
        <w:t>,</w:t>
      </w:r>
      <w:r w:rsidR="000B2DFF" w:rsidRPr="00033A14">
        <w:rPr>
          <w:color w:val="000000"/>
          <w:sz w:val="22"/>
          <w:szCs w:val="22"/>
        </w:rPr>
        <w:t xml:space="preserve"> diagnosed with </w:t>
      </w:r>
      <w:r w:rsidR="00F77AD8" w:rsidRPr="00033A14">
        <w:rPr>
          <w:color w:val="000000"/>
          <w:sz w:val="22"/>
          <w:szCs w:val="22"/>
        </w:rPr>
        <w:t xml:space="preserve">a primary invasive </w:t>
      </w:r>
      <w:r w:rsidR="000B2DFF" w:rsidRPr="00033A14">
        <w:rPr>
          <w:color w:val="000000"/>
          <w:sz w:val="22"/>
          <w:szCs w:val="22"/>
        </w:rPr>
        <w:t xml:space="preserve">stage I-IV </w:t>
      </w:r>
      <w:r w:rsidR="000C0F1C" w:rsidRPr="00033A14">
        <w:rPr>
          <w:color w:val="000000"/>
          <w:sz w:val="22"/>
          <w:szCs w:val="22"/>
        </w:rPr>
        <w:t xml:space="preserve">breast </w:t>
      </w:r>
      <w:r w:rsidR="0044558C">
        <w:rPr>
          <w:color w:val="000000"/>
          <w:sz w:val="22"/>
          <w:szCs w:val="22"/>
        </w:rPr>
        <w:t>tumor</w:t>
      </w:r>
      <w:r w:rsidR="00F77AD8" w:rsidRPr="00033A14">
        <w:rPr>
          <w:color w:val="000000"/>
          <w:sz w:val="22"/>
          <w:szCs w:val="22"/>
        </w:rPr>
        <w:t xml:space="preserve"> (International Classification of Diseases</w:t>
      </w:r>
      <w:r w:rsidR="00412F9B" w:rsidRPr="00033A14">
        <w:rPr>
          <w:color w:val="000000"/>
          <w:sz w:val="22"/>
          <w:szCs w:val="22"/>
        </w:rPr>
        <w:t xml:space="preserve"> (ICD)</w:t>
      </w:r>
      <w:r w:rsidR="00F77AD8" w:rsidRPr="00033A14">
        <w:rPr>
          <w:color w:val="000000"/>
          <w:sz w:val="22"/>
          <w:szCs w:val="22"/>
        </w:rPr>
        <w:t xml:space="preserve">, Tenth Revision C50.0 – C50.9) between </w:t>
      </w:r>
      <w:r w:rsidR="00A900AC" w:rsidRPr="00033A14">
        <w:rPr>
          <w:color w:val="000000"/>
          <w:sz w:val="22"/>
          <w:szCs w:val="22"/>
        </w:rPr>
        <w:t>1</w:t>
      </w:r>
      <w:r w:rsidR="00A900AC" w:rsidRPr="00033A14">
        <w:rPr>
          <w:color w:val="000000"/>
          <w:sz w:val="22"/>
          <w:szCs w:val="22"/>
          <w:vertAlign w:val="superscript"/>
        </w:rPr>
        <w:t>st</w:t>
      </w:r>
      <w:r w:rsidR="00A900AC" w:rsidRPr="00033A14">
        <w:rPr>
          <w:color w:val="000000"/>
          <w:sz w:val="22"/>
          <w:szCs w:val="22"/>
        </w:rPr>
        <w:t xml:space="preserve"> January 2012</w:t>
      </w:r>
      <w:r w:rsidR="00F77AD8" w:rsidRPr="00033A14">
        <w:rPr>
          <w:color w:val="000000"/>
          <w:sz w:val="22"/>
          <w:szCs w:val="22"/>
        </w:rPr>
        <w:t xml:space="preserve"> and 31</w:t>
      </w:r>
      <w:r w:rsidR="00A900AC" w:rsidRPr="00033A14">
        <w:rPr>
          <w:color w:val="000000"/>
          <w:sz w:val="22"/>
          <w:szCs w:val="22"/>
          <w:vertAlign w:val="superscript"/>
        </w:rPr>
        <w:t>st</w:t>
      </w:r>
      <w:r w:rsidR="00A900AC" w:rsidRPr="00033A14">
        <w:rPr>
          <w:color w:val="000000"/>
          <w:sz w:val="22"/>
          <w:szCs w:val="22"/>
        </w:rPr>
        <w:t xml:space="preserve"> December 2017</w:t>
      </w:r>
      <w:r w:rsidR="00C301D9" w:rsidRPr="00033A14">
        <w:rPr>
          <w:bCs/>
          <w:sz w:val="22"/>
          <w:szCs w:val="22"/>
        </w:rPr>
        <w:t>.</w:t>
      </w:r>
      <w:r w:rsidRPr="00033A14">
        <w:rPr>
          <w:bCs/>
          <w:sz w:val="22"/>
          <w:szCs w:val="22"/>
        </w:rPr>
        <w:t xml:space="preserve"> </w:t>
      </w:r>
      <w:r w:rsidR="00FB1256">
        <w:rPr>
          <w:bCs/>
          <w:sz w:val="22"/>
          <w:szCs w:val="22"/>
        </w:rPr>
        <w:t>Favorable</w:t>
      </w:r>
      <w:r w:rsidRPr="00033A14">
        <w:rPr>
          <w:bCs/>
          <w:sz w:val="22"/>
          <w:szCs w:val="22"/>
        </w:rPr>
        <w:t xml:space="preserve"> ethical </w:t>
      </w:r>
      <w:r w:rsidR="00F77AD8" w:rsidRPr="00033A14">
        <w:rPr>
          <w:color w:val="000000"/>
          <w:sz w:val="22"/>
          <w:szCs w:val="22"/>
        </w:rPr>
        <w:t xml:space="preserve">approval was obtained </w:t>
      </w:r>
      <w:r w:rsidR="006F509F" w:rsidRPr="00033A14">
        <w:rPr>
          <w:color w:val="000000"/>
          <w:sz w:val="22"/>
          <w:szCs w:val="22"/>
        </w:rPr>
        <w:t xml:space="preserve">from the Proportionate Review Sub-committee of the West Midlands-Edgbaston Research Ethics Committee </w:t>
      </w:r>
      <w:r w:rsidR="00F77AD8" w:rsidRPr="00033A14">
        <w:rPr>
          <w:color w:val="000000"/>
          <w:sz w:val="22"/>
          <w:szCs w:val="22"/>
        </w:rPr>
        <w:t>on October 16</w:t>
      </w:r>
      <w:r w:rsidR="00F77AD8" w:rsidRPr="00033A14">
        <w:rPr>
          <w:color w:val="000000"/>
          <w:sz w:val="22"/>
          <w:szCs w:val="22"/>
          <w:vertAlign w:val="superscript"/>
        </w:rPr>
        <w:t>th</w:t>
      </w:r>
      <w:r w:rsidR="00F77AD8" w:rsidRPr="00033A14">
        <w:rPr>
          <w:color w:val="000000"/>
          <w:sz w:val="22"/>
          <w:szCs w:val="22"/>
        </w:rPr>
        <w:t xml:space="preserve"> 2019 (Ref 19/WM/0317</w:t>
      </w:r>
      <w:r w:rsidR="000C0F1C" w:rsidRPr="00033A14">
        <w:rPr>
          <w:color w:val="000000"/>
          <w:sz w:val="22"/>
          <w:szCs w:val="22"/>
        </w:rPr>
        <w:t>)</w:t>
      </w:r>
      <w:r w:rsidRPr="00033A14">
        <w:rPr>
          <w:color w:val="000000"/>
          <w:sz w:val="22"/>
          <w:szCs w:val="22"/>
        </w:rPr>
        <w:t xml:space="preserve">. </w:t>
      </w:r>
      <w:r w:rsidR="00E25B70" w:rsidRPr="00033A14">
        <w:rPr>
          <w:bCs/>
          <w:sz w:val="22"/>
          <w:szCs w:val="22"/>
        </w:rPr>
        <w:t xml:space="preserve">Section 251 of the NHS Act 2006 grants legal permission to </w:t>
      </w:r>
      <w:r w:rsidR="00E00E22">
        <w:rPr>
          <w:bCs/>
          <w:sz w:val="22"/>
          <w:szCs w:val="22"/>
        </w:rPr>
        <w:t>register information on diagnosed</w:t>
      </w:r>
      <w:r w:rsidR="00E25B70" w:rsidRPr="00033A14">
        <w:rPr>
          <w:bCs/>
          <w:sz w:val="22"/>
          <w:szCs w:val="22"/>
        </w:rPr>
        <w:t xml:space="preserve"> cancer</w:t>
      </w:r>
      <w:r w:rsidR="00E00E22">
        <w:rPr>
          <w:bCs/>
          <w:sz w:val="22"/>
          <w:szCs w:val="22"/>
        </w:rPr>
        <w:t xml:space="preserve">s </w:t>
      </w:r>
      <w:r w:rsidR="00E25B70" w:rsidRPr="00033A14">
        <w:rPr>
          <w:bCs/>
          <w:sz w:val="22"/>
          <w:szCs w:val="22"/>
        </w:rPr>
        <w:t xml:space="preserve">without the need to seek </w:t>
      </w:r>
      <w:r w:rsidR="00E00E22">
        <w:rPr>
          <w:bCs/>
          <w:sz w:val="22"/>
          <w:szCs w:val="22"/>
        </w:rPr>
        <w:t xml:space="preserve">patient </w:t>
      </w:r>
      <w:r w:rsidR="00E25B70" w:rsidRPr="00033A14">
        <w:rPr>
          <w:bCs/>
          <w:sz w:val="22"/>
          <w:szCs w:val="22"/>
        </w:rPr>
        <w:t>consent.</w:t>
      </w:r>
      <w:r w:rsidR="00E25B70">
        <w:rPr>
          <w:bCs/>
          <w:sz w:val="22"/>
          <w:szCs w:val="22"/>
        </w:rPr>
        <w:t xml:space="preserve"> </w:t>
      </w:r>
      <w:r w:rsidRPr="00033A14">
        <w:rPr>
          <w:color w:val="000000"/>
          <w:sz w:val="22"/>
          <w:szCs w:val="22"/>
        </w:rPr>
        <w:t xml:space="preserve">The study </w:t>
      </w:r>
      <w:r w:rsidR="00A44B5C">
        <w:rPr>
          <w:color w:val="000000"/>
          <w:sz w:val="22"/>
          <w:szCs w:val="22"/>
        </w:rPr>
        <w:t>was</w:t>
      </w:r>
      <w:r w:rsidRPr="00033A14">
        <w:rPr>
          <w:color w:val="000000"/>
          <w:sz w:val="22"/>
          <w:szCs w:val="22"/>
        </w:rPr>
        <w:t xml:space="preserve"> </w:t>
      </w:r>
      <w:r w:rsidR="006F509F" w:rsidRPr="00033A14">
        <w:rPr>
          <w:color w:val="000000"/>
          <w:sz w:val="22"/>
          <w:szCs w:val="22"/>
        </w:rPr>
        <w:t>performed in accordance with the Declaration of Helsinki</w:t>
      </w:r>
      <w:r w:rsidRPr="00033A14">
        <w:rPr>
          <w:color w:val="000000"/>
          <w:sz w:val="22"/>
          <w:szCs w:val="22"/>
        </w:rPr>
        <w:t xml:space="preserve"> and</w:t>
      </w:r>
      <w:r w:rsidR="00C301D9" w:rsidRPr="00033A14">
        <w:rPr>
          <w:color w:val="000000"/>
          <w:sz w:val="22"/>
          <w:szCs w:val="22"/>
        </w:rPr>
        <w:t xml:space="preserve"> </w:t>
      </w:r>
      <w:r w:rsidR="00574EC9">
        <w:rPr>
          <w:color w:val="000000"/>
          <w:sz w:val="22"/>
          <w:szCs w:val="22"/>
        </w:rPr>
        <w:t xml:space="preserve">is </w:t>
      </w:r>
      <w:r w:rsidR="00F77AD8" w:rsidRPr="00033A14">
        <w:rPr>
          <w:color w:val="000000"/>
          <w:sz w:val="22"/>
          <w:szCs w:val="22"/>
        </w:rPr>
        <w:t>reported according to the Strengthening the Reporting of Observational Studies in Epidemiology (STROBE) guidelines</w:t>
      </w:r>
      <w:r w:rsidR="004F5904">
        <w:rPr>
          <w:color w:val="000000"/>
          <w:sz w:val="22"/>
          <w:szCs w:val="22"/>
        </w:rPr>
        <w:t xml:space="preserve"> (Supplementary </w:t>
      </w:r>
      <w:r w:rsidR="00F259E2">
        <w:rPr>
          <w:color w:val="000000"/>
          <w:sz w:val="22"/>
          <w:szCs w:val="22"/>
        </w:rPr>
        <w:t>Materials and Methods</w:t>
      </w:r>
      <w:r w:rsidR="004F5904">
        <w:rPr>
          <w:color w:val="000000"/>
          <w:sz w:val="22"/>
          <w:szCs w:val="22"/>
        </w:rPr>
        <w:t>)</w:t>
      </w:r>
      <w:r w:rsidRPr="00033A14">
        <w:rPr>
          <w:color w:val="000000"/>
          <w:sz w:val="22"/>
          <w:szCs w:val="22"/>
        </w:rPr>
        <w:t>.</w:t>
      </w:r>
      <w:r w:rsidR="00F77AD8" w:rsidRPr="00033A14">
        <w:rPr>
          <w:color w:val="000000"/>
          <w:sz w:val="22"/>
          <w:szCs w:val="22"/>
        </w:rPr>
        <w:fldChar w:fldCharType="begin"/>
      </w:r>
      <w:r w:rsidR="00103315">
        <w:rPr>
          <w:color w:val="000000"/>
          <w:sz w:val="22"/>
          <w:szCs w:val="22"/>
        </w:rPr>
        <w:instrText xml:space="preserve"> ADDIN ZOTERO_ITEM CSL_CITATION {"citationID":"TJQNX3TF","properties":{"formattedCitation":"\\super 31\\nosupersub{}","plainCitation":"31","noteIndex":0},"citationItems":[{"id":1527,"uris":["http://zotero.org/users/local/nRdURiV3/items/N626C2EE"],"itemData":{"id":1527,"type":"article-journal","abstract":"Much biomedical research is observational. The reporting of such research is often inadequate, which hampers the assessment of its strengths and weaknesses and of a study's generalizability. The Strengthening the Reporting of Observational Studies in Epidemiology (STROBE) Initiative developed recommendations on what should be included in an accurate and complete report of an observational study. We defined the scope of the recommendations to cover 3 main study designs: cohort, case-control, and cross-sectional studies. We convened a 2-day workshop in September 2004, with methodologists, researchers, and journal editors, to draft a checklist of items. This list was subsequently revised during several meetings of the coordinating group and in e-mail discussions with the larger group of STROBE contributors, taking into account empirical evidence and methodological considerations. The workshop and the subsequent iterative process of consultation and revision resulted in a checklist of 22 items (the STROBE Statement) that relate to the title, abstract, introduction, methods, results, and discussion sections of articles. Eighteen items are common to all 3 study designs and 4 are specific for cohort, case-control, or cross-sectional studies. A detailed Explanation and Elaboration document is published separately and is freely available at http://www.annals.org and on the Web sites of PLoS Medicine and Epidemiology. We hope that the STROBE Statement will contribute to improving the quality of reporting of observational studies.","container-title":"Annals of Internal Medicine","DOI":"10.7326/0003-4819-147-8-200710160-00010","ISSN":"1539-3704","issue":"8","journalAbbreviation":"Ann Intern Med","language":"eng","note":"PMID: 17938396","page":"573-577","source":"PubMed","title":"The Strengthening the Reporting of Observational Studies in Epidemiology (STROBE) statement: guidelines for reporting observational studies","title-short":"The Strengthening the Reporting of Observational Studies in Epidemiology (STROBE) statement","volume":"147","author":[{"family":"Elm","given":"Erik","non-dropping-particle":"von"},{"family":"Altman","given":"Douglas G."},{"family":"Egger","given":"Matthias"},{"family":"Pocock","given":"Stuart J."},{"family":"Gøtzsche","given":"Peter C."},{"family":"Vandenbroucke","given":"Jan P."},{"literal":"STROBE Initiative"}],"issued":{"date-parts":[["2007",10,16]]}}}],"schema":"https://github.com/citation-style-language/schema/raw/master/csl-citation.json"} </w:instrText>
      </w:r>
      <w:r w:rsidR="00F77AD8" w:rsidRPr="00033A14">
        <w:rPr>
          <w:color w:val="000000"/>
          <w:sz w:val="22"/>
          <w:szCs w:val="22"/>
        </w:rPr>
        <w:fldChar w:fldCharType="separate"/>
      </w:r>
      <w:r w:rsidR="00103315" w:rsidRPr="00103315">
        <w:rPr>
          <w:color w:val="000000"/>
          <w:sz w:val="22"/>
          <w:vertAlign w:val="superscript"/>
        </w:rPr>
        <w:t>31</w:t>
      </w:r>
      <w:r w:rsidR="00F77AD8" w:rsidRPr="00033A14">
        <w:rPr>
          <w:color w:val="000000"/>
          <w:sz w:val="22"/>
          <w:szCs w:val="22"/>
        </w:rPr>
        <w:fldChar w:fldCharType="end"/>
      </w:r>
    </w:p>
    <w:p w14:paraId="4A844D35" w14:textId="77777777" w:rsidR="00F77AD8" w:rsidRPr="00033A14" w:rsidRDefault="00F77AD8" w:rsidP="00EB2F6F">
      <w:pPr>
        <w:spacing w:line="360" w:lineRule="auto"/>
        <w:rPr>
          <w:b/>
          <w:sz w:val="22"/>
          <w:szCs w:val="22"/>
        </w:rPr>
      </w:pPr>
    </w:p>
    <w:p w14:paraId="37CE09D3" w14:textId="057F5036" w:rsidR="002C7865" w:rsidRPr="00033A14" w:rsidRDefault="002C7865" w:rsidP="00EB2F6F">
      <w:pPr>
        <w:spacing w:line="360" w:lineRule="auto"/>
        <w:rPr>
          <w:bCs/>
          <w:i/>
          <w:iCs/>
          <w:sz w:val="22"/>
          <w:szCs w:val="22"/>
        </w:rPr>
      </w:pPr>
      <w:r w:rsidRPr="00033A14">
        <w:rPr>
          <w:bCs/>
          <w:i/>
          <w:iCs/>
          <w:sz w:val="22"/>
          <w:szCs w:val="22"/>
        </w:rPr>
        <w:t>Data Source</w:t>
      </w:r>
      <w:r w:rsidR="00A037B2" w:rsidRPr="00033A14">
        <w:rPr>
          <w:bCs/>
          <w:i/>
          <w:iCs/>
          <w:sz w:val="22"/>
          <w:szCs w:val="22"/>
        </w:rPr>
        <w:t>s</w:t>
      </w:r>
      <w:r w:rsidRPr="00033A14">
        <w:rPr>
          <w:bCs/>
          <w:i/>
          <w:iCs/>
          <w:sz w:val="22"/>
          <w:szCs w:val="22"/>
        </w:rPr>
        <w:t xml:space="preserve"> </w:t>
      </w:r>
      <w:r w:rsidR="00027F5F" w:rsidRPr="00033A14">
        <w:rPr>
          <w:bCs/>
          <w:i/>
          <w:iCs/>
          <w:sz w:val="22"/>
          <w:szCs w:val="22"/>
        </w:rPr>
        <w:t>&amp; Linkage</w:t>
      </w:r>
    </w:p>
    <w:p w14:paraId="75E5F3C7" w14:textId="3662282B" w:rsidR="00E65978" w:rsidRDefault="00027F5F" w:rsidP="00EB2F6F">
      <w:pPr>
        <w:spacing w:line="360" w:lineRule="auto"/>
        <w:rPr>
          <w:color w:val="000000"/>
          <w:sz w:val="22"/>
          <w:szCs w:val="22"/>
        </w:rPr>
      </w:pPr>
      <w:r w:rsidRPr="00033A14">
        <w:rPr>
          <w:color w:val="000000"/>
          <w:sz w:val="22"/>
          <w:szCs w:val="22"/>
        </w:rPr>
        <w:t>The NCRD is a national cancer registry for patients living in England</w:t>
      </w:r>
      <w:r w:rsidR="000C0F1C" w:rsidRPr="00033A14">
        <w:rPr>
          <w:color w:val="000000"/>
          <w:sz w:val="22"/>
          <w:szCs w:val="22"/>
        </w:rPr>
        <w:t xml:space="preserve">, </w:t>
      </w:r>
      <w:r w:rsidR="006E34CA" w:rsidRPr="00033A14">
        <w:rPr>
          <w:color w:val="000000"/>
          <w:sz w:val="22"/>
          <w:szCs w:val="22"/>
        </w:rPr>
        <w:t>diagnosed with malignant and pre-malignant neoplasms.</w:t>
      </w:r>
      <w:r w:rsidR="00AE17C5" w:rsidRPr="00033A14">
        <w:rPr>
          <w:color w:val="000000"/>
          <w:sz w:val="22"/>
          <w:szCs w:val="22"/>
        </w:rPr>
        <w:fldChar w:fldCharType="begin"/>
      </w:r>
      <w:r w:rsidR="00103315">
        <w:rPr>
          <w:color w:val="000000"/>
          <w:sz w:val="22"/>
          <w:szCs w:val="22"/>
        </w:rPr>
        <w:instrText xml:space="preserve"> ADDIN ZOTERO_ITEM CSL_CITATION {"citationID":"SJ1FK3Iw","properties":{"formattedCitation":"\\super 32\\nosupersub{}","plainCitation":"32","noteIndex":0},"citationItems":[{"id":417,"uris":["http://zotero.org/users/local/nRdURiV3/items/2DE3Q78Y"],"itemData":{"id":417,"type":"article-journal","container-title":"International Journal of Epidemiology","DOI":"10.1093/ije/dyz076","ISSN":"0300-5771","issue":"1","journalAbbreviation":"International Journal of Epidemiology","note":"number: 1","page":"16-16h","source":"Silverchair","title":"Data Resource Profile: National Cancer Registration Dataset in England","title-short":"Data Resource Profile","volume":"49","author":[{"family":"Henson","given":"Katherine E"},{"family":"Elliss-Brookes","given":"Lucy"},{"family":"Coupland","given":"Victoria H"},{"family":"Payne","given":"Elsita"},{"family":"Vernon","given":"Sally"},{"family":"Rous","given":"Brian"},{"family":"Rashbass","given":"Jem"}],"issued":{"date-parts":[["2020",2,1]]}}}],"schema":"https://github.com/citation-style-language/schema/raw/master/csl-citation.json"} </w:instrText>
      </w:r>
      <w:r w:rsidR="00AE17C5" w:rsidRPr="00033A14">
        <w:rPr>
          <w:color w:val="000000"/>
          <w:sz w:val="22"/>
          <w:szCs w:val="22"/>
        </w:rPr>
        <w:fldChar w:fldCharType="separate"/>
      </w:r>
      <w:r w:rsidR="00103315" w:rsidRPr="00103315">
        <w:rPr>
          <w:color w:val="000000"/>
          <w:sz w:val="22"/>
          <w:vertAlign w:val="superscript"/>
        </w:rPr>
        <w:t>32</w:t>
      </w:r>
      <w:r w:rsidR="00AE17C5" w:rsidRPr="00033A14">
        <w:rPr>
          <w:color w:val="000000"/>
          <w:sz w:val="22"/>
          <w:szCs w:val="22"/>
        </w:rPr>
        <w:fldChar w:fldCharType="end"/>
      </w:r>
      <w:r w:rsidR="006E34CA" w:rsidRPr="00033A14">
        <w:rPr>
          <w:color w:val="000000"/>
          <w:sz w:val="22"/>
          <w:szCs w:val="22"/>
        </w:rPr>
        <w:t xml:space="preserve"> </w:t>
      </w:r>
      <w:r w:rsidR="00F322BA">
        <w:rPr>
          <w:color w:val="000000"/>
          <w:sz w:val="22"/>
          <w:szCs w:val="22"/>
        </w:rPr>
        <w:t>Registry d</w:t>
      </w:r>
      <w:r w:rsidR="006E34CA" w:rsidRPr="00033A14">
        <w:rPr>
          <w:color w:val="000000"/>
          <w:sz w:val="22"/>
          <w:szCs w:val="22"/>
        </w:rPr>
        <w:t>ata</w:t>
      </w:r>
      <w:r w:rsidR="000C0F1C" w:rsidRPr="00033A14">
        <w:rPr>
          <w:color w:val="000000"/>
          <w:sz w:val="22"/>
          <w:szCs w:val="22"/>
        </w:rPr>
        <w:t xml:space="preserve"> </w:t>
      </w:r>
      <w:r w:rsidR="006E34CA" w:rsidRPr="00033A14">
        <w:rPr>
          <w:color w:val="000000"/>
          <w:sz w:val="22"/>
          <w:szCs w:val="22"/>
        </w:rPr>
        <w:t xml:space="preserve">is </w:t>
      </w:r>
      <w:r w:rsidR="00746BCE" w:rsidRPr="00033A14">
        <w:rPr>
          <w:color w:val="000000"/>
          <w:sz w:val="22"/>
          <w:szCs w:val="22"/>
        </w:rPr>
        <w:t xml:space="preserve">compiled into an event-based registration model </w:t>
      </w:r>
      <w:r w:rsidR="006E34CA" w:rsidRPr="00033A14">
        <w:rPr>
          <w:color w:val="000000"/>
          <w:sz w:val="22"/>
          <w:szCs w:val="22"/>
        </w:rPr>
        <w:t>with patient NHS numbers providing unique identifiers for data linkage</w:t>
      </w:r>
      <w:r w:rsidR="005F2EC5" w:rsidRPr="00033A14">
        <w:rPr>
          <w:color w:val="000000"/>
          <w:sz w:val="22"/>
          <w:szCs w:val="22"/>
        </w:rPr>
        <w:t>.</w:t>
      </w:r>
      <w:r w:rsidR="00A70711" w:rsidRPr="00033A14">
        <w:rPr>
          <w:color w:val="000000"/>
          <w:sz w:val="22"/>
          <w:szCs w:val="22"/>
        </w:rPr>
        <w:fldChar w:fldCharType="begin"/>
      </w:r>
      <w:r w:rsidR="00103315">
        <w:rPr>
          <w:color w:val="000000"/>
          <w:sz w:val="22"/>
          <w:szCs w:val="22"/>
        </w:rPr>
        <w:instrText xml:space="preserve"> ADDIN ZOTERO_ITEM CSL_CITATION {"citationID":"5h30OaKP","properties":{"formattedCitation":"\\super 32\\nosupersub{}","plainCitation":"32","noteIndex":0},"citationItems":[{"id":417,"uris":["http://zotero.org/users/local/nRdURiV3/items/2DE3Q78Y"],"itemData":{"id":417,"type":"article-journal","container-title":"International Journal of Epidemiology","DOI":"10.1093/ije/dyz076","ISSN":"0300-5771","issue":"1","journalAbbreviation":"International Journal of Epidemiology","note":"number: 1","page":"16-16h","source":"Silverchair","title":"Data Resource Profile: National Cancer Registration Dataset in England","title-short":"Data Resource Profile","volume":"49","author":[{"family":"Henson","given":"Katherine E"},{"family":"Elliss-Brookes","given":"Lucy"},{"family":"Coupland","given":"Victoria H"},{"family":"Payne","given":"Elsita"},{"family":"Vernon","given":"Sally"},{"family":"Rous","given":"Brian"},{"family":"Rashbass","given":"Jem"}],"issued":{"date-parts":[["2020",2,1]]}}}],"schema":"https://github.com/citation-style-language/schema/raw/master/csl-citation.json"} </w:instrText>
      </w:r>
      <w:r w:rsidR="00A70711" w:rsidRPr="00033A14">
        <w:rPr>
          <w:color w:val="000000"/>
          <w:sz w:val="22"/>
          <w:szCs w:val="22"/>
        </w:rPr>
        <w:fldChar w:fldCharType="separate"/>
      </w:r>
      <w:r w:rsidR="00103315" w:rsidRPr="00103315">
        <w:rPr>
          <w:color w:val="000000"/>
          <w:sz w:val="22"/>
          <w:vertAlign w:val="superscript"/>
        </w:rPr>
        <w:t>32</w:t>
      </w:r>
      <w:r w:rsidR="00A70711" w:rsidRPr="00033A14">
        <w:rPr>
          <w:color w:val="000000"/>
          <w:sz w:val="22"/>
          <w:szCs w:val="22"/>
        </w:rPr>
        <w:fldChar w:fldCharType="end"/>
      </w:r>
      <w:r w:rsidR="006E34CA" w:rsidRPr="00033A14">
        <w:rPr>
          <w:color w:val="000000"/>
          <w:sz w:val="22"/>
          <w:szCs w:val="22"/>
        </w:rPr>
        <w:t xml:space="preserve"> </w:t>
      </w:r>
      <w:r w:rsidR="00746BCE" w:rsidRPr="00033A14">
        <w:rPr>
          <w:color w:val="000000"/>
          <w:sz w:val="22"/>
          <w:szCs w:val="22"/>
        </w:rPr>
        <w:t>NCRD d</w:t>
      </w:r>
      <w:r w:rsidR="00A70711" w:rsidRPr="00033A14">
        <w:rPr>
          <w:color w:val="000000"/>
          <w:sz w:val="22"/>
          <w:szCs w:val="22"/>
        </w:rPr>
        <w:t>ata obtained was as follows: deprivation category of area of residence at diagnosis measur</w:t>
      </w:r>
      <w:r w:rsidR="000C0F1C" w:rsidRPr="00033A14">
        <w:rPr>
          <w:color w:val="000000"/>
          <w:sz w:val="22"/>
          <w:szCs w:val="22"/>
        </w:rPr>
        <w:t>ed</w:t>
      </w:r>
      <w:r w:rsidR="00A70711" w:rsidRPr="00033A14">
        <w:rPr>
          <w:color w:val="000000"/>
          <w:sz w:val="22"/>
          <w:szCs w:val="22"/>
        </w:rPr>
        <w:t xml:space="preserve"> using quintile rank of the incomes domain of the Index of Multiple Deprivation (IMD), sex, age, year of diagnosis, ethnicity, rural/urban residence, </w:t>
      </w:r>
      <w:r w:rsidR="005F2EC5" w:rsidRPr="00033A14">
        <w:rPr>
          <w:color w:val="000000"/>
          <w:sz w:val="22"/>
          <w:szCs w:val="22"/>
        </w:rPr>
        <w:t>government region,</w:t>
      </w:r>
      <w:r w:rsidR="005F2EC5" w:rsidRPr="00033A14">
        <w:rPr>
          <w:color w:val="000000"/>
          <w:sz w:val="22"/>
          <w:szCs w:val="22"/>
        </w:rPr>
        <w:fldChar w:fldCharType="begin"/>
      </w:r>
      <w:r w:rsidR="00103315">
        <w:rPr>
          <w:color w:val="000000"/>
          <w:sz w:val="22"/>
          <w:szCs w:val="22"/>
        </w:rPr>
        <w:instrText xml:space="preserve"> ADDIN ZOTERO_ITEM CSL_CITATION {"citationID":"dIgcrBsM","properties":{"formattedCitation":"\\super 33\\nosupersub{}","plainCitation":"33","noteIndex":0},"citationItems":[{"id":416,"uris":["http://zotero.org/users/local/nRdURiV3/items/HV8C7IIS"],"itemData":{"id":416,"type":"webpage","title":"England: Detailed information on the administrative structure within England.","URL":"https://www.ons.gov.uk/methodology/geography/ukgeographies/administrativegeography/england","author":[{"literal":"ONS"}],"accessed":{"date-parts":[["2021",8,30]]},"issued":{"date-parts":[["2021",8,30]]}}}],"schema":"https://github.com/citation-style-language/schema/raw/master/csl-citation.json"} </w:instrText>
      </w:r>
      <w:r w:rsidR="005F2EC5" w:rsidRPr="00033A14">
        <w:rPr>
          <w:color w:val="000000"/>
          <w:sz w:val="22"/>
          <w:szCs w:val="22"/>
        </w:rPr>
        <w:fldChar w:fldCharType="separate"/>
      </w:r>
      <w:r w:rsidR="00103315" w:rsidRPr="00103315">
        <w:rPr>
          <w:color w:val="000000"/>
          <w:sz w:val="22"/>
          <w:vertAlign w:val="superscript"/>
        </w:rPr>
        <w:t>33</w:t>
      </w:r>
      <w:r w:rsidR="005F2EC5" w:rsidRPr="00033A14">
        <w:rPr>
          <w:color w:val="000000"/>
          <w:sz w:val="22"/>
          <w:szCs w:val="22"/>
        </w:rPr>
        <w:fldChar w:fldCharType="end"/>
      </w:r>
      <w:r w:rsidR="005F2EC5" w:rsidRPr="00033A14">
        <w:rPr>
          <w:color w:val="000000"/>
          <w:sz w:val="22"/>
          <w:szCs w:val="22"/>
        </w:rPr>
        <w:t xml:space="preserve"> </w:t>
      </w:r>
      <w:r w:rsidR="00A70711" w:rsidRPr="00033A14">
        <w:rPr>
          <w:color w:val="000000"/>
          <w:sz w:val="22"/>
          <w:szCs w:val="22"/>
        </w:rPr>
        <w:t>stage at diagnosis (</w:t>
      </w:r>
      <w:r w:rsidR="0044558C">
        <w:rPr>
          <w:color w:val="000000"/>
          <w:sz w:val="22"/>
          <w:szCs w:val="22"/>
        </w:rPr>
        <w:t>tumor</w:t>
      </w:r>
      <w:r w:rsidR="005F2EC5" w:rsidRPr="00033A14">
        <w:rPr>
          <w:color w:val="000000"/>
          <w:sz w:val="22"/>
          <w:szCs w:val="22"/>
        </w:rPr>
        <w:t>, nodes, and metastasis (</w:t>
      </w:r>
      <w:r w:rsidR="00A70711" w:rsidRPr="00033A14">
        <w:rPr>
          <w:color w:val="000000"/>
          <w:sz w:val="22"/>
          <w:szCs w:val="22"/>
        </w:rPr>
        <w:t>TNM</w:t>
      </w:r>
      <w:r w:rsidR="005F2EC5" w:rsidRPr="00033A14">
        <w:rPr>
          <w:color w:val="000000"/>
          <w:sz w:val="22"/>
          <w:szCs w:val="22"/>
        </w:rPr>
        <w:t>)</w:t>
      </w:r>
      <w:r w:rsidR="00A70711" w:rsidRPr="00033A14">
        <w:rPr>
          <w:color w:val="000000"/>
          <w:sz w:val="22"/>
          <w:szCs w:val="22"/>
        </w:rPr>
        <w:t xml:space="preserve"> summary stage)</w:t>
      </w:r>
      <w:r w:rsidR="005F2EC5" w:rsidRPr="00033A14">
        <w:rPr>
          <w:color w:val="000000"/>
          <w:sz w:val="22"/>
          <w:szCs w:val="22"/>
        </w:rPr>
        <w:t>,</w:t>
      </w:r>
      <w:r w:rsidR="00A70711" w:rsidRPr="00033A14">
        <w:rPr>
          <w:color w:val="000000"/>
          <w:sz w:val="22"/>
          <w:szCs w:val="22"/>
        </w:rPr>
        <w:fldChar w:fldCharType="begin"/>
      </w:r>
      <w:r w:rsidR="00103315">
        <w:rPr>
          <w:color w:val="000000"/>
          <w:sz w:val="22"/>
          <w:szCs w:val="22"/>
        </w:rPr>
        <w:instrText xml:space="preserve"> ADDIN ZOTERO_ITEM CSL_CITATION {"citationID":"Hysdwr1V","properties":{"formattedCitation":"\\super 34\\nosupersub{}","plainCitation":"34","noteIndex":0},"citationItems":[{"id":1570,"uris":["http://zotero.org/users/local/nRdURiV3/items/2QGWQQHJ"],"itemData":{"id":1570,"type":"document","title":"TNM: Classification of Malignant Tumours. 8th Edition. New York, NY. Wiley.","author":[{"family":"Union for International Cancer Control","given":""}],"issued":{"date-parts":[["2016"]]}}}],"schema":"https://github.com/citation-style-language/schema/raw/master/csl-citation.json"} </w:instrText>
      </w:r>
      <w:r w:rsidR="00A70711" w:rsidRPr="00033A14">
        <w:rPr>
          <w:color w:val="000000"/>
          <w:sz w:val="22"/>
          <w:szCs w:val="22"/>
        </w:rPr>
        <w:fldChar w:fldCharType="separate"/>
      </w:r>
      <w:r w:rsidR="00103315" w:rsidRPr="00103315">
        <w:rPr>
          <w:color w:val="000000"/>
          <w:sz w:val="22"/>
          <w:vertAlign w:val="superscript"/>
        </w:rPr>
        <w:t>34</w:t>
      </w:r>
      <w:r w:rsidR="00A70711" w:rsidRPr="00033A14">
        <w:rPr>
          <w:color w:val="000000"/>
          <w:sz w:val="22"/>
          <w:szCs w:val="22"/>
        </w:rPr>
        <w:fldChar w:fldCharType="end"/>
      </w:r>
      <w:r w:rsidR="00A70711" w:rsidRPr="00033A14">
        <w:rPr>
          <w:color w:val="000000"/>
          <w:sz w:val="22"/>
          <w:szCs w:val="22"/>
        </w:rPr>
        <w:t xml:space="preserve"> </w:t>
      </w:r>
      <w:r w:rsidR="005F2EC5" w:rsidRPr="00033A14">
        <w:rPr>
          <w:color w:val="000000"/>
          <w:sz w:val="22"/>
          <w:szCs w:val="22"/>
        </w:rPr>
        <w:t xml:space="preserve">grade, </w:t>
      </w:r>
      <w:r w:rsidR="006B1A8C">
        <w:rPr>
          <w:color w:val="000000"/>
          <w:sz w:val="22"/>
          <w:szCs w:val="22"/>
        </w:rPr>
        <w:t xml:space="preserve">HER2 status, </w:t>
      </w:r>
      <w:r w:rsidR="0044558C">
        <w:rPr>
          <w:color w:val="000000"/>
          <w:sz w:val="22"/>
          <w:szCs w:val="22"/>
        </w:rPr>
        <w:t>estrogen</w:t>
      </w:r>
      <w:r w:rsidR="006B1A8C" w:rsidRPr="00033A14">
        <w:rPr>
          <w:color w:val="000000"/>
          <w:sz w:val="22"/>
          <w:szCs w:val="22"/>
        </w:rPr>
        <w:t xml:space="preserve"> receptor </w:t>
      </w:r>
      <w:r w:rsidR="006B1A8C">
        <w:rPr>
          <w:color w:val="000000"/>
          <w:sz w:val="22"/>
          <w:szCs w:val="22"/>
        </w:rPr>
        <w:t xml:space="preserve">(ER) </w:t>
      </w:r>
      <w:r w:rsidR="006B1A8C" w:rsidRPr="00033A14">
        <w:rPr>
          <w:color w:val="000000"/>
          <w:sz w:val="22"/>
          <w:szCs w:val="22"/>
        </w:rPr>
        <w:t>status</w:t>
      </w:r>
      <w:r w:rsidR="006B1A8C">
        <w:rPr>
          <w:color w:val="000000"/>
          <w:sz w:val="22"/>
          <w:szCs w:val="22"/>
        </w:rPr>
        <w:t xml:space="preserve">, </w:t>
      </w:r>
      <w:r w:rsidR="00A70711" w:rsidRPr="00033A14">
        <w:rPr>
          <w:color w:val="000000"/>
          <w:sz w:val="22"/>
          <w:szCs w:val="22"/>
        </w:rPr>
        <w:t xml:space="preserve">presence of multiple </w:t>
      </w:r>
      <w:r w:rsidR="0044558C">
        <w:rPr>
          <w:color w:val="000000"/>
          <w:sz w:val="22"/>
          <w:szCs w:val="22"/>
        </w:rPr>
        <w:t>tumor</w:t>
      </w:r>
      <w:r w:rsidR="00A70711" w:rsidRPr="00033A14">
        <w:rPr>
          <w:color w:val="000000"/>
          <w:sz w:val="22"/>
          <w:szCs w:val="22"/>
        </w:rPr>
        <w:t>s</w:t>
      </w:r>
      <w:r w:rsidR="00F322BA">
        <w:rPr>
          <w:color w:val="000000"/>
          <w:sz w:val="22"/>
          <w:szCs w:val="22"/>
        </w:rPr>
        <w:t>,</w:t>
      </w:r>
      <w:r w:rsidR="00A70711" w:rsidRPr="00033A14">
        <w:rPr>
          <w:color w:val="000000"/>
          <w:sz w:val="22"/>
          <w:szCs w:val="22"/>
        </w:rPr>
        <w:t xml:space="preserve"> </w:t>
      </w:r>
      <w:r w:rsidR="002E7974">
        <w:rPr>
          <w:color w:val="000000"/>
          <w:sz w:val="22"/>
          <w:szCs w:val="22"/>
        </w:rPr>
        <w:lastRenderedPageBreak/>
        <w:t>number of</w:t>
      </w:r>
      <w:r w:rsidR="00A70711" w:rsidRPr="00033A14">
        <w:rPr>
          <w:color w:val="000000"/>
          <w:sz w:val="22"/>
          <w:szCs w:val="22"/>
        </w:rPr>
        <w:t xml:space="preserve"> comorbidities</w:t>
      </w:r>
      <w:r w:rsidR="005F2EC5" w:rsidRPr="00033A14">
        <w:rPr>
          <w:color w:val="000000"/>
          <w:sz w:val="22"/>
          <w:szCs w:val="22"/>
        </w:rPr>
        <w:t xml:space="preserve">, discussion at </w:t>
      </w:r>
      <w:r w:rsidR="00064666">
        <w:rPr>
          <w:color w:val="000000"/>
          <w:sz w:val="22"/>
          <w:szCs w:val="22"/>
        </w:rPr>
        <w:t xml:space="preserve">a </w:t>
      </w:r>
      <w:r w:rsidR="005F2EC5" w:rsidRPr="00033A14">
        <w:rPr>
          <w:color w:val="000000"/>
          <w:sz w:val="22"/>
          <w:szCs w:val="22"/>
        </w:rPr>
        <w:t xml:space="preserve">multidisciplinary team </w:t>
      </w:r>
      <w:r w:rsidR="00064666">
        <w:rPr>
          <w:color w:val="000000"/>
          <w:sz w:val="22"/>
          <w:szCs w:val="22"/>
        </w:rPr>
        <w:t xml:space="preserve">meeting </w:t>
      </w:r>
      <w:r w:rsidR="005F2EC5" w:rsidRPr="00033A14">
        <w:rPr>
          <w:color w:val="000000"/>
          <w:sz w:val="22"/>
          <w:szCs w:val="22"/>
        </w:rPr>
        <w:t>(MDT),</w:t>
      </w:r>
      <w:r w:rsidR="00E753BB" w:rsidRPr="00033A14">
        <w:rPr>
          <w:color w:val="000000"/>
          <w:sz w:val="22"/>
          <w:szCs w:val="22"/>
        </w:rPr>
        <w:t xml:space="preserve"> </w:t>
      </w:r>
      <w:r w:rsidR="00E7521F">
        <w:rPr>
          <w:color w:val="000000"/>
          <w:sz w:val="22"/>
          <w:szCs w:val="22"/>
        </w:rPr>
        <w:t xml:space="preserve">and </w:t>
      </w:r>
      <w:r w:rsidR="00E753BB" w:rsidRPr="00033A14">
        <w:rPr>
          <w:color w:val="000000"/>
          <w:sz w:val="22"/>
          <w:szCs w:val="22"/>
        </w:rPr>
        <w:t xml:space="preserve">receipt of </w:t>
      </w:r>
      <w:r w:rsidR="00746BCE" w:rsidRPr="00033A14">
        <w:rPr>
          <w:color w:val="000000"/>
          <w:sz w:val="22"/>
          <w:szCs w:val="22"/>
        </w:rPr>
        <w:t xml:space="preserve">cancer directed </w:t>
      </w:r>
      <w:r w:rsidR="00E753BB" w:rsidRPr="00033A14">
        <w:rPr>
          <w:color w:val="000000"/>
          <w:sz w:val="22"/>
          <w:szCs w:val="22"/>
        </w:rPr>
        <w:t>surgery and</w:t>
      </w:r>
      <w:r w:rsidR="00064666">
        <w:rPr>
          <w:color w:val="000000"/>
          <w:sz w:val="22"/>
          <w:szCs w:val="22"/>
        </w:rPr>
        <w:t>/or</w:t>
      </w:r>
      <w:r w:rsidR="00E753BB" w:rsidRPr="00033A14">
        <w:rPr>
          <w:color w:val="000000"/>
          <w:sz w:val="22"/>
          <w:szCs w:val="22"/>
        </w:rPr>
        <w:t xml:space="preserve"> chemotherapy within six months of diagnosis.</w:t>
      </w:r>
      <w:r w:rsidR="00A70711" w:rsidRPr="00033A14">
        <w:rPr>
          <w:color w:val="000000"/>
          <w:sz w:val="22"/>
          <w:szCs w:val="22"/>
        </w:rPr>
        <w:t xml:space="preserve"> </w:t>
      </w:r>
    </w:p>
    <w:p w14:paraId="4B7A5A93" w14:textId="77777777" w:rsidR="00D07DD1" w:rsidRDefault="00D07DD1" w:rsidP="00EB2F6F">
      <w:pPr>
        <w:spacing w:line="360" w:lineRule="auto"/>
        <w:rPr>
          <w:color w:val="000000"/>
          <w:sz w:val="22"/>
          <w:szCs w:val="22"/>
        </w:rPr>
      </w:pPr>
    </w:p>
    <w:p w14:paraId="32D0A6F2" w14:textId="5C701E73" w:rsidR="003B1CCC" w:rsidRPr="00033A14" w:rsidRDefault="00A70711" w:rsidP="00EB2F6F">
      <w:pPr>
        <w:spacing w:line="360" w:lineRule="auto"/>
        <w:rPr>
          <w:color w:val="000000"/>
          <w:sz w:val="22"/>
          <w:szCs w:val="22"/>
        </w:rPr>
      </w:pPr>
      <w:r w:rsidRPr="00033A14">
        <w:rPr>
          <w:color w:val="000000"/>
          <w:sz w:val="22"/>
          <w:szCs w:val="22"/>
        </w:rPr>
        <w:t>S</w:t>
      </w:r>
      <w:r w:rsidR="003B1CCC" w:rsidRPr="00033A14">
        <w:rPr>
          <w:color w:val="000000"/>
          <w:sz w:val="22"/>
          <w:szCs w:val="22"/>
        </w:rPr>
        <w:t xml:space="preserve">ACT is a </w:t>
      </w:r>
      <w:r w:rsidR="00C91204">
        <w:rPr>
          <w:color w:val="000000"/>
          <w:sz w:val="22"/>
          <w:szCs w:val="22"/>
        </w:rPr>
        <w:t xml:space="preserve">relatively </w:t>
      </w:r>
      <w:r w:rsidR="003B1CCC" w:rsidRPr="00033A14">
        <w:rPr>
          <w:color w:val="000000"/>
          <w:sz w:val="22"/>
          <w:szCs w:val="22"/>
        </w:rPr>
        <w:t>new resource</w:t>
      </w:r>
      <w:r w:rsidR="00E67CC0" w:rsidRPr="00033A14">
        <w:rPr>
          <w:color w:val="000000"/>
          <w:sz w:val="22"/>
          <w:szCs w:val="22"/>
        </w:rPr>
        <w:t>,</w:t>
      </w:r>
      <w:r w:rsidR="003B1CCC" w:rsidRPr="00033A14">
        <w:rPr>
          <w:color w:val="000000"/>
          <w:sz w:val="22"/>
          <w:szCs w:val="22"/>
        </w:rPr>
        <w:t xml:space="preserve"> captur</w:t>
      </w:r>
      <w:r w:rsidR="00E65978" w:rsidRPr="00033A14">
        <w:rPr>
          <w:color w:val="000000"/>
          <w:sz w:val="22"/>
          <w:szCs w:val="22"/>
        </w:rPr>
        <w:t>ing</w:t>
      </w:r>
      <w:r w:rsidR="003B1CCC" w:rsidRPr="00033A14">
        <w:rPr>
          <w:color w:val="000000"/>
          <w:sz w:val="22"/>
          <w:szCs w:val="22"/>
        </w:rPr>
        <w:t xml:space="preserve"> drug level information on routinely administered SACT</w:t>
      </w:r>
      <w:r w:rsidR="00E10E8D" w:rsidRPr="00033A14">
        <w:rPr>
          <w:color w:val="000000"/>
          <w:sz w:val="22"/>
          <w:szCs w:val="22"/>
        </w:rPr>
        <w:t xml:space="preserve"> (e.g.</w:t>
      </w:r>
      <w:r w:rsidR="003B1CCC" w:rsidRPr="00033A14">
        <w:rPr>
          <w:color w:val="000000"/>
          <w:sz w:val="22"/>
          <w:szCs w:val="22"/>
        </w:rPr>
        <w:t xml:space="preserve"> </w:t>
      </w:r>
      <w:r w:rsidR="00E10E8D" w:rsidRPr="00033A14">
        <w:rPr>
          <w:color w:val="000000"/>
          <w:sz w:val="22"/>
          <w:szCs w:val="22"/>
        </w:rPr>
        <w:t xml:space="preserve">standard chemotherapy, </w:t>
      </w:r>
      <w:r w:rsidR="00F3795C" w:rsidRPr="00033A14">
        <w:rPr>
          <w:color w:val="000000"/>
          <w:sz w:val="22"/>
          <w:szCs w:val="22"/>
        </w:rPr>
        <w:t xml:space="preserve">targeted therapy, </w:t>
      </w:r>
      <w:r w:rsidR="00E10E8D" w:rsidRPr="00033A14">
        <w:rPr>
          <w:color w:val="000000"/>
          <w:sz w:val="22"/>
          <w:szCs w:val="22"/>
        </w:rPr>
        <w:t xml:space="preserve">immunotherapy, targeted biologicals, and modifying supportive therapies) </w:t>
      </w:r>
      <w:r w:rsidR="003B1CCC" w:rsidRPr="00033A14">
        <w:rPr>
          <w:color w:val="000000"/>
          <w:sz w:val="22"/>
          <w:szCs w:val="22"/>
        </w:rPr>
        <w:t>in secondary and tertiary NHS providers</w:t>
      </w:r>
      <w:r w:rsidR="00C80628" w:rsidRPr="00033A14">
        <w:rPr>
          <w:color w:val="000000"/>
          <w:sz w:val="22"/>
          <w:szCs w:val="22"/>
        </w:rPr>
        <w:t xml:space="preserve"> </w:t>
      </w:r>
      <w:r w:rsidRPr="00033A14">
        <w:rPr>
          <w:color w:val="000000"/>
          <w:sz w:val="22"/>
          <w:szCs w:val="22"/>
        </w:rPr>
        <w:t>in England</w:t>
      </w:r>
      <w:r w:rsidR="004367B3" w:rsidRPr="00033A14">
        <w:rPr>
          <w:color w:val="000000"/>
          <w:sz w:val="22"/>
          <w:szCs w:val="22"/>
        </w:rPr>
        <w:t>.</w:t>
      </w:r>
      <w:r w:rsidR="00C80628" w:rsidRPr="00033A14">
        <w:rPr>
          <w:color w:val="000000"/>
          <w:sz w:val="22"/>
          <w:szCs w:val="22"/>
        </w:rPr>
        <w:fldChar w:fldCharType="begin"/>
      </w:r>
      <w:r w:rsidR="00203C6E">
        <w:rPr>
          <w:color w:val="000000"/>
          <w:sz w:val="22"/>
          <w:szCs w:val="22"/>
        </w:rPr>
        <w:instrText xml:space="preserve"> ADDIN ZOTERO_ITEM CSL_CITATION {"citationID":"95qNWM4I","properties":{"formattedCitation":"\\super 35\\nosupersub{}","plainCitation":"35","noteIndex":0},"citationItems":[{"id":"nMalwRdq/GtPj3cf4","uris":["http://zotero.org/users/6915713/items/YYB5PW6S",["http://zotero.org/users/6915713/items/YYB5PW6S"]],"itemData":{"id":429,"type":"article-journal","container-title":"International Journal of Epidemiology","DOI":"10.1093/ije/dyz137","ISSN":"0300-5771","issue":"1","journalAbbreviation":"International Journal of Epidemiology","page":"15-15l","source":"Silverchair","title":"Data Resource Profile: The Systemic Anti-Cancer Therapy (SACT) dataset","title-short":"Data Resource Profile","URL":"https://doi.org/10.1093/ije/dyz137","volume":"49","author":[{"family":"Bright","given":"Chloe J"},{"family":"Lawton","given":"Sarah"},{"family":"Benson","given":"Stephen"},{"family":"Bomb","given":"Martine"},{"family":"Dodwell","given":"David"},{"family":"Henson","given":"Katherine E"},{"family":"McPhail","given":"Sean"},{"family":"Miller","given":"Louise"},{"family":"Rashbass","given":"Jem"},{"family":"Turnbull","given":"Alice"},{"family":"Smittenaar","given":"Rebecca"}],"accessed":{"date-parts":[["2021",8,31]]},"issued":{"date-parts":[["2020",2,1]]}}}],"schema":"https://github.com/citation-style-language/schema/raw/master/csl-citation.json"} </w:instrText>
      </w:r>
      <w:r w:rsidR="00C80628" w:rsidRPr="00033A14">
        <w:rPr>
          <w:color w:val="000000"/>
          <w:sz w:val="22"/>
          <w:szCs w:val="22"/>
        </w:rPr>
        <w:fldChar w:fldCharType="separate"/>
      </w:r>
      <w:r w:rsidR="00103315" w:rsidRPr="00103315">
        <w:rPr>
          <w:color w:val="000000"/>
          <w:sz w:val="22"/>
          <w:vertAlign w:val="superscript"/>
        </w:rPr>
        <w:t>35</w:t>
      </w:r>
      <w:r w:rsidR="00C80628" w:rsidRPr="00033A14">
        <w:rPr>
          <w:color w:val="000000"/>
          <w:sz w:val="22"/>
          <w:szCs w:val="22"/>
        </w:rPr>
        <w:fldChar w:fldCharType="end"/>
      </w:r>
      <w:r w:rsidR="00E10E8D" w:rsidRPr="00033A14">
        <w:rPr>
          <w:color w:val="000000"/>
          <w:sz w:val="22"/>
          <w:szCs w:val="22"/>
        </w:rPr>
        <w:t xml:space="preserve"> Data</w:t>
      </w:r>
      <w:r w:rsidR="00E257B7" w:rsidRPr="00033A14">
        <w:rPr>
          <w:color w:val="000000"/>
          <w:sz w:val="22"/>
          <w:szCs w:val="22"/>
        </w:rPr>
        <w:t xml:space="preserve"> collection </w:t>
      </w:r>
      <w:r w:rsidR="00A97564">
        <w:rPr>
          <w:color w:val="000000"/>
          <w:sz w:val="22"/>
          <w:szCs w:val="22"/>
        </w:rPr>
        <w:t>started</w:t>
      </w:r>
      <w:r w:rsidR="00E257B7" w:rsidRPr="00033A14">
        <w:rPr>
          <w:color w:val="000000"/>
          <w:sz w:val="22"/>
          <w:szCs w:val="22"/>
        </w:rPr>
        <w:t xml:space="preserve"> in April 2012</w:t>
      </w:r>
      <w:r w:rsidR="00893878" w:rsidRPr="00033A14">
        <w:rPr>
          <w:color w:val="000000"/>
          <w:sz w:val="22"/>
          <w:szCs w:val="22"/>
        </w:rPr>
        <w:t xml:space="preserve"> and</w:t>
      </w:r>
      <w:r w:rsidR="00E257B7" w:rsidRPr="00033A14">
        <w:rPr>
          <w:color w:val="000000"/>
          <w:sz w:val="22"/>
          <w:szCs w:val="22"/>
        </w:rPr>
        <w:t xml:space="preserve"> by April 2014, monthly </w:t>
      </w:r>
      <w:r w:rsidR="008C0BC3" w:rsidRPr="00033A14">
        <w:rPr>
          <w:color w:val="000000"/>
          <w:sz w:val="22"/>
          <w:szCs w:val="22"/>
        </w:rPr>
        <w:t>NHS hospital T</w:t>
      </w:r>
      <w:r w:rsidR="00F05872" w:rsidRPr="00033A14">
        <w:rPr>
          <w:color w:val="000000"/>
          <w:sz w:val="22"/>
          <w:szCs w:val="22"/>
        </w:rPr>
        <w:t xml:space="preserve">rust </w:t>
      </w:r>
      <w:r w:rsidR="00E257B7" w:rsidRPr="00033A14">
        <w:rPr>
          <w:color w:val="000000"/>
          <w:sz w:val="22"/>
          <w:szCs w:val="22"/>
        </w:rPr>
        <w:t>submissions</w:t>
      </w:r>
      <w:r w:rsidR="00F05872" w:rsidRPr="00033A14">
        <w:rPr>
          <w:color w:val="000000"/>
          <w:sz w:val="22"/>
          <w:szCs w:val="22"/>
        </w:rPr>
        <w:t xml:space="preserve"> </w:t>
      </w:r>
      <w:r w:rsidR="00E257B7" w:rsidRPr="00033A14">
        <w:rPr>
          <w:color w:val="000000"/>
          <w:sz w:val="22"/>
          <w:szCs w:val="22"/>
        </w:rPr>
        <w:t>w</w:t>
      </w:r>
      <w:r w:rsidR="00C91204">
        <w:rPr>
          <w:color w:val="000000"/>
          <w:sz w:val="22"/>
          <w:szCs w:val="22"/>
        </w:rPr>
        <w:t>ere</w:t>
      </w:r>
      <w:r w:rsidR="00E257B7" w:rsidRPr="00033A14">
        <w:rPr>
          <w:color w:val="000000"/>
          <w:sz w:val="22"/>
          <w:szCs w:val="22"/>
        </w:rPr>
        <w:t xml:space="preserve"> </w:t>
      </w:r>
      <w:r w:rsidR="00F675E5" w:rsidRPr="00033A14">
        <w:rPr>
          <w:color w:val="000000"/>
          <w:sz w:val="22"/>
          <w:szCs w:val="22"/>
        </w:rPr>
        <w:t>mandated</w:t>
      </w:r>
      <w:r w:rsidR="004367B3" w:rsidRPr="00033A14">
        <w:rPr>
          <w:color w:val="000000"/>
          <w:sz w:val="22"/>
          <w:szCs w:val="22"/>
        </w:rPr>
        <w:t>.</w:t>
      </w:r>
      <w:r w:rsidR="00C80628" w:rsidRPr="00033A14">
        <w:rPr>
          <w:color w:val="000000"/>
          <w:sz w:val="22"/>
          <w:szCs w:val="22"/>
        </w:rPr>
        <w:fldChar w:fldCharType="begin"/>
      </w:r>
      <w:r w:rsidR="00203C6E">
        <w:rPr>
          <w:color w:val="000000"/>
          <w:sz w:val="22"/>
          <w:szCs w:val="22"/>
        </w:rPr>
        <w:instrText xml:space="preserve"> ADDIN ZOTERO_ITEM CSL_CITATION {"citationID":"3w7OVtu1","properties":{"formattedCitation":"\\super 36,37\\nosupersub{}","plainCitation":"36,37","noteIndex":0},"citationItems":[{"id":"nMalwRdq/IhbHdzzb","uris":["http://zotero.org/users/6915713/items/ZKRI7DGJ",["http://zotero.org/users/6915713/items/ZKRI7DGJ"]],"itemData":{"id":447,"type":"article-journal","abstract":"BACKGROUND: Oral etoposide is commonly used in palliative treatment of childhood and young adult cancer without robust evidence. We describe a national, unselected cohort of young people in England treated with oral etoposide using routinely collected, population-level data.\nMETHODS: Patients aged under 25 years at cancer diagnosis (1995-2017) with a treatment record of single-agent oral etoposide in the Systemic AntiCancer Dataset (SACT, 2012-2018) were identified, linked to national cancer registry data using NHS number and followed to 5 January 2019. Overall survival (OS) was estimated for all tumours combined and by tumour group. A Cox model was applied accounting for age, sex, tumour type, prior and subsequent chemotherapy.\nRESULTS: Total 115 patients were identified during the study period. Mean age was 11.8 years at cancer diagnosis and 15.5 years at treatment with oral etoposide. Median OS was 5.5 months from the start of etoposide; 13 patients survived beyond 2 years. Survival was shortest in patients with osteosarcoma (median survival 3.6 months) and longest in CNS embryonal tumours (15.5 months). Across the cohort, a median of one cycle (range one to nine) of etoposide was delivered. OS correlated significantly with tumour type and prior chemotherapy, but not with other variables.\nCONCLUSIONS: This report is the largest series to date of oral etoposide use in childhood and young adult cancer. Most patients treated in this real world setting died quickly. Despite decades of use, there are still no robust data demonstrating a clear benefit of oral etoposide for survival.","container-title":"Pediatric Blood &amp; Cancer","DOI":"10.1002/pbc.29204","ISSN":"1545-5017","journalAbbreviation":"Pediatr Blood Cancer","language":"eng","note":"PMID: 34227732","page":"e29204","source":"PubMed","title":"Oral etoposide as a single agent in childhood and young adult cancer in England: Still a poorly evaluated palliative treatment","title-short":"Oral etoposide as a single agent in childhood and young adult cancer in England","author":[{"family":"Fraser","given":"Jess"},{"family":"Wills","given":"Lorna"},{"family":"Fardus-Reid","given":"Fahmina"},{"family":"Irvine","given":"Lucy"},{"family":"Elliss-Brookes","given":"Lucy"},{"family":"Fern","given":"Lorna"},{"family":"Cameron","given":"Alison L."},{"family":"Pritchard-Jones","given":"Kathy"},{"family":"Feltbower","given":"Richard G."},{"family":"Shelton","given":"Jon"},{"family":"Stiller","given":"Charles"},{"family":"McCabe","given":"Martin G."}],"issued":{"date-parts":[["2021",7,6]]}}},{"id":"nMalwRdq/fyL9nVrM","uris":["http://zotero.org/users/6915713/items/X2G84EIT",["http://zotero.org/users/6915713/items/X2G84EIT"]],"itemData":{"id":432,"type":"article-journal","abstract":"BACKGROUND: 30-day mortality might be a useful indicator of avoidable harm to patients from systemic anticancer treatments, but data for this indicator are limited. The Systemic Anti-Cancer Therapy (SACT) dataset collated by Public Health England allows the assessment of factors affecting 30-day mortality in a national patient population. The aim of this first study based on the SACT dataset was to establish national 30-day mortality benchmarks for breast and lung cancer patients receiving SACT in England, and to start to identify where patient care could be improved.\nMETHODS: In this population-based study, we included all women with breast cancer and all men and women with lung cancer residing in England, who were 24 years or older and who started a cycle of SACT in 2014 irrespective of the number of previous treatment cycles or programmes, and irrespective of their position within the disease trajectory. We calculated 30-day mortality after the most recent cycle of SACT for those patients. We did logistic regression analyses, adjusting for relevant factors, to examine whether patient, tumour, or treatment-related factors were associated with the risk of 30-day mortality. For each cancer type and intent, we calculated 30-day mortality rates and patient volume at the hospital trust level, and contrasted these in a funnel plot.\nFINDINGS: Between Jan 1, and Dec, 31, 2014, we included 23 228 patients with breast cancer and 9634 patients with non-small cell lung cancer (NSCLC) in our regression and trust-level analyses. 30-day mortality increased with age for both patients with breast cancer and patients with NSCLC treated with curative intent, and decreased with age for patients receiving palliative SACT (breast curative: odds ratio [OR] 1·085, 99% CI 1·040-1·132; p&lt;0·0001; NSCLC curative: 1·045, 1·013-1·079; p=0·00033; breast palliative: 0·987, 0·977-0·996; p=0·00034; NSCLC palliative: 0·987, 0·976-0·998; p=0·0015). 30-day mortality was also significantly higher for patients receiving their first reported curative or palliative SACT versus those who received SACT previously (breast palliative: OR 2·326 99% CI 1·634-3·312; p&lt;0·0001; NSCLC curative: 3·371, 1·554-7·316; p&lt;0·0001; NSCLC palliative: 2·667, 2·109-3·373; p&lt;0·0001), and for patients with worse general wellbeing (performance status 2-4) versus those who were generally well (breast curative: 6·057, 1·333-27·513; p=0·0021; breast palliative: 6·241, 4·180-9·319; p&lt;0·0001; NSCLC palliative: 3·384, 2·276-5·032; p&lt;0·0001). We identified trusts with mortality rates in excess of the 95% control limits; this included seven for curative breast cancer, four for palliative breast cancer, five for curative NSCLC, and seven for palliative NSCLC.\nINTERPRETATION: Our findings show that several factors affect the risk of early mortality of breast and lung cancer patients in England and that some groups are at a substantially increased risk of 30-day mortality. The identification of hospitals with significantly higher 30-day mortality rates should promote review of clinical decision making in these hospitals. Furthermore, our results highlight the importance of collecting routine data beyond clinical trials to better understand the factors placing patients at higher risk of 30-day mortality, and ultimately improve clinical decision making. Our insights into the factors affecting risk of 30-day mortality will help treating clinicians and their patients predict the balance of harms and benefits associated with SACT.\nFUNDING: Public Health England.","container-title":"The Lancet. Oncology","DOI":"10.1016/S1470-2045(16)30383-7","ISSN":"1474-5488","issue":"9","journalAbbreviation":"Lancet Oncol","language":"eng","note":"PMID: 27599138\nPMCID: PMC5027226","page":"1203-1216","source":"PubMed","title":"30-day mortality after systemic anticancer treatment for breast and lung cancer in England: a population-based, observational study","title-short":"30-day mortality after systemic anticancer treatment for breast and lung cancer in England","volume":"17","author":[{"family":"Wallington","given":"Michael"},{"family":"Saxon","given":"Emma B."},{"family":"Bomb","given":"Martine"},{"family":"Smittenaar","given":"Rebecca"},{"family":"Wickenden","given":"Matthew"},{"family":"McPhail","given":"Sean"},{"family":"Rashbass","given":"Jem"},{"family":"Chao","given":"David"},{"family":"Dewar","given":"John"},{"family":"Talbot","given":"Denis"},{"family":"Peake","given":"Michael"},{"family":"Perren","given":"Timothy"},{"family":"Wilson","given":"Charles"},{"family":"Dodwell","given":"David"}],"issued":{"date-parts":[["2016",9]]}}}],"schema":"https://github.com/citation-style-language/schema/raw/master/csl-citation.json"} </w:instrText>
      </w:r>
      <w:r w:rsidR="00C80628" w:rsidRPr="00033A14">
        <w:rPr>
          <w:color w:val="000000"/>
          <w:sz w:val="22"/>
          <w:szCs w:val="22"/>
        </w:rPr>
        <w:fldChar w:fldCharType="separate"/>
      </w:r>
      <w:r w:rsidR="00103315" w:rsidRPr="00103315">
        <w:rPr>
          <w:color w:val="000000"/>
          <w:sz w:val="22"/>
          <w:vertAlign w:val="superscript"/>
        </w:rPr>
        <w:t>36,37</w:t>
      </w:r>
      <w:r w:rsidR="00C80628" w:rsidRPr="00033A14">
        <w:rPr>
          <w:color w:val="000000"/>
          <w:sz w:val="22"/>
          <w:szCs w:val="22"/>
        </w:rPr>
        <w:fldChar w:fldCharType="end"/>
      </w:r>
      <w:r w:rsidR="00E10E8D" w:rsidRPr="00033A14">
        <w:rPr>
          <w:color w:val="000000"/>
          <w:sz w:val="22"/>
          <w:szCs w:val="22"/>
        </w:rPr>
        <w:t xml:space="preserve"> </w:t>
      </w:r>
      <w:r w:rsidR="00E7521F">
        <w:rPr>
          <w:color w:val="000000"/>
          <w:sz w:val="22"/>
          <w:szCs w:val="22"/>
        </w:rPr>
        <w:t xml:space="preserve">The </w:t>
      </w:r>
      <w:r w:rsidR="00746BCE" w:rsidRPr="00033A14">
        <w:rPr>
          <w:color w:val="000000"/>
          <w:sz w:val="22"/>
          <w:szCs w:val="22"/>
        </w:rPr>
        <w:t xml:space="preserve">SACT </w:t>
      </w:r>
      <w:r w:rsidR="00E10E8D" w:rsidRPr="00033A14">
        <w:rPr>
          <w:color w:val="000000"/>
          <w:sz w:val="22"/>
          <w:szCs w:val="22"/>
        </w:rPr>
        <w:t>data guide</w:t>
      </w:r>
      <w:r w:rsidR="00E7521F">
        <w:rPr>
          <w:color w:val="000000"/>
          <w:sz w:val="22"/>
          <w:szCs w:val="22"/>
        </w:rPr>
        <w:t>s</w:t>
      </w:r>
      <w:r w:rsidR="00E10E8D" w:rsidRPr="00033A14">
        <w:rPr>
          <w:color w:val="000000"/>
          <w:sz w:val="22"/>
          <w:szCs w:val="22"/>
        </w:rPr>
        <w:t xml:space="preserve"> treatment delivery and inform</w:t>
      </w:r>
      <w:r w:rsidR="00E7521F">
        <w:rPr>
          <w:color w:val="000000"/>
          <w:sz w:val="22"/>
          <w:szCs w:val="22"/>
        </w:rPr>
        <w:t>s the</w:t>
      </w:r>
      <w:r w:rsidR="00E10E8D" w:rsidRPr="00033A14">
        <w:rPr>
          <w:color w:val="000000"/>
          <w:sz w:val="22"/>
          <w:szCs w:val="22"/>
        </w:rPr>
        <w:t xml:space="preserve"> </w:t>
      </w:r>
      <w:r w:rsidR="00746BCE" w:rsidRPr="00033A14">
        <w:rPr>
          <w:color w:val="000000"/>
          <w:sz w:val="22"/>
          <w:szCs w:val="22"/>
        </w:rPr>
        <w:t>National Institute for Health and Care Excellence</w:t>
      </w:r>
      <w:r w:rsidR="00E7521F">
        <w:rPr>
          <w:color w:val="000000"/>
          <w:sz w:val="22"/>
          <w:szCs w:val="22"/>
        </w:rPr>
        <w:t>’s</w:t>
      </w:r>
      <w:r w:rsidR="00746BCE" w:rsidRPr="00033A14">
        <w:rPr>
          <w:color w:val="000000"/>
          <w:sz w:val="22"/>
          <w:szCs w:val="22"/>
        </w:rPr>
        <w:t xml:space="preserve"> (</w:t>
      </w:r>
      <w:r w:rsidR="00E10E8D" w:rsidRPr="00033A14">
        <w:rPr>
          <w:color w:val="000000"/>
          <w:sz w:val="22"/>
          <w:szCs w:val="22"/>
        </w:rPr>
        <w:t>NICE</w:t>
      </w:r>
      <w:r w:rsidR="00746BCE" w:rsidRPr="00033A14">
        <w:rPr>
          <w:color w:val="000000"/>
          <w:sz w:val="22"/>
          <w:szCs w:val="22"/>
        </w:rPr>
        <w:t>)</w:t>
      </w:r>
      <w:r w:rsidR="00E10E8D" w:rsidRPr="00033A14">
        <w:rPr>
          <w:color w:val="000000"/>
          <w:sz w:val="22"/>
          <w:szCs w:val="22"/>
        </w:rPr>
        <w:t xml:space="preserve"> </w:t>
      </w:r>
      <w:r w:rsidR="00387ADA" w:rsidRPr="00033A14">
        <w:rPr>
          <w:color w:val="000000"/>
          <w:sz w:val="22"/>
          <w:szCs w:val="22"/>
        </w:rPr>
        <w:t xml:space="preserve">drug </w:t>
      </w:r>
      <w:r w:rsidR="00E10E8D" w:rsidRPr="00033A14">
        <w:rPr>
          <w:color w:val="000000"/>
          <w:sz w:val="22"/>
          <w:szCs w:val="22"/>
        </w:rPr>
        <w:t>funding decisions, though other uses (e.g. audits, research provision, drug monitoring</w:t>
      </w:r>
      <w:r w:rsidR="00F3795C" w:rsidRPr="00033A14">
        <w:rPr>
          <w:color w:val="000000"/>
          <w:sz w:val="22"/>
          <w:szCs w:val="22"/>
        </w:rPr>
        <w:t>,</w:t>
      </w:r>
      <w:r w:rsidR="00E10E8D" w:rsidRPr="00033A14">
        <w:rPr>
          <w:color w:val="000000"/>
          <w:sz w:val="22"/>
          <w:szCs w:val="22"/>
        </w:rPr>
        <w:t xml:space="preserve"> and clinical trial </w:t>
      </w:r>
      <w:r w:rsidR="00A97564">
        <w:rPr>
          <w:color w:val="000000"/>
          <w:sz w:val="22"/>
          <w:szCs w:val="22"/>
        </w:rPr>
        <w:t>data follow up</w:t>
      </w:r>
      <w:r w:rsidR="00E10E8D" w:rsidRPr="00033A14">
        <w:rPr>
          <w:color w:val="000000"/>
          <w:sz w:val="22"/>
          <w:szCs w:val="22"/>
        </w:rPr>
        <w:t xml:space="preserve">) </w:t>
      </w:r>
      <w:r w:rsidR="00E7521F">
        <w:rPr>
          <w:color w:val="000000"/>
          <w:sz w:val="22"/>
          <w:szCs w:val="22"/>
        </w:rPr>
        <w:t>exist</w:t>
      </w:r>
      <w:r w:rsidR="00F3795C" w:rsidRPr="00033A14">
        <w:rPr>
          <w:color w:val="000000"/>
          <w:sz w:val="22"/>
          <w:szCs w:val="22"/>
        </w:rPr>
        <w:t>.</w:t>
      </w:r>
      <w:r w:rsidR="00287117" w:rsidRPr="00033A14">
        <w:rPr>
          <w:color w:val="000000"/>
          <w:sz w:val="22"/>
          <w:szCs w:val="22"/>
        </w:rPr>
        <w:fldChar w:fldCharType="begin"/>
      </w:r>
      <w:r w:rsidR="00203C6E">
        <w:rPr>
          <w:color w:val="000000"/>
          <w:sz w:val="22"/>
          <w:szCs w:val="22"/>
        </w:rPr>
        <w:instrText xml:space="preserve"> ADDIN ZOTERO_ITEM CSL_CITATION {"citationID":"Blm0ls6h","properties":{"formattedCitation":"\\super 35,38\\nosupersub{}","plainCitation":"35,38","noteIndex":0},"citationItems":[{"id":"nMalwRdq/GtPj3cf4","uris":["http://zotero.org/users/6915713/items/YYB5PW6S",["http://zotero.org/users/6915713/items/YYB5PW6S"]],"itemData":{"id":"952zSLdO/t6NDVpuK","type":"article-journal","container-title":"International Journal of Epidemiology","DOI":"10.1093/ije/dyz137","ISSN":"0300-5771","issue":"1","journalAbbreviation":"International Journal of Epidemiology","page":"15-15l","source":"Silverchair","title":"Data Resource Profile: The Systemic Anti-Cancer Therapy (SACT) dataset","title-short":"Data Resource Profile","URL":"https://doi.org/10.1093/ije/dyz137","volume":"49","author":[{"family":"Bright","given":"Chloe J"},{"family":"Lawton","given":"Sarah"},{"family":"Benson","given":"Stephen"},{"family":"Bomb","given":"Martine"},{"family":"Dodwell","given":"David"},{"family":"Henson","given":"Katherine E"},{"family":"McPhail","given":"Sean"},{"family":"Miller","given":"Louise"},{"family":"Rashbass","given":"Jem"},{"family":"Turnbull","given":"Alice"},{"family":"Smittenaar","given":"Rebecca"}],"accessed":{"date-parts":[["2021",8,31]]},"issued":{"date-parts":[["2020",2,1]]}}},{"id":1583,"uris":["http://zotero.org/users/local/nRdURiV3/items/RU3X49FS"],"itemData":{"id":1583,"type":"webpage","title":"Systemic anti-cancer therapy (SACT) data set: collecting and using real-world data to improve cancer care","URL":"https://www.all-can.org/efficiency-hub/systemic-anti-cancer-therapy-sact-data-set-collecting-and-using-real-world-data-to-improve-cancer-care/","author":[{"family":"All.Can","given":""}],"accessed":{"date-parts":[["2022",11,12]]},"issued":{"date-parts":[["2022"]]}}}],"schema":"https://github.com/citation-style-language/schema/raw/master/csl-citation.json"} </w:instrText>
      </w:r>
      <w:r w:rsidR="00287117" w:rsidRPr="00033A14">
        <w:rPr>
          <w:color w:val="000000"/>
          <w:sz w:val="22"/>
          <w:szCs w:val="22"/>
        </w:rPr>
        <w:fldChar w:fldCharType="separate"/>
      </w:r>
      <w:r w:rsidR="00103315" w:rsidRPr="00103315">
        <w:rPr>
          <w:color w:val="000000"/>
          <w:sz w:val="22"/>
          <w:vertAlign w:val="superscript"/>
        </w:rPr>
        <w:t>35,38</w:t>
      </w:r>
      <w:r w:rsidR="00287117" w:rsidRPr="00033A14">
        <w:rPr>
          <w:color w:val="000000"/>
          <w:sz w:val="22"/>
          <w:szCs w:val="22"/>
        </w:rPr>
        <w:fldChar w:fldCharType="end"/>
      </w:r>
      <w:r w:rsidR="00287117" w:rsidRPr="00033A14">
        <w:rPr>
          <w:color w:val="000000"/>
          <w:sz w:val="22"/>
          <w:szCs w:val="22"/>
        </w:rPr>
        <w:t xml:space="preserve"> SACT</w:t>
      </w:r>
      <w:r w:rsidR="00AE01EC">
        <w:rPr>
          <w:color w:val="000000"/>
          <w:sz w:val="22"/>
          <w:szCs w:val="22"/>
        </w:rPr>
        <w:t xml:space="preserve"> data</w:t>
      </w:r>
      <w:r w:rsidR="009E749C">
        <w:rPr>
          <w:color w:val="000000"/>
          <w:sz w:val="22"/>
          <w:szCs w:val="22"/>
        </w:rPr>
        <w:t>, l</w:t>
      </w:r>
      <w:r w:rsidR="00287117" w:rsidRPr="00033A14">
        <w:rPr>
          <w:color w:val="000000"/>
          <w:sz w:val="22"/>
          <w:szCs w:val="22"/>
        </w:rPr>
        <w:t>in</w:t>
      </w:r>
      <w:r w:rsidR="009E749C">
        <w:rPr>
          <w:color w:val="000000"/>
          <w:sz w:val="22"/>
          <w:szCs w:val="22"/>
        </w:rPr>
        <w:t>ked to cancer reg</w:t>
      </w:r>
      <w:r w:rsidR="0026607C">
        <w:rPr>
          <w:color w:val="000000"/>
          <w:sz w:val="22"/>
          <w:szCs w:val="22"/>
        </w:rPr>
        <w:t>i</w:t>
      </w:r>
      <w:r w:rsidR="009E749C">
        <w:rPr>
          <w:color w:val="000000"/>
          <w:sz w:val="22"/>
          <w:szCs w:val="22"/>
        </w:rPr>
        <w:t>strations,</w:t>
      </w:r>
      <w:r w:rsidR="00287117" w:rsidRPr="00033A14">
        <w:rPr>
          <w:color w:val="000000"/>
          <w:sz w:val="22"/>
          <w:szCs w:val="22"/>
        </w:rPr>
        <w:t xml:space="preserve"> provided information on trastuzumab </w:t>
      </w:r>
      <w:r w:rsidR="00D1498A">
        <w:rPr>
          <w:color w:val="000000"/>
          <w:sz w:val="22"/>
          <w:szCs w:val="22"/>
        </w:rPr>
        <w:t>r</w:t>
      </w:r>
      <w:r w:rsidR="00D16134">
        <w:rPr>
          <w:color w:val="000000"/>
          <w:sz w:val="22"/>
          <w:szCs w:val="22"/>
        </w:rPr>
        <w:t>eceipt</w:t>
      </w:r>
      <w:r w:rsidR="00287117" w:rsidRPr="00033A14">
        <w:rPr>
          <w:color w:val="000000"/>
          <w:sz w:val="22"/>
          <w:szCs w:val="22"/>
        </w:rPr>
        <w:t>.</w:t>
      </w:r>
    </w:p>
    <w:p w14:paraId="6C5B2C09" w14:textId="77777777" w:rsidR="00C301D9" w:rsidRPr="00033A14" w:rsidRDefault="00C301D9" w:rsidP="00EB2F6F">
      <w:pPr>
        <w:spacing w:line="360" w:lineRule="auto"/>
        <w:rPr>
          <w:bCs/>
          <w:sz w:val="22"/>
          <w:szCs w:val="22"/>
        </w:rPr>
      </w:pPr>
    </w:p>
    <w:p w14:paraId="45A8AB35" w14:textId="2B21F163" w:rsidR="00C301D9" w:rsidRPr="00033A14" w:rsidRDefault="00C301D9" w:rsidP="00EB2F6F">
      <w:pPr>
        <w:spacing w:line="360" w:lineRule="auto"/>
        <w:rPr>
          <w:bCs/>
          <w:i/>
          <w:iCs/>
          <w:sz w:val="22"/>
          <w:szCs w:val="22"/>
        </w:rPr>
      </w:pPr>
      <w:r w:rsidRPr="00033A14">
        <w:rPr>
          <w:bCs/>
          <w:i/>
          <w:iCs/>
          <w:sz w:val="22"/>
          <w:szCs w:val="22"/>
        </w:rPr>
        <w:t>Study Population</w:t>
      </w:r>
    </w:p>
    <w:p w14:paraId="19B5701E" w14:textId="529D8E38" w:rsidR="00CF2F2C" w:rsidRPr="00033A14" w:rsidRDefault="00287117" w:rsidP="00EB2F6F">
      <w:pPr>
        <w:spacing w:line="360" w:lineRule="auto"/>
        <w:rPr>
          <w:bCs/>
          <w:sz w:val="22"/>
          <w:szCs w:val="22"/>
        </w:rPr>
      </w:pPr>
      <w:r w:rsidRPr="00033A14">
        <w:rPr>
          <w:bCs/>
          <w:sz w:val="22"/>
          <w:szCs w:val="22"/>
        </w:rPr>
        <w:t xml:space="preserve">The population of interest were </w:t>
      </w:r>
      <w:r w:rsidR="00CB66D4">
        <w:rPr>
          <w:bCs/>
          <w:sz w:val="22"/>
          <w:szCs w:val="22"/>
        </w:rPr>
        <w:t>w</w:t>
      </w:r>
      <w:r w:rsidRPr="00033A14">
        <w:rPr>
          <w:bCs/>
          <w:sz w:val="22"/>
          <w:szCs w:val="22"/>
        </w:rPr>
        <w:t xml:space="preserve">omen </w:t>
      </w:r>
      <w:r w:rsidR="00E90533">
        <w:rPr>
          <w:bCs/>
          <w:sz w:val="22"/>
          <w:szCs w:val="22"/>
        </w:rPr>
        <w:t>diagnosed with</w:t>
      </w:r>
      <w:r w:rsidR="00C301D9" w:rsidRPr="00033A14">
        <w:rPr>
          <w:bCs/>
          <w:sz w:val="22"/>
          <w:szCs w:val="22"/>
        </w:rPr>
        <w:t xml:space="preserve"> </w:t>
      </w:r>
      <w:r w:rsidR="00CB66D4">
        <w:rPr>
          <w:bCs/>
          <w:sz w:val="22"/>
          <w:szCs w:val="22"/>
        </w:rPr>
        <w:t xml:space="preserve">stage I-IV </w:t>
      </w:r>
      <w:r w:rsidR="00C301D9" w:rsidRPr="00033A14">
        <w:rPr>
          <w:bCs/>
          <w:sz w:val="22"/>
          <w:szCs w:val="22"/>
        </w:rPr>
        <w:t>HER2+ breast cancer</w:t>
      </w:r>
      <w:r w:rsidR="00D1498A">
        <w:rPr>
          <w:bCs/>
          <w:sz w:val="22"/>
          <w:szCs w:val="22"/>
        </w:rPr>
        <w:t xml:space="preserve"> </w:t>
      </w:r>
      <w:r w:rsidR="00E90533">
        <w:rPr>
          <w:bCs/>
          <w:sz w:val="22"/>
          <w:szCs w:val="22"/>
        </w:rPr>
        <w:t>(</w:t>
      </w:r>
      <w:r w:rsidR="003340D9">
        <w:rPr>
          <w:bCs/>
          <w:sz w:val="22"/>
          <w:szCs w:val="22"/>
        </w:rPr>
        <w:t xml:space="preserve">defined as </w:t>
      </w:r>
      <w:r w:rsidR="006B1A8C">
        <w:rPr>
          <w:bCs/>
          <w:sz w:val="22"/>
          <w:szCs w:val="22"/>
        </w:rPr>
        <w:t>3+</w:t>
      </w:r>
      <w:r w:rsidR="003340D9">
        <w:rPr>
          <w:bCs/>
          <w:sz w:val="22"/>
          <w:szCs w:val="22"/>
        </w:rPr>
        <w:t>HER2 staining on immunohistochemistry (IHC) or HER2 amplification using in-situ hybridi</w:t>
      </w:r>
      <w:r w:rsidR="00DC6E43">
        <w:rPr>
          <w:bCs/>
          <w:sz w:val="22"/>
          <w:szCs w:val="22"/>
        </w:rPr>
        <w:t>z</w:t>
      </w:r>
      <w:r w:rsidR="003340D9">
        <w:rPr>
          <w:bCs/>
          <w:sz w:val="22"/>
          <w:szCs w:val="22"/>
        </w:rPr>
        <w:t xml:space="preserve">ation if </w:t>
      </w:r>
      <w:r w:rsidR="006B1A8C">
        <w:rPr>
          <w:bCs/>
          <w:sz w:val="22"/>
          <w:szCs w:val="22"/>
        </w:rPr>
        <w:t>2+</w:t>
      </w:r>
      <w:r w:rsidR="003340D9">
        <w:rPr>
          <w:bCs/>
          <w:sz w:val="22"/>
          <w:szCs w:val="22"/>
        </w:rPr>
        <w:t xml:space="preserve"> on IHC). </w:t>
      </w:r>
      <w:r w:rsidR="006719F0" w:rsidRPr="00033A14">
        <w:rPr>
          <w:bCs/>
          <w:sz w:val="22"/>
          <w:szCs w:val="22"/>
        </w:rPr>
        <w:t xml:space="preserve">To </w:t>
      </w:r>
      <w:r w:rsidR="00C91204">
        <w:rPr>
          <w:bCs/>
          <w:sz w:val="22"/>
          <w:szCs w:val="22"/>
        </w:rPr>
        <w:t>manage</w:t>
      </w:r>
      <w:r w:rsidR="001F0151">
        <w:rPr>
          <w:bCs/>
          <w:sz w:val="22"/>
          <w:szCs w:val="22"/>
        </w:rPr>
        <w:t xml:space="preserve"> instances </w:t>
      </w:r>
      <w:r w:rsidR="009E749C">
        <w:rPr>
          <w:bCs/>
          <w:sz w:val="22"/>
          <w:szCs w:val="22"/>
        </w:rPr>
        <w:t xml:space="preserve">of </w:t>
      </w:r>
      <w:r w:rsidR="006719F0" w:rsidRPr="00033A14">
        <w:rPr>
          <w:bCs/>
          <w:sz w:val="22"/>
          <w:szCs w:val="22"/>
        </w:rPr>
        <w:t xml:space="preserve">multiple primary breast </w:t>
      </w:r>
      <w:r w:rsidR="0044558C">
        <w:rPr>
          <w:bCs/>
          <w:sz w:val="22"/>
          <w:szCs w:val="22"/>
        </w:rPr>
        <w:t>tumor</w:t>
      </w:r>
      <w:r w:rsidR="006719F0" w:rsidRPr="00033A14">
        <w:rPr>
          <w:bCs/>
          <w:sz w:val="22"/>
          <w:szCs w:val="22"/>
        </w:rPr>
        <w:t>s</w:t>
      </w:r>
      <w:r w:rsidR="00746BCE" w:rsidRPr="00033A14">
        <w:rPr>
          <w:bCs/>
          <w:sz w:val="22"/>
          <w:szCs w:val="22"/>
        </w:rPr>
        <w:t xml:space="preserve"> </w:t>
      </w:r>
      <w:r w:rsidR="004D0481">
        <w:rPr>
          <w:bCs/>
          <w:sz w:val="22"/>
          <w:szCs w:val="22"/>
        </w:rPr>
        <w:t xml:space="preserve">registrations </w:t>
      </w:r>
      <w:r w:rsidR="00C91204">
        <w:rPr>
          <w:bCs/>
          <w:sz w:val="22"/>
          <w:szCs w:val="22"/>
        </w:rPr>
        <w:t>in patient</w:t>
      </w:r>
      <w:r w:rsidR="00642271">
        <w:rPr>
          <w:bCs/>
          <w:sz w:val="22"/>
          <w:szCs w:val="22"/>
        </w:rPr>
        <w:t>s</w:t>
      </w:r>
      <w:r w:rsidR="00C91204">
        <w:rPr>
          <w:bCs/>
          <w:sz w:val="22"/>
          <w:szCs w:val="22"/>
        </w:rPr>
        <w:t xml:space="preserve">, a hierarchy </w:t>
      </w:r>
      <w:r w:rsidR="004D0481">
        <w:rPr>
          <w:bCs/>
          <w:sz w:val="22"/>
          <w:szCs w:val="22"/>
        </w:rPr>
        <w:t>determined which</w:t>
      </w:r>
      <w:r w:rsidR="00C91204">
        <w:rPr>
          <w:bCs/>
          <w:sz w:val="22"/>
          <w:szCs w:val="22"/>
        </w:rPr>
        <w:t xml:space="preserve"> </w:t>
      </w:r>
      <w:r w:rsidR="0044558C">
        <w:rPr>
          <w:bCs/>
          <w:sz w:val="22"/>
          <w:szCs w:val="22"/>
        </w:rPr>
        <w:t>tumor</w:t>
      </w:r>
      <w:r w:rsidR="00450CC3">
        <w:rPr>
          <w:bCs/>
          <w:sz w:val="22"/>
          <w:szCs w:val="22"/>
        </w:rPr>
        <w:t xml:space="preserve"> </w:t>
      </w:r>
      <w:r w:rsidR="004D0481">
        <w:rPr>
          <w:bCs/>
          <w:sz w:val="22"/>
          <w:szCs w:val="22"/>
        </w:rPr>
        <w:t xml:space="preserve">record to </w:t>
      </w:r>
      <w:r w:rsidR="00C91204">
        <w:rPr>
          <w:bCs/>
          <w:sz w:val="22"/>
          <w:szCs w:val="22"/>
        </w:rPr>
        <w:t>retain for analysis:</w:t>
      </w:r>
      <w:r w:rsidR="006719F0" w:rsidRPr="00033A14">
        <w:rPr>
          <w:bCs/>
          <w:sz w:val="22"/>
          <w:szCs w:val="22"/>
        </w:rPr>
        <w:t xml:space="preserve"> (i)</w:t>
      </w:r>
      <w:r w:rsidR="00C91204">
        <w:rPr>
          <w:bCs/>
          <w:sz w:val="22"/>
          <w:szCs w:val="22"/>
        </w:rPr>
        <w:t xml:space="preserve"> </w:t>
      </w:r>
      <w:r w:rsidR="006719F0" w:rsidRPr="00033A14">
        <w:rPr>
          <w:bCs/>
          <w:sz w:val="22"/>
          <w:szCs w:val="22"/>
        </w:rPr>
        <w:t xml:space="preserve">earliest diagnosis; (ii) most advanced stage at diagnosis; (iii) most specific ICD code (ICD C50.0-C50.8) </w:t>
      </w:r>
      <w:r w:rsidR="00C91204">
        <w:rPr>
          <w:bCs/>
          <w:sz w:val="22"/>
          <w:szCs w:val="22"/>
        </w:rPr>
        <w:t>or</w:t>
      </w:r>
      <w:r w:rsidR="006719F0" w:rsidRPr="00033A14">
        <w:rPr>
          <w:bCs/>
          <w:sz w:val="22"/>
          <w:szCs w:val="22"/>
        </w:rPr>
        <w:t xml:space="preserve">; (iv) first </w:t>
      </w:r>
      <w:r w:rsidR="0044558C">
        <w:rPr>
          <w:bCs/>
          <w:sz w:val="22"/>
          <w:szCs w:val="22"/>
        </w:rPr>
        <w:t>tumor</w:t>
      </w:r>
      <w:r w:rsidR="006719F0" w:rsidRPr="00033A14">
        <w:rPr>
          <w:bCs/>
          <w:sz w:val="22"/>
          <w:szCs w:val="22"/>
        </w:rPr>
        <w:t xml:space="preserve"> entry. </w:t>
      </w:r>
      <w:r w:rsidR="00450CC3">
        <w:rPr>
          <w:bCs/>
          <w:sz w:val="22"/>
          <w:szCs w:val="22"/>
        </w:rPr>
        <w:t>Males were excluded a</w:t>
      </w:r>
      <w:r w:rsidR="00B50C6C">
        <w:rPr>
          <w:bCs/>
          <w:sz w:val="22"/>
          <w:szCs w:val="22"/>
        </w:rPr>
        <w:t xml:space="preserve">s male breast cancer is rare </w:t>
      </w:r>
      <w:r w:rsidR="00EF6DE1" w:rsidRPr="00033A14">
        <w:rPr>
          <w:bCs/>
          <w:sz w:val="22"/>
          <w:szCs w:val="22"/>
        </w:rPr>
        <w:t>(n=1,815)</w:t>
      </w:r>
      <w:r w:rsidR="00413BE3">
        <w:rPr>
          <w:bCs/>
          <w:sz w:val="22"/>
          <w:szCs w:val="22"/>
        </w:rPr>
        <w:t>.</w:t>
      </w:r>
      <w:r w:rsidR="00EF6DE1" w:rsidRPr="00033A14">
        <w:rPr>
          <w:bCs/>
          <w:sz w:val="22"/>
          <w:szCs w:val="22"/>
        </w:rPr>
        <w:t xml:space="preserve"> </w:t>
      </w:r>
      <w:r w:rsidR="00413BE3">
        <w:rPr>
          <w:bCs/>
          <w:sz w:val="22"/>
          <w:szCs w:val="22"/>
        </w:rPr>
        <w:t xml:space="preserve">Further exclusions included </w:t>
      </w:r>
      <w:r w:rsidR="0044558C">
        <w:rPr>
          <w:bCs/>
          <w:sz w:val="22"/>
          <w:szCs w:val="22"/>
        </w:rPr>
        <w:t>tumor</w:t>
      </w:r>
      <w:r w:rsidR="00413BE3">
        <w:rPr>
          <w:bCs/>
          <w:sz w:val="22"/>
          <w:szCs w:val="22"/>
        </w:rPr>
        <w:t xml:space="preserve">s </w:t>
      </w:r>
      <w:r w:rsidR="006B1A8C">
        <w:rPr>
          <w:bCs/>
          <w:sz w:val="22"/>
          <w:szCs w:val="22"/>
        </w:rPr>
        <w:t xml:space="preserve">with negative or unknown HER2 status </w:t>
      </w:r>
      <w:r w:rsidR="00CF2F2C" w:rsidRPr="00033A14">
        <w:rPr>
          <w:bCs/>
          <w:sz w:val="22"/>
          <w:szCs w:val="22"/>
        </w:rPr>
        <w:t>(n=221,299)</w:t>
      </w:r>
      <w:r w:rsidR="00413BE3">
        <w:rPr>
          <w:bCs/>
          <w:sz w:val="22"/>
          <w:szCs w:val="22"/>
        </w:rPr>
        <w:t xml:space="preserve"> </w:t>
      </w:r>
      <w:r w:rsidR="00EF6DE1" w:rsidRPr="00033A14">
        <w:rPr>
          <w:bCs/>
          <w:sz w:val="22"/>
          <w:szCs w:val="22"/>
        </w:rPr>
        <w:t>and</w:t>
      </w:r>
      <w:r w:rsidR="00CF2F2C" w:rsidRPr="00033A14">
        <w:rPr>
          <w:bCs/>
          <w:sz w:val="22"/>
          <w:szCs w:val="22"/>
        </w:rPr>
        <w:t xml:space="preserve"> </w:t>
      </w:r>
      <w:r w:rsidR="0044558C">
        <w:rPr>
          <w:bCs/>
          <w:sz w:val="22"/>
          <w:szCs w:val="22"/>
        </w:rPr>
        <w:t>tumor</w:t>
      </w:r>
      <w:r w:rsidR="005F581C">
        <w:rPr>
          <w:bCs/>
          <w:sz w:val="22"/>
          <w:szCs w:val="22"/>
        </w:rPr>
        <w:t>s</w:t>
      </w:r>
      <w:r w:rsidR="005E70E5">
        <w:rPr>
          <w:bCs/>
          <w:sz w:val="22"/>
          <w:szCs w:val="22"/>
        </w:rPr>
        <w:t xml:space="preserve"> </w:t>
      </w:r>
      <w:r w:rsidR="00CF2F2C" w:rsidRPr="00033A14">
        <w:rPr>
          <w:bCs/>
          <w:sz w:val="22"/>
          <w:szCs w:val="22"/>
        </w:rPr>
        <w:t xml:space="preserve">with a stage </w:t>
      </w:r>
      <w:r w:rsidR="006631F0" w:rsidRPr="00033A14">
        <w:rPr>
          <w:bCs/>
          <w:sz w:val="22"/>
          <w:szCs w:val="22"/>
        </w:rPr>
        <w:t>at diagnosis</w:t>
      </w:r>
      <w:r w:rsidR="00F3795C" w:rsidRPr="00033A14">
        <w:rPr>
          <w:bCs/>
          <w:sz w:val="22"/>
          <w:szCs w:val="22"/>
        </w:rPr>
        <w:t xml:space="preserve"> of</w:t>
      </w:r>
      <w:r w:rsidR="006631F0" w:rsidRPr="00033A14">
        <w:rPr>
          <w:bCs/>
          <w:sz w:val="22"/>
          <w:szCs w:val="22"/>
        </w:rPr>
        <w:t xml:space="preserve"> </w:t>
      </w:r>
      <w:r w:rsidR="00CF2F2C" w:rsidRPr="00033A14">
        <w:rPr>
          <w:bCs/>
          <w:sz w:val="22"/>
          <w:szCs w:val="22"/>
        </w:rPr>
        <w:t>0</w:t>
      </w:r>
      <w:r w:rsidR="00A26749">
        <w:rPr>
          <w:bCs/>
          <w:sz w:val="22"/>
          <w:szCs w:val="22"/>
        </w:rPr>
        <w:t xml:space="preserve"> and/or unknown stage</w:t>
      </w:r>
      <w:r w:rsidR="00CF2F2C" w:rsidRPr="00033A14">
        <w:rPr>
          <w:bCs/>
          <w:sz w:val="22"/>
          <w:szCs w:val="22"/>
        </w:rPr>
        <w:t xml:space="preserve"> (n=</w:t>
      </w:r>
      <w:r w:rsidR="00A26749">
        <w:rPr>
          <w:bCs/>
          <w:sz w:val="22"/>
          <w:szCs w:val="22"/>
        </w:rPr>
        <w:t>3,293</w:t>
      </w:r>
      <w:r w:rsidR="00CF2F2C" w:rsidRPr="00033A14">
        <w:rPr>
          <w:bCs/>
          <w:sz w:val="22"/>
          <w:szCs w:val="22"/>
        </w:rPr>
        <w:t>)</w:t>
      </w:r>
      <w:r w:rsidR="00C91204">
        <w:rPr>
          <w:bCs/>
          <w:sz w:val="22"/>
          <w:szCs w:val="22"/>
        </w:rPr>
        <w:t xml:space="preserve">. </w:t>
      </w:r>
      <w:r w:rsidR="00CF2F2C" w:rsidRPr="00033A14">
        <w:rPr>
          <w:bCs/>
          <w:sz w:val="22"/>
          <w:szCs w:val="22"/>
        </w:rPr>
        <w:t xml:space="preserve">This left an analytical cohort of </w:t>
      </w:r>
      <w:r w:rsidR="00A26749">
        <w:rPr>
          <w:bCs/>
          <w:sz w:val="22"/>
          <w:szCs w:val="22"/>
        </w:rPr>
        <w:t>36,</w:t>
      </w:r>
      <w:r w:rsidR="0046161D">
        <w:rPr>
          <w:bCs/>
          <w:sz w:val="22"/>
          <w:szCs w:val="22"/>
        </w:rPr>
        <w:t>985</w:t>
      </w:r>
      <w:r w:rsidR="00C06C68" w:rsidRPr="00033A14">
        <w:rPr>
          <w:bCs/>
          <w:sz w:val="22"/>
          <w:szCs w:val="22"/>
        </w:rPr>
        <w:t xml:space="preserve"> patients</w:t>
      </w:r>
      <w:r w:rsidR="00A26749">
        <w:rPr>
          <w:bCs/>
          <w:sz w:val="22"/>
          <w:szCs w:val="22"/>
        </w:rPr>
        <w:t xml:space="preserve"> (stage I-III, n=34,616; stage IV, n =2,369)</w:t>
      </w:r>
      <w:r w:rsidR="00C06C68" w:rsidRPr="00033A14">
        <w:rPr>
          <w:bCs/>
          <w:sz w:val="22"/>
          <w:szCs w:val="22"/>
        </w:rPr>
        <w:t xml:space="preserve"> (</w:t>
      </w:r>
      <w:r w:rsidR="00815DEC" w:rsidRPr="00033A14">
        <w:rPr>
          <w:bCs/>
          <w:sz w:val="22"/>
          <w:szCs w:val="22"/>
        </w:rPr>
        <w:t xml:space="preserve">Supplementary </w:t>
      </w:r>
      <w:r w:rsidR="00C06C68" w:rsidRPr="00033A14">
        <w:rPr>
          <w:bCs/>
          <w:sz w:val="22"/>
          <w:szCs w:val="22"/>
        </w:rPr>
        <w:t>Fig</w:t>
      </w:r>
      <w:r w:rsidR="004D0481">
        <w:rPr>
          <w:bCs/>
          <w:sz w:val="22"/>
          <w:szCs w:val="22"/>
        </w:rPr>
        <w:t>s</w:t>
      </w:r>
      <w:r w:rsidR="00E74174">
        <w:rPr>
          <w:bCs/>
          <w:sz w:val="22"/>
          <w:szCs w:val="22"/>
        </w:rPr>
        <w:t>.</w:t>
      </w:r>
      <w:r w:rsidR="00C06C68" w:rsidRPr="00033A14">
        <w:rPr>
          <w:bCs/>
          <w:sz w:val="22"/>
          <w:szCs w:val="22"/>
        </w:rPr>
        <w:t xml:space="preserve"> </w:t>
      </w:r>
      <w:r w:rsidR="00E74174">
        <w:rPr>
          <w:bCs/>
          <w:sz w:val="22"/>
          <w:szCs w:val="22"/>
        </w:rPr>
        <w:t>S</w:t>
      </w:r>
      <w:r w:rsidR="00C06C68" w:rsidRPr="00033A14">
        <w:rPr>
          <w:bCs/>
          <w:sz w:val="22"/>
          <w:szCs w:val="22"/>
        </w:rPr>
        <w:t>1</w:t>
      </w:r>
      <w:r w:rsidR="00A26749">
        <w:rPr>
          <w:bCs/>
          <w:sz w:val="22"/>
          <w:szCs w:val="22"/>
        </w:rPr>
        <w:t xml:space="preserve"> &amp; </w:t>
      </w:r>
      <w:r w:rsidR="00E74174">
        <w:rPr>
          <w:bCs/>
          <w:sz w:val="22"/>
          <w:szCs w:val="22"/>
        </w:rPr>
        <w:t>S</w:t>
      </w:r>
      <w:r w:rsidR="00A26749">
        <w:rPr>
          <w:bCs/>
          <w:sz w:val="22"/>
          <w:szCs w:val="22"/>
        </w:rPr>
        <w:t>2</w:t>
      </w:r>
      <w:r w:rsidR="00C06C68" w:rsidRPr="00033A14">
        <w:rPr>
          <w:bCs/>
          <w:sz w:val="22"/>
          <w:szCs w:val="22"/>
        </w:rPr>
        <w:t>).</w:t>
      </w:r>
    </w:p>
    <w:p w14:paraId="5AB17FF8" w14:textId="609AFAB9" w:rsidR="006719F0" w:rsidRPr="00033A14" w:rsidRDefault="006719F0" w:rsidP="00EB2F6F">
      <w:pPr>
        <w:spacing w:line="360" w:lineRule="auto"/>
        <w:rPr>
          <w:bCs/>
          <w:sz w:val="22"/>
          <w:szCs w:val="22"/>
        </w:rPr>
      </w:pPr>
    </w:p>
    <w:p w14:paraId="78E5491A" w14:textId="231F9512" w:rsidR="006C4574" w:rsidRPr="00033A14" w:rsidRDefault="006C4574" w:rsidP="00EB2F6F">
      <w:pPr>
        <w:spacing w:line="360" w:lineRule="auto"/>
        <w:rPr>
          <w:bCs/>
          <w:i/>
          <w:iCs/>
          <w:sz w:val="22"/>
          <w:szCs w:val="22"/>
        </w:rPr>
      </w:pPr>
      <w:r w:rsidRPr="00033A14">
        <w:rPr>
          <w:bCs/>
          <w:i/>
          <w:iCs/>
          <w:sz w:val="22"/>
          <w:szCs w:val="22"/>
        </w:rPr>
        <w:t xml:space="preserve">Outcome Variable </w:t>
      </w:r>
    </w:p>
    <w:p w14:paraId="0F32748B" w14:textId="1894728C" w:rsidR="006C4574" w:rsidRPr="00033A14" w:rsidRDefault="00BF699F" w:rsidP="00EB2F6F">
      <w:pPr>
        <w:spacing w:line="360" w:lineRule="auto"/>
        <w:rPr>
          <w:bCs/>
          <w:sz w:val="22"/>
          <w:szCs w:val="22"/>
        </w:rPr>
      </w:pPr>
      <w:r>
        <w:rPr>
          <w:bCs/>
          <w:sz w:val="22"/>
          <w:szCs w:val="22"/>
        </w:rPr>
        <w:t xml:space="preserve">The primary focus was </w:t>
      </w:r>
      <w:r w:rsidR="006C4574" w:rsidRPr="00033A14">
        <w:rPr>
          <w:bCs/>
          <w:sz w:val="22"/>
          <w:szCs w:val="22"/>
        </w:rPr>
        <w:t>trastuzumab</w:t>
      </w:r>
      <w:r w:rsidR="00746BCE" w:rsidRPr="00033A14">
        <w:rPr>
          <w:bCs/>
          <w:sz w:val="22"/>
          <w:szCs w:val="22"/>
        </w:rPr>
        <w:t xml:space="preserve"> </w:t>
      </w:r>
      <w:r w:rsidR="00A01906">
        <w:rPr>
          <w:bCs/>
          <w:sz w:val="22"/>
          <w:szCs w:val="22"/>
        </w:rPr>
        <w:t>r</w:t>
      </w:r>
      <w:r w:rsidR="00D16134">
        <w:rPr>
          <w:bCs/>
          <w:sz w:val="22"/>
          <w:szCs w:val="22"/>
        </w:rPr>
        <w:t>eceipt</w:t>
      </w:r>
      <w:r>
        <w:rPr>
          <w:bCs/>
          <w:sz w:val="22"/>
          <w:szCs w:val="22"/>
        </w:rPr>
        <w:t xml:space="preserve"> </w:t>
      </w:r>
      <w:r w:rsidR="006427B0">
        <w:rPr>
          <w:bCs/>
          <w:sz w:val="22"/>
          <w:szCs w:val="22"/>
        </w:rPr>
        <w:t>– recorded as</w:t>
      </w:r>
      <w:r>
        <w:rPr>
          <w:bCs/>
          <w:sz w:val="22"/>
          <w:szCs w:val="22"/>
        </w:rPr>
        <w:t xml:space="preserve"> a</w:t>
      </w:r>
      <w:r w:rsidR="006C4574" w:rsidRPr="00033A14">
        <w:rPr>
          <w:bCs/>
          <w:sz w:val="22"/>
          <w:szCs w:val="22"/>
        </w:rPr>
        <w:t xml:space="preserve"> binary (Y/N) </w:t>
      </w:r>
      <w:r>
        <w:rPr>
          <w:bCs/>
          <w:sz w:val="22"/>
          <w:szCs w:val="22"/>
        </w:rPr>
        <w:t xml:space="preserve">outcome </w:t>
      </w:r>
      <w:r w:rsidR="006C4574" w:rsidRPr="00033A14">
        <w:rPr>
          <w:bCs/>
          <w:sz w:val="22"/>
          <w:szCs w:val="22"/>
        </w:rPr>
        <w:t xml:space="preserve">variable. </w:t>
      </w:r>
      <w:r w:rsidR="00746BCE" w:rsidRPr="00033A14">
        <w:rPr>
          <w:bCs/>
          <w:sz w:val="22"/>
          <w:szCs w:val="22"/>
        </w:rPr>
        <w:t>A</w:t>
      </w:r>
      <w:r w:rsidR="006C4574" w:rsidRPr="00033A14">
        <w:rPr>
          <w:bCs/>
          <w:sz w:val="22"/>
          <w:szCs w:val="22"/>
        </w:rPr>
        <w:t xml:space="preserve"> </w:t>
      </w:r>
      <w:r w:rsidR="009E749C">
        <w:rPr>
          <w:bCs/>
          <w:sz w:val="22"/>
          <w:szCs w:val="22"/>
        </w:rPr>
        <w:t xml:space="preserve">patient who had a </w:t>
      </w:r>
      <w:r w:rsidR="006C4574" w:rsidRPr="00033A14">
        <w:rPr>
          <w:bCs/>
          <w:sz w:val="22"/>
          <w:szCs w:val="22"/>
        </w:rPr>
        <w:t>SACT record</w:t>
      </w:r>
      <w:r w:rsidR="00773FA7" w:rsidRPr="00033A14">
        <w:rPr>
          <w:bCs/>
          <w:sz w:val="22"/>
          <w:szCs w:val="22"/>
        </w:rPr>
        <w:t xml:space="preserve"> </w:t>
      </w:r>
      <w:r w:rsidR="00746BCE" w:rsidRPr="00033A14">
        <w:rPr>
          <w:bCs/>
          <w:sz w:val="22"/>
          <w:szCs w:val="22"/>
        </w:rPr>
        <w:t>with a reference</w:t>
      </w:r>
      <w:r w:rsidR="006C4574" w:rsidRPr="00033A14">
        <w:rPr>
          <w:bCs/>
          <w:sz w:val="22"/>
          <w:szCs w:val="22"/>
        </w:rPr>
        <w:t xml:space="preserve"> to </w:t>
      </w:r>
      <w:r w:rsidR="00A01906">
        <w:rPr>
          <w:bCs/>
          <w:sz w:val="22"/>
          <w:szCs w:val="22"/>
        </w:rPr>
        <w:t>r</w:t>
      </w:r>
      <w:r w:rsidR="00D16134">
        <w:rPr>
          <w:bCs/>
          <w:sz w:val="22"/>
          <w:szCs w:val="22"/>
        </w:rPr>
        <w:t>eceipt</w:t>
      </w:r>
      <w:r>
        <w:rPr>
          <w:bCs/>
          <w:sz w:val="22"/>
          <w:szCs w:val="22"/>
        </w:rPr>
        <w:t xml:space="preserve"> of </w:t>
      </w:r>
      <w:r w:rsidR="006C4574" w:rsidRPr="00033A14">
        <w:rPr>
          <w:bCs/>
          <w:sz w:val="22"/>
          <w:szCs w:val="22"/>
        </w:rPr>
        <w:t xml:space="preserve">trastuzumab (either alone or in combination with </w:t>
      </w:r>
      <w:r>
        <w:rPr>
          <w:bCs/>
          <w:sz w:val="22"/>
          <w:szCs w:val="22"/>
        </w:rPr>
        <w:t>other drugs</w:t>
      </w:r>
      <w:r w:rsidR="006C4574" w:rsidRPr="00033A14">
        <w:rPr>
          <w:bCs/>
          <w:sz w:val="22"/>
          <w:szCs w:val="22"/>
        </w:rPr>
        <w:t>)</w:t>
      </w:r>
      <w:r w:rsidR="00746BCE" w:rsidRPr="00033A14">
        <w:rPr>
          <w:bCs/>
          <w:sz w:val="22"/>
          <w:szCs w:val="22"/>
        </w:rPr>
        <w:t xml:space="preserve"> w</w:t>
      </w:r>
      <w:r w:rsidR="009E749C">
        <w:rPr>
          <w:bCs/>
          <w:sz w:val="22"/>
          <w:szCs w:val="22"/>
        </w:rPr>
        <w:t>as</w:t>
      </w:r>
      <w:r w:rsidR="00746BCE" w:rsidRPr="00033A14">
        <w:rPr>
          <w:bCs/>
          <w:sz w:val="22"/>
          <w:szCs w:val="22"/>
        </w:rPr>
        <w:t xml:space="preserve"> categori</w:t>
      </w:r>
      <w:r w:rsidR="005572F7">
        <w:rPr>
          <w:bCs/>
          <w:sz w:val="22"/>
          <w:szCs w:val="22"/>
        </w:rPr>
        <w:t>z</w:t>
      </w:r>
      <w:r w:rsidR="00746BCE" w:rsidRPr="00033A14">
        <w:rPr>
          <w:bCs/>
          <w:sz w:val="22"/>
          <w:szCs w:val="22"/>
        </w:rPr>
        <w:t xml:space="preserve">ed as </w:t>
      </w:r>
      <w:r w:rsidR="00D16134">
        <w:rPr>
          <w:bCs/>
          <w:sz w:val="22"/>
          <w:szCs w:val="22"/>
        </w:rPr>
        <w:t>receiving</w:t>
      </w:r>
      <w:r w:rsidR="00746BCE" w:rsidRPr="00033A14">
        <w:rPr>
          <w:bCs/>
          <w:sz w:val="22"/>
          <w:szCs w:val="22"/>
        </w:rPr>
        <w:t xml:space="preserve"> trastuzumab (Y)</w:t>
      </w:r>
      <w:r w:rsidR="006C4574" w:rsidRPr="00033A14">
        <w:rPr>
          <w:bCs/>
          <w:sz w:val="22"/>
          <w:szCs w:val="22"/>
        </w:rPr>
        <w:t>.</w:t>
      </w:r>
      <w:r w:rsidR="00773FA7" w:rsidRPr="00033A14">
        <w:rPr>
          <w:bCs/>
          <w:sz w:val="22"/>
          <w:szCs w:val="22"/>
        </w:rPr>
        <w:t xml:space="preserve"> </w:t>
      </w:r>
      <w:r w:rsidR="00746BCE" w:rsidRPr="00033A14">
        <w:rPr>
          <w:bCs/>
          <w:sz w:val="22"/>
          <w:szCs w:val="22"/>
        </w:rPr>
        <w:t xml:space="preserve">Currently, </w:t>
      </w:r>
      <w:r w:rsidR="004C7FE6" w:rsidRPr="00033A14">
        <w:rPr>
          <w:bCs/>
          <w:sz w:val="22"/>
          <w:szCs w:val="22"/>
        </w:rPr>
        <w:t>SACT data lacks treatment indication</w:t>
      </w:r>
      <w:r w:rsidR="006427B0">
        <w:rPr>
          <w:bCs/>
          <w:sz w:val="22"/>
          <w:szCs w:val="22"/>
        </w:rPr>
        <w:t xml:space="preserve"> detail</w:t>
      </w:r>
      <w:r w:rsidR="004C7FE6" w:rsidRPr="00033A14">
        <w:rPr>
          <w:bCs/>
          <w:sz w:val="22"/>
          <w:szCs w:val="22"/>
        </w:rPr>
        <w:t>, hence a timeframe restriction of 56 days prior to</w:t>
      </w:r>
      <w:r w:rsidR="009E749C">
        <w:rPr>
          <w:bCs/>
          <w:sz w:val="22"/>
          <w:szCs w:val="22"/>
        </w:rPr>
        <w:t>,</w:t>
      </w:r>
      <w:r w:rsidR="004C7FE6" w:rsidRPr="00033A14">
        <w:rPr>
          <w:bCs/>
          <w:sz w:val="22"/>
          <w:szCs w:val="22"/>
        </w:rPr>
        <w:t xml:space="preserve"> and 1 year post</w:t>
      </w:r>
      <w:r w:rsidR="009E749C">
        <w:rPr>
          <w:bCs/>
          <w:sz w:val="22"/>
          <w:szCs w:val="22"/>
        </w:rPr>
        <w:t xml:space="preserve"> </w:t>
      </w:r>
      <w:r w:rsidR="004C7FE6" w:rsidRPr="00033A14">
        <w:rPr>
          <w:bCs/>
          <w:sz w:val="22"/>
          <w:szCs w:val="22"/>
        </w:rPr>
        <w:t xml:space="preserve">diagnosis date was applied to </w:t>
      </w:r>
      <w:r w:rsidR="00F85E8C">
        <w:rPr>
          <w:bCs/>
          <w:sz w:val="22"/>
          <w:szCs w:val="22"/>
        </w:rPr>
        <w:t>increase confidence that</w:t>
      </w:r>
      <w:r w:rsidR="004C7FE6" w:rsidRPr="00033A14">
        <w:rPr>
          <w:bCs/>
          <w:sz w:val="22"/>
          <w:szCs w:val="22"/>
        </w:rPr>
        <w:t xml:space="preserve"> trastuzumab use was for the primary invasive HER2+ breast cancer</w:t>
      </w:r>
      <w:r w:rsidR="00893F5F" w:rsidRPr="00033A14">
        <w:rPr>
          <w:bCs/>
          <w:sz w:val="22"/>
          <w:szCs w:val="22"/>
        </w:rPr>
        <w:t xml:space="preserve"> of interest</w:t>
      </w:r>
      <w:r w:rsidR="004C7FE6" w:rsidRPr="00033A14">
        <w:rPr>
          <w:bCs/>
          <w:sz w:val="22"/>
          <w:szCs w:val="22"/>
        </w:rPr>
        <w:t xml:space="preserve">. </w:t>
      </w:r>
      <w:r w:rsidR="00CB0F26" w:rsidRPr="00033A14">
        <w:rPr>
          <w:bCs/>
          <w:sz w:val="22"/>
          <w:szCs w:val="22"/>
        </w:rPr>
        <w:t xml:space="preserve">Supplementary Table </w:t>
      </w:r>
      <w:r w:rsidR="00E74174">
        <w:rPr>
          <w:bCs/>
          <w:sz w:val="22"/>
          <w:szCs w:val="22"/>
        </w:rPr>
        <w:t>S</w:t>
      </w:r>
      <w:r w:rsidR="00822046">
        <w:rPr>
          <w:bCs/>
          <w:sz w:val="22"/>
          <w:szCs w:val="22"/>
        </w:rPr>
        <w:t>1</w:t>
      </w:r>
      <w:r w:rsidR="00CB0F26" w:rsidRPr="00033A14">
        <w:rPr>
          <w:bCs/>
          <w:sz w:val="22"/>
          <w:szCs w:val="22"/>
        </w:rPr>
        <w:t xml:space="preserve"> provides </w:t>
      </w:r>
      <w:r w:rsidR="009E749C">
        <w:rPr>
          <w:bCs/>
          <w:sz w:val="22"/>
          <w:szCs w:val="22"/>
        </w:rPr>
        <w:t xml:space="preserve">a </w:t>
      </w:r>
      <w:r w:rsidR="00CB0F26" w:rsidRPr="00033A14">
        <w:rPr>
          <w:bCs/>
          <w:sz w:val="22"/>
          <w:szCs w:val="22"/>
        </w:rPr>
        <w:t xml:space="preserve">breakdown of trastuzumab </w:t>
      </w:r>
      <w:r w:rsidR="00EE016F">
        <w:rPr>
          <w:bCs/>
          <w:sz w:val="22"/>
          <w:szCs w:val="22"/>
        </w:rPr>
        <w:t xml:space="preserve">SACT data </w:t>
      </w:r>
      <w:r w:rsidR="00CB0F26" w:rsidRPr="00033A14">
        <w:rPr>
          <w:bCs/>
          <w:sz w:val="22"/>
          <w:szCs w:val="22"/>
        </w:rPr>
        <w:t>cod</w:t>
      </w:r>
      <w:r w:rsidR="002C64DF" w:rsidRPr="00033A14">
        <w:rPr>
          <w:bCs/>
          <w:sz w:val="22"/>
          <w:szCs w:val="22"/>
        </w:rPr>
        <w:t xml:space="preserve">es included </w:t>
      </w:r>
      <w:r w:rsidR="00566186">
        <w:rPr>
          <w:bCs/>
          <w:sz w:val="22"/>
          <w:szCs w:val="22"/>
        </w:rPr>
        <w:t>for</w:t>
      </w:r>
      <w:r w:rsidR="002C64DF" w:rsidRPr="00033A14">
        <w:rPr>
          <w:bCs/>
          <w:sz w:val="22"/>
          <w:szCs w:val="22"/>
        </w:rPr>
        <w:t xml:space="preserve"> this outcome</w:t>
      </w:r>
      <w:r w:rsidR="00CB0F26" w:rsidRPr="00033A14">
        <w:rPr>
          <w:bCs/>
          <w:sz w:val="22"/>
          <w:szCs w:val="22"/>
        </w:rPr>
        <w:t xml:space="preserve"> variable</w:t>
      </w:r>
      <w:r w:rsidR="00773FA7" w:rsidRPr="00033A14">
        <w:rPr>
          <w:bCs/>
          <w:sz w:val="22"/>
          <w:szCs w:val="22"/>
        </w:rPr>
        <w:t>.</w:t>
      </w:r>
      <w:r w:rsidR="006C4574" w:rsidRPr="00033A14">
        <w:rPr>
          <w:bCs/>
          <w:sz w:val="22"/>
          <w:szCs w:val="22"/>
        </w:rPr>
        <w:t xml:space="preserve"> </w:t>
      </w:r>
    </w:p>
    <w:p w14:paraId="3F9C78FB" w14:textId="77777777" w:rsidR="00C301D9" w:rsidRPr="00033A14" w:rsidRDefault="00C301D9" w:rsidP="00EB2F6F">
      <w:pPr>
        <w:spacing w:line="360" w:lineRule="auto"/>
        <w:rPr>
          <w:bCs/>
          <w:sz w:val="22"/>
          <w:szCs w:val="22"/>
        </w:rPr>
      </w:pPr>
    </w:p>
    <w:p w14:paraId="19A6A188" w14:textId="443EE810" w:rsidR="00702896" w:rsidRPr="00033A14" w:rsidRDefault="00702896" w:rsidP="00EB2F6F">
      <w:pPr>
        <w:spacing w:line="360" w:lineRule="auto"/>
        <w:rPr>
          <w:bCs/>
          <w:i/>
          <w:iCs/>
          <w:sz w:val="22"/>
          <w:szCs w:val="22"/>
        </w:rPr>
      </w:pPr>
      <w:r w:rsidRPr="00033A14">
        <w:rPr>
          <w:bCs/>
          <w:i/>
          <w:iCs/>
          <w:sz w:val="22"/>
          <w:szCs w:val="22"/>
        </w:rPr>
        <w:t>Explanatory Variables</w:t>
      </w:r>
    </w:p>
    <w:p w14:paraId="22CD883F" w14:textId="40E9AC02" w:rsidR="00005ED3" w:rsidRPr="00033A14" w:rsidRDefault="00B2780C" w:rsidP="00BE2214">
      <w:pPr>
        <w:spacing w:line="360" w:lineRule="auto"/>
        <w:rPr>
          <w:bCs/>
          <w:sz w:val="22"/>
          <w:szCs w:val="22"/>
        </w:rPr>
      </w:pPr>
      <w:r w:rsidRPr="00033A14">
        <w:rPr>
          <w:bCs/>
          <w:sz w:val="22"/>
          <w:szCs w:val="22"/>
        </w:rPr>
        <w:t xml:space="preserve">The </w:t>
      </w:r>
      <w:r w:rsidR="001C409C" w:rsidRPr="00033A14">
        <w:rPr>
          <w:bCs/>
          <w:sz w:val="22"/>
          <w:szCs w:val="22"/>
        </w:rPr>
        <w:t xml:space="preserve">main explanatory variable </w:t>
      </w:r>
      <w:r w:rsidRPr="00033A14">
        <w:rPr>
          <w:bCs/>
          <w:sz w:val="22"/>
          <w:szCs w:val="22"/>
        </w:rPr>
        <w:t xml:space="preserve">was </w:t>
      </w:r>
      <w:r w:rsidR="001C409C" w:rsidRPr="00033A14">
        <w:rPr>
          <w:bCs/>
          <w:sz w:val="22"/>
          <w:szCs w:val="22"/>
        </w:rPr>
        <w:t xml:space="preserve">deprivation </w:t>
      </w:r>
      <w:r w:rsidR="00780CD9">
        <w:rPr>
          <w:bCs/>
          <w:sz w:val="22"/>
          <w:szCs w:val="22"/>
        </w:rPr>
        <w:t>category</w:t>
      </w:r>
      <w:r w:rsidR="00E630CB">
        <w:rPr>
          <w:bCs/>
          <w:sz w:val="22"/>
          <w:szCs w:val="22"/>
        </w:rPr>
        <w:t xml:space="preserve"> </w:t>
      </w:r>
      <w:r w:rsidR="004512D6">
        <w:rPr>
          <w:bCs/>
          <w:sz w:val="22"/>
          <w:szCs w:val="22"/>
        </w:rPr>
        <w:t>(</w:t>
      </w:r>
      <w:r w:rsidR="001C409C" w:rsidRPr="00033A14">
        <w:rPr>
          <w:bCs/>
          <w:sz w:val="22"/>
          <w:szCs w:val="22"/>
        </w:rPr>
        <w:t>proxy</w:t>
      </w:r>
      <w:r w:rsidR="00005ED3" w:rsidRPr="00033A14">
        <w:rPr>
          <w:bCs/>
          <w:sz w:val="22"/>
          <w:szCs w:val="22"/>
        </w:rPr>
        <w:t xml:space="preserve"> </w:t>
      </w:r>
      <w:r w:rsidR="004512D6">
        <w:rPr>
          <w:bCs/>
          <w:sz w:val="22"/>
          <w:szCs w:val="22"/>
        </w:rPr>
        <w:t xml:space="preserve">SES </w:t>
      </w:r>
      <w:r w:rsidR="00005ED3" w:rsidRPr="00033A14">
        <w:rPr>
          <w:bCs/>
          <w:sz w:val="22"/>
          <w:szCs w:val="22"/>
        </w:rPr>
        <w:t>measure</w:t>
      </w:r>
      <w:r w:rsidR="004512D6">
        <w:rPr>
          <w:bCs/>
          <w:sz w:val="22"/>
          <w:szCs w:val="22"/>
        </w:rPr>
        <w:t>)</w:t>
      </w:r>
      <w:r w:rsidR="002C64DF" w:rsidRPr="00033A14">
        <w:rPr>
          <w:bCs/>
          <w:sz w:val="22"/>
          <w:szCs w:val="22"/>
        </w:rPr>
        <w:t>.</w:t>
      </w:r>
      <w:r w:rsidR="00005ED3" w:rsidRPr="00033A14">
        <w:rPr>
          <w:bCs/>
          <w:sz w:val="22"/>
          <w:szCs w:val="22"/>
        </w:rPr>
        <w:t xml:space="preserve"> </w:t>
      </w:r>
      <w:r w:rsidR="0058022A" w:rsidRPr="00033A14">
        <w:rPr>
          <w:bCs/>
          <w:sz w:val="22"/>
          <w:szCs w:val="22"/>
        </w:rPr>
        <w:t>In the NCRD, the IMD provides a</w:t>
      </w:r>
      <w:r w:rsidR="00022D52">
        <w:rPr>
          <w:bCs/>
          <w:sz w:val="22"/>
          <w:szCs w:val="22"/>
        </w:rPr>
        <w:t>n area-based</w:t>
      </w:r>
      <w:r w:rsidR="0058022A" w:rsidRPr="00033A14">
        <w:rPr>
          <w:bCs/>
          <w:sz w:val="22"/>
          <w:szCs w:val="22"/>
        </w:rPr>
        <w:t xml:space="preserve"> measure of</w:t>
      </w:r>
      <w:r w:rsidR="00005ED3" w:rsidRPr="00033A14">
        <w:rPr>
          <w:bCs/>
          <w:sz w:val="22"/>
          <w:szCs w:val="22"/>
        </w:rPr>
        <w:t xml:space="preserve"> </w:t>
      </w:r>
      <w:r w:rsidR="0058022A" w:rsidRPr="00033A14">
        <w:rPr>
          <w:bCs/>
          <w:sz w:val="22"/>
          <w:szCs w:val="22"/>
        </w:rPr>
        <w:t xml:space="preserve">relative deprivation for </w:t>
      </w:r>
      <w:r w:rsidR="001A200F">
        <w:rPr>
          <w:bCs/>
          <w:sz w:val="22"/>
          <w:szCs w:val="22"/>
        </w:rPr>
        <w:t xml:space="preserve">each </w:t>
      </w:r>
      <w:r w:rsidR="0058022A" w:rsidRPr="00033A14">
        <w:rPr>
          <w:bCs/>
          <w:sz w:val="22"/>
          <w:szCs w:val="22"/>
        </w:rPr>
        <w:t>small area (containing an average of 1,500 people)</w:t>
      </w:r>
      <w:r w:rsidR="00493059">
        <w:rPr>
          <w:bCs/>
          <w:sz w:val="22"/>
          <w:szCs w:val="22"/>
        </w:rPr>
        <w:t xml:space="preserve"> assigned based on postcode of residence at the time of cancer diagnosis</w:t>
      </w:r>
      <w:r w:rsidR="00FF3082" w:rsidRPr="00033A14">
        <w:rPr>
          <w:bCs/>
          <w:sz w:val="22"/>
          <w:szCs w:val="22"/>
        </w:rPr>
        <w:t>.</w:t>
      </w:r>
      <w:r w:rsidR="0058022A" w:rsidRPr="00033A14">
        <w:rPr>
          <w:bCs/>
          <w:sz w:val="22"/>
          <w:szCs w:val="22"/>
        </w:rPr>
        <w:fldChar w:fldCharType="begin"/>
      </w:r>
      <w:r w:rsidR="00103315">
        <w:rPr>
          <w:bCs/>
          <w:sz w:val="22"/>
          <w:szCs w:val="22"/>
        </w:rPr>
        <w:instrText xml:space="preserve"> ADDIN ZOTERO_ITEM CSL_CITATION {"citationID":"7LpJwuZC","properties":{"formattedCitation":"\\super 39\\nosupersub{}","plainCitation":"39","noteIndex":0},"citationItems":[{"id":412,"uris":["http://zotero.org/users/local/nRdURiV3/items/CCZDIPFT"],"itemData":{"id":412,"type":"document","title":"The English Index of Multiple Deprivation (IMD) 2015 – Guidance","URL":"https://assets.publishing.service.gov.uk/government/uploads/system/uploads/attachment_data/file/464430/English_Index_of_Multiple_Deprivation_2015_-_Guidance.pdf","author":[{"literal":"Department for Communities and Local Government"}],"accessed":{"date-parts":[["2021",8,28]]},"issued":{"date-parts":[["2015"]]}}}],"schema":"https://github.com/citation-style-language/schema/raw/master/csl-citation.json"} </w:instrText>
      </w:r>
      <w:r w:rsidR="0058022A" w:rsidRPr="00033A14">
        <w:rPr>
          <w:bCs/>
          <w:sz w:val="22"/>
          <w:szCs w:val="22"/>
        </w:rPr>
        <w:fldChar w:fldCharType="separate"/>
      </w:r>
      <w:r w:rsidR="00103315" w:rsidRPr="00103315">
        <w:rPr>
          <w:sz w:val="22"/>
          <w:vertAlign w:val="superscript"/>
        </w:rPr>
        <w:t>39</w:t>
      </w:r>
      <w:r w:rsidR="0058022A" w:rsidRPr="00033A14">
        <w:rPr>
          <w:bCs/>
          <w:sz w:val="22"/>
          <w:szCs w:val="22"/>
        </w:rPr>
        <w:fldChar w:fldCharType="end"/>
      </w:r>
      <w:r w:rsidR="0058022A" w:rsidRPr="00033A14">
        <w:rPr>
          <w:bCs/>
          <w:sz w:val="22"/>
          <w:szCs w:val="22"/>
        </w:rPr>
        <w:t xml:space="preserve"> </w:t>
      </w:r>
      <w:r w:rsidR="00493059">
        <w:rPr>
          <w:bCs/>
          <w:sz w:val="22"/>
          <w:szCs w:val="22"/>
        </w:rPr>
        <w:t xml:space="preserve">IMD is a </w:t>
      </w:r>
      <w:r w:rsidR="00E00E22">
        <w:rPr>
          <w:bCs/>
          <w:sz w:val="22"/>
          <w:szCs w:val="22"/>
        </w:rPr>
        <w:t>widely-used</w:t>
      </w:r>
      <w:r w:rsidR="00493059">
        <w:rPr>
          <w:bCs/>
          <w:sz w:val="22"/>
          <w:szCs w:val="22"/>
        </w:rPr>
        <w:t xml:space="preserve"> composite index for classifying SES</w:t>
      </w:r>
      <w:r w:rsidR="00022D52">
        <w:rPr>
          <w:bCs/>
          <w:sz w:val="22"/>
          <w:szCs w:val="22"/>
        </w:rPr>
        <w:t xml:space="preserve"> in England</w:t>
      </w:r>
      <w:r w:rsidR="00E00E22">
        <w:rPr>
          <w:bCs/>
          <w:sz w:val="22"/>
          <w:szCs w:val="22"/>
        </w:rPr>
        <w:t>, based on character</w:t>
      </w:r>
      <w:r w:rsidR="00D34DCA">
        <w:rPr>
          <w:bCs/>
          <w:sz w:val="22"/>
          <w:szCs w:val="22"/>
        </w:rPr>
        <w:t>i</w:t>
      </w:r>
      <w:r w:rsidR="00E00E22">
        <w:rPr>
          <w:bCs/>
          <w:sz w:val="22"/>
          <w:szCs w:val="22"/>
        </w:rPr>
        <w:t>s</w:t>
      </w:r>
      <w:r w:rsidR="00D34DCA">
        <w:rPr>
          <w:bCs/>
          <w:sz w:val="22"/>
          <w:szCs w:val="22"/>
        </w:rPr>
        <w:t>t</w:t>
      </w:r>
      <w:r w:rsidR="00E00E22">
        <w:rPr>
          <w:bCs/>
          <w:sz w:val="22"/>
          <w:szCs w:val="22"/>
        </w:rPr>
        <w:t xml:space="preserve">ics of </w:t>
      </w:r>
      <w:r w:rsidR="00E00E22">
        <w:rPr>
          <w:bCs/>
          <w:sz w:val="22"/>
          <w:szCs w:val="22"/>
        </w:rPr>
        <w:lastRenderedPageBreak/>
        <w:t>small areas</w:t>
      </w:r>
      <w:r w:rsidR="00493059">
        <w:rPr>
          <w:bCs/>
          <w:sz w:val="22"/>
          <w:szCs w:val="22"/>
        </w:rPr>
        <w:t>.</w:t>
      </w:r>
      <w:r w:rsidR="00A56F58">
        <w:rPr>
          <w:bCs/>
          <w:sz w:val="22"/>
          <w:szCs w:val="22"/>
        </w:rPr>
        <w:fldChar w:fldCharType="begin"/>
      </w:r>
      <w:r w:rsidR="00103315">
        <w:rPr>
          <w:bCs/>
          <w:sz w:val="22"/>
          <w:szCs w:val="22"/>
        </w:rPr>
        <w:instrText xml:space="preserve"> ADDIN ZOTERO_ITEM CSL_CITATION {"citationID":"Rh4LurEA","properties":{"formattedCitation":"\\super 40\\nosupersub{}","plainCitation":"40","noteIndex":0},"citationItems":[{"id":1958,"uris":["http://zotero.org/users/local/nRdURiV3/items/I2DL7GZR"],"itemData":{"id":1958,"type":"article-journal","abstract":"Administrative data are increasingly being used to study inequalities in education. Yet a well-known difficulty with such resources is the limited information they hold. A commonly used proxy for children coming from a low-income background is their eligibility for free school meals, yet this is likely to be of little use in measuring academic achievement amongst middle and high-income groups. This study adds to the literature by showing how eligibility for free school meals – averaged over the time a child has spent at school – is the best available proxy for low income during childhood. In contrast, creating a continuous index combining free school meal eligibility with information on the neighbourhood in which they live represents the best way of comparing educational outcomes across children from low, average and high-income backgrounds.","container-title":"Research Papers in Education","DOI":"10.1080/02671522.2023.2271930","ISSN":"0267-1522","issue":"0","note":"publisher: Routledge\n_eprint: https://doi.org/10.1080/02671522.2023.2271930","page":"1–25","source":"Taylor and Francis+NEJM","title":"Measuring parental income using administrative data. What is the best proxy available?","volume":"0","author":[{"family":"Jerrim","given":"John"}],"issued":{"date-parts":[["2023"]]}}}],"schema":"https://github.com/citation-style-language/schema/raw/master/csl-citation.json"} </w:instrText>
      </w:r>
      <w:r w:rsidR="00A56F58">
        <w:rPr>
          <w:bCs/>
          <w:sz w:val="22"/>
          <w:szCs w:val="22"/>
        </w:rPr>
        <w:fldChar w:fldCharType="separate"/>
      </w:r>
      <w:r w:rsidR="00103315" w:rsidRPr="00103315">
        <w:rPr>
          <w:sz w:val="22"/>
          <w:vertAlign w:val="superscript"/>
        </w:rPr>
        <w:t>40</w:t>
      </w:r>
      <w:r w:rsidR="00A56F58">
        <w:rPr>
          <w:bCs/>
          <w:sz w:val="22"/>
          <w:szCs w:val="22"/>
        </w:rPr>
        <w:fldChar w:fldCharType="end"/>
      </w:r>
      <w:r w:rsidR="00493059">
        <w:rPr>
          <w:bCs/>
          <w:sz w:val="22"/>
          <w:szCs w:val="22"/>
        </w:rPr>
        <w:t xml:space="preserve"> Whilst IMD is derived from </w:t>
      </w:r>
      <w:r w:rsidR="00E00E22">
        <w:rPr>
          <w:bCs/>
          <w:sz w:val="22"/>
          <w:szCs w:val="22"/>
        </w:rPr>
        <w:t>seven</w:t>
      </w:r>
      <w:r w:rsidR="00493059">
        <w:rPr>
          <w:bCs/>
          <w:sz w:val="22"/>
          <w:szCs w:val="22"/>
        </w:rPr>
        <w:t xml:space="preserve"> domains (income, employment, education, skills and training, health deprivation and disability, crime, barriers to housing &amp; services, and living environment), </w:t>
      </w:r>
      <w:r w:rsidR="00E00E22">
        <w:rPr>
          <w:bCs/>
          <w:sz w:val="22"/>
          <w:szCs w:val="22"/>
        </w:rPr>
        <w:t xml:space="preserve">the NCRD only makes available </w:t>
      </w:r>
      <w:r w:rsidR="00493059">
        <w:rPr>
          <w:bCs/>
          <w:sz w:val="22"/>
          <w:szCs w:val="22"/>
        </w:rPr>
        <w:t>the income domain (proportion of the population experiencing deprivation relating to low income – taken as both those out of work as well as those in work but who have low earning</w:t>
      </w:r>
      <w:r w:rsidR="00E00E22">
        <w:rPr>
          <w:bCs/>
          <w:sz w:val="22"/>
          <w:szCs w:val="22"/>
        </w:rPr>
        <w:t>s</w:t>
      </w:r>
      <w:r w:rsidR="00493059">
        <w:rPr>
          <w:bCs/>
          <w:sz w:val="22"/>
          <w:szCs w:val="22"/>
        </w:rPr>
        <w:t>).</w:t>
      </w:r>
      <w:r w:rsidR="00DB565F">
        <w:rPr>
          <w:bCs/>
          <w:sz w:val="22"/>
          <w:szCs w:val="22"/>
        </w:rPr>
        <w:fldChar w:fldCharType="begin"/>
      </w:r>
      <w:r w:rsidR="00103315">
        <w:rPr>
          <w:bCs/>
          <w:sz w:val="22"/>
          <w:szCs w:val="22"/>
        </w:rPr>
        <w:instrText xml:space="preserve"> ADDIN ZOTERO_ITEM CSL_CITATION {"citationID":"BgKBkz7E","properties":{"formattedCitation":"\\super 41\\nosupersub{}","plainCitation":"41","noteIndex":0},"citationItems":[{"id":1956,"uris":["http://zotero.org/users/local/nRdURiV3/items/FZ5X7EQR"],"itemData":{"id":1956,"type":"webpage","abstract":"Collecting and using data landing page.","title":"Collecting and Using Data","URL":"http://ncin.org.uk/collecting_and_using_data/","author":[{"literal":"NCRAS"}],"accessed":{"date-parts":[["2024",4,8]]},"issued":{"date-parts":[["2022"]]}}}],"schema":"https://github.com/citation-style-language/schema/raw/master/csl-citation.json"} </w:instrText>
      </w:r>
      <w:r w:rsidR="00DB565F">
        <w:rPr>
          <w:bCs/>
          <w:sz w:val="22"/>
          <w:szCs w:val="22"/>
        </w:rPr>
        <w:fldChar w:fldCharType="separate"/>
      </w:r>
      <w:r w:rsidR="00103315" w:rsidRPr="00103315">
        <w:rPr>
          <w:sz w:val="22"/>
          <w:vertAlign w:val="superscript"/>
        </w:rPr>
        <w:t>41</w:t>
      </w:r>
      <w:r w:rsidR="00DB565F">
        <w:rPr>
          <w:bCs/>
          <w:sz w:val="22"/>
          <w:szCs w:val="22"/>
        </w:rPr>
        <w:fldChar w:fldCharType="end"/>
      </w:r>
      <w:r w:rsidR="00493059">
        <w:rPr>
          <w:bCs/>
          <w:sz w:val="22"/>
          <w:szCs w:val="22"/>
        </w:rPr>
        <w:t xml:space="preserve"> </w:t>
      </w:r>
      <w:r w:rsidR="0058022A" w:rsidRPr="00033A14">
        <w:rPr>
          <w:bCs/>
          <w:sz w:val="22"/>
          <w:szCs w:val="22"/>
        </w:rPr>
        <w:t xml:space="preserve">IMD </w:t>
      </w:r>
      <w:r w:rsidR="00A56F58">
        <w:rPr>
          <w:bCs/>
          <w:sz w:val="22"/>
          <w:szCs w:val="22"/>
        </w:rPr>
        <w:t>income domain</w:t>
      </w:r>
      <w:r w:rsidR="00E00E22">
        <w:rPr>
          <w:bCs/>
          <w:sz w:val="22"/>
          <w:szCs w:val="22"/>
        </w:rPr>
        <w:t xml:space="preserve"> (henceforth referred to as IMD)</w:t>
      </w:r>
      <w:r w:rsidR="00A56F58">
        <w:rPr>
          <w:bCs/>
          <w:sz w:val="22"/>
          <w:szCs w:val="22"/>
        </w:rPr>
        <w:t xml:space="preserve"> </w:t>
      </w:r>
      <w:r w:rsidR="00F85E8C">
        <w:rPr>
          <w:bCs/>
          <w:sz w:val="22"/>
          <w:szCs w:val="22"/>
        </w:rPr>
        <w:t>wa</w:t>
      </w:r>
      <w:r w:rsidR="0058022A" w:rsidRPr="00033A14">
        <w:rPr>
          <w:bCs/>
          <w:sz w:val="22"/>
          <w:szCs w:val="22"/>
        </w:rPr>
        <w:t>s grouped</w:t>
      </w:r>
      <w:r w:rsidR="00005ED3" w:rsidRPr="00033A14">
        <w:rPr>
          <w:bCs/>
          <w:sz w:val="22"/>
          <w:szCs w:val="22"/>
        </w:rPr>
        <w:t xml:space="preserve"> into quintiles (1</w:t>
      </w:r>
      <w:r w:rsidR="0058022A" w:rsidRPr="00033A14">
        <w:rPr>
          <w:bCs/>
          <w:sz w:val="22"/>
          <w:szCs w:val="22"/>
        </w:rPr>
        <w:t>,</w:t>
      </w:r>
      <w:r w:rsidR="00005ED3" w:rsidRPr="00033A14">
        <w:rPr>
          <w:bCs/>
          <w:sz w:val="22"/>
          <w:szCs w:val="22"/>
        </w:rPr>
        <w:t xml:space="preserve"> least deprived; 5</w:t>
      </w:r>
      <w:r w:rsidR="0058022A" w:rsidRPr="00033A14">
        <w:rPr>
          <w:bCs/>
          <w:sz w:val="22"/>
          <w:szCs w:val="22"/>
        </w:rPr>
        <w:t xml:space="preserve">, </w:t>
      </w:r>
      <w:r w:rsidR="00005ED3" w:rsidRPr="00033A14">
        <w:rPr>
          <w:bCs/>
          <w:sz w:val="22"/>
          <w:szCs w:val="22"/>
        </w:rPr>
        <w:t>most deprived)</w:t>
      </w:r>
      <w:r w:rsidR="00FF3082" w:rsidRPr="00033A14">
        <w:rPr>
          <w:bCs/>
          <w:sz w:val="22"/>
          <w:szCs w:val="22"/>
        </w:rPr>
        <w:t xml:space="preserve">. </w:t>
      </w:r>
      <w:r w:rsidR="00F85E8C">
        <w:rPr>
          <w:bCs/>
          <w:sz w:val="22"/>
          <w:szCs w:val="22"/>
        </w:rPr>
        <w:t xml:space="preserve">As IMD is updated periodically, the status </w:t>
      </w:r>
      <w:r w:rsidR="00F85E8C" w:rsidRPr="00033A14">
        <w:rPr>
          <w:bCs/>
          <w:sz w:val="22"/>
          <w:szCs w:val="22"/>
        </w:rPr>
        <w:t xml:space="preserve">closest to the date of </w:t>
      </w:r>
      <w:r w:rsidR="00F85E8C">
        <w:rPr>
          <w:bCs/>
          <w:sz w:val="22"/>
          <w:szCs w:val="22"/>
        </w:rPr>
        <w:t xml:space="preserve">breast </w:t>
      </w:r>
      <w:r w:rsidR="00F85E8C" w:rsidRPr="00033A14">
        <w:rPr>
          <w:bCs/>
          <w:sz w:val="22"/>
          <w:szCs w:val="22"/>
        </w:rPr>
        <w:t>cancer diagnosis</w:t>
      </w:r>
      <w:r w:rsidR="00F85E8C">
        <w:rPr>
          <w:bCs/>
          <w:sz w:val="22"/>
          <w:szCs w:val="22"/>
        </w:rPr>
        <w:t xml:space="preserve"> was applied</w:t>
      </w:r>
      <w:r w:rsidR="006F694D">
        <w:rPr>
          <w:bCs/>
          <w:sz w:val="22"/>
          <w:szCs w:val="22"/>
        </w:rPr>
        <w:t xml:space="preserve"> (</w:t>
      </w:r>
      <w:r w:rsidR="00296941">
        <w:rPr>
          <w:bCs/>
          <w:sz w:val="22"/>
          <w:szCs w:val="22"/>
        </w:rPr>
        <w:t xml:space="preserve">i.e. </w:t>
      </w:r>
      <w:r w:rsidR="00F85E8C">
        <w:rPr>
          <w:bCs/>
          <w:sz w:val="22"/>
          <w:szCs w:val="22"/>
        </w:rPr>
        <w:t>IMD 2010 for</w:t>
      </w:r>
      <w:r w:rsidR="009D79E0">
        <w:rPr>
          <w:bCs/>
          <w:sz w:val="22"/>
          <w:szCs w:val="22"/>
        </w:rPr>
        <w:t xml:space="preserve"> </w:t>
      </w:r>
      <w:r w:rsidR="00893F5F" w:rsidRPr="00033A14">
        <w:rPr>
          <w:bCs/>
          <w:sz w:val="22"/>
          <w:szCs w:val="22"/>
        </w:rPr>
        <w:t>diagnos</w:t>
      </w:r>
      <w:r w:rsidR="008C6362">
        <w:rPr>
          <w:bCs/>
          <w:sz w:val="22"/>
          <w:szCs w:val="22"/>
        </w:rPr>
        <w:t>is</w:t>
      </w:r>
      <w:r w:rsidR="00893F5F" w:rsidRPr="00033A14">
        <w:rPr>
          <w:bCs/>
          <w:sz w:val="22"/>
          <w:szCs w:val="22"/>
        </w:rPr>
        <w:t xml:space="preserve"> in 2012</w:t>
      </w:r>
      <w:r w:rsidR="00F85E8C">
        <w:rPr>
          <w:bCs/>
          <w:sz w:val="22"/>
          <w:szCs w:val="22"/>
        </w:rPr>
        <w:t xml:space="preserve"> </w:t>
      </w:r>
      <w:r w:rsidR="00893F5F" w:rsidRPr="00033A14">
        <w:rPr>
          <w:bCs/>
          <w:sz w:val="22"/>
          <w:szCs w:val="22"/>
        </w:rPr>
        <w:t xml:space="preserve">and IMD 2015 </w:t>
      </w:r>
      <w:r w:rsidR="00296941">
        <w:rPr>
          <w:bCs/>
          <w:sz w:val="22"/>
          <w:szCs w:val="22"/>
        </w:rPr>
        <w:t>for</w:t>
      </w:r>
      <w:r w:rsidR="00D45D47">
        <w:rPr>
          <w:bCs/>
          <w:sz w:val="22"/>
          <w:szCs w:val="22"/>
        </w:rPr>
        <w:t xml:space="preserve"> </w:t>
      </w:r>
      <w:r w:rsidR="00893F5F" w:rsidRPr="00033A14">
        <w:rPr>
          <w:bCs/>
          <w:sz w:val="22"/>
          <w:szCs w:val="22"/>
        </w:rPr>
        <w:t>those diagnosed</w:t>
      </w:r>
      <w:r w:rsidR="00D45D47">
        <w:rPr>
          <w:bCs/>
          <w:sz w:val="22"/>
          <w:szCs w:val="22"/>
        </w:rPr>
        <w:t xml:space="preserve"> </w:t>
      </w:r>
      <w:r w:rsidR="00893F5F" w:rsidRPr="00033A14">
        <w:rPr>
          <w:bCs/>
          <w:sz w:val="22"/>
          <w:szCs w:val="22"/>
        </w:rPr>
        <w:t>2013-2017</w:t>
      </w:r>
      <w:r w:rsidR="006F694D">
        <w:rPr>
          <w:bCs/>
          <w:sz w:val="22"/>
          <w:szCs w:val="22"/>
        </w:rPr>
        <w:t>)</w:t>
      </w:r>
      <w:r w:rsidR="00F85E8C">
        <w:rPr>
          <w:bCs/>
          <w:sz w:val="22"/>
          <w:szCs w:val="22"/>
        </w:rPr>
        <w:t>.</w:t>
      </w:r>
      <w:r w:rsidR="00893F5F" w:rsidRPr="00033A14">
        <w:rPr>
          <w:bCs/>
          <w:sz w:val="22"/>
          <w:szCs w:val="22"/>
        </w:rPr>
        <w:t xml:space="preserve"> </w:t>
      </w:r>
      <w:r w:rsidRPr="00033A14">
        <w:rPr>
          <w:bCs/>
          <w:sz w:val="22"/>
          <w:szCs w:val="22"/>
        </w:rPr>
        <w:t xml:space="preserve">Additional </w:t>
      </w:r>
      <w:r w:rsidR="00CB66D4">
        <w:rPr>
          <w:bCs/>
          <w:sz w:val="22"/>
          <w:szCs w:val="22"/>
        </w:rPr>
        <w:t xml:space="preserve">socio-demographic </w:t>
      </w:r>
      <w:r w:rsidRPr="00033A14">
        <w:rPr>
          <w:bCs/>
          <w:sz w:val="22"/>
          <w:szCs w:val="22"/>
        </w:rPr>
        <w:t>variables of</w:t>
      </w:r>
      <w:r w:rsidR="00137D7E" w:rsidRPr="00033A14">
        <w:rPr>
          <w:bCs/>
          <w:sz w:val="22"/>
          <w:szCs w:val="22"/>
        </w:rPr>
        <w:t xml:space="preserve"> interest</w:t>
      </w:r>
      <w:r w:rsidRPr="00033A14">
        <w:rPr>
          <w:bCs/>
          <w:sz w:val="22"/>
          <w:szCs w:val="22"/>
        </w:rPr>
        <w:t xml:space="preserve"> </w:t>
      </w:r>
      <w:r w:rsidR="00296941">
        <w:rPr>
          <w:bCs/>
          <w:sz w:val="22"/>
          <w:szCs w:val="22"/>
        </w:rPr>
        <w:t>were</w:t>
      </w:r>
      <w:r w:rsidRPr="00033A14">
        <w:rPr>
          <w:bCs/>
          <w:sz w:val="22"/>
          <w:szCs w:val="22"/>
        </w:rPr>
        <w:t>: age</w:t>
      </w:r>
      <w:r w:rsidR="003A2688">
        <w:rPr>
          <w:bCs/>
          <w:sz w:val="22"/>
          <w:szCs w:val="22"/>
        </w:rPr>
        <w:t xml:space="preserve"> at diagnosis</w:t>
      </w:r>
      <w:r w:rsidR="00577E97" w:rsidRPr="00033A14">
        <w:rPr>
          <w:bCs/>
          <w:sz w:val="22"/>
          <w:szCs w:val="22"/>
        </w:rPr>
        <w:t>, ethnic</w:t>
      </w:r>
      <w:r w:rsidR="003A2688">
        <w:rPr>
          <w:bCs/>
          <w:sz w:val="22"/>
          <w:szCs w:val="22"/>
        </w:rPr>
        <w:t xml:space="preserve"> group</w:t>
      </w:r>
      <w:r w:rsidR="00577E97" w:rsidRPr="00033A14">
        <w:rPr>
          <w:bCs/>
          <w:sz w:val="22"/>
          <w:szCs w:val="22"/>
        </w:rPr>
        <w:t xml:space="preserve">, rural/urban residence, </w:t>
      </w:r>
      <w:r w:rsidR="003A2688">
        <w:rPr>
          <w:bCs/>
          <w:sz w:val="22"/>
          <w:szCs w:val="22"/>
        </w:rPr>
        <w:t xml:space="preserve">and </w:t>
      </w:r>
      <w:r w:rsidR="00577E97" w:rsidRPr="00033A14">
        <w:rPr>
          <w:bCs/>
          <w:sz w:val="22"/>
          <w:szCs w:val="22"/>
        </w:rPr>
        <w:t>government region</w:t>
      </w:r>
      <w:r w:rsidR="003A2688">
        <w:rPr>
          <w:bCs/>
          <w:sz w:val="22"/>
          <w:szCs w:val="22"/>
        </w:rPr>
        <w:t xml:space="preserve">. Other potential covariates considered were: stage at diagnosis, </w:t>
      </w:r>
      <w:r w:rsidR="0044558C">
        <w:rPr>
          <w:bCs/>
          <w:sz w:val="22"/>
          <w:szCs w:val="22"/>
        </w:rPr>
        <w:t>tumor</w:t>
      </w:r>
      <w:r w:rsidR="003A2688">
        <w:rPr>
          <w:bCs/>
          <w:sz w:val="22"/>
          <w:szCs w:val="22"/>
        </w:rPr>
        <w:t xml:space="preserve"> grade, </w:t>
      </w:r>
      <w:r w:rsidR="00FF3082" w:rsidRPr="00033A14">
        <w:rPr>
          <w:bCs/>
          <w:sz w:val="22"/>
          <w:szCs w:val="22"/>
        </w:rPr>
        <w:t xml:space="preserve">presence of </w:t>
      </w:r>
      <w:r w:rsidR="00577E97" w:rsidRPr="00033A14">
        <w:rPr>
          <w:bCs/>
          <w:sz w:val="22"/>
          <w:szCs w:val="22"/>
        </w:rPr>
        <w:t xml:space="preserve">multiple </w:t>
      </w:r>
      <w:r w:rsidR="0044558C">
        <w:rPr>
          <w:bCs/>
          <w:sz w:val="22"/>
          <w:szCs w:val="22"/>
        </w:rPr>
        <w:t>tumor</w:t>
      </w:r>
      <w:r w:rsidR="00577E97" w:rsidRPr="00033A14">
        <w:rPr>
          <w:bCs/>
          <w:sz w:val="22"/>
          <w:szCs w:val="22"/>
        </w:rPr>
        <w:t>s</w:t>
      </w:r>
      <w:r w:rsidR="00050245" w:rsidRPr="00033A14">
        <w:rPr>
          <w:bCs/>
          <w:sz w:val="22"/>
          <w:szCs w:val="22"/>
        </w:rPr>
        <w:t>,</w:t>
      </w:r>
      <w:r w:rsidR="00577E97" w:rsidRPr="00033A14">
        <w:rPr>
          <w:bCs/>
          <w:sz w:val="22"/>
          <w:szCs w:val="22"/>
        </w:rPr>
        <w:t xml:space="preserve"> </w:t>
      </w:r>
      <w:r w:rsidR="00050245" w:rsidRPr="00033A14">
        <w:rPr>
          <w:bCs/>
          <w:sz w:val="22"/>
          <w:szCs w:val="22"/>
        </w:rPr>
        <w:t xml:space="preserve">number of </w:t>
      </w:r>
      <w:r w:rsidR="00577E97" w:rsidRPr="00033A14">
        <w:rPr>
          <w:bCs/>
          <w:sz w:val="22"/>
          <w:szCs w:val="22"/>
        </w:rPr>
        <w:t>comorbidities</w:t>
      </w:r>
      <w:r w:rsidR="00050245" w:rsidRPr="00033A14">
        <w:rPr>
          <w:bCs/>
          <w:sz w:val="22"/>
          <w:szCs w:val="22"/>
        </w:rPr>
        <w:t xml:space="preserve">, </w:t>
      </w:r>
      <w:r w:rsidR="009B7CB5">
        <w:rPr>
          <w:bCs/>
          <w:sz w:val="22"/>
          <w:szCs w:val="22"/>
        </w:rPr>
        <w:t>ER</w:t>
      </w:r>
      <w:r w:rsidR="00050245" w:rsidRPr="00033A14">
        <w:rPr>
          <w:bCs/>
          <w:sz w:val="22"/>
          <w:szCs w:val="22"/>
        </w:rPr>
        <w:t xml:space="preserve"> status</w:t>
      </w:r>
      <w:r w:rsidR="003C7034" w:rsidRPr="00033A14">
        <w:rPr>
          <w:bCs/>
          <w:sz w:val="22"/>
          <w:szCs w:val="22"/>
        </w:rPr>
        <w:t>,</w:t>
      </w:r>
      <w:r w:rsidR="00577E97" w:rsidRPr="00033A14">
        <w:rPr>
          <w:bCs/>
          <w:sz w:val="22"/>
          <w:szCs w:val="22"/>
        </w:rPr>
        <w:t xml:space="preserve"> </w:t>
      </w:r>
      <w:r w:rsidR="00A26749">
        <w:rPr>
          <w:bCs/>
          <w:sz w:val="22"/>
          <w:szCs w:val="22"/>
        </w:rPr>
        <w:t>whether women received surgery</w:t>
      </w:r>
      <w:r w:rsidR="005358BB">
        <w:rPr>
          <w:bCs/>
          <w:sz w:val="22"/>
          <w:szCs w:val="22"/>
        </w:rPr>
        <w:t xml:space="preserve"> and/or chemotherapy</w:t>
      </w:r>
      <w:r w:rsidR="00A26749">
        <w:rPr>
          <w:bCs/>
          <w:sz w:val="22"/>
          <w:szCs w:val="22"/>
        </w:rPr>
        <w:t xml:space="preserve"> within 6 months of diagnosis</w:t>
      </w:r>
      <w:r w:rsidR="003A2688">
        <w:rPr>
          <w:bCs/>
          <w:sz w:val="22"/>
          <w:szCs w:val="22"/>
        </w:rPr>
        <w:t xml:space="preserve">, </w:t>
      </w:r>
      <w:r w:rsidR="00577E97" w:rsidRPr="00033A14">
        <w:rPr>
          <w:bCs/>
          <w:sz w:val="22"/>
          <w:szCs w:val="22"/>
        </w:rPr>
        <w:t xml:space="preserve">whether </w:t>
      </w:r>
      <w:r w:rsidR="00BF79EA">
        <w:rPr>
          <w:bCs/>
          <w:sz w:val="22"/>
          <w:szCs w:val="22"/>
        </w:rPr>
        <w:t>each</w:t>
      </w:r>
      <w:r w:rsidR="00BF79EA" w:rsidRPr="00033A14">
        <w:rPr>
          <w:bCs/>
          <w:sz w:val="22"/>
          <w:szCs w:val="22"/>
        </w:rPr>
        <w:t xml:space="preserve"> </w:t>
      </w:r>
      <w:r w:rsidR="00BF79EA">
        <w:rPr>
          <w:bCs/>
          <w:sz w:val="22"/>
          <w:szCs w:val="22"/>
        </w:rPr>
        <w:t>case</w:t>
      </w:r>
      <w:r w:rsidR="00BF79EA" w:rsidRPr="00033A14">
        <w:rPr>
          <w:bCs/>
          <w:sz w:val="22"/>
          <w:szCs w:val="22"/>
        </w:rPr>
        <w:t xml:space="preserve"> </w:t>
      </w:r>
      <w:r w:rsidR="00577E97" w:rsidRPr="00033A14">
        <w:rPr>
          <w:bCs/>
          <w:sz w:val="22"/>
          <w:szCs w:val="22"/>
        </w:rPr>
        <w:t>was discussed at MDT</w:t>
      </w:r>
      <w:r w:rsidR="003A2688">
        <w:rPr>
          <w:bCs/>
          <w:sz w:val="22"/>
          <w:szCs w:val="22"/>
        </w:rPr>
        <w:t>, and year of diagnosis</w:t>
      </w:r>
      <w:r w:rsidR="00577E97" w:rsidRPr="00033A14">
        <w:rPr>
          <w:bCs/>
          <w:sz w:val="22"/>
          <w:szCs w:val="22"/>
        </w:rPr>
        <w:t xml:space="preserve">. Age was </w:t>
      </w:r>
      <w:r w:rsidR="00E742EB">
        <w:rPr>
          <w:bCs/>
          <w:sz w:val="22"/>
          <w:szCs w:val="22"/>
        </w:rPr>
        <w:t>categorized</w:t>
      </w:r>
      <w:r w:rsidR="00577E97" w:rsidRPr="00033A14">
        <w:rPr>
          <w:bCs/>
          <w:sz w:val="22"/>
          <w:szCs w:val="22"/>
        </w:rPr>
        <w:t xml:space="preserve"> into</w:t>
      </w:r>
      <w:r w:rsidR="00050245" w:rsidRPr="00033A14">
        <w:rPr>
          <w:bCs/>
          <w:sz w:val="22"/>
          <w:szCs w:val="22"/>
        </w:rPr>
        <w:t>:</w:t>
      </w:r>
      <w:r w:rsidR="00577E97" w:rsidRPr="00033A14">
        <w:rPr>
          <w:bCs/>
          <w:sz w:val="22"/>
          <w:szCs w:val="22"/>
        </w:rPr>
        <w:t xml:space="preserve"> &lt;</w:t>
      </w:r>
      <w:r w:rsidR="001E5AA6">
        <w:rPr>
          <w:bCs/>
          <w:sz w:val="22"/>
          <w:szCs w:val="22"/>
        </w:rPr>
        <w:t>5</w:t>
      </w:r>
      <w:r w:rsidR="00577E97" w:rsidRPr="00033A14">
        <w:rPr>
          <w:bCs/>
          <w:sz w:val="22"/>
          <w:szCs w:val="22"/>
        </w:rPr>
        <w:t>0</w:t>
      </w:r>
      <w:r w:rsidR="001E5AA6">
        <w:rPr>
          <w:bCs/>
          <w:sz w:val="22"/>
          <w:szCs w:val="22"/>
        </w:rPr>
        <w:t xml:space="preserve">, </w:t>
      </w:r>
      <w:r w:rsidR="00577E97" w:rsidRPr="00033A14">
        <w:rPr>
          <w:bCs/>
          <w:sz w:val="22"/>
          <w:szCs w:val="22"/>
        </w:rPr>
        <w:t>50-59, 60-69, 70-79 and 80+ years</w:t>
      </w:r>
      <w:r w:rsidR="005502C7">
        <w:rPr>
          <w:bCs/>
          <w:sz w:val="22"/>
          <w:szCs w:val="22"/>
        </w:rPr>
        <w:t xml:space="preserve"> old. </w:t>
      </w:r>
      <w:r w:rsidR="00577E97" w:rsidRPr="00033A14">
        <w:rPr>
          <w:bCs/>
          <w:sz w:val="22"/>
          <w:szCs w:val="22"/>
        </w:rPr>
        <w:t>E</w:t>
      </w:r>
      <w:r w:rsidRPr="00033A14">
        <w:rPr>
          <w:bCs/>
          <w:sz w:val="22"/>
          <w:szCs w:val="22"/>
        </w:rPr>
        <w:t>thnicity</w:t>
      </w:r>
      <w:r w:rsidR="00B83B63" w:rsidRPr="00033A14">
        <w:rPr>
          <w:bCs/>
          <w:sz w:val="22"/>
          <w:szCs w:val="22"/>
        </w:rPr>
        <w:t xml:space="preserve"> </w:t>
      </w:r>
      <w:r w:rsidR="00577E97" w:rsidRPr="00033A14">
        <w:rPr>
          <w:bCs/>
          <w:sz w:val="22"/>
          <w:szCs w:val="22"/>
        </w:rPr>
        <w:t>was classified as</w:t>
      </w:r>
      <w:r w:rsidR="001452D6">
        <w:rPr>
          <w:bCs/>
          <w:sz w:val="22"/>
          <w:szCs w:val="22"/>
        </w:rPr>
        <w:t>:</w:t>
      </w:r>
      <w:r w:rsidR="00577E97" w:rsidRPr="00033A14">
        <w:rPr>
          <w:bCs/>
          <w:sz w:val="22"/>
          <w:szCs w:val="22"/>
        </w:rPr>
        <w:t xml:space="preserve"> </w:t>
      </w:r>
      <w:r w:rsidR="00B83B63" w:rsidRPr="00033A14">
        <w:rPr>
          <w:bCs/>
          <w:sz w:val="22"/>
          <w:szCs w:val="22"/>
        </w:rPr>
        <w:t xml:space="preserve">white, other ethnic group </w:t>
      </w:r>
      <w:r w:rsidR="00577E97" w:rsidRPr="00033A14">
        <w:rPr>
          <w:bCs/>
          <w:sz w:val="22"/>
          <w:szCs w:val="22"/>
        </w:rPr>
        <w:t>(Asian/British, Asian, Black/African/Caribbean</w:t>
      </w:r>
      <w:r w:rsidR="00B81A5C" w:rsidRPr="00033A14">
        <w:rPr>
          <w:bCs/>
          <w:sz w:val="22"/>
          <w:szCs w:val="22"/>
        </w:rPr>
        <w:t>/B</w:t>
      </w:r>
      <w:r w:rsidR="00577E97" w:rsidRPr="00033A14">
        <w:rPr>
          <w:bCs/>
          <w:sz w:val="22"/>
          <w:szCs w:val="22"/>
        </w:rPr>
        <w:t xml:space="preserve">lack British, mixed/multiple ethic groups </w:t>
      </w:r>
      <w:r w:rsidR="00B83B63" w:rsidRPr="00033A14">
        <w:rPr>
          <w:bCs/>
          <w:sz w:val="22"/>
          <w:szCs w:val="22"/>
        </w:rPr>
        <w:t>and other</w:t>
      </w:r>
      <w:r w:rsidR="00B81A5C" w:rsidRPr="00033A14">
        <w:rPr>
          <w:bCs/>
          <w:sz w:val="22"/>
          <w:szCs w:val="22"/>
        </w:rPr>
        <w:t xml:space="preserve"> ethnic groups)</w:t>
      </w:r>
      <w:r w:rsidR="00604584" w:rsidRPr="00033A14">
        <w:rPr>
          <w:bCs/>
          <w:sz w:val="22"/>
          <w:szCs w:val="22"/>
        </w:rPr>
        <w:t>,</w:t>
      </w:r>
      <w:r w:rsidR="00B81A5C" w:rsidRPr="00033A14">
        <w:rPr>
          <w:bCs/>
          <w:sz w:val="22"/>
          <w:szCs w:val="22"/>
        </w:rPr>
        <w:t xml:space="preserve"> and unknown (missing and unknown classifications).</w:t>
      </w:r>
      <w:r w:rsidR="008905F7" w:rsidRPr="00033A14">
        <w:rPr>
          <w:bCs/>
          <w:sz w:val="22"/>
          <w:szCs w:val="22"/>
        </w:rPr>
        <w:t xml:space="preserve"> R</w:t>
      </w:r>
      <w:r w:rsidRPr="00033A14">
        <w:rPr>
          <w:bCs/>
          <w:sz w:val="22"/>
          <w:szCs w:val="22"/>
        </w:rPr>
        <w:t xml:space="preserve">ural/urban </w:t>
      </w:r>
      <w:r w:rsidR="008905F7" w:rsidRPr="00033A14">
        <w:rPr>
          <w:bCs/>
          <w:sz w:val="22"/>
          <w:szCs w:val="22"/>
        </w:rPr>
        <w:t xml:space="preserve">residence was defined as: rural </w:t>
      </w:r>
      <w:r w:rsidR="00E42D6D" w:rsidRPr="00033A14">
        <w:rPr>
          <w:bCs/>
          <w:sz w:val="22"/>
          <w:szCs w:val="22"/>
        </w:rPr>
        <w:t>village</w:t>
      </w:r>
      <w:r w:rsidR="008905F7" w:rsidRPr="00033A14">
        <w:rPr>
          <w:bCs/>
          <w:sz w:val="22"/>
          <w:szCs w:val="22"/>
        </w:rPr>
        <w:t xml:space="preserve">, </w:t>
      </w:r>
      <w:r w:rsidR="00E42D6D" w:rsidRPr="00033A14">
        <w:rPr>
          <w:bCs/>
          <w:sz w:val="22"/>
          <w:szCs w:val="22"/>
        </w:rPr>
        <w:t>hamlet</w:t>
      </w:r>
      <w:r w:rsidR="00604584" w:rsidRPr="00033A14">
        <w:rPr>
          <w:bCs/>
          <w:sz w:val="22"/>
          <w:szCs w:val="22"/>
        </w:rPr>
        <w:t>,</w:t>
      </w:r>
      <w:r w:rsidR="008905F7" w:rsidRPr="00033A14">
        <w:rPr>
          <w:bCs/>
          <w:sz w:val="22"/>
          <w:szCs w:val="22"/>
        </w:rPr>
        <w:t xml:space="preserve"> </w:t>
      </w:r>
      <w:r w:rsidR="002F7041">
        <w:rPr>
          <w:bCs/>
          <w:sz w:val="22"/>
          <w:szCs w:val="22"/>
        </w:rPr>
        <w:t>and</w:t>
      </w:r>
      <w:r w:rsidR="008905F7" w:rsidRPr="00033A14">
        <w:rPr>
          <w:bCs/>
          <w:sz w:val="22"/>
          <w:szCs w:val="22"/>
        </w:rPr>
        <w:t xml:space="preserve"> isolated dwellings; rural town </w:t>
      </w:r>
      <w:r w:rsidR="002F7041">
        <w:rPr>
          <w:bCs/>
          <w:sz w:val="22"/>
          <w:szCs w:val="22"/>
        </w:rPr>
        <w:t>and</w:t>
      </w:r>
      <w:r w:rsidR="008905F7" w:rsidRPr="00033A14">
        <w:rPr>
          <w:bCs/>
          <w:sz w:val="22"/>
          <w:szCs w:val="22"/>
        </w:rPr>
        <w:t xml:space="preserve"> fringe; urban city and town; </w:t>
      </w:r>
      <w:r w:rsidR="00604584" w:rsidRPr="00033A14">
        <w:rPr>
          <w:bCs/>
          <w:sz w:val="22"/>
          <w:szCs w:val="22"/>
        </w:rPr>
        <w:t xml:space="preserve">and </w:t>
      </w:r>
      <w:r w:rsidR="008905F7" w:rsidRPr="00033A14">
        <w:rPr>
          <w:bCs/>
          <w:sz w:val="22"/>
          <w:szCs w:val="22"/>
        </w:rPr>
        <w:t>urban conurbation.</w:t>
      </w:r>
      <w:r w:rsidR="00B57490" w:rsidRPr="00033A14">
        <w:rPr>
          <w:bCs/>
          <w:sz w:val="22"/>
          <w:szCs w:val="22"/>
        </w:rPr>
        <w:fldChar w:fldCharType="begin"/>
      </w:r>
      <w:r w:rsidR="00103315">
        <w:rPr>
          <w:bCs/>
          <w:sz w:val="22"/>
          <w:szCs w:val="22"/>
        </w:rPr>
        <w:instrText xml:space="preserve"> ADDIN ZOTERO_ITEM CSL_CITATION {"citationID":"tn2VU4fx","properties":{"formattedCitation":"\\super 42\\nosupersub{}","plainCitation":"42","noteIndex":0},"citationItems":[{"id":1456,"uris":["http://zotero.org/users/local/nRdURiV3/items/WUDNPRU9"],"itemData":{"id":1456,"type":"document","publisher":"Office for National Statistics","title":"The 2011 Rural-Urban Classification For Small Area Geographies: A User Guide and Frequently Asked Questions (v1.0)","URL":"https://assets.publishing.service.gov.uk/government/uploads/system/uploads/attachment_data/file/239478/RUC11user_guide_28_Aug.pdf","author":[{"family":"Bibby","given":"P."},{"family":"Brindley","given":"P."}],"accessed":{"date-parts":[["2022",5,19]]},"issued":{"date-parts":[["2013"]]}}}],"schema":"https://github.com/citation-style-language/schema/raw/master/csl-citation.json"} </w:instrText>
      </w:r>
      <w:r w:rsidR="00B57490" w:rsidRPr="00033A14">
        <w:rPr>
          <w:bCs/>
          <w:sz w:val="22"/>
          <w:szCs w:val="22"/>
        </w:rPr>
        <w:fldChar w:fldCharType="separate"/>
      </w:r>
      <w:r w:rsidR="00103315" w:rsidRPr="00103315">
        <w:rPr>
          <w:sz w:val="22"/>
          <w:vertAlign w:val="superscript"/>
        </w:rPr>
        <w:t>42</w:t>
      </w:r>
      <w:r w:rsidR="00B57490" w:rsidRPr="00033A14">
        <w:rPr>
          <w:bCs/>
          <w:sz w:val="22"/>
          <w:szCs w:val="22"/>
        </w:rPr>
        <w:fldChar w:fldCharType="end"/>
      </w:r>
      <w:r w:rsidR="008905F7" w:rsidRPr="00033A14">
        <w:rPr>
          <w:bCs/>
          <w:sz w:val="22"/>
          <w:szCs w:val="22"/>
        </w:rPr>
        <w:t xml:space="preserve"> </w:t>
      </w:r>
      <w:r w:rsidR="005502C7">
        <w:rPr>
          <w:bCs/>
          <w:sz w:val="22"/>
          <w:szCs w:val="22"/>
        </w:rPr>
        <w:t>The following n</w:t>
      </w:r>
      <w:r w:rsidR="008905F7" w:rsidRPr="00033A14">
        <w:rPr>
          <w:bCs/>
          <w:sz w:val="22"/>
          <w:szCs w:val="22"/>
        </w:rPr>
        <w:t xml:space="preserve">ine </w:t>
      </w:r>
      <w:r w:rsidRPr="00033A14">
        <w:rPr>
          <w:bCs/>
          <w:sz w:val="22"/>
          <w:szCs w:val="22"/>
        </w:rPr>
        <w:t>government region</w:t>
      </w:r>
      <w:r w:rsidR="002D10F8" w:rsidRPr="00033A14">
        <w:rPr>
          <w:bCs/>
          <w:sz w:val="22"/>
          <w:szCs w:val="22"/>
        </w:rPr>
        <w:t xml:space="preserve"> </w:t>
      </w:r>
      <w:r w:rsidR="008905F7" w:rsidRPr="00033A14">
        <w:rPr>
          <w:bCs/>
          <w:sz w:val="22"/>
          <w:szCs w:val="22"/>
        </w:rPr>
        <w:t>w</w:t>
      </w:r>
      <w:r w:rsidR="003C7034" w:rsidRPr="00033A14">
        <w:rPr>
          <w:bCs/>
          <w:sz w:val="22"/>
          <w:szCs w:val="22"/>
        </w:rPr>
        <w:t>ere</w:t>
      </w:r>
      <w:r w:rsidR="008905F7" w:rsidRPr="00033A14">
        <w:rPr>
          <w:bCs/>
          <w:sz w:val="22"/>
          <w:szCs w:val="22"/>
        </w:rPr>
        <w:t xml:space="preserve"> </w:t>
      </w:r>
      <w:r w:rsidR="005502C7">
        <w:rPr>
          <w:bCs/>
          <w:sz w:val="22"/>
          <w:szCs w:val="22"/>
        </w:rPr>
        <w:t>used</w:t>
      </w:r>
      <w:r w:rsidR="008905F7" w:rsidRPr="00033A14">
        <w:rPr>
          <w:bCs/>
          <w:sz w:val="22"/>
          <w:szCs w:val="22"/>
        </w:rPr>
        <w:t>: North West, North East, West Midlands</w:t>
      </w:r>
      <w:r w:rsidR="005525CD">
        <w:rPr>
          <w:bCs/>
          <w:sz w:val="22"/>
          <w:szCs w:val="22"/>
        </w:rPr>
        <w:t>, Yorkshire</w:t>
      </w:r>
      <w:r w:rsidR="008905F7" w:rsidRPr="00033A14">
        <w:rPr>
          <w:bCs/>
          <w:sz w:val="22"/>
          <w:szCs w:val="22"/>
        </w:rPr>
        <w:t xml:space="preserve"> and the Humber</w:t>
      </w:r>
      <w:r w:rsidR="00CE1F7E">
        <w:rPr>
          <w:bCs/>
          <w:sz w:val="22"/>
          <w:szCs w:val="22"/>
        </w:rPr>
        <w:t>,</w:t>
      </w:r>
      <w:r w:rsidR="008905F7" w:rsidRPr="00033A14">
        <w:rPr>
          <w:bCs/>
          <w:sz w:val="22"/>
          <w:szCs w:val="22"/>
        </w:rPr>
        <w:t xml:space="preserve"> East Midlands</w:t>
      </w:r>
      <w:r w:rsidR="00CE1F7E">
        <w:rPr>
          <w:bCs/>
          <w:sz w:val="22"/>
          <w:szCs w:val="22"/>
        </w:rPr>
        <w:t>,</w:t>
      </w:r>
      <w:r w:rsidR="008905F7" w:rsidRPr="00033A14">
        <w:rPr>
          <w:bCs/>
          <w:sz w:val="22"/>
          <w:szCs w:val="22"/>
        </w:rPr>
        <w:t xml:space="preserve"> East of England</w:t>
      </w:r>
      <w:r w:rsidR="00CE1F7E">
        <w:rPr>
          <w:bCs/>
          <w:sz w:val="22"/>
          <w:szCs w:val="22"/>
        </w:rPr>
        <w:t>,</w:t>
      </w:r>
      <w:r w:rsidR="008905F7" w:rsidRPr="00033A14">
        <w:rPr>
          <w:bCs/>
          <w:sz w:val="22"/>
          <w:szCs w:val="22"/>
        </w:rPr>
        <w:t xml:space="preserve"> South East</w:t>
      </w:r>
      <w:r w:rsidR="00CE1F7E">
        <w:rPr>
          <w:bCs/>
          <w:sz w:val="22"/>
          <w:szCs w:val="22"/>
        </w:rPr>
        <w:t>,</w:t>
      </w:r>
      <w:r w:rsidR="008905F7" w:rsidRPr="00033A14">
        <w:rPr>
          <w:bCs/>
          <w:sz w:val="22"/>
          <w:szCs w:val="22"/>
        </w:rPr>
        <w:t xml:space="preserve"> South West</w:t>
      </w:r>
      <w:r w:rsidR="00CE1F7E">
        <w:rPr>
          <w:bCs/>
          <w:sz w:val="22"/>
          <w:szCs w:val="22"/>
        </w:rPr>
        <w:t>,</w:t>
      </w:r>
      <w:r w:rsidR="008905F7" w:rsidRPr="00033A14">
        <w:rPr>
          <w:bCs/>
          <w:sz w:val="22"/>
          <w:szCs w:val="22"/>
        </w:rPr>
        <w:t xml:space="preserve"> and London.</w:t>
      </w:r>
      <w:r w:rsidR="004C7FE6" w:rsidRPr="00033A14">
        <w:rPr>
          <w:bCs/>
          <w:sz w:val="22"/>
          <w:szCs w:val="22"/>
        </w:rPr>
        <w:fldChar w:fldCharType="begin"/>
      </w:r>
      <w:r w:rsidR="00103315">
        <w:rPr>
          <w:bCs/>
          <w:sz w:val="22"/>
          <w:szCs w:val="22"/>
        </w:rPr>
        <w:instrText xml:space="preserve"> ADDIN ZOTERO_ITEM CSL_CITATION {"citationID":"usMy8SY6","properties":{"formattedCitation":"\\super 33\\nosupersub{}","plainCitation":"33","noteIndex":0},"citationItems":[{"id":416,"uris":["http://zotero.org/users/local/nRdURiV3/items/HV8C7IIS"],"itemData":{"id":416,"type":"webpage","title":"England: Detailed information on the administrative structure within England.","URL":"https://www.ons.gov.uk/methodology/geography/ukgeographies/administrativegeography/england","author":[{"literal":"ONS"}],"accessed":{"date-parts":[["2021",8,30]]},"issued":{"date-parts":[["2021",8,30]]}}}],"schema":"https://github.com/citation-style-language/schema/raw/master/csl-citation.json"} </w:instrText>
      </w:r>
      <w:r w:rsidR="004C7FE6" w:rsidRPr="00033A14">
        <w:rPr>
          <w:bCs/>
          <w:sz w:val="22"/>
          <w:szCs w:val="22"/>
        </w:rPr>
        <w:fldChar w:fldCharType="separate"/>
      </w:r>
      <w:r w:rsidR="00103315" w:rsidRPr="00103315">
        <w:rPr>
          <w:sz w:val="22"/>
          <w:vertAlign w:val="superscript"/>
        </w:rPr>
        <w:t>33</w:t>
      </w:r>
      <w:r w:rsidR="004C7FE6" w:rsidRPr="00033A14">
        <w:rPr>
          <w:bCs/>
          <w:sz w:val="22"/>
          <w:szCs w:val="22"/>
        </w:rPr>
        <w:fldChar w:fldCharType="end"/>
      </w:r>
      <w:r w:rsidR="008905F7" w:rsidRPr="00033A14">
        <w:rPr>
          <w:bCs/>
          <w:sz w:val="22"/>
          <w:szCs w:val="22"/>
        </w:rPr>
        <w:t xml:space="preserve"> </w:t>
      </w:r>
      <w:r w:rsidR="00604584" w:rsidRPr="00033A14">
        <w:rPr>
          <w:bCs/>
          <w:sz w:val="22"/>
          <w:szCs w:val="22"/>
        </w:rPr>
        <w:t>TNM s</w:t>
      </w:r>
      <w:r w:rsidRPr="00033A14">
        <w:rPr>
          <w:bCs/>
          <w:sz w:val="22"/>
          <w:szCs w:val="22"/>
        </w:rPr>
        <w:t>tage</w:t>
      </w:r>
      <w:r w:rsidR="00B83B63" w:rsidRPr="00033A14">
        <w:rPr>
          <w:bCs/>
          <w:sz w:val="22"/>
          <w:szCs w:val="22"/>
        </w:rPr>
        <w:t xml:space="preserve"> </w:t>
      </w:r>
      <w:r w:rsidR="008905F7" w:rsidRPr="00033A14">
        <w:rPr>
          <w:bCs/>
          <w:sz w:val="22"/>
          <w:szCs w:val="22"/>
        </w:rPr>
        <w:t xml:space="preserve">at diagnosis was </w:t>
      </w:r>
      <w:r w:rsidR="00E742EB">
        <w:rPr>
          <w:bCs/>
          <w:sz w:val="22"/>
          <w:szCs w:val="22"/>
        </w:rPr>
        <w:t>categorized</w:t>
      </w:r>
      <w:r w:rsidR="00B83B63" w:rsidRPr="00033A14">
        <w:rPr>
          <w:bCs/>
          <w:sz w:val="22"/>
          <w:szCs w:val="22"/>
        </w:rPr>
        <w:t xml:space="preserve"> as</w:t>
      </w:r>
      <w:r w:rsidR="008905F7" w:rsidRPr="00033A14">
        <w:rPr>
          <w:bCs/>
          <w:sz w:val="22"/>
          <w:szCs w:val="22"/>
        </w:rPr>
        <w:t>:</w:t>
      </w:r>
      <w:r w:rsidR="00B83B63" w:rsidRPr="00033A14">
        <w:rPr>
          <w:bCs/>
          <w:sz w:val="22"/>
          <w:szCs w:val="22"/>
        </w:rPr>
        <w:t xml:space="preserve"> I</w:t>
      </w:r>
      <w:r w:rsidR="008905F7" w:rsidRPr="00033A14">
        <w:rPr>
          <w:bCs/>
          <w:sz w:val="22"/>
          <w:szCs w:val="22"/>
        </w:rPr>
        <w:t>,</w:t>
      </w:r>
      <w:r w:rsidR="00B83B63" w:rsidRPr="00033A14">
        <w:rPr>
          <w:bCs/>
          <w:sz w:val="22"/>
          <w:szCs w:val="22"/>
        </w:rPr>
        <w:t xml:space="preserve"> II, III</w:t>
      </w:r>
      <w:r w:rsidR="00745D0A" w:rsidRPr="00033A14">
        <w:rPr>
          <w:bCs/>
          <w:sz w:val="22"/>
          <w:szCs w:val="22"/>
        </w:rPr>
        <w:t>,</w:t>
      </w:r>
      <w:r w:rsidR="00B83B63" w:rsidRPr="00033A14">
        <w:rPr>
          <w:bCs/>
          <w:sz w:val="22"/>
          <w:szCs w:val="22"/>
        </w:rPr>
        <w:t xml:space="preserve"> </w:t>
      </w:r>
      <w:r w:rsidR="001452D6">
        <w:rPr>
          <w:bCs/>
          <w:sz w:val="22"/>
          <w:szCs w:val="22"/>
        </w:rPr>
        <w:t xml:space="preserve">and </w:t>
      </w:r>
      <w:r w:rsidR="00B83B63" w:rsidRPr="00033A14">
        <w:rPr>
          <w:bCs/>
          <w:sz w:val="22"/>
          <w:szCs w:val="22"/>
        </w:rPr>
        <w:t>IV</w:t>
      </w:r>
      <w:r w:rsidR="008905F7" w:rsidRPr="00033A14">
        <w:rPr>
          <w:bCs/>
          <w:sz w:val="22"/>
          <w:szCs w:val="22"/>
        </w:rPr>
        <w:t>. G</w:t>
      </w:r>
      <w:r w:rsidRPr="00033A14">
        <w:rPr>
          <w:bCs/>
          <w:sz w:val="22"/>
          <w:szCs w:val="22"/>
        </w:rPr>
        <w:t>rade</w:t>
      </w:r>
      <w:r w:rsidR="00E42D6D" w:rsidRPr="00033A14">
        <w:rPr>
          <w:bCs/>
          <w:sz w:val="22"/>
          <w:szCs w:val="22"/>
        </w:rPr>
        <w:t xml:space="preserve"> </w:t>
      </w:r>
      <w:r w:rsidR="008905F7" w:rsidRPr="00033A14">
        <w:rPr>
          <w:bCs/>
          <w:sz w:val="22"/>
          <w:szCs w:val="22"/>
        </w:rPr>
        <w:t xml:space="preserve">was grouped as: </w:t>
      </w:r>
      <w:r w:rsidR="00E42D6D" w:rsidRPr="00033A14">
        <w:rPr>
          <w:bCs/>
          <w:sz w:val="22"/>
          <w:szCs w:val="22"/>
        </w:rPr>
        <w:t>well, moderately</w:t>
      </w:r>
      <w:r w:rsidR="00604584" w:rsidRPr="00033A14">
        <w:rPr>
          <w:bCs/>
          <w:sz w:val="22"/>
          <w:szCs w:val="22"/>
        </w:rPr>
        <w:t>,</w:t>
      </w:r>
      <w:r w:rsidR="00E42D6D" w:rsidRPr="00033A14">
        <w:rPr>
          <w:bCs/>
          <w:sz w:val="22"/>
          <w:szCs w:val="22"/>
        </w:rPr>
        <w:t xml:space="preserve"> and poorly differentiated</w:t>
      </w:r>
      <w:r w:rsidR="00867201">
        <w:rPr>
          <w:bCs/>
          <w:sz w:val="22"/>
          <w:szCs w:val="22"/>
        </w:rPr>
        <w:t xml:space="preserve">, and other (undifferentiated, anaplastic, undetermined, or missing </w:t>
      </w:r>
      <w:r w:rsidR="0044558C">
        <w:rPr>
          <w:bCs/>
          <w:sz w:val="22"/>
          <w:szCs w:val="22"/>
        </w:rPr>
        <w:t>tumor</w:t>
      </w:r>
      <w:r w:rsidR="00867201">
        <w:rPr>
          <w:bCs/>
          <w:sz w:val="22"/>
          <w:szCs w:val="22"/>
        </w:rPr>
        <w:t xml:space="preserve"> grade)</w:t>
      </w:r>
      <w:r w:rsidR="008905F7" w:rsidRPr="00033A14">
        <w:rPr>
          <w:bCs/>
          <w:sz w:val="22"/>
          <w:szCs w:val="22"/>
        </w:rPr>
        <w:t>.</w:t>
      </w:r>
      <w:r w:rsidRPr="00033A14">
        <w:rPr>
          <w:bCs/>
          <w:sz w:val="22"/>
          <w:szCs w:val="22"/>
        </w:rPr>
        <w:t xml:space="preserve"> </w:t>
      </w:r>
      <w:r w:rsidR="00296941">
        <w:rPr>
          <w:bCs/>
          <w:sz w:val="22"/>
          <w:szCs w:val="22"/>
        </w:rPr>
        <w:t>The m</w:t>
      </w:r>
      <w:r w:rsidR="008905F7" w:rsidRPr="00033A14">
        <w:rPr>
          <w:bCs/>
          <w:sz w:val="22"/>
          <w:szCs w:val="22"/>
        </w:rPr>
        <w:t xml:space="preserve">ultiple </w:t>
      </w:r>
      <w:r w:rsidR="0044558C">
        <w:rPr>
          <w:bCs/>
          <w:sz w:val="22"/>
          <w:szCs w:val="22"/>
        </w:rPr>
        <w:t>tumor</w:t>
      </w:r>
      <w:r w:rsidR="008905F7" w:rsidRPr="00033A14">
        <w:rPr>
          <w:bCs/>
          <w:sz w:val="22"/>
          <w:szCs w:val="22"/>
        </w:rPr>
        <w:t xml:space="preserve">s </w:t>
      </w:r>
      <w:r w:rsidR="00296941">
        <w:rPr>
          <w:bCs/>
          <w:sz w:val="22"/>
          <w:szCs w:val="22"/>
        </w:rPr>
        <w:t>variable took the value of 0 if the index breast cancer was the only cancer the individual ha</w:t>
      </w:r>
      <w:r w:rsidR="00522364">
        <w:rPr>
          <w:bCs/>
          <w:sz w:val="22"/>
          <w:szCs w:val="22"/>
        </w:rPr>
        <w:t>d</w:t>
      </w:r>
      <w:r w:rsidR="00296941">
        <w:rPr>
          <w:bCs/>
          <w:sz w:val="22"/>
          <w:szCs w:val="22"/>
        </w:rPr>
        <w:t xml:space="preserve"> </w:t>
      </w:r>
      <w:r w:rsidR="00522364">
        <w:rPr>
          <w:bCs/>
          <w:sz w:val="22"/>
          <w:szCs w:val="22"/>
        </w:rPr>
        <w:t>and</w:t>
      </w:r>
      <w:r w:rsidR="00296941">
        <w:rPr>
          <w:bCs/>
          <w:sz w:val="22"/>
          <w:szCs w:val="22"/>
        </w:rPr>
        <w:t xml:space="preserve"> was 1 (or more than 1) if they had previously had (an)other cancer(s)</w:t>
      </w:r>
      <w:r w:rsidR="008905F7" w:rsidRPr="00033A14">
        <w:rPr>
          <w:bCs/>
          <w:sz w:val="22"/>
          <w:szCs w:val="22"/>
        </w:rPr>
        <w:t xml:space="preserve">. </w:t>
      </w:r>
      <w:r w:rsidRPr="00033A14">
        <w:rPr>
          <w:bCs/>
          <w:sz w:val="22"/>
          <w:szCs w:val="22"/>
        </w:rPr>
        <w:t>ER status</w:t>
      </w:r>
      <w:r w:rsidR="00B83B63" w:rsidRPr="00033A14">
        <w:rPr>
          <w:bCs/>
          <w:sz w:val="22"/>
          <w:szCs w:val="22"/>
        </w:rPr>
        <w:t xml:space="preserve"> </w:t>
      </w:r>
      <w:r w:rsidR="008905F7" w:rsidRPr="00033A14">
        <w:rPr>
          <w:bCs/>
          <w:sz w:val="22"/>
          <w:szCs w:val="22"/>
        </w:rPr>
        <w:t xml:space="preserve">was classified as </w:t>
      </w:r>
      <w:r w:rsidR="00745D0A" w:rsidRPr="00033A14">
        <w:rPr>
          <w:bCs/>
          <w:sz w:val="22"/>
          <w:szCs w:val="22"/>
        </w:rPr>
        <w:t>positive</w:t>
      </w:r>
      <w:r w:rsidR="004C7FE6" w:rsidRPr="00033A14">
        <w:rPr>
          <w:bCs/>
          <w:sz w:val="22"/>
          <w:szCs w:val="22"/>
        </w:rPr>
        <w:t xml:space="preserve"> (</w:t>
      </w:r>
      <w:r w:rsidR="00B32ED3">
        <w:rPr>
          <w:bCs/>
          <w:sz w:val="22"/>
          <w:szCs w:val="22"/>
        </w:rPr>
        <w:t>at least one positive test, inclu</w:t>
      </w:r>
      <w:r w:rsidR="00296941">
        <w:rPr>
          <w:bCs/>
          <w:sz w:val="22"/>
          <w:szCs w:val="22"/>
        </w:rPr>
        <w:t xml:space="preserve">ding </w:t>
      </w:r>
      <w:r w:rsidR="004C7FE6" w:rsidRPr="00033A14">
        <w:rPr>
          <w:bCs/>
          <w:sz w:val="22"/>
          <w:szCs w:val="22"/>
        </w:rPr>
        <w:t>borderline</w:t>
      </w:r>
      <w:r w:rsidR="00B32ED3">
        <w:rPr>
          <w:bCs/>
          <w:sz w:val="22"/>
          <w:szCs w:val="22"/>
        </w:rPr>
        <w:t xml:space="preserve"> definitions),</w:t>
      </w:r>
      <w:r w:rsidR="00745D0A" w:rsidRPr="00033A14">
        <w:rPr>
          <w:bCs/>
          <w:sz w:val="22"/>
          <w:szCs w:val="22"/>
        </w:rPr>
        <w:t xml:space="preserve"> negative</w:t>
      </w:r>
      <w:r w:rsidR="006F73B7" w:rsidRPr="00033A14">
        <w:rPr>
          <w:bCs/>
          <w:sz w:val="22"/>
          <w:szCs w:val="22"/>
        </w:rPr>
        <w:t>,</w:t>
      </w:r>
      <w:r w:rsidR="008905F7" w:rsidRPr="00033A14">
        <w:rPr>
          <w:bCs/>
          <w:sz w:val="22"/>
          <w:szCs w:val="22"/>
        </w:rPr>
        <w:t xml:space="preserve"> or</w:t>
      </w:r>
      <w:r w:rsidR="00745D0A" w:rsidRPr="00033A14">
        <w:rPr>
          <w:bCs/>
          <w:sz w:val="22"/>
          <w:szCs w:val="22"/>
        </w:rPr>
        <w:t xml:space="preserve"> unknown</w:t>
      </w:r>
      <w:r w:rsidR="00296941">
        <w:rPr>
          <w:bCs/>
          <w:sz w:val="22"/>
          <w:szCs w:val="22"/>
        </w:rPr>
        <w:t xml:space="preserve">. </w:t>
      </w:r>
      <w:r w:rsidR="008905F7" w:rsidRPr="00033A14">
        <w:rPr>
          <w:bCs/>
          <w:sz w:val="22"/>
          <w:szCs w:val="22"/>
        </w:rPr>
        <w:t>Number of</w:t>
      </w:r>
      <w:r w:rsidRPr="00033A14">
        <w:rPr>
          <w:bCs/>
          <w:sz w:val="22"/>
          <w:szCs w:val="22"/>
        </w:rPr>
        <w:t xml:space="preserve"> comorbidities </w:t>
      </w:r>
      <w:r w:rsidR="00604584" w:rsidRPr="00033A14">
        <w:rPr>
          <w:bCs/>
          <w:sz w:val="22"/>
          <w:szCs w:val="22"/>
        </w:rPr>
        <w:t xml:space="preserve">was </w:t>
      </w:r>
      <w:r w:rsidR="008905F7" w:rsidRPr="00033A14">
        <w:rPr>
          <w:bCs/>
          <w:sz w:val="22"/>
          <w:szCs w:val="22"/>
        </w:rPr>
        <w:t xml:space="preserve">determined from a </w:t>
      </w:r>
      <w:r w:rsidR="00B83B63" w:rsidRPr="00033A14">
        <w:rPr>
          <w:bCs/>
          <w:sz w:val="22"/>
          <w:szCs w:val="22"/>
        </w:rPr>
        <w:t xml:space="preserve">weighted </w:t>
      </w:r>
      <w:r w:rsidR="00AC47F2" w:rsidRPr="00033A14">
        <w:rPr>
          <w:bCs/>
          <w:sz w:val="22"/>
          <w:szCs w:val="22"/>
        </w:rPr>
        <w:t xml:space="preserve">Charlson Comorbidity </w:t>
      </w:r>
      <w:r w:rsidR="00604584" w:rsidRPr="00033A14">
        <w:rPr>
          <w:bCs/>
          <w:sz w:val="22"/>
          <w:szCs w:val="22"/>
        </w:rPr>
        <w:t>Index</w:t>
      </w:r>
      <w:r w:rsidR="00604584" w:rsidRPr="00033A14">
        <w:rPr>
          <w:bCs/>
          <w:sz w:val="22"/>
          <w:szCs w:val="22"/>
        </w:rPr>
        <w:fldChar w:fldCharType="begin"/>
      </w:r>
      <w:r w:rsidR="00573C95">
        <w:rPr>
          <w:bCs/>
          <w:sz w:val="22"/>
          <w:szCs w:val="22"/>
        </w:rPr>
        <w:instrText xml:space="preserve"> ADDIN ZOTERO_ITEM CSL_CITATION {"citationID":"UWraWvxd","properties":{"formattedCitation":"\\super 39\\nosupersub{}","plainCitation":"39","dontUpdate":true,"noteIndex":0},"citationItems":[{"id":491,"uris":["http://zotero.org/users/local/nRdURiV3/items/CTGB2HY9"],"itemData":{"id":491,"type":"article-journal","abstract":"The objective of this study was to develop a prospectively applicable method for classifying comorbid conditions which might alter the risk of mortality for use in longitudinal studies. A weighted index that takes into account the number and the seriousness of comorbid disease was developed in a cohort of 559 medical patients. The 1-yr mortality rates for the different scores were: \"0\", 12% (181); \"1-2\", 26% (225); \"3-4\", 52% (71); and \"greater than or equal to 5\", 85% (82). The index was tested for its ability to predict risk of death from comorbid disease in the second cohort of 685 patients during a 10-yr follow-up. The percent of patients who died of comorbid disease for the different scores were: \"0\", 8% (588); \"1\", 25% (54); \"2\", 48% (25); \"greater than or equal to 3\", 59% (18). With each increased level of the comorbidity index, there were stepwise increases in the cumulative mortality attributable to comorbid disease (log rank chi 2 = 165; p less than 0.0001). In this longer follow-up, age was also a predictor of mortality (p less than 0.001). The new index performed similarly to a previous system devised by Kaplan and Feinstein. The method of classifying comorbidity provides a simple, readily applicable and valid method of estimating risk of death from comorbid disease for use in longitudinal studies. Further work in larger populations is still required to refine the approach because the number of patients with any given condition in this study was relatively small.","container-title":"Journal of Chronic Diseases","DOI":"10.1016/0021-9681(87)90171-8","ISSN":"0021-9681","issue":"5","journalAbbreviation":"J Chronic Dis","language":"eng","note":"number: 5\nPMID: 3558716","page":"373-383","source":"PubMed","title":"A new method of classifying prognostic comorbidity in longitudinal studies: development and validation","title-short":"A new method of classifying prognostic comorbidity in longitudinal studies","volume":"40","author":[{"family":"Charlson","given":"M. E."},{"family":"Pompei","given":"P."},{"family":"Ales","given":"K. L."},{"family":"MacKenzie","given":"C. R."}],"issued":{"date-parts":[["1987"]]}}}],"schema":"https://github.com/citation-style-language/schema/raw/master/csl-citation.json"} </w:instrText>
      </w:r>
      <w:r w:rsidR="00604584" w:rsidRPr="00033A14">
        <w:rPr>
          <w:bCs/>
          <w:sz w:val="22"/>
          <w:szCs w:val="22"/>
        </w:rPr>
        <w:fldChar w:fldCharType="separate"/>
      </w:r>
      <w:r w:rsidR="00151179">
        <w:rPr>
          <w:sz w:val="22"/>
          <w:vertAlign w:val="superscript"/>
        </w:rPr>
        <w:t xml:space="preserve"> </w:t>
      </w:r>
      <w:r w:rsidR="00604584" w:rsidRPr="00033A14">
        <w:rPr>
          <w:bCs/>
          <w:sz w:val="22"/>
          <w:szCs w:val="22"/>
        </w:rPr>
        <w:fldChar w:fldCharType="end"/>
      </w:r>
      <w:r w:rsidR="00604584" w:rsidRPr="00033A14">
        <w:rPr>
          <w:bCs/>
          <w:sz w:val="22"/>
          <w:szCs w:val="22"/>
        </w:rPr>
        <w:t xml:space="preserve"> s</w:t>
      </w:r>
      <w:r w:rsidR="008905F7" w:rsidRPr="00033A14">
        <w:rPr>
          <w:bCs/>
          <w:sz w:val="22"/>
          <w:szCs w:val="22"/>
        </w:rPr>
        <w:t>core</w:t>
      </w:r>
      <w:r w:rsidR="009D6220">
        <w:rPr>
          <w:bCs/>
          <w:sz w:val="22"/>
          <w:szCs w:val="22"/>
        </w:rPr>
        <w:t>,</w:t>
      </w:r>
      <w:r w:rsidR="00203C6E">
        <w:rPr>
          <w:bCs/>
          <w:sz w:val="22"/>
          <w:szCs w:val="22"/>
        </w:rPr>
        <w:fldChar w:fldCharType="begin"/>
      </w:r>
      <w:r w:rsidR="00203C6E">
        <w:rPr>
          <w:bCs/>
          <w:sz w:val="22"/>
          <w:szCs w:val="22"/>
        </w:rPr>
        <w:instrText xml:space="preserve"> ADDIN ZOTERO_ITEM CSL_CITATION {"citationID":"ipznt4Yf","properties":{"formattedCitation":"\\super 43\\nosupersub{}","plainCitation":"43","noteIndex":0},"citationItems":[{"id":491,"uris":["http://zotero.org/users/local/nRdURiV3/items/CTGB2HY9"],"itemData":{"id":491,"type":"article-journal","abstract":"The objective of this study was to develop a prospectively applicable method for classifying comorbid conditions which might alter the risk of mortality for use in longitudinal studies. A weighted index that takes into account the number and the seriousness of comorbid disease was developed in a cohort of 559 medical patients. The 1-yr mortality rates for the different scores were: \"0\", 12% (181); \"1-2\", 26% (225); \"3-4\", 52% (71); and \"greater than or equal to 5\", 85% (82). The index was tested for its ability to predict risk of death from comorbid disease in the second cohort of 685 patients during a 10-yr follow-up. The percent of patients who died of comorbid disease for the different scores were: \"0\", 8% (588); \"1\", 25% (54); \"2\", 48% (25); \"greater than or equal to 3\", 59% (18). With each increased level of the comorbidity index, there were stepwise increases in the cumulative mortality attributable to comorbid disease (log rank chi 2 = 165; p less than 0.0001). In this longer follow-up, age was also a predictor of mortality (p less than 0.001). The new index performed similarly to a previous system devised by Kaplan and Feinstein. The method of classifying comorbidity provides a simple, readily applicable and valid method of estimating risk of death from comorbid disease for use in longitudinal studies. Further work in larger populations is still required to refine the approach because the number of patients with any given condition in this study was relatively small.","container-title":"Journal of Chronic Diseases","DOI":"10.1016/0021-9681(87)90171-8","ISSN":"0021-9681","issue":"5","journalAbbreviation":"J Chronic Dis","language":"eng","note":"number: 5\nPMID: 3558716","page":"373-383","source":"PubMed","title":"A new method of classifying prognostic comorbidity in longitudinal studies: development and validation","title-short":"A new method of classifying prognostic comorbidity in longitudinal studies","volume":"40","author":[{"family":"Charlson","given":"M. E."},{"family":"Pompei","given":"P."},{"family":"Ales","given":"K. L."},{"family":"MacKenzie","given":"C. R."}],"issued":{"date-parts":[["1987"]]}}}],"schema":"https://github.com/citation-style-language/schema/raw/master/csl-citation.json"} </w:instrText>
      </w:r>
      <w:r w:rsidR="00203C6E">
        <w:rPr>
          <w:bCs/>
          <w:sz w:val="22"/>
          <w:szCs w:val="22"/>
        </w:rPr>
        <w:fldChar w:fldCharType="separate"/>
      </w:r>
      <w:r w:rsidR="00203C6E" w:rsidRPr="00203C6E">
        <w:rPr>
          <w:sz w:val="22"/>
          <w:vertAlign w:val="superscript"/>
        </w:rPr>
        <w:t>43</w:t>
      </w:r>
      <w:r w:rsidR="00203C6E">
        <w:rPr>
          <w:bCs/>
          <w:sz w:val="22"/>
          <w:szCs w:val="22"/>
        </w:rPr>
        <w:fldChar w:fldCharType="end"/>
      </w:r>
      <w:r w:rsidR="009D6220">
        <w:rPr>
          <w:bCs/>
          <w:sz w:val="22"/>
          <w:szCs w:val="22"/>
        </w:rPr>
        <w:t xml:space="preserve"> applied to conditions </w:t>
      </w:r>
      <w:r w:rsidR="00296941">
        <w:rPr>
          <w:bCs/>
          <w:sz w:val="22"/>
          <w:szCs w:val="22"/>
        </w:rPr>
        <w:t xml:space="preserve">(with the exception of the index cancer) </w:t>
      </w:r>
      <w:r w:rsidR="009D6220">
        <w:rPr>
          <w:bCs/>
          <w:sz w:val="22"/>
          <w:szCs w:val="22"/>
        </w:rPr>
        <w:t xml:space="preserve">that resulted in hospital admissions in the period </w:t>
      </w:r>
      <w:r w:rsidR="00C61B54" w:rsidRPr="00C61B54">
        <w:rPr>
          <w:bCs/>
          <w:color w:val="000000" w:themeColor="text1"/>
          <w:sz w:val="22"/>
          <w:szCs w:val="22"/>
        </w:rPr>
        <w:t>78 to 6 months prior to diagnosis</w:t>
      </w:r>
      <w:r w:rsidR="009D6220">
        <w:rPr>
          <w:bCs/>
          <w:sz w:val="22"/>
          <w:szCs w:val="22"/>
        </w:rPr>
        <w:t>,</w:t>
      </w:r>
      <w:r w:rsidR="00604584" w:rsidRPr="00033A14">
        <w:rPr>
          <w:bCs/>
          <w:sz w:val="22"/>
          <w:szCs w:val="22"/>
        </w:rPr>
        <w:t xml:space="preserve"> and</w:t>
      </w:r>
      <w:r w:rsidR="008905F7" w:rsidRPr="00033A14">
        <w:rPr>
          <w:bCs/>
          <w:sz w:val="22"/>
          <w:szCs w:val="22"/>
        </w:rPr>
        <w:t xml:space="preserve"> </w:t>
      </w:r>
      <w:r w:rsidR="009D6220">
        <w:rPr>
          <w:bCs/>
          <w:sz w:val="22"/>
          <w:szCs w:val="22"/>
        </w:rPr>
        <w:t xml:space="preserve">was </w:t>
      </w:r>
      <w:r w:rsidR="00E742EB">
        <w:rPr>
          <w:bCs/>
          <w:sz w:val="22"/>
          <w:szCs w:val="22"/>
        </w:rPr>
        <w:t>categorized</w:t>
      </w:r>
      <w:r w:rsidR="00AC47F2" w:rsidRPr="00033A14">
        <w:rPr>
          <w:bCs/>
          <w:sz w:val="22"/>
          <w:szCs w:val="22"/>
        </w:rPr>
        <w:t xml:space="preserve"> </w:t>
      </w:r>
      <w:r w:rsidR="001C45EF">
        <w:rPr>
          <w:bCs/>
          <w:sz w:val="22"/>
          <w:szCs w:val="22"/>
        </w:rPr>
        <w:t>none</w:t>
      </w:r>
      <w:r w:rsidR="008905F7" w:rsidRPr="00033A14">
        <w:rPr>
          <w:bCs/>
          <w:sz w:val="22"/>
          <w:szCs w:val="22"/>
        </w:rPr>
        <w:t>, 1-2</w:t>
      </w:r>
      <w:r w:rsidR="00604584" w:rsidRPr="00033A14">
        <w:rPr>
          <w:bCs/>
          <w:sz w:val="22"/>
          <w:szCs w:val="22"/>
        </w:rPr>
        <w:t>,</w:t>
      </w:r>
      <w:r w:rsidR="00745D0A" w:rsidRPr="00033A14">
        <w:rPr>
          <w:bCs/>
          <w:sz w:val="22"/>
          <w:szCs w:val="22"/>
        </w:rPr>
        <w:t xml:space="preserve"> </w:t>
      </w:r>
      <w:r w:rsidR="008905F7" w:rsidRPr="00033A14">
        <w:rPr>
          <w:bCs/>
          <w:sz w:val="22"/>
          <w:szCs w:val="22"/>
        </w:rPr>
        <w:t>and</w:t>
      </w:r>
      <w:r w:rsidR="00745D0A" w:rsidRPr="00033A14">
        <w:rPr>
          <w:bCs/>
          <w:sz w:val="22"/>
          <w:szCs w:val="22"/>
        </w:rPr>
        <w:t xml:space="preserve"> 3+</w:t>
      </w:r>
      <w:r w:rsidR="008905F7" w:rsidRPr="00033A14">
        <w:rPr>
          <w:bCs/>
          <w:sz w:val="22"/>
          <w:szCs w:val="22"/>
        </w:rPr>
        <w:t xml:space="preserve">. </w:t>
      </w:r>
      <w:r w:rsidR="001E5AA6">
        <w:rPr>
          <w:bCs/>
          <w:sz w:val="22"/>
          <w:szCs w:val="22"/>
        </w:rPr>
        <w:t>Receipt of surgery</w:t>
      </w:r>
      <w:r w:rsidR="001452D6">
        <w:rPr>
          <w:bCs/>
          <w:sz w:val="22"/>
          <w:szCs w:val="22"/>
        </w:rPr>
        <w:t xml:space="preserve"> and chemotherapy</w:t>
      </w:r>
      <w:r w:rsidR="001E5AA6">
        <w:rPr>
          <w:bCs/>
          <w:sz w:val="22"/>
          <w:szCs w:val="22"/>
        </w:rPr>
        <w:t xml:space="preserve"> within 6 months of cancer diagnosis was </w:t>
      </w:r>
      <w:r w:rsidR="00E742EB">
        <w:rPr>
          <w:bCs/>
          <w:sz w:val="22"/>
          <w:szCs w:val="22"/>
        </w:rPr>
        <w:t>categorized</w:t>
      </w:r>
      <w:r w:rsidR="001E5AA6">
        <w:rPr>
          <w:bCs/>
          <w:sz w:val="22"/>
          <w:szCs w:val="22"/>
        </w:rPr>
        <w:t xml:space="preserve"> as yes or no. </w:t>
      </w:r>
      <w:r w:rsidR="003A2688">
        <w:rPr>
          <w:bCs/>
          <w:sz w:val="22"/>
          <w:szCs w:val="22"/>
        </w:rPr>
        <w:t>Discussion</w:t>
      </w:r>
      <w:r w:rsidR="008905F7" w:rsidRPr="00033A14">
        <w:rPr>
          <w:bCs/>
          <w:sz w:val="22"/>
          <w:szCs w:val="22"/>
        </w:rPr>
        <w:t xml:space="preserve"> at </w:t>
      </w:r>
      <w:r w:rsidRPr="00033A14">
        <w:rPr>
          <w:bCs/>
          <w:sz w:val="22"/>
          <w:szCs w:val="22"/>
        </w:rPr>
        <w:t>MDT</w:t>
      </w:r>
      <w:r w:rsidR="00B83B63" w:rsidRPr="00033A14">
        <w:rPr>
          <w:bCs/>
          <w:sz w:val="22"/>
          <w:szCs w:val="22"/>
        </w:rPr>
        <w:t xml:space="preserve"> </w:t>
      </w:r>
      <w:r w:rsidR="008905F7" w:rsidRPr="00033A14">
        <w:rPr>
          <w:bCs/>
          <w:sz w:val="22"/>
          <w:szCs w:val="22"/>
        </w:rPr>
        <w:t xml:space="preserve">was classified as </w:t>
      </w:r>
      <w:r w:rsidR="00B83B63" w:rsidRPr="00033A14">
        <w:rPr>
          <w:bCs/>
          <w:sz w:val="22"/>
          <w:szCs w:val="22"/>
        </w:rPr>
        <w:t xml:space="preserve">yes, no, </w:t>
      </w:r>
      <w:r w:rsidR="00604584" w:rsidRPr="00033A14">
        <w:rPr>
          <w:bCs/>
          <w:sz w:val="22"/>
          <w:szCs w:val="22"/>
        </w:rPr>
        <w:t xml:space="preserve">or </w:t>
      </w:r>
      <w:r w:rsidR="00B83B63" w:rsidRPr="00033A14">
        <w:rPr>
          <w:bCs/>
          <w:sz w:val="22"/>
          <w:szCs w:val="22"/>
        </w:rPr>
        <w:t>missing</w:t>
      </w:r>
      <w:r w:rsidRPr="00033A14">
        <w:rPr>
          <w:bCs/>
          <w:sz w:val="22"/>
          <w:szCs w:val="22"/>
        </w:rPr>
        <w:t>.</w:t>
      </w:r>
      <w:r w:rsidR="003A2688">
        <w:rPr>
          <w:bCs/>
          <w:sz w:val="22"/>
          <w:szCs w:val="22"/>
        </w:rPr>
        <w:t xml:space="preserve"> Finally, year of diagnosis explore</w:t>
      </w:r>
      <w:r w:rsidR="008C6362">
        <w:rPr>
          <w:bCs/>
          <w:sz w:val="22"/>
          <w:szCs w:val="22"/>
        </w:rPr>
        <w:t>d</w:t>
      </w:r>
      <w:r w:rsidR="003A2688">
        <w:rPr>
          <w:bCs/>
          <w:sz w:val="22"/>
          <w:szCs w:val="22"/>
        </w:rPr>
        <w:t xml:space="preserve"> temporal association</w:t>
      </w:r>
      <w:r w:rsidR="006047AB">
        <w:rPr>
          <w:bCs/>
          <w:sz w:val="22"/>
          <w:szCs w:val="22"/>
        </w:rPr>
        <w:t>s</w:t>
      </w:r>
      <w:r w:rsidR="003A2688">
        <w:rPr>
          <w:bCs/>
          <w:sz w:val="22"/>
          <w:szCs w:val="22"/>
        </w:rPr>
        <w:t xml:space="preserve"> in treatment receipt.</w:t>
      </w:r>
    </w:p>
    <w:p w14:paraId="77FBC640" w14:textId="77777777" w:rsidR="0058022A" w:rsidRPr="00033A14" w:rsidRDefault="0058022A" w:rsidP="00BE2214">
      <w:pPr>
        <w:spacing w:line="360" w:lineRule="auto"/>
        <w:rPr>
          <w:bCs/>
          <w:sz w:val="22"/>
          <w:szCs w:val="22"/>
        </w:rPr>
      </w:pPr>
    </w:p>
    <w:p w14:paraId="598C483D" w14:textId="43D54EC9" w:rsidR="00C3379C" w:rsidRPr="00033A14" w:rsidRDefault="00C3379C" w:rsidP="00BE2214">
      <w:pPr>
        <w:spacing w:line="360" w:lineRule="auto"/>
        <w:rPr>
          <w:bCs/>
          <w:i/>
          <w:iCs/>
          <w:sz w:val="22"/>
          <w:szCs w:val="22"/>
        </w:rPr>
      </w:pPr>
      <w:r w:rsidRPr="00033A14">
        <w:rPr>
          <w:bCs/>
          <w:i/>
          <w:iCs/>
          <w:sz w:val="22"/>
          <w:szCs w:val="22"/>
        </w:rPr>
        <w:t>Statistical Analysis</w:t>
      </w:r>
    </w:p>
    <w:p w14:paraId="1D6FAE2F" w14:textId="25E1CD81" w:rsidR="00077F43" w:rsidRPr="00033A14" w:rsidRDefault="00137D7E" w:rsidP="00BE2214">
      <w:pPr>
        <w:spacing w:line="360" w:lineRule="auto"/>
        <w:rPr>
          <w:bCs/>
          <w:sz w:val="22"/>
          <w:szCs w:val="22"/>
        </w:rPr>
      </w:pPr>
      <w:r w:rsidRPr="00033A14">
        <w:rPr>
          <w:bCs/>
          <w:sz w:val="22"/>
          <w:szCs w:val="22"/>
        </w:rPr>
        <w:t xml:space="preserve">Baseline demographic and clinical characteristics </w:t>
      </w:r>
      <w:r w:rsidR="00077F43" w:rsidRPr="00033A14">
        <w:rPr>
          <w:bCs/>
          <w:sz w:val="22"/>
          <w:szCs w:val="22"/>
        </w:rPr>
        <w:t xml:space="preserve">(number and percentage) </w:t>
      </w:r>
      <w:r w:rsidR="004C7FE6" w:rsidRPr="00033A14">
        <w:rPr>
          <w:bCs/>
          <w:sz w:val="22"/>
          <w:szCs w:val="22"/>
        </w:rPr>
        <w:t>were</w:t>
      </w:r>
      <w:r w:rsidR="00077F43" w:rsidRPr="00033A14">
        <w:rPr>
          <w:bCs/>
          <w:sz w:val="22"/>
          <w:szCs w:val="22"/>
        </w:rPr>
        <w:t xml:space="preserve"> </w:t>
      </w:r>
      <w:r w:rsidR="005206E7">
        <w:rPr>
          <w:bCs/>
          <w:sz w:val="22"/>
          <w:szCs w:val="22"/>
        </w:rPr>
        <w:t>summarized</w:t>
      </w:r>
      <w:r w:rsidR="00C60A1A">
        <w:rPr>
          <w:bCs/>
          <w:sz w:val="22"/>
          <w:szCs w:val="22"/>
        </w:rPr>
        <w:t xml:space="preserve"> for the full study cohort (stage I-IV)</w:t>
      </w:r>
      <w:r w:rsidR="00077F43" w:rsidRPr="00033A14">
        <w:rPr>
          <w:bCs/>
          <w:sz w:val="22"/>
          <w:szCs w:val="22"/>
        </w:rPr>
        <w:t xml:space="preserve">. </w:t>
      </w:r>
      <w:r w:rsidR="002C73EE">
        <w:rPr>
          <w:bCs/>
          <w:sz w:val="22"/>
          <w:szCs w:val="22"/>
        </w:rPr>
        <w:t xml:space="preserve">Descriptive </w:t>
      </w:r>
      <w:r w:rsidR="00077F43" w:rsidRPr="00033A14">
        <w:rPr>
          <w:bCs/>
          <w:sz w:val="22"/>
          <w:szCs w:val="22"/>
        </w:rPr>
        <w:t xml:space="preserve">statistics (number and percentage) </w:t>
      </w:r>
      <w:r w:rsidR="00C07381" w:rsidRPr="00033A14">
        <w:rPr>
          <w:bCs/>
          <w:sz w:val="22"/>
          <w:szCs w:val="22"/>
        </w:rPr>
        <w:t>are listed</w:t>
      </w:r>
      <w:r w:rsidR="00077F43" w:rsidRPr="00033A14">
        <w:rPr>
          <w:bCs/>
          <w:sz w:val="22"/>
          <w:szCs w:val="22"/>
        </w:rPr>
        <w:t xml:space="preserve"> by all independent variables of interest</w:t>
      </w:r>
      <w:r w:rsidR="001E5AA6">
        <w:rPr>
          <w:bCs/>
          <w:sz w:val="22"/>
          <w:szCs w:val="22"/>
        </w:rPr>
        <w:t xml:space="preserve"> for both the </w:t>
      </w:r>
      <w:r w:rsidR="005358BB">
        <w:rPr>
          <w:bCs/>
          <w:sz w:val="22"/>
          <w:szCs w:val="22"/>
        </w:rPr>
        <w:t>early (</w:t>
      </w:r>
      <w:r w:rsidR="001E5AA6">
        <w:rPr>
          <w:bCs/>
          <w:sz w:val="22"/>
          <w:szCs w:val="22"/>
        </w:rPr>
        <w:t>stage I</w:t>
      </w:r>
      <w:r w:rsidR="002C73EE">
        <w:rPr>
          <w:bCs/>
          <w:sz w:val="22"/>
          <w:szCs w:val="22"/>
        </w:rPr>
        <w:t>-III</w:t>
      </w:r>
      <w:r w:rsidR="005358BB">
        <w:rPr>
          <w:bCs/>
          <w:sz w:val="22"/>
          <w:szCs w:val="22"/>
        </w:rPr>
        <w:t>)</w:t>
      </w:r>
      <w:r w:rsidR="001E5AA6">
        <w:rPr>
          <w:bCs/>
          <w:sz w:val="22"/>
          <w:szCs w:val="22"/>
        </w:rPr>
        <w:t xml:space="preserve"> and </w:t>
      </w:r>
      <w:r w:rsidR="005358BB">
        <w:rPr>
          <w:bCs/>
          <w:sz w:val="22"/>
          <w:szCs w:val="22"/>
        </w:rPr>
        <w:t>metastatic (</w:t>
      </w:r>
      <w:r w:rsidR="001E5AA6">
        <w:rPr>
          <w:bCs/>
          <w:sz w:val="22"/>
          <w:szCs w:val="22"/>
        </w:rPr>
        <w:t>stage I</w:t>
      </w:r>
      <w:r w:rsidR="002C73EE">
        <w:rPr>
          <w:bCs/>
          <w:sz w:val="22"/>
          <w:szCs w:val="22"/>
        </w:rPr>
        <w:t>V</w:t>
      </w:r>
      <w:r w:rsidR="005358BB">
        <w:rPr>
          <w:bCs/>
          <w:sz w:val="22"/>
          <w:szCs w:val="22"/>
        </w:rPr>
        <w:t>)</w:t>
      </w:r>
      <w:r w:rsidR="001E5AA6">
        <w:rPr>
          <w:bCs/>
          <w:sz w:val="22"/>
          <w:szCs w:val="22"/>
        </w:rPr>
        <w:t xml:space="preserve"> </w:t>
      </w:r>
      <w:r w:rsidR="00C60A1A">
        <w:rPr>
          <w:bCs/>
          <w:sz w:val="22"/>
          <w:szCs w:val="22"/>
        </w:rPr>
        <w:t>sub</w:t>
      </w:r>
      <w:r w:rsidR="00E91752">
        <w:rPr>
          <w:bCs/>
          <w:sz w:val="22"/>
          <w:szCs w:val="22"/>
        </w:rPr>
        <w:t>-</w:t>
      </w:r>
      <w:r w:rsidR="001E5AA6">
        <w:rPr>
          <w:bCs/>
          <w:sz w:val="22"/>
          <w:szCs w:val="22"/>
        </w:rPr>
        <w:t>population</w:t>
      </w:r>
      <w:r w:rsidR="00C60A1A">
        <w:rPr>
          <w:bCs/>
          <w:sz w:val="22"/>
          <w:szCs w:val="22"/>
        </w:rPr>
        <w:t>s</w:t>
      </w:r>
      <w:r w:rsidR="00077F43" w:rsidRPr="00033A14">
        <w:rPr>
          <w:bCs/>
          <w:sz w:val="22"/>
          <w:szCs w:val="22"/>
        </w:rPr>
        <w:t>.</w:t>
      </w:r>
      <w:r w:rsidRPr="00033A14">
        <w:rPr>
          <w:bCs/>
          <w:sz w:val="22"/>
          <w:szCs w:val="22"/>
        </w:rPr>
        <w:t xml:space="preserve"> Chi-square tests </w:t>
      </w:r>
      <w:r w:rsidR="00077F43" w:rsidRPr="00033A14">
        <w:rPr>
          <w:bCs/>
          <w:sz w:val="22"/>
          <w:szCs w:val="22"/>
        </w:rPr>
        <w:t xml:space="preserve">determined associations between </w:t>
      </w:r>
      <w:r w:rsidR="002C73EE">
        <w:rPr>
          <w:bCs/>
          <w:sz w:val="22"/>
          <w:szCs w:val="22"/>
        </w:rPr>
        <w:t>socio-</w:t>
      </w:r>
      <w:r w:rsidR="00077F43" w:rsidRPr="00033A14">
        <w:rPr>
          <w:bCs/>
          <w:sz w:val="22"/>
          <w:szCs w:val="22"/>
        </w:rPr>
        <w:t>demographic/clinical characteristics and tr</w:t>
      </w:r>
      <w:r w:rsidR="00C07381" w:rsidRPr="00033A14">
        <w:rPr>
          <w:bCs/>
          <w:sz w:val="22"/>
          <w:szCs w:val="22"/>
        </w:rPr>
        <w:t xml:space="preserve">astuzumab </w:t>
      </w:r>
      <w:r w:rsidR="001E5AA6">
        <w:rPr>
          <w:bCs/>
          <w:sz w:val="22"/>
          <w:szCs w:val="22"/>
        </w:rPr>
        <w:t>receipt</w:t>
      </w:r>
      <w:r w:rsidR="00C60A1A">
        <w:rPr>
          <w:bCs/>
          <w:sz w:val="22"/>
          <w:szCs w:val="22"/>
        </w:rPr>
        <w:t xml:space="preserve"> in these two populations</w:t>
      </w:r>
      <w:r w:rsidR="001E5AA6">
        <w:rPr>
          <w:bCs/>
          <w:sz w:val="22"/>
          <w:szCs w:val="22"/>
        </w:rPr>
        <w:t>.</w:t>
      </w:r>
    </w:p>
    <w:p w14:paraId="59D3B4F7" w14:textId="20814732" w:rsidR="001C609D" w:rsidRPr="00BE2214" w:rsidRDefault="004F5FD7" w:rsidP="006C566F">
      <w:pPr>
        <w:pStyle w:val="NormalWeb"/>
        <w:spacing w:line="360" w:lineRule="auto"/>
      </w:pPr>
      <w:r w:rsidRPr="00033A14">
        <w:rPr>
          <w:bCs/>
          <w:sz w:val="22"/>
          <w:szCs w:val="22"/>
        </w:rPr>
        <w:lastRenderedPageBreak/>
        <w:t>The likelihood</w:t>
      </w:r>
      <w:r w:rsidR="00A5672F" w:rsidRPr="00033A14">
        <w:rPr>
          <w:bCs/>
          <w:sz w:val="22"/>
          <w:szCs w:val="22"/>
        </w:rPr>
        <w:t xml:space="preserve"> of</w:t>
      </w:r>
      <w:r w:rsidR="001E5AA6">
        <w:rPr>
          <w:bCs/>
          <w:sz w:val="22"/>
          <w:szCs w:val="22"/>
        </w:rPr>
        <w:t xml:space="preserve"> </w:t>
      </w:r>
      <w:r w:rsidR="00725331" w:rsidRPr="00033A14">
        <w:rPr>
          <w:bCs/>
          <w:sz w:val="22"/>
          <w:szCs w:val="22"/>
        </w:rPr>
        <w:t xml:space="preserve">trastuzumab </w:t>
      </w:r>
      <w:r w:rsidR="003D768E">
        <w:rPr>
          <w:bCs/>
          <w:sz w:val="22"/>
          <w:szCs w:val="22"/>
        </w:rPr>
        <w:t>r</w:t>
      </w:r>
      <w:r w:rsidR="00D16134">
        <w:rPr>
          <w:bCs/>
          <w:sz w:val="22"/>
          <w:szCs w:val="22"/>
        </w:rPr>
        <w:t>eceipt</w:t>
      </w:r>
      <w:r w:rsidR="00996E93" w:rsidRPr="00033A14">
        <w:rPr>
          <w:bCs/>
          <w:sz w:val="22"/>
          <w:szCs w:val="22"/>
        </w:rPr>
        <w:t xml:space="preserve"> </w:t>
      </w:r>
      <w:r w:rsidR="001E5AA6">
        <w:rPr>
          <w:bCs/>
          <w:sz w:val="22"/>
          <w:szCs w:val="22"/>
        </w:rPr>
        <w:t>in the</w:t>
      </w:r>
      <w:r w:rsidR="00996E93" w:rsidRPr="00033A14">
        <w:rPr>
          <w:bCs/>
          <w:sz w:val="22"/>
          <w:szCs w:val="22"/>
        </w:rPr>
        <w:t xml:space="preserve"> </w:t>
      </w:r>
      <w:r w:rsidR="00090AED" w:rsidRPr="00033A14">
        <w:rPr>
          <w:bCs/>
          <w:sz w:val="22"/>
          <w:szCs w:val="22"/>
        </w:rPr>
        <w:t>(</w:t>
      </w:r>
      <w:r w:rsidR="00077F43" w:rsidRPr="00033A14">
        <w:rPr>
          <w:bCs/>
          <w:sz w:val="22"/>
          <w:szCs w:val="22"/>
        </w:rPr>
        <w:t>i</w:t>
      </w:r>
      <w:r w:rsidR="00090AED" w:rsidRPr="00033A14">
        <w:rPr>
          <w:bCs/>
          <w:sz w:val="22"/>
          <w:szCs w:val="22"/>
        </w:rPr>
        <w:t xml:space="preserve">) </w:t>
      </w:r>
      <w:r w:rsidR="001D4DA7">
        <w:rPr>
          <w:bCs/>
          <w:sz w:val="22"/>
          <w:szCs w:val="22"/>
        </w:rPr>
        <w:t>early-stage</w:t>
      </w:r>
      <w:r w:rsidR="001E5AA6">
        <w:rPr>
          <w:bCs/>
          <w:sz w:val="22"/>
          <w:szCs w:val="22"/>
        </w:rPr>
        <w:t xml:space="preserve"> and; (ii) </w:t>
      </w:r>
      <w:r w:rsidR="001D4DA7">
        <w:rPr>
          <w:bCs/>
          <w:sz w:val="22"/>
          <w:szCs w:val="22"/>
        </w:rPr>
        <w:t>metastatic</w:t>
      </w:r>
      <w:r w:rsidR="001E5AA6">
        <w:rPr>
          <w:bCs/>
          <w:sz w:val="22"/>
          <w:szCs w:val="22"/>
        </w:rPr>
        <w:t xml:space="preserve"> population</w:t>
      </w:r>
      <w:r w:rsidR="00C60A1A">
        <w:rPr>
          <w:bCs/>
          <w:sz w:val="22"/>
          <w:szCs w:val="22"/>
        </w:rPr>
        <w:t>s</w:t>
      </w:r>
      <w:r w:rsidR="00090AED" w:rsidRPr="00033A14">
        <w:rPr>
          <w:bCs/>
          <w:sz w:val="22"/>
          <w:szCs w:val="22"/>
        </w:rPr>
        <w:t xml:space="preserve">, </w:t>
      </w:r>
      <w:r w:rsidR="00A5672F" w:rsidRPr="00033A14">
        <w:rPr>
          <w:bCs/>
          <w:sz w:val="22"/>
          <w:szCs w:val="22"/>
        </w:rPr>
        <w:t xml:space="preserve">by </w:t>
      </w:r>
      <w:r w:rsidR="00077F43" w:rsidRPr="00033A14">
        <w:rPr>
          <w:bCs/>
          <w:sz w:val="22"/>
          <w:szCs w:val="22"/>
        </w:rPr>
        <w:t>deprivation</w:t>
      </w:r>
      <w:r w:rsidRPr="00033A14">
        <w:rPr>
          <w:bCs/>
          <w:sz w:val="22"/>
          <w:szCs w:val="22"/>
        </w:rPr>
        <w:t xml:space="preserve"> </w:t>
      </w:r>
      <w:r w:rsidR="002C73EE">
        <w:rPr>
          <w:bCs/>
          <w:sz w:val="22"/>
          <w:szCs w:val="22"/>
        </w:rPr>
        <w:t>and all other socio-demographic</w:t>
      </w:r>
      <w:r w:rsidR="001452D6">
        <w:rPr>
          <w:bCs/>
          <w:sz w:val="22"/>
          <w:szCs w:val="22"/>
        </w:rPr>
        <w:t>/</w:t>
      </w:r>
      <w:r w:rsidR="002C73EE">
        <w:rPr>
          <w:bCs/>
          <w:sz w:val="22"/>
          <w:szCs w:val="22"/>
        </w:rPr>
        <w:t xml:space="preserve">clinical characteristics </w:t>
      </w:r>
      <w:r w:rsidRPr="00033A14">
        <w:rPr>
          <w:bCs/>
          <w:sz w:val="22"/>
          <w:szCs w:val="22"/>
        </w:rPr>
        <w:t>was determined with univariable and multivariable logistic regression models</w:t>
      </w:r>
      <w:r w:rsidR="00077F43" w:rsidRPr="00033A14">
        <w:rPr>
          <w:bCs/>
          <w:sz w:val="22"/>
          <w:szCs w:val="22"/>
        </w:rPr>
        <w:t>.</w:t>
      </w:r>
      <w:r w:rsidR="00725331" w:rsidRPr="00033A14">
        <w:rPr>
          <w:bCs/>
          <w:sz w:val="22"/>
          <w:szCs w:val="22"/>
        </w:rPr>
        <w:t xml:space="preserve"> </w:t>
      </w:r>
      <w:r w:rsidRPr="00033A14">
        <w:rPr>
          <w:bCs/>
          <w:sz w:val="22"/>
          <w:szCs w:val="22"/>
        </w:rPr>
        <w:t>Any s</w:t>
      </w:r>
      <w:r w:rsidR="00077F43" w:rsidRPr="00033A14">
        <w:rPr>
          <w:bCs/>
          <w:sz w:val="22"/>
          <w:szCs w:val="22"/>
        </w:rPr>
        <w:t>ignificant clinical</w:t>
      </w:r>
      <w:r w:rsidR="00C70C8B" w:rsidRPr="00033A14">
        <w:rPr>
          <w:bCs/>
          <w:sz w:val="22"/>
          <w:szCs w:val="22"/>
        </w:rPr>
        <w:t xml:space="preserve"> and demographic v</w:t>
      </w:r>
      <w:r w:rsidR="00946F02" w:rsidRPr="00033A14">
        <w:rPr>
          <w:bCs/>
          <w:sz w:val="22"/>
          <w:szCs w:val="22"/>
        </w:rPr>
        <w:t>ariables</w:t>
      </w:r>
      <w:r w:rsidR="004C7FE6" w:rsidRPr="00033A14">
        <w:rPr>
          <w:bCs/>
          <w:sz w:val="22"/>
          <w:szCs w:val="22"/>
        </w:rPr>
        <w:t xml:space="preserve"> in univariable </w:t>
      </w:r>
      <w:r w:rsidR="00F8397B" w:rsidRPr="00033A14">
        <w:rPr>
          <w:bCs/>
          <w:sz w:val="22"/>
          <w:szCs w:val="22"/>
        </w:rPr>
        <w:t>analyses</w:t>
      </w:r>
      <w:r w:rsidR="00946F02" w:rsidRPr="00033A14">
        <w:rPr>
          <w:bCs/>
          <w:sz w:val="22"/>
          <w:szCs w:val="22"/>
        </w:rPr>
        <w:t xml:space="preserve"> </w:t>
      </w:r>
      <w:r w:rsidR="00077F43" w:rsidRPr="00033A14">
        <w:rPr>
          <w:bCs/>
          <w:color w:val="000000" w:themeColor="text1"/>
          <w:sz w:val="22"/>
          <w:szCs w:val="22"/>
        </w:rPr>
        <w:t xml:space="preserve">(likelihood ratio test (LRT) </w:t>
      </w:r>
      <w:r w:rsidR="00FF2344" w:rsidRPr="00FF2344">
        <w:rPr>
          <w:rStyle w:val="Emphasis"/>
          <w:i w:val="0"/>
          <w:iCs w:val="0"/>
          <w:color w:val="5F6368"/>
          <w:sz w:val="22"/>
          <w:szCs w:val="22"/>
        </w:rPr>
        <w:t>≤</w:t>
      </w:r>
      <w:r w:rsidR="00077F43" w:rsidRPr="00033A14">
        <w:rPr>
          <w:bCs/>
          <w:color w:val="000000" w:themeColor="text1"/>
          <w:sz w:val="22"/>
          <w:szCs w:val="22"/>
        </w:rPr>
        <w:t>0.05)</w:t>
      </w:r>
      <w:r w:rsidR="00077F43" w:rsidRPr="00033A14">
        <w:rPr>
          <w:bCs/>
          <w:sz w:val="22"/>
          <w:szCs w:val="22"/>
        </w:rPr>
        <w:t xml:space="preserve"> </w:t>
      </w:r>
      <w:r w:rsidR="00C70C8B" w:rsidRPr="00033A14">
        <w:rPr>
          <w:bCs/>
          <w:sz w:val="22"/>
          <w:szCs w:val="22"/>
        </w:rPr>
        <w:t xml:space="preserve">were </w:t>
      </w:r>
      <w:r w:rsidR="00077F43" w:rsidRPr="00033A14">
        <w:rPr>
          <w:bCs/>
          <w:sz w:val="22"/>
          <w:szCs w:val="22"/>
        </w:rPr>
        <w:t xml:space="preserve">included in </w:t>
      </w:r>
      <w:r w:rsidR="00C70C8B" w:rsidRPr="00033A14">
        <w:rPr>
          <w:bCs/>
          <w:sz w:val="22"/>
          <w:szCs w:val="22"/>
        </w:rPr>
        <w:t>multivariate model</w:t>
      </w:r>
      <w:r w:rsidR="00077F43" w:rsidRPr="00033A14">
        <w:rPr>
          <w:bCs/>
          <w:sz w:val="22"/>
          <w:szCs w:val="22"/>
        </w:rPr>
        <w:t>s</w:t>
      </w:r>
      <w:r w:rsidR="00BC3D0F">
        <w:rPr>
          <w:bCs/>
          <w:sz w:val="22"/>
          <w:szCs w:val="22"/>
        </w:rPr>
        <w:t>. D</w:t>
      </w:r>
      <w:r w:rsidR="00F8397B" w:rsidRPr="00033A14">
        <w:rPr>
          <w:bCs/>
          <w:sz w:val="22"/>
          <w:szCs w:val="22"/>
        </w:rPr>
        <w:t>eprivation, as the primary variable of interest</w:t>
      </w:r>
      <w:r w:rsidR="00BC3D0F">
        <w:rPr>
          <w:bCs/>
          <w:sz w:val="22"/>
          <w:szCs w:val="22"/>
        </w:rPr>
        <w:t>,</w:t>
      </w:r>
      <w:r w:rsidR="000D2E69">
        <w:rPr>
          <w:bCs/>
          <w:sz w:val="22"/>
          <w:szCs w:val="22"/>
        </w:rPr>
        <w:t xml:space="preserve"> </w:t>
      </w:r>
      <w:r w:rsidR="00F8397B" w:rsidRPr="00033A14">
        <w:rPr>
          <w:bCs/>
          <w:sz w:val="22"/>
          <w:szCs w:val="22"/>
        </w:rPr>
        <w:t>was forced into all models</w:t>
      </w:r>
      <w:r w:rsidR="000D2E69">
        <w:rPr>
          <w:bCs/>
          <w:sz w:val="22"/>
          <w:szCs w:val="22"/>
        </w:rPr>
        <w:t xml:space="preserve"> with IMD1 (least deprived) used as the reference group</w:t>
      </w:r>
      <w:r w:rsidR="00F8397B" w:rsidRPr="00033A14">
        <w:rPr>
          <w:bCs/>
          <w:sz w:val="22"/>
          <w:szCs w:val="22"/>
        </w:rPr>
        <w:t xml:space="preserve">. </w:t>
      </w:r>
      <w:r w:rsidRPr="00033A14">
        <w:rPr>
          <w:bCs/>
          <w:sz w:val="22"/>
          <w:szCs w:val="22"/>
        </w:rPr>
        <w:t>Models report u</w:t>
      </w:r>
      <w:r w:rsidR="00946F02" w:rsidRPr="00033A14">
        <w:rPr>
          <w:bCs/>
          <w:sz w:val="22"/>
          <w:szCs w:val="22"/>
        </w:rPr>
        <w:t xml:space="preserve">nadjusted and adjusted </w:t>
      </w:r>
      <w:r w:rsidR="00125AC6">
        <w:rPr>
          <w:bCs/>
          <w:sz w:val="22"/>
          <w:szCs w:val="22"/>
        </w:rPr>
        <w:t xml:space="preserve">(multivariable) </w:t>
      </w:r>
      <w:r w:rsidR="00946F02" w:rsidRPr="00033A14">
        <w:rPr>
          <w:bCs/>
          <w:sz w:val="22"/>
          <w:szCs w:val="22"/>
        </w:rPr>
        <w:t xml:space="preserve">odds ratios </w:t>
      </w:r>
      <w:r w:rsidR="001B41F6" w:rsidRPr="00033A14">
        <w:rPr>
          <w:bCs/>
          <w:sz w:val="22"/>
          <w:szCs w:val="22"/>
        </w:rPr>
        <w:t>(OR</w:t>
      </w:r>
      <w:r w:rsidR="00077F43" w:rsidRPr="00033A14">
        <w:rPr>
          <w:bCs/>
          <w:sz w:val="22"/>
          <w:szCs w:val="22"/>
        </w:rPr>
        <w:t>s</w:t>
      </w:r>
      <w:r w:rsidR="00125AC6">
        <w:rPr>
          <w:bCs/>
          <w:sz w:val="22"/>
          <w:szCs w:val="22"/>
        </w:rPr>
        <w:t>; mvORs</w:t>
      </w:r>
      <w:r w:rsidR="001B41F6" w:rsidRPr="00033A14">
        <w:rPr>
          <w:bCs/>
          <w:sz w:val="22"/>
          <w:szCs w:val="22"/>
        </w:rPr>
        <w:t xml:space="preserve">) </w:t>
      </w:r>
      <w:r w:rsidR="00946F02" w:rsidRPr="00033A14">
        <w:rPr>
          <w:bCs/>
          <w:sz w:val="22"/>
          <w:szCs w:val="22"/>
        </w:rPr>
        <w:t xml:space="preserve">with 95% </w:t>
      </w:r>
      <w:r w:rsidR="001B41F6" w:rsidRPr="00BE2214">
        <w:rPr>
          <w:bCs/>
          <w:sz w:val="22"/>
          <w:szCs w:val="22"/>
        </w:rPr>
        <w:t>CI</w:t>
      </w:r>
      <w:r w:rsidR="00DD1FF9">
        <w:rPr>
          <w:bCs/>
          <w:sz w:val="22"/>
          <w:szCs w:val="22"/>
        </w:rPr>
        <w:t>(s)</w:t>
      </w:r>
      <w:r w:rsidR="001B41F6" w:rsidRPr="00BE2214">
        <w:rPr>
          <w:bCs/>
          <w:sz w:val="22"/>
          <w:szCs w:val="22"/>
        </w:rPr>
        <w:t xml:space="preserve"> </w:t>
      </w:r>
      <w:r w:rsidR="00946F02" w:rsidRPr="00BE2214">
        <w:rPr>
          <w:bCs/>
          <w:sz w:val="22"/>
          <w:szCs w:val="22"/>
        </w:rPr>
        <w:t xml:space="preserve">and p values. </w:t>
      </w:r>
      <w:r w:rsidR="00085534">
        <w:rPr>
          <w:bCs/>
          <w:sz w:val="22"/>
          <w:szCs w:val="22"/>
        </w:rPr>
        <w:t xml:space="preserve">Model fit was checked, using </w:t>
      </w:r>
      <w:r w:rsidR="003C7034" w:rsidRPr="00BE2214">
        <w:rPr>
          <w:bCs/>
          <w:sz w:val="22"/>
          <w:szCs w:val="22"/>
        </w:rPr>
        <w:t xml:space="preserve">Hosmer and Lemeshow </w:t>
      </w:r>
      <w:r w:rsidR="003C7034" w:rsidRPr="00BE2214">
        <w:rPr>
          <w:rStyle w:val="texhtml"/>
          <w:color w:val="202122"/>
          <w:sz w:val="22"/>
          <w:szCs w:val="22"/>
        </w:rPr>
        <w:t>χ</w:t>
      </w:r>
      <w:r w:rsidR="003C7034" w:rsidRPr="00BE2214">
        <w:rPr>
          <w:rStyle w:val="texhtml"/>
          <w:color w:val="202122"/>
          <w:sz w:val="22"/>
          <w:szCs w:val="22"/>
          <w:vertAlign w:val="superscript"/>
        </w:rPr>
        <w:t>2</w:t>
      </w:r>
      <w:r w:rsidR="003C7034" w:rsidRPr="00BE2214">
        <w:rPr>
          <w:rStyle w:val="texhtml"/>
          <w:b/>
          <w:bCs/>
          <w:color w:val="202122"/>
          <w:sz w:val="22"/>
          <w:szCs w:val="22"/>
          <w:vertAlign w:val="superscript"/>
        </w:rPr>
        <w:t xml:space="preserve"> </w:t>
      </w:r>
      <w:r w:rsidR="003C7034" w:rsidRPr="00BE2214">
        <w:rPr>
          <w:bCs/>
          <w:sz w:val="22"/>
          <w:szCs w:val="22"/>
        </w:rPr>
        <w:t>tests</w:t>
      </w:r>
      <w:r w:rsidR="00085534">
        <w:rPr>
          <w:bCs/>
          <w:sz w:val="22"/>
          <w:szCs w:val="22"/>
        </w:rPr>
        <w:t xml:space="preserve">, and </w:t>
      </w:r>
      <w:r w:rsidR="002B550D" w:rsidRPr="00BE2214">
        <w:rPr>
          <w:bCs/>
          <w:sz w:val="22"/>
          <w:szCs w:val="22"/>
        </w:rPr>
        <w:t>v</w:t>
      </w:r>
      <w:r w:rsidR="00DC7409" w:rsidRPr="00BE2214">
        <w:rPr>
          <w:bCs/>
          <w:sz w:val="22"/>
          <w:szCs w:val="22"/>
        </w:rPr>
        <w:t>ariables contributing to poor fit were excluded</w:t>
      </w:r>
      <w:r w:rsidR="00085534">
        <w:rPr>
          <w:color w:val="0D0D0D" w:themeColor="text1" w:themeTint="F2"/>
          <w:sz w:val="22"/>
          <w:szCs w:val="22"/>
          <w:shd w:val="clear" w:color="auto" w:fill="FFFFFF"/>
        </w:rPr>
        <w:t xml:space="preserve">. </w:t>
      </w:r>
      <w:r w:rsidR="00172A84" w:rsidRPr="00612FC4">
        <w:rPr>
          <w:bCs/>
          <w:sz w:val="22"/>
          <w:szCs w:val="22"/>
        </w:rPr>
        <w:t>T</w:t>
      </w:r>
      <w:r w:rsidR="002B550D" w:rsidRPr="00612FC4">
        <w:rPr>
          <w:bCs/>
          <w:sz w:val="22"/>
          <w:szCs w:val="22"/>
        </w:rPr>
        <w:t xml:space="preserve">he </w:t>
      </w:r>
      <w:r w:rsidR="00077F43" w:rsidRPr="00612FC4">
        <w:rPr>
          <w:bCs/>
          <w:sz w:val="22"/>
          <w:szCs w:val="22"/>
        </w:rPr>
        <w:t xml:space="preserve">Akaike Information Criterion (AIC) assisted decision making in instances </w:t>
      </w:r>
      <w:r w:rsidR="00085534">
        <w:rPr>
          <w:bCs/>
          <w:sz w:val="22"/>
          <w:szCs w:val="22"/>
        </w:rPr>
        <w:t>where selection between competing models was needed. Variance</w:t>
      </w:r>
      <w:r w:rsidR="00E54B74" w:rsidRPr="00612FC4">
        <w:rPr>
          <w:bCs/>
          <w:sz w:val="22"/>
          <w:szCs w:val="22"/>
        </w:rPr>
        <w:t xml:space="preserve"> inflation factors</w:t>
      </w:r>
      <w:r w:rsidR="00085534">
        <w:rPr>
          <w:bCs/>
          <w:sz w:val="22"/>
          <w:szCs w:val="22"/>
        </w:rPr>
        <w:t xml:space="preserve"> (VIF) were computed to provide an additional collinearity check; final model</w:t>
      </w:r>
      <w:r w:rsidR="00E630CB">
        <w:rPr>
          <w:bCs/>
          <w:sz w:val="22"/>
          <w:szCs w:val="22"/>
        </w:rPr>
        <w:t xml:space="preserve"> variables</w:t>
      </w:r>
      <w:r w:rsidR="00085534">
        <w:rPr>
          <w:bCs/>
          <w:sz w:val="22"/>
          <w:szCs w:val="22"/>
        </w:rPr>
        <w:t xml:space="preserve"> all had VIF&lt;10</w:t>
      </w:r>
      <w:r w:rsidR="00E54B74" w:rsidRPr="00033A14">
        <w:rPr>
          <w:bCs/>
          <w:sz w:val="22"/>
          <w:szCs w:val="22"/>
        </w:rPr>
        <w:t>.</w:t>
      </w:r>
      <w:r w:rsidR="001C609D" w:rsidRPr="00033A14">
        <w:rPr>
          <w:bCs/>
          <w:sz w:val="22"/>
          <w:szCs w:val="22"/>
        </w:rPr>
        <w:t xml:space="preserve"> </w:t>
      </w:r>
      <w:r w:rsidR="000D31F4" w:rsidRPr="00033A14">
        <w:rPr>
          <w:color w:val="0D0D0D" w:themeColor="text1" w:themeTint="F2"/>
          <w:sz w:val="22"/>
          <w:szCs w:val="22"/>
          <w:shd w:val="clear" w:color="auto" w:fill="FFFFFF"/>
        </w:rPr>
        <w:t xml:space="preserve">Throughout, a p value of </w:t>
      </w:r>
      <w:r w:rsidR="000D31F4" w:rsidRPr="00033A14">
        <w:rPr>
          <w:color w:val="040C28"/>
          <w:sz w:val="22"/>
          <w:szCs w:val="22"/>
        </w:rPr>
        <w:t>≤</w:t>
      </w:r>
      <w:r w:rsidR="000D31F4" w:rsidRPr="00033A14">
        <w:rPr>
          <w:color w:val="0D0D0D" w:themeColor="text1" w:themeTint="F2"/>
          <w:sz w:val="22"/>
          <w:szCs w:val="22"/>
          <w:shd w:val="clear" w:color="auto" w:fill="FFFFFF"/>
        </w:rPr>
        <w:t xml:space="preserve">0.05 </w:t>
      </w:r>
      <w:r w:rsidR="00125AC6">
        <w:rPr>
          <w:color w:val="0D0D0D" w:themeColor="text1" w:themeTint="F2"/>
          <w:sz w:val="22"/>
          <w:szCs w:val="22"/>
          <w:shd w:val="clear" w:color="auto" w:fill="FFFFFF"/>
        </w:rPr>
        <w:t xml:space="preserve">(two-sided tests) </w:t>
      </w:r>
      <w:r w:rsidR="000D31F4" w:rsidRPr="00033A14">
        <w:rPr>
          <w:color w:val="0D0D0D" w:themeColor="text1" w:themeTint="F2"/>
          <w:sz w:val="22"/>
          <w:szCs w:val="22"/>
          <w:shd w:val="clear" w:color="auto" w:fill="FFFFFF"/>
        </w:rPr>
        <w:t xml:space="preserve">was considered statistically significant. </w:t>
      </w:r>
      <w:r w:rsidR="00C924F3">
        <w:rPr>
          <w:color w:val="0D0D0D" w:themeColor="text1" w:themeTint="F2"/>
          <w:sz w:val="22"/>
          <w:szCs w:val="22"/>
          <w:shd w:val="clear" w:color="auto" w:fill="FFFFFF"/>
        </w:rPr>
        <w:t>In final multivariable models</w:t>
      </w:r>
      <w:r w:rsidR="00FD6ADD">
        <w:rPr>
          <w:color w:val="0D0D0D" w:themeColor="text1" w:themeTint="F2"/>
          <w:sz w:val="22"/>
          <w:szCs w:val="22"/>
          <w:shd w:val="clear" w:color="auto" w:fill="FFFFFF"/>
        </w:rPr>
        <w:t>,</w:t>
      </w:r>
      <w:r w:rsidR="00C924F3">
        <w:rPr>
          <w:color w:val="0D0D0D" w:themeColor="text1" w:themeTint="F2"/>
          <w:sz w:val="22"/>
          <w:szCs w:val="22"/>
          <w:shd w:val="clear" w:color="auto" w:fill="FFFFFF"/>
        </w:rPr>
        <w:t xml:space="preserve"> a test for linear trend across deprivation categories was </w:t>
      </w:r>
      <w:r w:rsidR="00FD6ADD">
        <w:rPr>
          <w:color w:val="0D0D0D" w:themeColor="text1" w:themeTint="F2"/>
          <w:sz w:val="22"/>
          <w:szCs w:val="22"/>
          <w:shd w:val="clear" w:color="auto" w:fill="FFFFFF"/>
        </w:rPr>
        <w:t>calculated</w:t>
      </w:r>
      <w:r w:rsidR="00C924F3">
        <w:rPr>
          <w:color w:val="0D0D0D" w:themeColor="text1" w:themeTint="F2"/>
          <w:sz w:val="22"/>
          <w:szCs w:val="22"/>
          <w:shd w:val="clear" w:color="auto" w:fill="FFFFFF"/>
        </w:rPr>
        <w:t xml:space="preserve">. </w:t>
      </w:r>
    </w:p>
    <w:p w14:paraId="1CAE14B7" w14:textId="2C62E782" w:rsidR="00EB700D" w:rsidRPr="00033A14" w:rsidRDefault="00741A2F" w:rsidP="00EB2F6F">
      <w:pPr>
        <w:spacing w:line="360" w:lineRule="auto"/>
        <w:rPr>
          <w:bCs/>
          <w:sz w:val="22"/>
          <w:szCs w:val="22"/>
        </w:rPr>
      </w:pPr>
      <w:r>
        <w:rPr>
          <w:bCs/>
          <w:sz w:val="22"/>
          <w:szCs w:val="22"/>
        </w:rPr>
        <w:t>Sensitivity</w:t>
      </w:r>
      <w:r w:rsidR="00541FD0" w:rsidRPr="00033A14">
        <w:rPr>
          <w:bCs/>
          <w:sz w:val="22"/>
          <w:szCs w:val="22"/>
        </w:rPr>
        <w:t xml:space="preserve"> analyses </w:t>
      </w:r>
      <w:r w:rsidR="001C609D" w:rsidRPr="00033A14">
        <w:rPr>
          <w:bCs/>
          <w:sz w:val="22"/>
          <w:szCs w:val="22"/>
        </w:rPr>
        <w:t>limited</w:t>
      </w:r>
      <w:r w:rsidR="00A030AF">
        <w:rPr>
          <w:bCs/>
          <w:sz w:val="22"/>
          <w:szCs w:val="22"/>
        </w:rPr>
        <w:t xml:space="preserve"> </w:t>
      </w:r>
      <w:r w:rsidR="001C609D" w:rsidRPr="00033A14">
        <w:rPr>
          <w:bCs/>
          <w:sz w:val="22"/>
          <w:szCs w:val="22"/>
        </w:rPr>
        <w:t xml:space="preserve">the </w:t>
      </w:r>
      <w:r w:rsidR="00A030AF">
        <w:rPr>
          <w:bCs/>
          <w:sz w:val="22"/>
          <w:szCs w:val="22"/>
        </w:rPr>
        <w:t>stage I</w:t>
      </w:r>
      <w:r w:rsidR="002C73EE">
        <w:rPr>
          <w:bCs/>
          <w:sz w:val="22"/>
          <w:szCs w:val="22"/>
        </w:rPr>
        <w:t>-III</w:t>
      </w:r>
      <w:r w:rsidR="00A030AF">
        <w:rPr>
          <w:bCs/>
          <w:sz w:val="22"/>
          <w:szCs w:val="22"/>
        </w:rPr>
        <w:t xml:space="preserve"> and stage I</w:t>
      </w:r>
      <w:r w:rsidR="002C73EE">
        <w:rPr>
          <w:bCs/>
          <w:sz w:val="22"/>
          <w:szCs w:val="22"/>
        </w:rPr>
        <w:t>V</w:t>
      </w:r>
      <w:r w:rsidR="00A030AF">
        <w:rPr>
          <w:bCs/>
          <w:sz w:val="22"/>
          <w:szCs w:val="22"/>
        </w:rPr>
        <w:t xml:space="preserve"> </w:t>
      </w:r>
      <w:r w:rsidR="001C609D" w:rsidRPr="00033A14">
        <w:rPr>
          <w:bCs/>
          <w:sz w:val="22"/>
          <w:szCs w:val="22"/>
        </w:rPr>
        <w:t>cohort</w:t>
      </w:r>
      <w:r w:rsidR="00A030AF">
        <w:rPr>
          <w:bCs/>
          <w:sz w:val="22"/>
          <w:szCs w:val="22"/>
        </w:rPr>
        <w:t>s</w:t>
      </w:r>
      <w:r w:rsidR="001C609D" w:rsidRPr="00033A14">
        <w:rPr>
          <w:bCs/>
          <w:sz w:val="22"/>
          <w:szCs w:val="22"/>
        </w:rPr>
        <w:t xml:space="preserve"> to patients with: </w:t>
      </w:r>
      <w:r w:rsidR="002606A1" w:rsidRPr="00033A14">
        <w:rPr>
          <w:bCs/>
          <w:sz w:val="22"/>
          <w:szCs w:val="22"/>
        </w:rPr>
        <w:t>(</w:t>
      </w:r>
      <w:r w:rsidR="001C609D" w:rsidRPr="00033A14">
        <w:rPr>
          <w:bCs/>
          <w:sz w:val="22"/>
          <w:szCs w:val="22"/>
        </w:rPr>
        <w:t>i</w:t>
      </w:r>
      <w:r w:rsidR="002606A1" w:rsidRPr="00033A14">
        <w:rPr>
          <w:bCs/>
          <w:sz w:val="22"/>
          <w:szCs w:val="22"/>
        </w:rPr>
        <w:t>)</w:t>
      </w:r>
      <w:r w:rsidR="003704F7" w:rsidRPr="00033A14">
        <w:rPr>
          <w:bCs/>
          <w:sz w:val="22"/>
          <w:szCs w:val="22"/>
        </w:rPr>
        <w:t xml:space="preserve"> d</w:t>
      </w:r>
      <w:r w:rsidR="001C609D" w:rsidRPr="00033A14">
        <w:rPr>
          <w:bCs/>
          <w:sz w:val="22"/>
          <w:szCs w:val="22"/>
        </w:rPr>
        <w:t xml:space="preserve">ate of incidence from April 2014 onwards to reflect the </w:t>
      </w:r>
      <w:r w:rsidR="004049FA">
        <w:rPr>
          <w:bCs/>
          <w:sz w:val="22"/>
          <w:szCs w:val="22"/>
        </w:rPr>
        <w:t xml:space="preserve">period when </w:t>
      </w:r>
      <w:r w:rsidR="001C609D" w:rsidRPr="00033A14">
        <w:rPr>
          <w:bCs/>
          <w:sz w:val="22"/>
          <w:szCs w:val="22"/>
        </w:rPr>
        <w:t xml:space="preserve">SACT reporting by hospital Trusts </w:t>
      </w:r>
      <w:r w:rsidR="004049FA">
        <w:rPr>
          <w:bCs/>
          <w:sz w:val="22"/>
          <w:szCs w:val="22"/>
        </w:rPr>
        <w:t xml:space="preserve">became mandatory </w:t>
      </w:r>
      <w:r w:rsidR="001C609D" w:rsidRPr="00033A14">
        <w:rPr>
          <w:bCs/>
          <w:sz w:val="22"/>
          <w:szCs w:val="22"/>
        </w:rPr>
        <w:t>(sensitivity analysis 1);</w:t>
      </w:r>
      <w:r w:rsidR="00FE0DBE">
        <w:rPr>
          <w:bCs/>
          <w:sz w:val="22"/>
          <w:szCs w:val="22"/>
        </w:rPr>
        <w:t xml:space="preserve"> and</w:t>
      </w:r>
      <w:r w:rsidR="001C609D" w:rsidRPr="00033A14">
        <w:rPr>
          <w:bCs/>
          <w:sz w:val="22"/>
          <w:szCs w:val="22"/>
        </w:rPr>
        <w:t xml:space="preserve"> </w:t>
      </w:r>
      <w:r w:rsidR="003704F7" w:rsidRPr="00033A14">
        <w:rPr>
          <w:bCs/>
          <w:sz w:val="22"/>
          <w:szCs w:val="22"/>
        </w:rPr>
        <w:t>(</w:t>
      </w:r>
      <w:r w:rsidR="001C609D" w:rsidRPr="00033A14">
        <w:rPr>
          <w:bCs/>
          <w:sz w:val="22"/>
          <w:szCs w:val="22"/>
        </w:rPr>
        <w:t>ii</w:t>
      </w:r>
      <w:r w:rsidR="003704F7" w:rsidRPr="00033A14">
        <w:rPr>
          <w:bCs/>
          <w:sz w:val="22"/>
          <w:szCs w:val="22"/>
        </w:rPr>
        <w:t>)</w:t>
      </w:r>
      <w:r w:rsidR="002606A1" w:rsidRPr="00033A14">
        <w:rPr>
          <w:bCs/>
          <w:sz w:val="22"/>
          <w:szCs w:val="22"/>
        </w:rPr>
        <w:t xml:space="preserve"> </w:t>
      </w:r>
      <w:r w:rsidR="001C609D" w:rsidRPr="00033A14">
        <w:rPr>
          <w:bCs/>
          <w:sz w:val="22"/>
          <w:szCs w:val="22"/>
        </w:rPr>
        <w:t xml:space="preserve">a </w:t>
      </w:r>
      <w:r w:rsidR="00DA6668" w:rsidRPr="00033A14">
        <w:rPr>
          <w:bCs/>
          <w:sz w:val="22"/>
          <w:szCs w:val="22"/>
        </w:rPr>
        <w:t>refined</w:t>
      </w:r>
      <w:r w:rsidR="002606A1" w:rsidRPr="00033A14">
        <w:rPr>
          <w:bCs/>
          <w:sz w:val="22"/>
          <w:szCs w:val="22"/>
        </w:rPr>
        <w:t xml:space="preserve"> </w:t>
      </w:r>
      <w:r w:rsidR="004049FA">
        <w:rPr>
          <w:bCs/>
          <w:sz w:val="22"/>
          <w:szCs w:val="22"/>
        </w:rPr>
        <w:t xml:space="preserve">(more definitive) </w:t>
      </w:r>
      <w:r w:rsidR="002606A1" w:rsidRPr="00033A14">
        <w:rPr>
          <w:bCs/>
          <w:sz w:val="22"/>
          <w:szCs w:val="22"/>
        </w:rPr>
        <w:t>HER2 status</w:t>
      </w:r>
      <w:r w:rsidR="00A866C9" w:rsidRPr="00033A14">
        <w:rPr>
          <w:bCs/>
          <w:sz w:val="22"/>
          <w:szCs w:val="22"/>
        </w:rPr>
        <w:t xml:space="preserve"> </w:t>
      </w:r>
      <w:r w:rsidR="001C609D" w:rsidRPr="00033A14">
        <w:rPr>
          <w:bCs/>
          <w:sz w:val="22"/>
          <w:szCs w:val="22"/>
        </w:rPr>
        <w:t>classification</w:t>
      </w:r>
      <w:r w:rsidR="002606A1" w:rsidRPr="00033A14">
        <w:rPr>
          <w:bCs/>
          <w:sz w:val="22"/>
          <w:szCs w:val="22"/>
        </w:rPr>
        <w:t xml:space="preserve"> </w:t>
      </w:r>
      <w:r w:rsidR="00090AED" w:rsidRPr="00033A14">
        <w:rPr>
          <w:bCs/>
          <w:sz w:val="22"/>
          <w:szCs w:val="22"/>
        </w:rPr>
        <w:t>(</w:t>
      </w:r>
      <w:r w:rsidR="00125AC6">
        <w:rPr>
          <w:bCs/>
          <w:sz w:val="22"/>
          <w:szCs w:val="22"/>
        </w:rPr>
        <w:t xml:space="preserve">i.e. </w:t>
      </w:r>
      <w:r w:rsidR="00090AED" w:rsidRPr="00033A14">
        <w:rPr>
          <w:bCs/>
          <w:sz w:val="22"/>
          <w:szCs w:val="22"/>
        </w:rPr>
        <w:t xml:space="preserve">positive only) </w:t>
      </w:r>
      <w:r w:rsidR="006335AD" w:rsidRPr="00033A14">
        <w:rPr>
          <w:bCs/>
          <w:sz w:val="22"/>
          <w:szCs w:val="22"/>
        </w:rPr>
        <w:t xml:space="preserve">to </w:t>
      </w:r>
      <w:r w:rsidR="00ED0757">
        <w:rPr>
          <w:bCs/>
          <w:sz w:val="22"/>
          <w:szCs w:val="22"/>
        </w:rPr>
        <w:t>minimize</w:t>
      </w:r>
      <w:r w:rsidR="006335AD" w:rsidRPr="00033A14">
        <w:rPr>
          <w:bCs/>
          <w:sz w:val="22"/>
          <w:szCs w:val="22"/>
        </w:rPr>
        <w:t xml:space="preserve"> </w:t>
      </w:r>
      <w:r w:rsidR="004049FA">
        <w:rPr>
          <w:bCs/>
          <w:sz w:val="22"/>
          <w:szCs w:val="22"/>
        </w:rPr>
        <w:t xml:space="preserve">the possibility of </w:t>
      </w:r>
      <w:r w:rsidR="00125AC6">
        <w:rPr>
          <w:bCs/>
          <w:sz w:val="22"/>
          <w:szCs w:val="22"/>
        </w:rPr>
        <w:t>misclassification</w:t>
      </w:r>
      <w:r w:rsidR="004049FA">
        <w:rPr>
          <w:bCs/>
          <w:sz w:val="22"/>
          <w:szCs w:val="22"/>
        </w:rPr>
        <w:t xml:space="preserve"> </w:t>
      </w:r>
      <w:r w:rsidR="00DA6668" w:rsidRPr="00033A14">
        <w:rPr>
          <w:bCs/>
          <w:sz w:val="22"/>
          <w:szCs w:val="22"/>
        </w:rPr>
        <w:t>(sensitivity analysis 2</w:t>
      </w:r>
      <w:r w:rsidR="00FE0DBE">
        <w:rPr>
          <w:bCs/>
          <w:sz w:val="22"/>
          <w:szCs w:val="22"/>
        </w:rPr>
        <w:t>).</w:t>
      </w:r>
      <w:r w:rsidR="007F16A2">
        <w:rPr>
          <w:bCs/>
          <w:sz w:val="22"/>
          <w:szCs w:val="22"/>
        </w:rPr>
        <w:t xml:space="preserve"> </w:t>
      </w:r>
    </w:p>
    <w:p w14:paraId="596E7F81" w14:textId="77777777" w:rsidR="00EB700D" w:rsidRPr="00033A14" w:rsidRDefault="00EB700D" w:rsidP="00EB2F6F">
      <w:pPr>
        <w:spacing w:line="360" w:lineRule="auto"/>
        <w:rPr>
          <w:bCs/>
          <w:sz w:val="22"/>
          <w:szCs w:val="22"/>
        </w:rPr>
      </w:pPr>
    </w:p>
    <w:p w14:paraId="1C5F7A74" w14:textId="6B954910" w:rsidR="00C3379C" w:rsidRDefault="00541FD0" w:rsidP="00EB2F6F">
      <w:pPr>
        <w:spacing w:line="360" w:lineRule="auto"/>
        <w:rPr>
          <w:bCs/>
          <w:sz w:val="22"/>
          <w:szCs w:val="22"/>
        </w:rPr>
      </w:pPr>
      <w:r w:rsidRPr="00033A14">
        <w:rPr>
          <w:bCs/>
          <w:sz w:val="22"/>
          <w:szCs w:val="22"/>
        </w:rPr>
        <w:t>All statistical analyses were conducted using STATA version 1</w:t>
      </w:r>
      <w:r w:rsidR="004F5FD7" w:rsidRPr="00033A14">
        <w:rPr>
          <w:bCs/>
          <w:sz w:val="22"/>
          <w:szCs w:val="22"/>
        </w:rPr>
        <w:t>6</w:t>
      </w:r>
      <w:r w:rsidRPr="00033A14">
        <w:rPr>
          <w:bCs/>
          <w:sz w:val="22"/>
          <w:szCs w:val="22"/>
        </w:rPr>
        <w:t>.</w:t>
      </w:r>
      <w:r w:rsidR="004F5FD7" w:rsidRPr="00033A14">
        <w:rPr>
          <w:bCs/>
          <w:sz w:val="22"/>
          <w:szCs w:val="22"/>
        </w:rPr>
        <w:t>1</w:t>
      </w:r>
      <w:r w:rsidRPr="00033A14">
        <w:rPr>
          <w:bCs/>
          <w:sz w:val="22"/>
          <w:szCs w:val="22"/>
        </w:rPr>
        <w:t xml:space="preserve"> (StataCorp, College Station, </w:t>
      </w:r>
      <w:r w:rsidR="00017920">
        <w:rPr>
          <w:bCs/>
          <w:sz w:val="22"/>
          <w:szCs w:val="22"/>
        </w:rPr>
        <w:t>Texas</w:t>
      </w:r>
      <w:r w:rsidRPr="00033A14">
        <w:rPr>
          <w:bCs/>
          <w:sz w:val="22"/>
          <w:szCs w:val="22"/>
        </w:rPr>
        <w:t>).</w:t>
      </w:r>
      <w:r w:rsidR="000D31F4" w:rsidRPr="00033A14">
        <w:rPr>
          <w:bCs/>
          <w:sz w:val="22"/>
          <w:szCs w:val="22"/>
        </w:rPr>
        <w:t xml:space="preserve"> </w:t>
      </w:r>
    </w:p>
    <w:p w14:paraId="41C9A749" w14:textId="77777777" w:rsidR="003072BE" w:rsidRDefault="003072BE" w:rsidP="00EB2F6F">
      <w:pPr>
        <w:spacing w:line="360" w:lineRule="auto"/>
        <w:rPr>
          <w:bCs/>
          <w:sz w:val="22"/>
          <w:szCs w:val="22"/>
        </w:rPr>
      </w:pPr>
    </w:p>
    <w:p w14:paraId="7BD2EF82" w14:textId="79CAFD31" w:rsidR="003072BE" w:rsidRPr="003072BE" w:rsidRDefault="003072BE" w:rsidP="003072BE">
      <w:pPr>
        <w:spacing w:line="360" w:lineRule="auto"/>
        <w:rPr>
          <w:i/>
          <w:iCs/>
          <w:color w:val="000000" w:themeColor="text1"/>
          <w:sz w:val="22"/>
          <w:szCs w:val="22"/>
          <w:lang w:val="en-US"/>
        </w:rPr>
      </w:pPr>
      <w:r w:rsidRPr="003072BE">
        <w:rPr>
          <w:i/>
          <w:iCs/>
          <w:color w:val="000000" w:themeColor="text1"/>
          <w:sz w:val="22"/>
          <w:szCs w:val="22"/>
          <w:lang w:val="en-US"/>
        </w:rPr>
        <w:t>Data Availability</w:t>
      </w:r>
      <w:r w:rsidR="00055FC5">
        <w:rPr>
          <w:i/>
          <w:iCs/>
          <w:color w:val="000000" w:themeColor="text1"/>
          <w:sz w:val="22"/>
          <w:szCs w:val="22"/>
          <w:lang w:val="en-US"/>
        </w:rPr>
        <w:t xml:space="preserve"> </w:t>
      </w:r>
    </w:p>
    <w:p w14:paraId="663B5459" w14:textId="4131ED1C" w:rsidR="003072BE" w:rsidRDefault="003B418C" w:rsidP="003072BE">
      <w:pPr>
        <w:spacing w:line="360" w:lineRule="auto"/>
        <w:rPr>
          <w:color w:val="000000" w:themeColor="text1"/>
          <w:sz w:val="22"/>
          <w:szCs w:val="22"/>
          <w:lang w:val="en-US"/>
        </w:rPr>
      </w:pPr>
      <w:r>
        <w:rPr>
          <w:color w:val="000000" w:themeColor="text1"/>
          <w:sz w:val="22"/>
          <w:szCs w:val="22"/>
          <w:lang w:val="en-US"/>
        </w:rPr>
        <w:t>The data analyzed in this study are available from the current Data Controller, NHS England. Restrictions apply to the availability of these data, which were used under the license for this study</w:t>
      </w:r>
      <w:r w:rsidR="00BC3D0F">
        <w:rPr>
          <w:color w:val="000000" w:themeColor="text1"/>
          <w:sz w:val="22"/>
          <w:szCs w:val="22"/>
          <w:lang w:val="en-US"/>
        </w:rPr>
        <w:t xml:space="preserve"> only; the authors are not permitted to </w:t>
      </w:r>
      <w:r w:rsidR="003072BE">
        <w:rPr>
          <w:color w:val="000000" w:themeColor="text1"/>
          <w:sz w:val="22"/>
          <w:szCs w:val="22"/>
          <w:lang w:val="en-US"/>
        </w:rPr>
        <w:t xml:space="preserve">share </w:t>
      </w:r>
      <w:r w:rsidR="00BC3D0F">
        <w:rPr>
          <w:color w:val="000000" w:themeColor="text1"/>
          <w:sz w:val="22"/>
          <w:szCs w:val="22"/>
          <w:lang w:val="en-US"/>
        </w:rPr>
        <w:t>these data</w:t>
      </w:r>
      <w:r w:rsidR="003072BE">
        <w:rPr>
          <w:color w:val="000000" w:themeColor="text1"/>
          <w:sz w:val="22"/>
          <w:szCs w:val="22"/>
          <w:lang w:val="en-US"/>
        </w:rPr>
        <w:t xml:space="preserve">. </w:t>
      </w:r>
    </w:p>
    <w:p w14:paraId="21295150" w14:textId="77777777" w:rsidR="009D4D4F" w:rsidRPr="00033A14" w:rsidRDefault="009D4D4F" w:rsidP="00EB2F6F">
      <w:pPr>
        <w:spacing w:line="360" w:lineRule="auto"/>
        <w:rPr>
          <w:bCs/>
          <w:sz w:val="22"/>
          <w:szCs w:val="22"/>
        </w:rPr>
      </w:pPr>
    </w:p>
    <w:p w14:paraId="09AF2C0E" w14:textId="2014DC13" w:rsidR="002C7865" w:rsidRPr="00A26EBB" w:rsidRDefault="002C7865" w:rsidP="00EB2F6F">
      <w:pPr>
        <w:spacing w:line="360" w:lineRule="auto"/>
        <w:rPr>
          <w:b/>
          <w:color w:val="FF0000"/>
          <w:sz w:val="22"/>
          <w:szCs w:val="22"/>
        </w:rPr>
      </w:pPr>
      <w:r w:rsidRPr="00033A14">
        <w:rPr>
          <w:b/>
          <w:sz w:val="22"/>
          <w:szCs w:val="22"/>
        </w:rPr>
        <w:t>Results</w:t>
      </w:r>
      <w:r w:rsidR="00A26EBB">
        <w:rPr>
          <w:b/>
          <w:sz w:val="22"/>
          <w:szCs w:val="22"/>
        </w:rPr>
        <w:t xml:space="preserve"> </w:t>
      </w:r>
    </w:p>
    <w:p w14:paraId="245E32D7" w14:textId="5673B6B6" w:rsidR="003628CE" w:rsidRPr="00033A14" w:rsidRDefault="009B6312" w:rsidP="00EB2F6F">
      <w:pPr>
        <w:spacing w:line="360" w:lineRule="auto"/>
        <w:rPr>
          <w:bCs/>
          <w:i/>
          <w:iCs/>
          <w:sz w:val="22"/>
          <w:szCs w:val="22"/>
        </w:rPr>
      </w:pPr>
      <w:r w:rsidRPr="00033A14">
        <w:rPr>
          <w:bCs/>
          <w:i/>
          <w:iCs/>
          <w:sz w:val="22"/>
          <w:szCs w:val="22"/>
        </w:rPr>
        <w:t xml:space="preserve">Patient </w:t>
      </w:r>
      <w:r w:rsidR="003628CE" w:rsidRPr="00033A14">
        <w:rPr>
          <w:bCs/>
          <w:i/>
          <w:iCs/>
          <w:sz w:val="22"/>
          <w:szCs w:val="22"/>
        </w:rPr>
        <w:t>Characteristics</w:t>
      </w:r>
    </w:p>
    <w:p w14:paraId="61887686" w14:textId="45C930E2" w:rsidR="0042660F" w:rsidRDefault="000B32E1" w:rsidP="00EB2F6F">
      <w:pPr>
        <w:spacing w:line="360" w:lineRule="auto"/>
        <w:rPr>
          <w:bCs/>
          <w:sz w:val="22"/>
          <w:szCs w:val="22"/>
        </w:rPr>
      </w:pPr>
      <w:r>
        <w:rPr>
          <w:bCs/>
          <w:sz w:val="22"/>
          <w:szCs w:val="22"/>
        </w:rPr>
        <w:t>36,985</w:t>
      </w:r>
      <w:r w:rsidR="005379B5" w:rsidRPr="00033A14">
        <w:rPr>
          <w:bCs/>
          <w:sz w:val="22"/>
          <w:szCs w:val="22"/>
        </w:rPr>
        <w:t xml:space="preserve"> patients </w:t>
      </w:r>
      <w:r w:rsidR="0016612C" w:rsidRPr="00033A14">
        <w:rPr>
          <w:bCs/>
          <w:sz w:val="22"/>
          <w:szCs w:val="22"/>
        </w:rPr>
        <w:t xml:space="preserve">were </w:t>
      </w:r>
      <w:r w:rsidR="005379B5" w:rsidRPr="00033A14">
        <w:rPr>
          <w:bCs/>
          <w:sz w:val="22"/>
          <w:szCs w:val="22"/>
        </w:rPr>
        <w:t xml:space="preserve">diagnosed with </w:t>
      </w:r>
      <w:r w:rsidR="0016612C" w:rsidRPr="00033A14">
        <w:rPr>
          <w:bCs/>
          <w:sz w:val="22"/>
          <w:szCs w:val="22"/>
        </w:rPr>
        <w:t>s</w:t>
      </w:r>
      <w:r w:rsidR="005379B5" w:rsidRPr="00033A14">
        <w:rPr>
          <w:bCs/>
          <w:sz w:val="22"/>
          <w:szCs w:val="22"/>
        </w:rPr>
        <w:t>tage I-IV HER2+ breast canc</w:t>
      </w:r>
      <w:r w:rsidR="009D4D4F" w:rsidRPr="00033A14">
        <w:rPr>
          <w:bCs/>
          <w:sz w:val="22"/>
          <w:szCs w:val="22"/>
        </w:rPr>
        <w:t>er</w:t>
      </w:r>
      <w:r w:rsidR="0016612C" w:rsidRPr="00033A14">
        <w:rPr>
          <w:bCs/>
          <w:sz w:val="22"/>
          <w:szCs w:val="22"/>
        </w:rPr>
        <w:t xml:space="preserve"> between January 1</w:t>
      </w:r>
      <w:r w:rsidR="0016612C" w:rsidRPr="00033A14">
        <w:rPr>
          <w:bCs/>
          <w:sz w:val="22"/>
          <w:szCs w:val="22"/>
          <w:vertAlign w:val="superscript"/>
        </w:rPr>
        <w:t>st</w:t>
      </w:r>
      <w:r w:rsidR="0016612C" w:rsidRPr="00033A14">
        <w:rPr>
          <w:bCs/>
          <w:sz w:val="22"/>
          <w:szCs w:val="22"/>
        </w:rPr>
        <w:t xml:space="preserve"> 2012 and December 31</w:t>
      </w:r>
      <w:r w:rsidR="0016612C" w:rsidRPr="00033A14">
        <w:rPr>
          <w:bCs/>
          <w:sz w:val="22"/>
          <w:szCs w:val="22"/>
          <w:vertAlign w:val="superscript"/>
        </w:rPr>
        <w:t>st</w:t>
      </w:r>
      <w:r w:rsidR="0016612C" w:rsidRPr="00033A14">
        <w:rPr>
          <w:bCs/>
          <w:sz w:val="22"/>
          <w:szCs w:val="22"/>
        </w:rPr>
        <w:t xml:space="preserve"> 2017. </w:t>
      </w:r>
      <w:r w:rsidR="004051FE" w:rsidRPr="00033A14">
        <w:rPr>
          <w:bCs/>
          <w:sz w:val="22"/>
          <w:szCs w:val="22"/>
        </w:rPr>
        <w:t>Most women</w:t>
      </w:r>
      <w:r w:rsidR="00CA48EA" w:rsidRPr="00033A14">
        <w:rPr>
          <w:bCs/>
          <w:sz w:val="22"/>
          <w:szCs w:val="22"/>
        </w:rPr>
        <w:t xml:space="preserve"> </w:t>
      </w:r>
      <w:r w:rsidR="005379B5" w:rsidRPr="00033A14">
        <w:rPr>
          <w:bCs/>
          <w:sz w:val="22"/>
          <w:szCs w:val="22"/>
        </w:rPr>
        <w:t xml:space="preserve">were </w:t>
      </w:r>
      <w:r w:rsidR="004051FE" w:rsidRPr="00033A14">
        <w:rPr>
          <w:bCs/>
          <w:sz w:val="22"/>
          <w:szCs w:val="22"/>
        </w:rPr>
        <w:t xml:space="preserve">of </w:t>
      </w:r>
      <w:r w:rsidR="005379B5" w:rsidRPr="00033A14">
        <w:rPr>
          <w:bCs/>
          <w:sz w:val="22"/>
          <w:szCs w:val="22"/>
        </w:rPr>
        <w:t>white</w:t>
      </w:r>
      <w:r w:rsidR="004051FE" w:rsidRPr="00033A14">
        <w:rPr>
          <w:bCs/>
          <w:sz w:val="22"/>
          <w:szCs w:val="22"/>
        </w:rPr>
        <w:t xml:space="preserve"> ethnicity</w:t>
      </w:r>
      <w:r w:rsidR="00CA48EA" w:rsidRPr="00033A14">
        <w:rPr>
          <w:bCs/>
          <w:sz w:val="22"/>
          <w:szCs w:val="22"/>
        </w:rPr>
        <w:t xml:space="preserve"> (8</w:t>
      </w:r>
      <w:r w:rsidR="004B5EEF">
        <w:rPr>
          <w:bCs/>
          <w:sz w:val="22"/>
          <w:szCs w:val="22"/>
        </w:rPr>
        <w:t>8.1</w:t>
      </w:r>
      <w:r w:rsidR="00CA48EA" w:rsidRPr="00033A14">
        <w:rPr>
          <w:bCs/>
          <w:sz w:val="22"/>
          <w:szCs w:val="22"/>
        </w:rPr>
        <w:t>%)</w:t>
      </w:r>
      <w:r w:rsidR="004049FA">
        <w:rPr>
          <w:bCs/>
          <w:sz w:val="22"/>
          <w:szCs w:val="22"/>
        </w:rPr>
        <w:t>; just under half were</w:t>
      </w:r>
      <w:r w:rsidR="00CA48EA" w:rsidRPr="00033A14">
        <w:rPr>
          <w:bCs/>
          <w:sz w:val="22"/>
          <w:szCs w:val="22"/>
        </w:rPr>
        <w:t xml:space="preserve"> aged 50-69 (4</w:t>
      </w:r>
      <w:r w:rsidR="004B5EEF">
        <w:rPr>
          <w:bCs/>
          <w:sz w:val="22"/>
          <w:szCs w:val="22"/>
        </w:rPr>
        <w:t>9.2</w:t>
      </w:r>
      <w:r w:rsidR="00CA48EA" w:rsidRPr="00033A14">
        <w:rPr>
          <w:bCs/>
          <w:sz w:val="22"/>
          <w:szCs w:val="22"/>
        </w:rPr>
        <w:t>%)</w:t>
      </w:r>
      <w:r w:rsidR="00656CF4" w:rsidRPr="00033A14">
        <w:rPr>
          <w:bCs/>
          <w:sz w:val="22"/>
          <w:szCs w:val="22"/>
        </w:rPr>
        <w:t>,</w:t>
      </w:r>
      <w:r w:rsidR="00CA48EA" w:rsidRPr="00033A14">
        <w:rPr>
          <w:bCs/>
          <w:sz w:val="22"/>
          <w:szCs w:val="22"/>
        </w:rPr>
        <w:t xml:space="preserve"> </w:t>
      </w:r>
      <w:r w:rsidR="004049FA">
        <w:rPr>
          <w:bCs/>
          <w:sz w:val="22"/>
          <w:szCs w:val="22"/>
        </w:rPr>
        <w:t xml:space="preserve">a similar percentage </w:t>
      </w:r>
      <w:r w:rsidR="005379B5" w:rsidRPr="00033A14">
        <w:rPr>
          <w:bCs/>
          <w:sz w:val="22"/>
          <w:szCs w:val="22"/>
        </w:rPr>
        <w:t>resid</w:t>
      </w:r>
      <w:r w:rsidR="00CA48EA" w:rsidRPr="00033A14">
        <w:rPr>
          <w:bCs/>
          <w:sz w:val="22"/>
          <w:szCs w:val="22"/>
        </w:rPr>
        <w:t>ed</w:t>
      </w:r>
      <w:r w:rsidR="005379B5" w:rsidRPr="00033A14">
        <w:rPr>
          <w:bCs/>
          <w:sz w:val="22"/>
          <w:szCs w:val="22"/>
        </w:rPr>
        <w:t xml:space="preserve"> in urban cities and towns (45.</w:t>
      </w:r>
      <w:r w:rsidR="004B5EEF">
        <w:rPr>
          <w:bCs/>
          <w:sz w:val="22"/>
          <w:szCs w:val="22"/>
        </w:rPr>
        <w:t>3</w:t>
      </w:r>
      <w:r w:rsidR="005379B5" w:rsidRPr="00033A14">
        <w:rPr>
          <w:bCs/>
          <w:sz w:val="22"/>
          <w:szCs w:val="22"/>
        </w:rPr>
        <w:t>%)</w:t>
      </w:r>
      <w:r w:rsidR="0042660F" w:rsidRPr="00033A14">
        <w:rPr>
          <w:bCs/>
          <w:sz w:val="22"/>
          <w:szCs w:val="22"/>
        </w:rPr>
        <w:t>,</w:t>
      </w:r>
      <w:r w:rsidR="005379B5" w:rsidRPr="00033A14">
        <w:rPr>
          <w:bCs/>
          <w:sz w:val="22"/>
          <w:szCs w:val="22"/>
        </w:rPr>
        <w:t xml:space="preserve"> </w:t>
      </w:r>
      <w:r w:rsidR="00E7793F" w:rsidRPr="00033A14">
        <w:rPr>
          <w:bCs/>
          <w:sz w:val="22"/>
          <w:szCs w:val="22"/>
        </w:rPr>
        <w:t xml:space="preserve">and </w:t>
      </w:r>
      <w:r w:rsidR="004049FA">
        <w:rPr>
          <w:bCs/>
          <w:sz w:val="22"/>
          <w:szCs w:val="22"/>
        </w:rPr>
        <w:t xml:space="preserve">most </w:t>
      </w:r>
      <w:r w:rsidR="00E7793F" w:rsidRPr="00033A14">
        <w:rPr>
          <w:bCs/>
          <w:sz w:val="22"/>
          <w:szCs w:val="22"/>
        </w:rPr>
        <w:t>had no comorbidities (8</w:t>
      </w:r>
      <w:r w:rsidR="004B5EEF">
        <w:rPr>
          <w:bCs/>
          <w:sz w:val="22"/>
          <w:szCs w:val="22"/>
        </w:rPr>
        <w:t>2.3</w:t>
      </w:r>
      <w:r w:rsidR="00E7793F" w:rsidRPr="00033A14">
        <w:rPr>
          <w:bCs/>
          <w:sz w:val="22"/>
          <w:szCs w:val="22"/>
        </w:rPr>
        <w:t xml:space="preserve">%). </w:t>
      </w:r>
      <w:r w:rsidR="00A02F78">
        <w:rPr>
          <w:bCs/>
          <w:sz w:val="22"/>
          <w:szCs w:val="22"/>
        </w:rPr>
        <w:t>Much of</w:t>
      </w:r>
      <w:r w:rsidR="001452D6">
        <w:rPr>
          <w:bCs/>
          <w:sz w:val="22"/>
          <w:szCs w:val="22"/>
        </w:rPr>
        <w:t xml:space="preserve"> the cohort</w:t>
      </w:r>
      <w:r w:rsidR="00536342">
        <w:rPr>
          <w:bCs/>
          <w:sz w:val="22"/>
          <w:szCs w:val="22"/>
        </w:rPr>
        <w:t xml:space="preserve"> had</w:t>
      </w:r>
      <w:r w:rsidR="00D612AF" w:rsidRPr="00033A14">
        <w:rPr>
          <w:bCs/>
          <w:sz w:val="22"/>
          <w:szCs w:val="22"/>
        </w:rPr>
        <w:t xml:space="preserve"> </w:t>
      </w:r>
      <w:r w:rsidR="005379B5" w:rsidRPr="00033A14">
        <w:rPr>
          <w:bCs/>
          <w:sz w:val="22"/>
          <w:szCs w:val="22"/>
        </w:rPr>
        <w:t xml:space="preserve">stage </w:t>
      </w:r>
      <w:r w:rsidR="00E7793F" w:rsidRPr="00033A14">
        <w:rPr>
          <w:bCs/>
          <w:sz w:val="22"/>
          <w:szCs w:val="22"/>
        </w:rPr>
        <w:t>I</w:t>
      </w:r>
      <w:r w:rsidR="004B5EEF">
        <w:rPr>
          <w:bCs/>
          <w:sz w:val="22"/>
          <w:szCs w:val="22"/>
        </w:rPr>
        <w:t>-</w:t>
      </w:r>
      <w:r w:rsidR="00E7793F" w:rsidRPr="00033A14">
        <w:rPr>
          <w:bCs/>
          <w:sz w:val="22"/>
          <w:szCs w:val="22"/>
        </w:rPr>
        <w:t>II</w:t>
      </w:r>
      <w:r w:rsidR="004B5EEF">
        <w:rPr>
          <w:bCs/>
          <w:sz w:val="22"/>
          <w:szCs w:val="22"/>
        </w:rPr>
        <w:t>I</w:t>
      </w:r>
      <w:r w:rsidR="00E7793F" w:rsidRPr="00033A14">
        <w:rPr>
          <w:bCs/>
          <w:sz w:val="22"/>
          <w:szCs w:val="22"/>
        </w:rPr>
        <w:t xml:space="preserve"> </w:t>
      </w:r>
      <w:r w:rsidR="0044558C">
        <w:rPr>
          <w:bCs/>
          <w:sz w:val="22"/>
          <w:szCs w:val="22"/>
        </w:rPr>
        <w:t>tumor</w:t>
      </w:r>
      <w:r w:rsidR="001452D6">
        <w:rPr>
          <w:bCs/>
          <w:sz w:val="22"/>
          <w:szCs w:val="22"/>
        </w:rPr>
        <w:t xml:space="preserve">s </w:t>
      </w:r>
      <w:r w:rsidR="00E7793F" w:rsidRPr="00033A14">
        <w:rPr>
          <w:bCs/>
          <w:sz w:val="22"/>
          <w:szCs w:val="22"/>
        </w:rPr>
        <w:t>(</w:t>
      </w:r>
      <w:r w:rsidR="001452D6">
        <w:rPr>
          <w:bCs/>
          <w:sz w:val="22"/>
          <w:szCs w:val="22"/>
        </w:rPr>
        <w:t>93.6</w:t>
      </w:r>
      <w:r w:rsidR="00E7793F" w:rsidRPr="00033A14">
        <w:rPr>
          <w:bCs/>
          <w:sz w:val="22"/>
          <w:szCs w:val="22"/>
        </w:rPr>
        <w:t>%)</w:t>
      </w:r>
      <w:r w:rsidR="00536342">
        <w:rPr>
          <w:bCs/>
          <w:sz w:val="22"/>
          <w:szCs w:val="22"/>
        </w:rPr>
        <w:t>;</w:t>
      </w:r>
      <w:r w:rsidR="00E7793F" w:rsidRPr="00033A14">
        <w:rPr>
          <w:bCs/>
          <w:sz w:val="22"/>
          <w:szCs w:val="22"/>
        </w:rPr>
        <w:t xml:space="preserve"> </w:t>
      </w:r>
      <w:r w:rsidR="004049FA">
        <w:rPr>
          <w:bCs/>
          <w:sz w:val="22"/>
          <w:szCs w:val="22"/>
        </w:rPr>
        <w:t xml:space="preserve">more than 90% </w:t>
      </w:r>
      <w:r w:rsidR="00E7793F" w:rsidRPr="00033A14">
        <w:rPr>
          <w:bCs/>
          <w:sz w:val="22"/>
          <w:szCs w:val="22"/>
        </w:rPr>
        <w:t>graded as moderate or poorly differentiated (92.</w:t>
      </w:r>
      <w:r w:rsidR="004B5EEF">
        <w:rPr>
          <w:bCs/>
          <w:sz w:val="22"/>
          <w:szCs w:val="22"/>
        </w:rPr>
        <w:t>7</w:t>
      </w:r>
      <w:r w:rsidR="00E7793F" w:rsidRPr="00033A14">
        <w:rPr>
          <w:bCs/>
          <w:sz w:val="22"/>
          <w:szCs w:val="22"/>
        </w:rPr>
        <w:t>%)</w:t>
      </w:r>
      <w:r w:rsidR="004049FA">
        <w:rPr>
          <w:bCs/>
          <w:sz w:val="22"/>
          <w:szCs w:val="22"/>
        </w:rPr>
        <w:t xml:space="preserve">; and almost two-thirds </w:t>
      </w:r>
      <w:r w:rsidR="00F96C4E">
        <w:rPr>
          <w:bCs/>
          <w:sz w:val="22"/>
          <w:szCs w:val="22"/>
        </w:rPr>
        <w:t>as</w:t>
      </w:r>
      <w:r w:rsidR="00E7793F" w:rsidRPr="00033A14">
        <w:rPr>
          <w:bCs/>
          <w:sz w:val="22"/>
          <w:szCs w:val="22"/>
        </w:rPr>
        <w:t xml:space="preserve"> ER</w:t>
      </w:r>
      <w:r w:rsidR="0055594C">
        <w:rPr>
          <w:bCs/>
          <w:sz w:val="22"/>
          <w:szCs w:val="22"/>
        </w:rPr>
        <w:t>+</w:t>
      </w:r>
      <w:r w:rsidR="00E7793F" w:rsidRPr="00033A14">
        <w:rPr>
          <w:bCs/>
          <w:sz w:val="22"/>
          <w:szCs w:val="22"/>
        </w:rPr>
        <w:t xml:space="preserve"> (63.</w:t>
      </w:r>
      <w:r w:rsidR="004B5EEF">
        <w:rPr>
          <w:bCs/>
          <w:sz w:val="22"/>
          <w:szCs w:val="22"/>
        </w:rPr>
        <w:t>7</w:t>
      </w:r>
      <w:r w:rsidR="00E7793F" w:rsidRPr="00033A14">
        <w:rPr>
          <w:bCs/>
          <w:sz w:val="22"/>
          <w:szCs w:val="22"/>
        </w:rPr>
        <w:t>%)</w:t>
      </w:r>
      <w:r w:rsidR="00CA48EA" w:rsidRPr="00033A14">
        <w:rPr>
          <w:bCs/>
          <w:sz w:val="22"/>
          <w:szCs w:val="22"/>
        </w:rPr>
        <w:t>.</w:t>
      </w:r>
      <w:r w:rsidR="00BB5B15" w:rsidRPr="00033A14">
        <w:rPr>
          <w:bCs/>
          <w:sz w:val="22"/>
          <w:szCs w:val="22"/>
        </w:rPr>
        <w:t xml:space="preserve"> </w:t>
      </w:r>
      <w:r w:rsidR="0042660F" w:rsidRPr="00033A14">
        <w:rPr>
          <w:bCs/>
          <w:sz w:val="22"/>
          <w:szCs w:val="22"/>
        </w:rPr>
        <w:t>Population demographic and clinical characteristics are shown in Table 1</w:t>
      </w:r>
      <w:r w:rsidR="004B5EEF">
        <w:rPr>
          <w:bCs/>
          <w:sz w:val="22"/>
          <w:szCs w:val="22"/>
        </w:rPr>
        <w:t>.</w:t>
      </w:r>
    </w:p>
    <w:p w14:paraId="525F19F6" w14:textId="77777777" w:rsidR="0017561A" w:rsidRDefault="0017561A" w:rsidP="00BB2ED4">
      <w:pPr>
        <w:spacing w:line="360" w:lineRule="auto"/>
        <w:rPr>
          <w:bCs/>
          <w:sz w:val="22"/>
          <w:szCs w:val="22"/>
        </w:rPr>
      </w:pPr>
    </w:p>
    <w:p w14:paraId="3A4D3757" w14:textId="77777777" w:rsidR="00D07DD1" w:rsidRDefault="00D07DD1" w:rsidP="00BB2ED4">
      <w:pPr>
        <w:spacing w:line="360" w:lineRule="auto"/>
        <w:rPr>
          <w:bCs/>
          <w:sz w:val="22"/>
          <w:szCs w:val="22"/>
        </w:rPr>
      </w:pPr>
    </w:p>
    <w:p w14:paraId="1AD6EC00" w14:textId="5CAC2047" w:rsidR="00BB2ED4" w:rsidRDefault="00BB2ED4" w:rsidP="00BB2ED4">
      <w:pPr>
        <w:spacing w:line="360" w:lineRule="auto"/>
        <w:rPr>
          <w:bCs/>
          <w:i/>
          <w:iCs/>
          <w:sz w:val="22"/>
          <w:szCs w:val="22"/>
        </w:rPr>
      </w:pPr>
      <w:r w:rsidRPr="00033A14">
        <w:rPr>
          <w:bCs/>
          <w:i/>
          <w:iCs/>
          <w:sz w:val="22"/>
          <w:szCs w:val="22"/>
        </w:rPr>
        <w:lastRenderedPageBreak/>
        <w:t xml:space="preserve">Trastuzumab </w:t>
      </w:r>
      <w:r>
        <w:rPr>
          <w:bCs/>
          <w:i/>
          <w:iCs/>
          <w:sz w:val="22"/>
          <w:szCs w:val="22"/>
        </w:rPr>
        <w:t xml:space="preserve">Receipt: </w:t>
      </w:r>
      <w:r w:rsidR="00946583">
        <w:rPr>
          <w:bCs/>
          <w:i/>
          <w:iCs/>
          <w:sz w:val="22"/>
          <w:szCs w:val="22"/>
        </w:rPr>
        <w:t>Early-Stage</w:t>
      </w:r>
      <w:r>
        <w:rPr>
          <w:bCs/>
          <w:i/>
          <w:iCs/>
          <w:sz w:val="22"/>
          <w:szCs w:val="22"/>
        </w:rPr>
        <w:t xml:space="preserve"> Population</w:t>
      </w:r>
    </w:p>
    <w:p w14:paraId="42288C8C" w14:textId="57602EE0" w:rsidR="00BB2ED4" w:rsidRDefault="00F8382C" w:rsidP="00BB2ED4">
      <w:pPr>
        <w:spacing w:line="360" w:lineRule="auto"/>
        <w:rPr>
          <w:bCs/>
          <w:sz w:val="22"/>
          <w:szCs w:val="22"/>
        </w:rPr>
      </w:pPr>
      <w:r>
        <w:rPr>
          <w:bCs/>
          <w:sz w:val="22"/>
          <w:szCs w:val="22"/>
        </w:rPr>
        <w:t xml:space="preserve">Of the 34,616 women with early stage HER2+ disease diagnosed 2012-2017, </w:t>
      </w:r>
      <w:r w:rsidR="00890525">
        <w:rPr>
          <w:bCs/>
          <w:sz w:val="22"/>
          <w:szCs w:val="22"/>
        </w:rPr>
        <w:t xml:space="preserve">45.0% (n=15,567) received trastuzumab. </w:t>
      </w:r>
      <w:r w:rsidR="00DF3C09">
        <w:rPr>
          <w:bCs/>
          <w:sz w:val="22"/>
          <w:szCs w:val="22"/>
        </w:rPr>
        <w:t>Receipt increased over time from 34.</w:t>
      </w:r>
      <w:r w:rsidR="00CD697F">
        <w:rPr>
          <w:bCs/>
          <w:sz w:val="22"/>
          <w:szCs w:val="22"/>
        </w:rPr>
        <w:t>1</w:t>
      </w:r>
      <w:r w:rsidR="00DF3C09">
        <w:rPr>
          <w:bCs/>
          <w:sz w:val="22"/>
          <w:szCs w:val="22"/>
        </w:rPr>
        <w:t xml:space="preserve">% of patients in 2012 to 44.2% in 2017. In univariate analyses trastuzumab receipt showed little patterning by </w:t>
      </w:r>
      <w:r w:rsidR="00821B9C">
        <w:rPr>
          <w:bCs/>
          <w:sz w:val="22"/>
          <w:szCs w:val="22"/>
        </w:rPr>
        <w:t>SES</w:t>
      </w:r>
      <w:r w:rsidR="00DF3C09">
        <w:rPr>
          <w:bCs/>
          <w:sz w:val="22"/>
          <w:szCs w:val="22"/>
        </w:rPr>
        <w:t xml:space="preserve">. However, following adjustment for confounders </w:t>
      </w:r>
      <w:r w:rsidR="00A720DC">
        <w:rPr>
          <w:bCs/>
          <w:sz w:val="22"/>
          <w:szCs w:val="22"/>
        </w:rPr>
        <w:t xml:space="preserve">(including clinical factors) </w:t>
      </w:r>
      <w:r w:rsidR="00DF3C09">
        <w:rPr>
          <w:bCs/>
          <w:sz w:val="22"/>
          <w:szCs w:val="22"/>
        </w:rPr>
        <w:t xml:space="preserve">in the multivariable model, a significant association between trastuzumab receipt </w:t>
      </w:r>
      <w:r w:rsidR="00A720DC">
        <w:rPr>
          <w:bCs/>
          <w:sz w:val="22"/>
          <w:szCs w:val="22"/>
        </w:rPr>
        <w:t xml:space="preserve">and </w:t>
      </w:r>
      <w:r w:rsidR="00DF3C09">
        <w:rPr>
          <w:bCs/>
          <w:sz w:val="22"/>
          <w:szCs w:val="22"/>
        </w:rPr>
        <w:t xml:space="preserve">deprivation was seen (LRT=0.004). Patients’ resident in the most deprived areas were 10% less likely to receive trastuzumab than those resident in the least deprived areas </w:t>
      </w:r>
      <w:r w:rsidR="00DF3C09" w:rsidRPr="00033A14">
        <w:rPr>
          <w:color w:val="040C28"/>
          <w:sz w:val="22"/>
          <w:szCs w:val="22"/>
        </w:rPr>
        <w:t>(IMD 5 vs IMD 1; mvOR</w:t>
      </w:r>
      <w:r w:rsidR="00DF3C09">
        <w:rPr>
          <w:color w:val="040C28"/>
          <w:sz w:val="22"/>
          <w:szCs w:val="22"/>
        </w:rPr>
        <w:t xml:space="preserve"> 0.90</w:t>
      </w:r>
      <w:r w:rsidR="00DF3C09" w:rsidRPr="00033A14">
        <w:rPr>
          <w:color w:val="040C28"/>
          <w:sz w:val="22"/>
          <w:szCs w:val="22"/>
        </w:rPr>
        <w:t>, 95% CI 0</w:t>
      </w:r>
      <w:r w:rsidR="00DF3C09">
        <w:rPr>
          <w:color w:val="040C28"/>
          <w:sz w:val="22"/>
          <w:szCs w:val="22"/>
        </w:rPr>
        <w:t>.8</w:t>
      </w:r>
      <w:r w:rsidR="00CD697F">
        <w:rPr>
          <w:color w:val="040C28"/>
          <w:sz w:val="22"/>
          <w:szCs w:val="22"/>
        </w:rPr>
        <w:t>3</w:t>
      </w:r>
      <w:r w:rsidR="00DF3C09" w:rsidRPr="00033A14">
        <w:rPr>
          <w:color w:val="040C28"/>
          <w:sz w:val="22"/>
          <w:szCs w:val="22"/>
        </w:rPr>
        <w:t xml:space="preserve">, </w:t>
      </w:r>
      <w:r w:rsidR="00DF3C09">
        <w:rPr>
          <w:color w:val="040C28"/>
          <w:sz w:val="22"/>
          <w:szCs w:val="22"/>
        </w:rPr>
        <w:t>0.98</w:t>
      </w:r>
      <w:r w:rsidR="00DF3C09" w:rsidRPr="00033A14">
        <w:rPr>
          <w:color w:val="040C28"/>
          <w:sz w:val="22"/>
          <w:szCs w:val="22"/>
        </w:rPr>
        <w:t>)</w:t>
      </w:r>
      <w:r w:rsidR="00DF3C09">
        <w:rPr>
          <w:color w:val="040C28"/>
          <w:sz w:val="22"/>
          <w:szCs w:val="22"/>
        </w:rPr>
        <w:t xml:space="preserve"> (Table 2).</w:t>
      </w:r>
      <w:r w:rsidR="00DF3C09" w:rsidRPr="00DF3C09">
        <w:rPr>
          <w:color w:val="040C28"/>
          <w:sz w:val="22"/>
          <w:szCs w:val="22"/>
        </w:rPr>
        <w:t xml:space="preserve"> </w:t>
      </w:r>
      <w:r w:rsidR="00DF3C09">
        <w:rPr>
          <w:color w:val="040C28"/>
          <w:sz w:val="22"/>
          <w:szCs w:val="22"/>
        </w:rPr>
        <w:t xml:space="preserve">The test for linear trend across deprivation categories was </w:t>
      </w:r>
      <w:r w:rsidR="00DF3C09" w:rsidRPr="00940542">
        <w:rPr>
          <w:color w:val="040C28"/>
          <w:sz w:val="22"/>
          <w:szCs w:val="22"/>
        </w:rPr>
        <w:t>significant (p</w:t>
      </w:r>
      <w:r w:rsidR="00DF3C09" w:rsidRPr="00940542">
        <w:rPr>
          <w:color w:val="4C4F54"/>
          <w:sz w:val="22"/>
          <w:szCs w:val="22"/>
        </w:rPr>
        <w:t xml:space="preserve"> </w:t>
      </w:r>
      <w:r w:rsidR="00DF3C09">
        <w:rPr>
          <w:color w:val="4C4F54"/>
          <w:sz w:val="22"/>
          <w:szCs w:val="22"/>
        </w:rPr>
        <w:t>=</w:t>
      </w:r>
      <w:r w:rsidR="007A7C56">
        <w:rPr>
          <w:color w:val="4C4F54"/>
          <w:sz w:val="22"/>
          <w:szCs w:val="22"/>
        </w:rPr>
        <w:t xml:space="preserve"> </w:t>
      </w:r>
      <w:r w:rsidR="00555B14" w:rsidRPr="00555B14">
        <w:rPr>
          <w:color w:val="000000" w:themeColor="text1"/>
          <w:sz w:val="22"/>
          <w:szCs w:val="22"/>
        </w:rPr>
        <w:t>0.002</w:t>
      </w:r>
      <w:r w:rsidR="00DF3C09" w:rsidRPr="00555B14">
        <w:rPr>
          <w:color w:val="000000" w:themeColor="text1"/>
          <w:sz w:val="22"/>
          <w:szCs w:val="22"/>
        </w:rPr>
        <w:t>).</w:t>
      </w:r>
    </w:p>
    <w:p w14:paraId="35008549" w14:textId="6DCA2BBF" w:rsidR="008512EF" w:rsidRDefault="008512EF" w:rsidP="008512EF">
      <w:pPr>
        <w:pStyle w:val="NormalWeb"/>
        <w:spacing w:line="360" w:lineRule="auto"/>
        <w:rPr>
          <w:color w:val="0D0D0D" w:themeColor="text1" w:themeTint="F2"/>
          <w:sz w:val="22"/>
          <w:szCs w:val="22"/>
          <w:shd w:val="clear" w:color="auto" w:fill="FFFFFF"/>
        </w:rPr>
      </w:pPr>
      <w:r w:rsidRPr="00033A14">
        <w:rPr>
          <w:color w:val="040C28"/>
          <w:sz w:val="22"/>
          <w:szCs w:val="22"/>
        </w:rPr>
        <w:t>In sensitivity analyses, similar association</w:t>
      </w:r>
      <w:r>
        <w:rPr>
          <w:color w:val="040C28"/>
          <w:sz w:val="22"/>
          <w:szCs w:val="22"/>
        </w:rPr>
        <w:t>s</w:t>
      </w:r>
      <w:r w:rsidRPr="00033A14">
        <w:rPr>
          <w:color w:val="040C28"/>
          <w:sz w:val="22"/>
          <w:szCs w:val="22"/>
        </w:rPr>
        <w:t xml:space="preserve"> between tra</w:t>
      </w:r>
      <w:r>
        <w:rPr>
          <w:color w:val="040C28"/>
          <w:sz w:val="22"/>
          <w:szCs w:val="22"/>
        </w:rPr>
        <w:t>s</w:t>
      </w:r>
      <w:r w:rsidRPr="00033A14">
        <w:rPr>
          <w:color w:val="040C28"/>
          <w:sz w:val="22"/>
          <w:szCs w:val="22"/>
        </w:rPr>
        <w:t xml:space="preserve">tuzumab </w:t>
      </w:r>
      <w:r>
        <w:rPr>
          <w:color w:val="040C28"/>
          <w:sz w:val="22"/>
          <w:szCs w:val="22"/>
        </w:rPr>
        <w:t>receipt</w:t>
      </w:r>
      <w:r w:rsidRPr="00033A14">
        <w:rPr>
          <w:color w:val="040C28"/>
          <w:sz w:val="22"/>
          <w:szCs w:val="22"/>
        </w:rPr>
        <w:t xml:space="preserve"> and deprivation were observed when restricting analyses to: (i) a HER2+ breast cancer diagnosis post mandatory SACT submission (April 2014) </w:t>
      </w:r>
      <w:r>
        <w:rPr>
          <w:color w:val="040C28"/>
          <w:sz w:val="22"/>
          <w:szCs w:val="22"/>
        </w:rPr>
        <w:t xml:space="preserve">(sensitivity analysis 1) </w:t>
      </w:r>
      <w:r w:rsidRPr="00033A14">
        <w:rPr>
          <w:color w:val="040C28"/>
          <w:sz w:val="22"/>
          <w:szCs w:val="22"/>
        </w:rPr>
        <w:t>(</w:t>
      </w:r>
      <w:r w:rsidRPr="00E10CE2">
        <w:rPr>
          <w:color w:val="000000" w:themeColor="text1"/>
          <w:sz w:val="22"/>
          <w:szCs w:val="22"/>
        </w:rPr>
        <w:t>IMD 5 vs IMD 1; mvOR 0.9</w:t>
      </w:r>
      <w:r w:rsidR="00E10CE2" w:rsidRPr="00E10CE2">
        <w:rPr>
          <w:color w:val="000000" w:themeColor="text1"/>
          <w:sz w:val="22"/>
          <w:szCs w:val="22"/>
        </w:rPr>
        <w:t>3</w:t>
      </w:r>
      <w:r w:rsidRPr="00E10CE2">
        <w:rPr>
          <w:color w:val="000000" w:themeColor="text1"/>
          <w:sz w:val="22"/>
          <w:szCs w:val="22"/>
        </w:rPr>
        <w:t>, 95% CI 0.8</w:t>
      </w:r>
      <w:r w:rsidR="00E10CE2" w:rsidRPr="00E10CE2">
        <w:rPr>
          <w:color w:val="000000" w:themeColor="text1"/>
          <w:sz w:val="22"/>
          <w:szCs w:val="22"/>
        </w:rPr>
        <w:t>4</w:t>
      </w:r>
      <w:r w:rsidRPr="00E10CE2">
        <w:rPr>
          <w:color w:val="000000" w:themeColor="text1"/>
          <w:sz w:val="22"/>
          <w:szCs w:val="22"/>
        </w:rPr>
        <w:t>, 1.0</w:t>
      </w:r>
      <w:r w:rsidR="00E10CE2" w:rsidRPr="00E10CE2">
        <w:rPr>
          <w:color w:val="000000" w:themeColor="text1"/>
          <w:sz w:val="22"/>
          <w:szCs w:val="22"/>
        </w:rPr>
        <w:t>3</w:t>
      </w:r>
      <w:r w:rsidRPr="00E10CE2">
        <w:rPr>
          <w:color w:val="000000" w:themeColor="text1"/>
          <w:sz w:val="22"/>
          <w:szCs w:val="22"/>
        </w:rPr>
        <w:t>; LRT p=0.0</w:t>
      </w:r>
      <w:r w:rsidR="00E10CE2" w:rsidRPr="00E10CE2">
        <w:rPr>
          <w:color w:val="000000" w:themeColor="text1"/>
          <w:sz w:val="22"/>
          <w:szCs w:val="22"/>
        </w:rPr>
        <w:t>09</w:t>
      </w:r>
      <w:r w:rsidRPr="00E10CE2">
        <w:rPr>
          <w:color w:val="000000" w:themeColor="text1"/>
          <w:sz w:val="22"/>
          <w:szCs w:val="22"/>
        </w:rPr>
        <w:t xml:space="preserve">), and (ii) </w:t>
      </w:r>
      <w:r w:rsidR="00315C11">
        <w:rPr>
          <w:color w:val="000000" w:themeColor="text1"/>
          <w:sz w:val="22"/>
          <w:szCs w:val="22"/>
        </w:rPr>
        <w:t>were more defined when the</w:t>
      </w:r>
      <w:r w:rsidRPr="00E10CE2">
        <w:rPr>
          <w:color w:val="000000" w:themeColor="text1"/>
          <w:sz w:val="22"/>
          <w:szCs w:val="22"/>
        </w:rPr>
        <w:t xml:space="preserve"> refined </w:t>
      </w:r>
      <w:r w:rsidRPr="00033A14">
        <w:rPr>
          <w:color w:val="040C28"/>
          <w:sz w:val="22"/>
          <w:szCs w:val="22"/>
        </w:rPr>
        <w:t xml:space="preserve">HER2+ breast cancer </w:t>
      </w:r>
      <w:r w:rsidRPr="00E10CE2">
        <w:rPr>
          <w:color w:val="000000" w:themeColor="text1"/>
          <w:sz w:val="22"/>
          <w:szCs w:val="22"/>
        </w:rPr>
        <w:t>definition (sensitivity analysis 2)</w:t>
      </w:r>
      <w:r w:rsidR="00315C11">
        <w:rPr>
          <w:color w:val="000000" w:themeColor="text1"/>
          <w:sz w:val="22"/>
          <w:szCs w:val="22"/>
        </w:rPr>
        <w:t xml:space="preserve"> was applied</w:t>
      </w:r>
      <w:r w:rsidRPr="00E10CE2">
        <w:rPr>
          <w:color w:val="000000" w:themeColor="text1"/>
          <w:sz w:val="22"/>
          <w:szCs w:val="22"/>
        </w:rPr>
        <w:t xml:space="preserve"> (IMD 5 vs IM1; mvOR 0.</w:t>
      </w:r>
      <w:r w:rsidR="00E10CE2" w:rsidRPr="00E10CE2">
        <w:rPr>
          <w:color w:val="000000" w:themeColor="text1"/>
          <w:sz w:val="22"/>
          <w:szCs w:val="22"/>
        </w:rPr>
        <w:t>86,</w:t>
      </w:r>
      <w:r w:rsidRPr="00E10CE2">
        <w:rPr>
          <w:color w:val="000000" w:themeColor="text1"/>
          <w:sz w:val="22"/>
          <w:szCs w:val="22"/>
        </w:rPr>
        <w:t xml:space="preserve"> 95% CI 0.</w:t>
      </w:r>
      <w:r w:rsidR="00E10CE2" w:rsidRPr="00E10CE2">
        <w:rPr>
          <w:color w:val="000000" w:themeColor="text1"/>
          <w:sz w:val="22"/>
          <w:szCs w:val="22"/>
        </w:rPr>
        <w:t>78</w:t>
      </w:r>
      <w:r w:rsidRPr="00E10CE2">
        <w:rPr>
          <w:color w:val="000000" w:themeColor="text1"/>
          <w:sz w:val="22"/>
          <w:szCs w:val="22"/>
        </w:rPr>
        <w:t xml:space="preserve">, </w:t>
      </w:r>
      <w:r w:rsidR="00E10CE2" w:rsidRPr="00E10CE2">
        <w:rPr>
          <w:color w:val="000000" w:themeColor="text1"/>
          <w:sz w:val="22"/>
          <w:szCs w:val="22"/>
        </w:rPr>
        <w:t>0.95</w:t>
      </w:r>
      <w:r w:rsidRPr="00E10CE2">
        <w:rPr>
          <w:color w:val="000000" w:themeColor="text1"/>
          <w:sz w:val="22"/>
          <w:szCs w:val="22"/>
        </w:rPr>
        <w:t>; LRT p=0.</w:t>
      </w:r>
      <w:r w:rsidR="00E10CE2" w:rsidRPr="00E10CE2">
        <w:rPr>
          <w:color w:val="000000" w:themeColor="text1"/>
          <w:sz w:val="22"/>
          <w:szCs w:val="22"/>
        </w:rPr>
        <w:t>009</w:t>
      </w:r>
      <w:r w:rsidRPr="00E10CE2">
        <w:rPr>
          <w:color w:val="000000" w:themeColor="text1"/>
          <w:sz w:val="22"/>
          <w:szCs w:val="22"/>
        </w:rPr>
        <w:t>)</w:t>
      </w:r>
      <w:r w:rsidR="005F0845">
        <w:rPr>
          <w:color w:val="000000" w:themeColor="text1"/>
          <w:sz w:val="22"/>
          <w:szCs w:val="22"/>
        </w:rPr>
        <w:t>. Both results</w:t>
      </w:r>
      <w:r w:rsidRPr="00E10CE2">
        <w:rPr>
          <w:color w:val="000000" w:themeColor="text1"/>
          <w:sz w:val="22"/>
          <w:szCs w:val="22"/>
        </w:rPr>
        <w:t xml:space="preserve"> </w:t>
      </w:r>
      <w:r>
        <w:rPr>
          <w:color w:val="040C28"/>
          <w:sz w:val="22"/>
          <w:szCs w:val="22"/>
        </w:rPr>
        <w:t xml:space="preserve">were statistically significant </w:t>
      </w:r>
      <w:r>
        <w:rPr>
          <w:color w:val="0D0D0D" w:themeColor="text1" w:themeTint="F2"/>
          <w:sz w:val="22"/>
          <w:szCs w:val="22"/>
          <w:shd w:val="clear" w:color="auto" w:fill="FFFFFF"/>
        </w:rPr>
        <w:t>(</w:t>
      </w:r>
      <w:r w:rsidRPr="00033A14">
        <w:rPr>
          <w:color w:val="0D0D0D" w:themeColor="text1" w:themeTint="F2"/>
          <w:sz w:val="22"/>
          <w:szCs w:val="22"/>
          <w:shd w:val="clear" w:color="auto" w:fill="FFFFFF"/>
        </w:rPr>
        <w:t xml:space="preserve">Supplementary Table </w:t>
      </w:r>
      <w:r w:rsidR="00E74174">
        <w:rPr>
          <w:color w:val="0D0D0D" w:themeColor="text1" w:themeTint="F2"/>
          <w:sz w:val="22"/>
          <w:szCs w:val="22"/>
          <w:shd w:val="clear" w:color="auto" w:fill="FFFFFF"/>
        </w:rPr>
        <w:t>S</w:t>
      </w:r>
      <w:r w:rsidR="00E92895">
        <w:rPr>
          <w:color w:val="0D0D0D" w:themeColor="text1" w:themeTint="F2"/>
          <w:sz w:val="22"/>
          <w:szCs w:val="22"/>
          <w:shd w:val="clear" w:color="auto" w:fill="FFFFFF"/>
        </w:rPr>
        <w:t>2</w:t>
      </w:r>
      <w:r w:rsidRPr="00033A14">
        <w:rPr>
          <w:color w:val="0D0D0D" w:themeColor="text1" w:themeTint="F2"/>
          <w:sz w:val="22"/>
          <w:szCs w:val="22"/>
          <w:shd w:val="clear" w:color="auto" w:fill="FFFFFF"/>
        </w:rPr>
        <w:t>).</w:t>
      </w:r>
    </w:p>
    <w:p w14:paraId="203FD9BC" w14:textId="18B8BC94" w:rsidR="00754A72" w:rsidRDefault="008512EF" w:rsidP="003B3C75">
      <w:pPr>
        <w:pStyle w:val="NormalWeb"/>
        <w:spacing w:line="360" w:lineRule="auto"/>
        <w:rPr>
          <w:rFonts w:ascii="TimesNewRomanPSMT" w:hAnsi="TimesNewRomanPSMT"/>
          <w:sz w:val="22"/>
          <w:szCs w:val="22"/>
        </w:rPr>
      </w:pPr>
      <w:r w:rsidRPr="00F4563C">
        <w:rPr>
          <w:rFonts w:ascii="TimesNewRomanPSMT" w:hAnsi="TimesNewRomanPSMT"/>
          <w:sz w:val="22"/>
          <w:szCs w:val="22"/>
        </w:rPr>
        <w:t xml:space="preserve">Several </w:t>
      </w:r>
      <w:r>
        <w:rPr>
          <w:rFonts w:ascii="TimesNewRomanPSMT" w:hAnsi="TimesNewRomanPSMT"/>
          <w:sz w:val="22"/>
          <w:szCs w:val="22"/>
        </w:rPr>
        <w:t xml:space="preserve">other socio-demographic </w:t>
      </w:r>
      <w:r w:rsidR="00F8382C">
        <w:rPr>
          <w:rFonts w:ascii="TimesNewRomanPSMT" w:hAnsi="TimesNewRomanPSMT"/>
          <w:sz w:val="22"/>
          <w:szCs w:val="22"/>
        </w:rPr>
        <w:t>and clinical</w:t>
      </w:r>
      <w:r w:rsidR="005C5F98">
        <w:rPr>
          <w:rFonts w:ascii="TimesNewRomanPSMT" w:hAnsi="TimesNewRomanPSMT"/>
          <w:sz w:val="22"/>
          <w:szCs w:val="22"/>
        </w:rPr>
        <w:t xml:space="preserve"> </w:t>
      </w:r>
      <w:r w:rsidRPr="00F4563C">
        <w:rPr>
          <w:rFonts w:ascii="TimesNewRomanPSMT" w:hAnsi="TimesNewRomanPSMT"/>
          <w:sz w:val="22"/>
          <w:szCs w:val="22"/>
        </w:rPr>
        <w:t>variables in the multivariable model</w:t>
      </w:r>
      <w:r>
        <w:rPr>
          <w:rFonts w:ascii="TimesNewRomanPSMT" w:hAnsi="TimesNewRomanPSMT"/>
          <w:sz w:val="22"/>
          <w:szCs w:val="22"/>
        </w:rPr>
        <w:t xml:space="preserve"> also </w:t>
      </w:r>
      <w:r w:rsidRPr="00F4563C">
        <w:rPr>
          <w:rFonts w:ascii="TimesNewRomanPSMT" w:hAnsi="TimesNewRomanPSMT"/>
          <w:sz w:val="22"/>
          <w:szCs w:val="22"/>
        </w:rPr>
        <w:t xml:space="preserve">had statistically significant associations with </w:t>
      </w:r>
      <w:r w:rsidR="003B3C75">
        <w:rPr>
          <w:rFonts w:ascii="TimesNewRomanPSMT" w:hAnsi="TimesNewRomanPSMT"/>
          <w:sz w:val="22"/>
          <w:szCs w:val="22"/>
        </w:rPr>
        <w:t>reduced</w:t>
      </w:r>
      <w:r>
        <w:rPr>
          <w:rFonts w:ascii="TimesNewRomanPSMT" w:hAnsi="TimesNewRomanPSMT"/>
          <w:sz w:val="22"/>
          <w:szCs w:val="22"/>
        </w:rPr>
        <w:t xml:space="preserve"> likelihood of </w:t>
      </w:r>
      <w:r w:rsidRPr="00F4563C">
        <w:rPr>
          <w:rFonts w:ascii="TimesNewRomanPSMT" w:hAnsi="TimesNewRomanPSMT"/>
          <w:sz w:val="22"/>
          <w:szCs w:val="22"/>
        </w:rPr>
        <w:t xml:space="preserve">trastuzumab </w:t>
      </w:r>
      <w:r>
        <w:rPr>
          <w:rFonts w:ascii="TimesNewRomanPSMT" w:hAnsi="TimesNewRomanPSMT"/>
          <w:sz w:val="22"/>
          <w:szCs w:val="22"/>
        </w:rPr>
        <w:t>receipt</w:t>
      </w:r>
      <w:r w:rsidRPr="00F4563C">
        <w:rPr>
          <w:rFonts w:ascii="TimesNewRomanPSMT" w:hAnsi="TimesNewRomanPSMT"/>
          <w:sz w:val="22"/>
          <w:szCs w:val="22"/>
        </w:rPr>
        <w:t xml:space="preserve">. These were: </w:t>
      </w:r>
      <w:r>
        <w:rPr>
          <w:rFonts w:ascii="TimesNewRomanPSMT" w:hAnsi="TimesNewRomanPSMT"/>
          <w:sz w:val="22"/>
          <w:szCs w:val="22"/>
        </w:rPr>
        <w:t>a</w:t>
      </w:r>
      <w:r w:rsidR="003B3C75">
        <w:rPr>
          <w:rFonts w:ascii="TimesNewRomanPSMT" w:hAnsi="TimesNewRomanPSMT"/>
          <w:sz w:val="22"/>
          <w:szCs w:val="22"/>
        </w:rPr>
        <w:t>n older</w:t>
      </w:r>
      <w:r w:rsidRPr="00F4563C">
        <w:rPr>
          <w:rFonts w:ascii="TimesNewRomanPSMT" w:hAnsi="TimesNewRomanPSMT"/>
          <w:sz w:val="22"/>
          <w:szCs w:val="22"/>
        </w:rPr>
        <w:t xml:space="preserve"> age (</w:t>
      </w:r>
      <w:r>
        <w:rPr>
          <w:rFonts w:ascii="TimesNewRomanPSMT" w:hAnsi="TimesNewRomanPSMT"/>
          <w:sz w:val="22"/>
          <w:szCs w:val="22"/>
        </w:rPr>
        <w:t>80+</w:t>
      </w:r>
      <w:r w:rsidRPr="00F4563C">
        <w:rPr>
          <w:rFonts w:ascii="TimesNewRomanPSMT" w:hAnsi="TimesNewRomanPSMT"/>
          <w:sz w:val="22"/>
          <w:szCs w:val="22"/>
        </w:rPr>
        <w:t xml:space="preserve"> vs </w:t>
      </w:r>
      <w:r>
        <w:rPr>
          <w:rFonts w:ascii="TimesNewRomanPSMT" w:hAnsi="TimesNewRomanPSMT"/>
          <w:sz w:val="22"/>
          <w:szCs w:val="22"/>
        </w:rPr>
        <w:t>&lt;50 years old</w:t>
      </w:r>
      <w:r w:rsidRPr="00F4563C">
        <w:rPr>
          <w:rFonts w:ascii="TimesNewRomanPSMT" w:hAnsi="TimesNewRomanPSMT"/>
          <w:sz w:val="22"/>
          <w:szCs w:val="22"/>
        </w:rPr>
        <w:t xml:space="preserve">; mvOR </w:t>
      </w:r>
      <w:r>
        <w:rPr>
          <w:rFonts w:ascii="TimesNewRomanPSMT" w:hAnsi="TimesNewRomanPSMT"/>
          <w:sz w:val="22"/>
          <w:szCs w:val="22"/>
        </w:rPr>
        <w:t>0.03</w:t>
      </w:r>
      <w:r w:rsidRPr="00F4563C">
        <w:rPr>
          <w:rFonts w:ascii="TimesNewRomanPSMT" w:hAnsi="TimesNewRomanPSMT"/>
          <w:sz w:val="22"/>
          <w:szCs w:val="22"/>
        </w:rPr>
        <w:t xml:space="preserve">, 95% CI </w:t>
      </w:r>
      <w:r>
        <w:rPr>
          <w:rFonts w:ascii="TimesNewRomanPSMT" w:hAnsi="TimesNewRomanPSMT"/>
          <w:sz w:val="22"/>
          <w:szCs w:val="22"/>
        </w:rPr>
        <w:t>0.03</w:t>
      </w:r>
      <w:r w:rsidRPr="00F4563C">
        <w:rPr>
          <w:rFonts w:ascii="TimesNewRomanPSMT" w:hAnsi="TimesNewRomanPSMT"/>
          <w:sz w:val="22"/>
          <w:szCs w:val="22"/>
        </w:rPr>
        <w:t xml:space="preserve">, </w:t>
      </w:r>
      <w:r>
        <w:rPr>
          <w:rFonts w:ascii="TimesNewRomanPSMT" w:hAnsi="TimesNewRomanPSMT"/>
          <w:sz w:val="22"/>
          <w:szCs w:val="22"/>
        </w:rPr>
        <w:t>0.03</w:t>
      </w:r>
      <w:r w:rsidRPr="00F4563C">
        <w:rPr>
          <w:rFonts w:ascii="TimesNewRomanPSMT" w:hAnsi="TimesNewRomanPSMT"/>
          <w:sz w:val="22"/>
          <w:szCs w:val="22"/>
        </w:rPr>
        <w:t xml:space="preserve">); </w:t>
      </w:r>
      <w:r w:rsidR="003B3C75" w:rsidRPr="00F4563C">
        <w:rPr>
          <w:rFonts w:ascii="TimesNewRomanPSMT" w:hAnsi="TimesNewRomanPSMT"/>
          <w:sz w:val="22"/>
          <w:szCs w:val="22"/>
        </w:rPr>
        <w:t>three or more comorbidities (3+ vs 0 comorbidities; mvOR 0.</w:t>
      </w:r>
      <w:r w:rsidR="003B3C75">
        <w:rPr>
          <w:rFonts w:ascii="TimesNewRomanPSMT" w:hAnsi="TimesNewRomanPSMT"/>
          <w:sz w:val="22"/>
          <w:szCs w:val="22"/>
        </w:rPr>
        <w:t>38</w:t>
      </w:r>
      <w:r w:rsidR="003B3C75" w:rsidRPr="00F4563C">
        <w:rPr>
          <w:rFonts w:ascii="TimesNewRomanPSMT" w:hAnsi="TimesNewRomanPSMT"/>
          <w:sz w:val="22"/>
          <w:szCs w:val="22"/>
        </w:rPr>
        <w:t>, 95% CI 0.</w:t>
      </w:r>
      <w:r w:rsidR="003B3C75">
        <w:rPr>
          <w:rFonts w:ascii="TimesNewRomanPSMT" w:hAnsi="TimesNewRomanPSMT"/>
          <w:sz w:val="22"/>
          <w:szCs w:val="22"/>
        </w:rPr>
        <w:t>32</w:t>
      </w:r>
      <w:r w:rsidR="003B3C75" w:rsidRPr="00F4563C">
        <w:rPr>
          <w:rFonts w:ascii="TimesNewRomanPSMT" w:hAnsi="TimesNewRomanPSMT"/>
          <w:sz w:val="22"/>
          <w:szCs w:val="22"/>
        </w:rPr>
        <w:t>, 0.</w:t>
      </w:r>
      <w:r w:rsidR="003B3C75">
        <w:rPr>
          <w:rFonts w:ascii="TimesNewRomanPSMT" w:hAnsi="TimesNewRomanPSMT"/>
          <w:sz w:val="22"/>
          <w:szCs w:val="22"/>
        </w:rPr>
        <w:t>46</w:t>
      </w:r>
      <w:r w:rsidR="003B3C75" w:rsidRPr="00F4563C">
        <w:rPr>
          <w:rFonts w:ascii="TimesNewRomanPSMT" w:hAnsi="TimesNewRomanPSMT"/>
          <w:sz w:val="22"/>
          <w:szCs w:val="22"/>
        </w:rPr>
        <w:t>)</w:t>
      </w:r>
      <w:r w:rsidR="003B3C75">
        <w:rPr>
          <w:rFonts w:ascii="TimesNewRomanPSMT" w:hAnsi="TimesNewRomanPSMT"/>
          <w:sz w:val="22"/>
          <w:szCs w:val="22"/>
        </w:rPr>
        <w:t xml:space="preserve"> and; not being discussed at MDT (no vs yes</w:t>
      </w:r>
      <w:r w:rsidR="00933AE0">
        <w:rPr>
          <w:rFonts w:ascii="TimesNewRomanPSMT" w:hAnsi="TimesNewRomanPSMT"/>
          <w:sz w:val="22"/>
          <w:szCs w:val="22"/>
        </w:rPr>
        <w:t>;</w:t>
      </w:r>
      <w:r w:rsidR="003B3C75">
        <w:rPr>
          <w:rFonts w:ascii="TimesNewRomanPSMT" w:hAnsi="TimesNewRomanPSMT"/>
          <w:sz w:val="22"/>
          <w:szCs w:val="22"/>
        </w:rPr>
        <w:t xml:space="preserve"> mvOR 0.81, 95% CI 0.7</w:t>
      </w:r>
      <w:r w:rsidR="006E7B22">
        <w:rPr>
          <w:rFonts w:ascii="TimesNewRomanPSMT" w:hAnsi="TimesNewRomanPSMT"/>
          <w:sz w:val="22"/>
          <w:szCs w:val="22"/>
        </w:rPr>
        <w:t>5</w:t>
      </w:r>
      <w:r w:rsidR="003B3C75">
        <w:rPr>
          <w:rFonts w:ascii="TimesNewRomanPSMT" w:hAnsi="TimesNewRomanPSMT"/>
          <w:sz w:val="22"/>
          <w:szCs w:val="22"/>
        </w:rPr>
        <w:t>, 0.8</w:t>
      </w:r>
      <w:r w:rsidR="006E7B22">
        <w:rPr>
          <w:rFonts w:ascii="TimesNewRomanPSMT" w:hAnsi="TimesNewRomanPSMT"/>
          <w:sz w:val="22"/>
          <w:szCs w:val="22"/>
        </w:rPr>
        <w:t>7</w:t>
      </w:r>
      <w:r w:rsidR="003B3C75">
        <w:rPr>
          <w:rFonts w:ascii="TimesNewRomanPSMT" w:hAnsi="TimesNewRomanPSMT"/>
          <w:sz w:val="22"/>
          <w:szCs w:val="22"/>
        </w:rPr>
        <w:t xml:space="preserve">). </w:t>
      </w:r>
      <w:r w:rsidR="00F8382C">
        <w:rPr>
          <w:rFonts w:ascii="TimesNewRomanPSMT" w:hAnsi="TimesNewRomanPSMT"/>
          <w:sz w:val="22"/>
          <w:szCs w:val="22"/>
        </w:rPr>
        <w:t>Ethnic group made a statistically significant contribution to the model</w:t>
      </w:r>
      <w:r w:rsidR="00710231">
        <w:rPr>
          <w:rFonts w:ascii="TimesNewRomanPSMT" w:hAnsi="TimesNewRomanPSMT"/>
          <w:sz w:val="22"/>
          <w:szCs w:val="22"/>
        </w:rPr>
        <w:t xml:space="preserve">. </w:t>
      </w:r>
      <w:r w:rsidR="003B3C75">
        <w:rPr>
          <w:rFonts w:ascii="TimesNewRomanPSMT" w:hAnsi="TimesNewRomanPSMT"/>
          <w:sz w:val="22"/>
          <w:szCs w:val="22"/>
        </w:rPr>
        <w:t>A negative ER status (negative vs positive</w:t>
      </w:r>
      <w:r w:rsidR="00933AE0">
        <w:rPr>
          <w:rFonts w:ascii="TimesNewRomanPSMT" w:hAnsi="TimesNewRomanPSMT"/>
          <w:sz w:val="22"/>
          <w:szCs w:val="22"/>
        </w:rPr>
        <w:t xml:space="preserve">; </w:t>
      </w:r>
      <w:r w:rsidR="003B3C75">
        <w:rPr>
          <w:rFonts w:ascii="TimesNewRomanPSMT" w:hAnsi="TimesNewRomanPSMT"/>
          <w:sz w:val="22"/>
          <w:szCs w:val="22"/>
        </w:rPr>
        <w:t>mvOR 2.29, 95% CI 2.16, 2.43), a higher stage cancer (stage III vs stage I</w:t>
      </w:r>
      <w:r w:rsidR="00933AE0">
        <w:rPr>
          <w:rFonts w:ascii="TimesNewRomanPSMT" w:hAnsi="TimesNewRomanPSMT"/>
          <w:sz w:val="22"/>
          <w:szCs w:val="22"/>
        </w:rPr>
        <w:t>;</w:t>
      </w:r>
      <w:r w:rsidR="003B3C75">
        <w:rPr>
          <w:rFonts w:ascii="TimesNewRomanPSMT" w:hAnsi="TimesNewRomanPSMT"/>
          <w:sz w:val="22"/>
          <w:szCs w:val="22"/>
        </w:rPr>
        <w:t xml:space="preserve"> mvOR 2.57, 95% CI 2.38, 2.77) and </w:t>
      </w:r>
      <w:r w:rsidR="004F76D8">
        <w:rPr>
          <w:rFonts w:ascii="TimesNewRomanPSMT" w:hAnsi="TimesNewRomanPSMT"/>
          <w:sz w:val="22"/>
          <w:szCs w:val="22"/>
        </w:rPr>
        <w:t xml:space="preserve">not </w:t>
      </w:r>
      <w:r w:rsidR="003B3C75">
        <w:rPr>
          <w:rFonts w:ascii="TimesNewRomanPSMT" w:hAnsi="TimesNewRomanPSMT"/>
          <w:sz w:val="22"/>
          <w:szCs w:val="22"/>
        </w:rPr>
        <w:t>recei</w:t>
      </w:r>
      <w:r w:rsidR="004F76D8">
        <w:rPr>
          <w:rFonts w:ascii="TimesNewRomanPSMT" w:hAnsi="TimesNewRomanPSMT"/>
          <w:sz w:val="22"/>
          <w:szCs w:val="22"/>
        </w:rPr>
        <w:t>ving</w:t>
      </w:r>
      <w:r w:rsidR="003B3C75">
        <w:rPr>
          <w:rFonts w:ascii="TimesNewRomanPSMT" w:hAnsi="TimesNewRomanPSMT"/>
          <w:sz w:val="22"/>
          <w:szCs w:val="22"/>
        </w:rPr>
        <w:t xml:space="preserve"> surgery (no vs yes</w:t>
      </w:r>
      <w:r w:rsidR="00933AE0">
        <w:rPr>
          <w:rFonts w:ascii="TimesNewRomanPSMT" w:hAnsi="TimesNewRomanPSMT"/>
          <w:sz w:val="22"/>
          <w:szCs w:val="22"/>
        </w:rPr>
        <w:t>;</w:t>
      </w:r>
      <w:r w:rsidR="003B3C75">
        <w:rPr>
          <w:rFonts w:ascii="TimesNewRomanPSMT" w:hAnsi="TimesNewRomanPSMT"/>
          <w:sz w:val="22"/>
          <w:szCs w:val="22"/>
        </w:rPr>
        <w:t xml:space="preserve"> mvOR 1.36, 95% CI 1.27, 1.45) were all associated with increased trastuzumab receipt. There was no patterning of trastuzumab receipt with urban/rural residence (Table 2). </w:t>
      </w:r>
    </w:p>
    <w:p w14:paraId="056D97CB" w14:textId="74A84F8F" w:rsidR="00225DE2" w:rsidRDefault="003628CE" w:rsidP="00225DE2">
      <w:pPr>
        <w:spacing w:line="360" w:lineRule="auto"/>
        <w:rPr>
          <w:bCs/>
          <w:i/>
          <w:iCs/>
          <w:sz w:val="22"/>
          <w:szCs w:val="22"/>
        </w:rPr>
      </w:pPr>
      <w:r w:rsidRPr="00033A14">
        <w:rPr>
          <w:bCs/>
          <w:i/>
          <w:iCs/>
          <w:sz w:val="22"/>
          <w:szCs w:val="22"/>
        </w:rPr>
        <w:t xml:space="preserve">Trastuzumab </w:t>
      </w:r>
      <w:r w:rsidR="00D16134">
        <w:rPr>
          <w:bCs/>
          <w:i/>
          <w:iCs/>
          <w:sz w:val="22"/>
          <w:szCs w:val="22"/>
        </w:rPr>
        <w:t>Receipt</w:t>
      </w:r>
      <w:r w:rsidR="004B5EEF">
        <w:rPr>
          <w:bCs/>
          <w:i/>
          <w:iCs/>
          <w:sz w:val="22"/>
          <w:szCs w:val="22"/>
        </w:rPr>
        <w:t xml:space="preserve">: </w:t>
      </w:r>
      <w:r w:rsidR="00946583">
        <w:rPr>
          <w:bCs/>
          <w:i/>
          <w:iCs/>
          <w:sz w:val="22"/>
          <w:szCs w:val="22"/>
        </w:rPr>
        <w:t>Metastatic</w:t>
      </w:r>
      <w:r w:rsidR="004B5EEF">
        <w:rPr>
          <w:bCs/>
          <w:i/>
          <w:iCs/>
          <w:sz w:val="22"/>
          <w:szCs w:val="22"/>
        </w:rPr>
        <w:t xml:space="preserve"> Population</w:t>
      </w:r>
    </w:p>
    <w:p w14:paraId="1B9216CE" w14:textId="0C719BE0" w:rsidR="00676E45" w:rsidRDefault="00151419" w:rsidP="00225DE2">
      <w:pPr>
        <w:spacing w:line="360" w:lineRule="auto"/>
        <w:rPr>
          <w:bCs/>
          <w:sz w:val="22"/>
          <w:szCs w:val="22"/>
        </w:rPr>
      </w:pPr>
      <w:r>
        <w:rPr>
          <w:bCs/>
          <w:sz w:val="22"/>
          <w:szCs w:val="22"/>
        </w:rPr>
        <w:t>Of the 2,369 women with metastatic breast HER2+ breast cancer diagnosed 2012-2017,</w:t>
      </w:r>
      <w:r w:rsidR="004B5EEF">
        <w:rPr>
          <w:bCs/>
          <w:sz w:val="22"/>
          <w:szCs w:val="22"/>
        </w:rPr>
        <w:t xml:space="preserve"> </w:t>
      </w:r>
      <w:r w:rsidR="0042660F" w:rsidRPr="00033A14">
        <w:rPr>
          <w:bCs/>
          <w:sz w:val="22"/>
          <w:szCs w:val="22"/>
        </w:rPr>
        <w:t>44</w:t>
      </w:r>
      <w:r w:rsidR="00E425FF">
        <w:rPr>
          <w:bCs/>
          <w:sz w:val="22"/>
          <w:szCs w:val="22"/>
        </w:rPr>
        <w:t>.</w:t>
      </w:r>
      <w:r w:rsidR="004B5EEF">
        <w:rPr>
          <w:bCs/>
          <w:sz w:val="22"/>
          <w:szCs w:val="22"/>
        </w:rPr>
        <w:t>8</w:t>
      </w:r>
      <w:r w:rsidR="0042660F" w:rsidRPr="00033A14">
        <w:rPr>
          <w:bCs/>
          <w:sz w:val="22"/>
          <w:szCs w:val="22"/>
        </w:rPr>
        <w:t>% (n=</w:t>
      </w:r>
      <w:r w:rsidR="004B5EEF">
        <w:rPr>
          <w:bCs/>
          <w:sz w:val="22"/>
          <w:szCs w:val="22"/>
        </w:rPr>
        <w:t>1,062</w:t>
      </w:r>
      <w:r w:rsidR="0042660F" w:rsidRPr="00033A14">
        <w:rPr>
          <w:bCs/>
          <w:sz w:val="22"/>
          <w:szCs w:val="22"/>
        </w:rPr>
        <w:t xml:space="preserve">) </w:t>
      </w:r>
      <w:r w:rsidR="00D16134">
        <w:rPr>
          <w:bCs/>
          <w:sz w:val="22"/>
          <w:szCs w:val="22"/>
        </w:rPr>
        <w:t>received</w:t>
      </w:r>
      <w:r w:rsidR="0042660F" w:rsidRPr="00033A14">
        <w:rPr>
          <w:bCs/>
          <w:sz w:val="22"/>
          <w:szCs w:val="22"/>
        </w:rPr>
        <w:t xml:space="preserve"> trastuzuma</w:t>
      </w:r>
      <w:r>
        <w:rPr>
          <w:bCs/>
          <w:sz w:val="22"/>
          <w:szCs w:val="22"/>
        </w:rPr>
        <w:t>b.</w:t>
      </w:r>
      <w:r w:rsidR="0042660F" w:rsidRPr="00033A14">
        <w:rPr>
          <w:bCs/>
          <w:sz w:val="22"/>
          <w:szCs w:val="22"/>
        </w:rPr>
        <w:t xml:space="preserve"> </w:t>
      </w:r>
      <w:r w:rsidR="00D16134">
        <w:rPr>
          <w:bCs/>
          <w:sz w:val="22"/>
          <w:szCs w:val="22"/>
        </w:rPr>
        <w:t>Receipt</w:t>
      </w:r>
      <w:r w:rsidR="0042660F" w:rsidRPr="00033A14">
        <w:rPr>
          <w:bCs/>
          <w:sz w:val="22"/>
          <w:szCs w:val="22"/>
        </w:rPr>
        <w:t xml:space="preserve"> increased over time, from </w:t>
      </w:r>
      <w:r w:rsidR="004B5EEF">
        <w:rPr>
          <w:bCs/>
          <w:sz w:val="22"/>
          <w:szCs w:val="22"/>
        </w:rPr>
        <w:t>29.1</w:t>
      </w:r>
      <w:r w:rsidR="0042660F" w:rsidRPr="00033A14">
        <w:rPr>
          <w:bCs/>
          <w:sz w:val="22"/>
          <w:szCs w:val="22"/>
        </w:rPr>
        <w:t xml:space="preserve">% of patients diagnosed in 2012 to </w:t>
      </w:r>
      <w:r w:rsidR="004B5EEF">
        <w:rPr>
          <w:bCs/>
          <w:sz w:val="22"/>
          <w:szCs w:val="22"/>
        </w:rPr>
        <w:t>51.0</w:t>
      </w:r>
      <w:r w:rsidR="0042660F" w:rsidRPr="00033A14">
        <w:rPr>
          <w:bCs/>
          <w:sz w:val="22"/>
          <w:szCs w:val="22"/>
        </w:rPr>
        <w:t xml:space="preserve">% of patients diagnosed in 2017. </w:t>
      </w:r>
      <w:r w:rsidR="001B6D8E" w:rsidRPr="00033A14">
        <w:rPr>
          <w:bCs/>
          <w:sz w:val="22"/>
          <w:szCs w:val="22"/>
        </w:rPr>
        <w:t xml:space="preserve">In univariable </w:t>
      </w:r>
      <w:r w:rsidR="00676E45">
        <w:rPr>
          <w:bCs/>
          <w:sz w:val="22"/>
          <w:szCs w:val="22"/>
        </w:rPr>
        <w:t xml:space="preserve">and multivariable </w:t>
      </w:r>
      <w:r w:rsidR="001B6D8E" w:rsidRPr="00033A14">
        <w:rPr>
          <w:bCs/>
          <w:sz w:val="22"/>
          <w:szCs w:val="22"/>
        </w:rPr>
        <w:t xml:space="preserve">analyses, </w:t>
      </w:r>
      <w:r w:rsidR="00347D25" w:rsidRPr="00033A14">
        <w:rPr>
          <w:bCs/>
          <w:sz w:val="22"/>
          <w:szCs w:val="22"/>
        </w:rPr>
        <w:t xml:space="preserve">trastuzumab </w:t>
      </w:r>
      <w:r w:rsidR="003D768E">
        <w:rPr>
          <w:bCs/>
          <w:sz w:val="22"/>
          <w:szCs w:val="22"/>
        </w:rPr>
        <w:t>r</w:t>
      </w:r>
      <w:r w:rsidR="00D16134">
        <w:rPr>
          <w:bCs/>
          <w:sz w:val="22"/>
          <w:szCs w:val="22"/>
        </w:rPr>
        <w:t>eceipt</w:t>
      </w:r>
      <w:r w:rsidR="000A1ABC" w:rsidRPr="00033A14">
        <w:rPr>
          <w:bCs/>
          <w:sz w:val="22"/>
          <w:szCs w:val="22"/>
        </w:rPr>
        <w:t xml:space="preserve"> </w:t>
      </w:r>
      <w:r w:rsidR="00676E45">
        <w:rPr>
          <w:bCs/>
          <w:sz w:val="22"/>
          <w:szCs w:val="22"/>
        </w:rPr>
        <w:t>did not vary significantly</w:t>
      </w:r>
      <w:r w:rsidR="004B5EEF">
        <w:rPr>
          <w:bCs/>
          <w:sz w:val="22"/>
          <w:szCs w:val="22"/>
        </w:rPr>
        <w:t xml:space="preserve"> by deprivation quintile of residence</w:t>
      </w:r>
      <w:r w:rsidR="00676E45">
        <w:rPr>
          <w:bCs/>
          <w:sz w:val="22"/>
          <w:szCs w:val="22"/>
        </w:rPr>
        <w:t xml:space="preserve"> (m</w:t>
      </w:r>
      <w:r w:rsidR="005C55ED">
        <w:rPr>
          <w:bCs/>
          <w:sz w:val="22"/>
          <w:szCs w:val="22"/>
        </w:rPr>
        <w:t>ultivariable</w:t>
      </w:r>
      <w:r w:rsidR="00676E45">
        <w:rPr>
          <w:bCs/>
          <w:sz w:val="22"/>
          <w:szCs w:val="22"/>
        </w:rPr>
        <w:t xml:space="preserve"> analysis, LRT p=0.225)</w:t>
      </w:r>
      <w:r w:rsidR="00A720DC">
        <w:rPr>
          <w:bCs/>
          <w:sz w:val="22"/>
          <w:szCs w:val="22"/>
        </w:rPr>
        <w:t xml:space="preserve"> even following adjustment for clinical factors</w:t>
      </w:r>
      <w:r w:rsidR="00676E45">
        <w:rPr>
          <w:bCs/>
          <w:sz w:val="22"/>
          <w:szCs w:val="22"/>
        </w:rPr>
        <w:t xml:space="preserve">, or have a significant linear trend </w:t>
      </w:r>
      <w:r w:rsidR="00676E45" w:rsidRPr="00940542">
        <w:rPr>
          <w:color w:val="040C28"/>
          <w:sz w:val="22"/>
          <w:szCs w:val="22"/>
        </w:rPr>
        <w:t>(p</w:t>
      </w:r>
      <w:r w:rsidR="00676E45">
        <w:rPr>
          <w:color w:val="4C4F54"/>
          <w:sz w:val="22"/>
          <w:szCs w:val="22"/>
        </w:rPr>
        <w:t>=</w:t>
      </w:r>
      <w:r w:rsidR="00676E45" w:rsidRPr="00940542">
        <w:rPr>
          <w:sz w:val="22"/>
          <w:szCs w:val="22"/>
        </w:rPr>
        <w:t>0.</w:t>
      </w:r>
      <w:r w:rsidR="00676E45">
        <w:rPr>
          <w:sz w:val="22"/>
          <w:szCs w:val="22"/>
        </w:rPr>
        <w:t>864</w:t>
      </w:r>
      <w:r w:rsidR="00676E45" w:rsidRPr="00940542">
        <w:rPr>
          <w:sz w:val="22"/>
          <w:szCs w:val="22"/>
        </w:rPr>
        <w:t>)</w:t>
      </w:r>
      <w:r w:rsidR="00676E45">
        <w:rPr>
          <w:sz w:val="22"/>
          <w:szCs w:val="22"/>
        </w:rPr>
        <w:t>.</w:t>
      </w:r>
      <w:r w:rsidR="004B5EEF">
        <w:rPr>
          <w:bCs/>
          <w:sz w:val="22"/>
          <w:szCs w:val="22"/>
        </w:rPr>
        <w:t xml:space="preserve"> </w:t>
      </w:r>
      <w:r w:rsidR="0006203C">
        <w:rPr>
          <w:bCs/>
          <w:sz w:val="22"/>
          <w:szCs w:val="22"/>
        </w:rPr>
        <w:t>O</w:t>
      </w:r>
      <w:r w:rsidR="00676E45">
        <w:rPr>
          <w:bCs/>
          <w:sz w:val="22"/>
          <w:szCs w:val="22"/>
        </w:rPr>
        <w:t>dds of receipt followed a u-shaped pattern, being slightly below unity for deprivation quintiles 2-4, and reaching borderline significance for the middle category (</w:t>
      </w:r>
      <w:r w:rsidR="00676E45" w:rsidRPr="00033A14">
        <w:rPr>
          <w:color w:val="040C28"/>
          <w:sz w:val="22"/>
          <w:szCs w:val="22"/>
        </w:rPr>
        <w:t xml:space="preserve">IMD </w:t>
      </w:r>
      <w:r w:rsidR="00676E45">
        <w:rPr>
          <w:color w:val="040C28"/>
          <w:sz w:val="22"/>
          <w:szCs w:val="22"/>
        </w:rPr>
        <w:t>3</w:t>
      </w:r>
      <w:r w:rsidR="00676E45" w:rsidRPr="00033A14">
        <w:rPr>
          <w:color w:val="040C28"/>
          <w:sz w:val="22"/>
          <w:szCs w:val="22"/>
        </w:rPr>
        <w:t xml:space="preserve"> vs IMD 1; mvOR</w:t>
      </w:r>
      <w:r w:rsidR="00676E45">
        <w:rPr>
          <w:color w:val="040C28"/>
          <w:sz w:val="22"/>
          <w:szCs w:val="22"/>
        </w:rPr>
        <w:t xml:space="preserve"> 0.75</w:t>
      </w:r>
      <w:r w:rsidR="00676E45" w:rsidRPr="00033A14">
        <w:rPr>
          <w:color w:val="040C28"/>
          <w:sz w:val="22"/>
          <w:szCs w:val="22"/>
        </w:rPr>
        <w:t>, 95% CI 0.</w:t>
      </w:r>
      <w:r w:rsidR="00676E45">
        <w:rPr>
          <w:color w:val="040C28"/>
          <w:sz w:val="22"/>
          <w:szCs w:val="22"/>
        </w:rPr>
        <w:t>56</w:t>
      </w:r>
      <w:r w:rsidR="00676E45" w:rsidRPr="00033A14">
        <w:rPr>
          <w:color w:val="040C28"/>
          <w:sz w:val="22"/>
          <w:szCs w:val="22"/>
        </w:rPr>
        <w:t xml:space="preserve">, </w:t>
      </w:r>
      <w:r w:rsidR="00676E45">
        <w:rPr>
          <w:color w:val="040C28"/>
          <w:sz w:val="22"/>
          <w:szCs w:val="22"/>
        </w:rPr>
        <w:t>1.00)</w:t>
      </w:r>
      <w:r w:rsidR="000C2302">
        <w:rPr>
          <w:color w:val="040C28"/>
          <w:sz w:val="22"/>
          <w:szCs w:val="22"/>
        </w:rPr>
        <w:t xml:space="preserve"> (Table 3)</w:t>
      </w:r>
      <w:r w:rsidR="00676E45">
        <w:rPr>
          <w:color w:val="040C28"/>
          <w:sz w:val="22"/>
          <w:szCs w:val="22"/>
        </w:rPr>
        <w:t>.</w:t>
      </w:r>
    </w:p>
    <w:p w14:paraId="01C83FF3" w14:textId="0CADE961" w:rsidR="00440F4C" w:rsidRDefault="007705A9" w:rsidP="00ED2CEF">
      <w:pPr>
        <w:pStyle w:val="NormalWeb"/>
        <w:spacing w:line="360" w:lineRule="auto"/>
        <w:rPr>
          <w:color w:val="0D0D0D" w:themeColor="text1" w:themeTint="F2"/>
          <w:sz w:val="22"/>
          <w:szCs w:val="22"/>
          <w:shd w:val="clear" w:color="auto" w:fill="FFFFFF"/>
        </w:rPr>
      </w:pPr>
      <w:r w:rsidRPr="00033A14">
        <w:rPr>
          <w:color w:val="040C28"/>
          <w:sz w:val="22"/>
          <w:szCs w:val="22"/>
        </w:rPr>
        <w:lastRenderedPageBreak/>
        <w:t>In sensitivity analyses,</w:t>
      </w:r>
      <w:r w:rsidR="00D81532">
        <w:rPr>
          <w:color w:val="040C28"/>
          <w:sz w:val="22"/>
          <w:szCs w:val="22"/>
        </w:rPr>
        <w:t xml:space="preserve"> when restricting consideration to breast cancer diagnosis post mandatory SACT submission (April 2014) (sensitivity analysis 1), the univariable ORs were similar to the primary analysis, but the multivariable model did not have adequate fit (</w:t>
      </w:r>
      <w:r w:rsidR="007E42AB">
        <w:rPr>
          <w:color w:val="040C28"/>
          <w:sz w:val="22"/>
          <w:szCs w:val="22"/>
        </w:rPr>
        <w:t>S</w:t>
      </w:r>
      <w:r w:rsidR="00D81532">
        <w:rPr>
          <w:color w:val="040C28"/>
          <w:sz w:val="22"/>
          <w:szCs w:val="22"/>
        </w:rPr>
        <w:t xml:space="preserve">upplementary Table </w:t>
      </w:r>
      <w:r w:rsidR="00E74174">
        <w:rPr>
          <w:color w:val="040C28"/>
          <w:sz w:val="22"/>
          <w:szCs w:val="22"/>
        </w:rPr>
        <w:t>S</w:t>
      </w:r>
      <w:r w:rsidR="00D81532">
        <w:rPr>
          <w:color w:val="040C28"/>
          <w:sz w:val="22"/>
          <w:szCs w:val="22"/>
        </w:rPr>
        <w:t xml:space="preserve">3). </w:t>
      </w:r>
      <w:r w:rsidR="00885482">
        <w:rPr>
          <w:color w:val="040C28"/>
          <w:sz w:val="22"/>
          <w:szCs w:val="22"/>
        </w:rPr>
        <w:t>Restriction of</w:t>
      </w:r>
      <w:r w:rsidR="00D81532">
        <w:rPr>
          <w:color w:val="040C28"/>
          <w:sz w:val="22"/>
          <w:szCs w:val="22"/>
        </w:rPr>
        <w:t xml:space="preserve"> the analysis to a refined HER2+ breast cancer de</w:t>
      </w:r>
      <w:r w:rsidR="00D81532">
        <w:rPr>
          <w:color w:val="0D0D0D" w:themeColor="text1" w:themeTint="F2"/>
          <w:sz w:val="22"/>
          <w:szCs w:val="22"/>
          <w:shd w:val="clear" w:color="auto" w:fill="FFFFFF"/>
        </w:rPr>
        <w:t xml:space="preserve">finition </w:t>
      </w:r>
      <w:r w:rsidR="00CB7D51">
        <w:rPr>
          <w:color w:val="040C28"/>
          <w:sz w:val="22"/>
          <w:szCs w:val="22"/>
        </w:rPr>
        <w:t>(sensitivity analysis 2)</w:t>
      </w:r>
      <w:r w:rsidR="006C4396">
        <w:rPr>
          <w:color w:val="040C28"/>
          <w:sz w:val="22"/>
          <w:szCs w:val="22"/>
        </w:rPr>
        <w:t xml:space="preserve">, </w:t>
      </w:r>
      <w:r w:rsidR="00885482">
        <w:rPr>
          <w:color w:val="040C28"/>
          <w:sz w:val="22"/>
          <w:szCs w:val="22"/>
        </w:rPr>
        <w:t>showed</w:t>
      </w:r>
      <w:r w:rsidR="00D81532">
        <w:rPr>
          <w:color w:val="040C28"/>
          <w:sz w:val="22"/>
          <w:szCs w:val="22"/>
        </w:rPr>
        <w:t xml:space="preserve"> no significant</w:t>
      </w:r>
      <w:r w:rsidR="006C4396" w:rsidRPr="00033A14">
        <w:rPr>
          <w:color w:val="040C28"/>
          <w:sz w:val="22"/>
          <w:szCs w:val="22"/>
        </w:rPr>
        <w:t xml:space="preserve"> association</w:t>
      </w:r>
      <w:r w:rsidR="006C4396">
        <w:rPr>
          <w:color w:val="040C28"/>
          <w:sz w:val="22"/>
          <w:szCs w:val="22"/>
        </w:rPr>
        <w:t>s</w:t>
      </w:r>
      <w:r w:rsidR="00D81532">
        <w:rPr>
          <w:color w:val="040C28"/>
          <w:sz w:val="22"/>
          <w:szCs w:val="22"/>
        </w:rPr>
        <w:t xml:space="preserve"> </w:t>
      </w:r>
      <w:r w:rsidR="006C4396" w:rsidRPr="00033A14">
        <w:rPr>
          <w:color w:val="040C28"/>
          <w:sz w:val="22"/>
          <w:szCs w:val="22"/>
        </w:rPr>
        <w:t xml:space="preserve">between </w:t>
      </w:r>
      <w:r w:rsidR="00D81532">
        <w:rPr>
          <w:color w:val="040C28"/>
          <w:sz w:val="22"/>
          <w:szCs w:val="22"/>
        </w:rPr>
        <w:t xml:space="preserve">IMD and </w:t>
      </w:r>
      <w:r w:rsidR="006C4396" w:rsidRPr="00033A14">
        <w:rPr>
          <w:color w:val="040C28"/>
          <w:sz w:val="22"/>
          <w:szCs w:val="22"/>
        </w:rPr>
        <w:t>tra</w:t>
      </w:r>
      <w:r w:rsidR="006C4396">
        <w:rPr>
          <w:color w:val="040C28"/>
          <w:sz w:val="22"/>
          <w:szCs w:val="22"/>
        </w:rPr>
        <w:t>s</w:t>
      </w:r>
      <w:r w:rsidR="006C4396" w:rsidRPr="00033A14">
        <w:rPr>
          <w:color w:val="040C28"/>
          <w:sz w:val="22"/>
          <w:szCs w:val="22"/>
        </w:rPr>
        <w:t xml:space="preserve">tuzumab </w:t>
      </w:r>
      <w:r w:rsidR="006C4396">
        <w:rPr>
          <w:color w:val="040C28"/>
          <w:sz w:val="22"/>
          <w:szCs w:val="22"/>
        </w:rPr>
        <w:t>receipt</w:t>
      </w:r>
      <w:r w:rsidR="00D81532">
        <w:rPr>
          <w:color w:val="040C28"/>
          <w:sz w:val="22"/>
          <w:szCs w:val="22"/>
        </w:rPr>
        <w:t xml:space="preserve"> </w:t>
      </w:r>
      <w:r w:rsidR="00440F4C">
        <w:rPr>
          <w:color w:val="0D0D0D" w:themeColor="text1" w:themeTint="F2"/>
          <w:sz w:val="22"/>
          <w:szCs w:val="22"/>
          <w:shd w:val="clear" w:color="auto" w:fill="FFFFFF"/>
        </w:rPr>
        <w:t>(</w:t>
      </w:r>
      <w:r w:rsidR="00440F4C" w:rsidRPr="00033A14">
        <w:rPr>
          <w:color w:val="0D0D0D" w:themeColor="text1" w:themeTint="F2"/>
          <w:sz w:val="22"/>
          <w:szCs w:val="22"/>
          <w:shd w:val="clear" w:color="auto" w:fill="FFFFFF"/>
        </w:rPr>
        <w:t xml:space="preserve">Supplementary Table </w:t>
      </w:r>
      <w:r w:rsidR="00E74174">
        <w:rPr>
          <w:color w:val="0D0D0D" w:themeColor="text1" w:themeTint="F2"/>
          <w:sz w:val="22"/>
          <w:szCs w:val="22"/>
          <w:shd w:val="clear" w:color="auto" w:fill="FFFFFF"/>
        </w:rPr>
        <w:t>S</w:t>
      </w:r>
      <w:r w:rsidR="00E92895">
        <w:rPr>
          <w:color w:val="0D0D0D" w:themeColor="text1" w:themeTint="F2"/>
          <w:sz w:val="22"/>
          <w:szCs w:val="22"/>
          <w:shd w:val="clear" w:color="auto" w:fill="FFFFFF"/>
        </w:rPr>
        <w:t>3</w:t>
      </w:r>
      <w:r w:rsidR="00440F4C" w:rsidRPr="00033A14">
        <w:rPr>
          <w:color w:val="0D0D0D" w:themeColor="text1" w:themeTint="F2"/>
          <w:sz w:val="22"/>
          <w:szCs w:val="22"/>
          <w:shd w:val="clear" w:color="auto" w:fill="FFFFFF"/>
        </w:rPr>
        <w:t>).</w:t>
      </w:r>
      <w:r w:rsidR="008E5770">
        <w:rPr>
          <w:color w:val="0D0D0D" w:themeColor="text1" w:themeTint="F2"/>
          <w:sz w:val="22"/>
          <w:szCs w:val="22"/>
          <w:shd w:val="clear" w:color="auto" w:fill="FFFFFF"/>
        </w:rPr>
        <w:t xml:space="preserve"> </w:t>
      </w:r>
    </w:p>
    <w:p w14:paraId="16040453" w14:textId="24EA62D9" w:rsidR="007C22CC" w:rsidRDefault="00F42997" w:rsidP="00ED2CEF">
      <w:pPr>
        <w:pStyle w:val="NormalWeb"/>
        <w:spacing w:line="360" w:lineRule="auto"/>
        <w:rPr>
          <w:rFonts w:ascii="TimesNewRomanPSMT" w:hAnsi="TimesNewRomanPSMT"/>
          <w:color w:val="000000" w:themeColor="text1"/>
          <w:sz w:val="22"/>
          <w:szCs w:val="22"/>
        </w:rPr>
      </w:pPr>
      <w:r w:rsidRPr="00665BD6">
        <w:rPr>
          <w:rFonts w:ascii="TimesNewRomanPSMT" w:hAnsi="TimesNewRomanPSMT"/>
          <w:color w:val="000000" w:themeColor="text1"/>
          <w:sz w:val="22"/>
          <w:szCs w:val="22"/>
        </w:rPr>
        <w:t xml:space="preserve">Several </w:t>
      </w:r>
      <w:r w:rsidR="00CB77DD">
        <w:rPr>
          <w:rFonts w:ascii="TimesNewRomanPSMT" w:hAnsi="TimesNewRomanPSMT"/>
          <w:color w:val="000000" w:themeColor="text1"/>
          <w:sz w:val="22"/>
          <w:szCs w:val="22"/>
        </w:rPr>
        <w:t xml:space="preserve">other </w:t>
      </w:r>
      <w:r w:rsidR="00A720DC">
        <w:rPr>
          <w:rFonts w:ascii="TimesNewRomanPSMT" w:hAnsi="TimesNewRomanPSMT"/>
          <w:color w:val="000000" w:themeColor="text1"/>
          <w:sz w:val="22"/>
          <w:szCs w:val="22"/>
        </w:rPr>
        <w:t xml:space="preserve">demographic and clinical </w:t>
      </w:r>
      <w:r w:rsidRPr="00665BD6">
        <w:rPr>
          <w:rFonts w:ascii="TimesNewRomanPSMT" w:hAnsi="TimesNewRomanPSMT"/>
          <w:color w:val="000000" w:themeColor="text1"/>
          <w:sz w:val="22"/>
          <w:szCs w:val="22"/>
        </w:rPr>
        <w:t xml:space="preserve">variables in the multivariable model </w:t>
      </w:r>
      <w:r w:rsidR="0086618E">
        <w:rPr>
          <w:rFonts w:ascii="TimesNewRomanPSMT" w:hAnsi="TimesNewRomanPSMT"/>
          <w:color w:val="000000" w:themeColor="text1"/>
          <w:sz w:val="22"/>
          <w:szCs w:val="22"/>
        </w:rPr>
        <w:t xml:space="preserve">had </w:t>
      </w:r>
      <w:r w:rsidRPr="00665BD6">
        <w:rPr>
          <w:rFonts w:ascii="TimesNewRomanPSMT" w:hAnsi="TimesNewRomanPSMT"/>
          <w:color w:val="000000" w:themeColor="text1"/>
          <w:sz w:val="22"/>
          <w:szCs w:val="22"/>
        </w:rPr>
        <w:t xml:space="preserve">statistically significant associations with reduced </w:t>
      </w:r>
      <w:r w:rsidR="00FE0DBE" w:rsidRPr="00665BD6">
        <w:rPr>
          <w:rFonts w:ascii="TimesNewRomanPSMT" w:hAnsi="TimesNewRomanPSMT"/>
          <w:color w:val="000000" w:themeColor="text1"/>
          <w:sz w:val="22"/>
          <w:szCs w:val="22"/>
        </w:rPr>
        <w:t xml:space="preserve">likelihood of </w:t>
      </w:r>
      <w:r w:rsidRPr="00665BD6">
        <w:rPr>
          <w:rFonts w:ascii="TimesNewRomanPSMT" w:hAnsi="TimesNewRomanPSMT"/>
          <w:color w:val="000000" w:themeColor="text1"/>
          <w:sz w:val="22"/>
          <w:szCs w:val="22"/>
        </w:rPr>
        <w:t xml:space="preserve">trastuzumab </w:t>
      </w:r>
      <w:r w:rsidR="003C6658" w:rsidRPr="00665BD6">
        <w:rPr>
          <w:rFonts w:ascii="TimesNewRomanPSMT" w:hAnsi="TimesNewRomanPSMT"/>
          <w:color w:val="000000" w:themeColor="text1"/>
          <w:sz w:val="22"/>
          <w:szCs w:val="22"/>
        </w:rPr>
        <w:t>r</w:t>
      </w:r>
      <w:r w:rsidR="00D16134" w:rsidRPr="00665BD6">
        <w:rPr>
          <w:rFonts w:ascii="TimesNewRomanPSMT" w:hAnsi="TimesNewRomanPSMT"/>
          <w:color w:val="000000" w:themeColor="text1"/>
          <w:sz w:val="22"/>
          <w:szCs w:val="22"/>
        </w:rPr>
        <w:t>eceipt</w:t>
      </w:r>
      <w:r w:rsidR="0001744D" w:rsidRPr="00665BD6">
        <w:rPr>
          <w:rFonts w:ascii="TimesNewRomanPSMT" w:hAnsi="TimesNewRomanPSMT"/>
          <w:color w:val="000000" w:themeColor="text1"/>
          <w:sz w:val="22"/>
          <w:szCs w:val="22"/>
        </w:rPr>
        <w:t xml:space="preserve"> in stage IV patients</w:t>
      </w:r>
      <w:r w:rsidRPr="00665BD6">
        <w:rPr>
          <w:rFonts w:ascii="TimesNewRomanPSMT" w:hAnsi="TimesNewRomanPSMT"/>
          <w:color w:val="000000" w:themeColor="text1"/>
          <w:sz w:val="22"/>
          <w:szCs w:val="22"/>
        </w:rPr>
        <w:t>. These were: an older age (</w:t>
      </w:r>
      <w:r w:rsidR="004375BA" w:rsidRPr="00665BD6">
        <w:rPr>
          <w:rFonts w:ascii="TimesNewRomanPSMT" w:hAnsi="TimesNewRomanPSMT"/>
          <w:color w:val="000000" w:themeColor="text1"/>
          <w:sz w:val="22"/>
          <w:szCs w:val="22"/>
        </w:rPr>
        <w:t>80+</w:t>
      </w:r>
      <w:r w:rsidRPr="00665BD6">
        <w:rPr>
          <w:rFonts w:ascii="TimesNewRomanPSMT" w:hAnsi="TimesNewRomanPSMT"/>
          <w:color w:val="000000" w:themeColor="text1"/>
          <w:sz w:val="22"/>
          <w:szCs w:val="22"/>
        </w:rPr>
        <w:t xml:space="preserve"> vs </w:t>
      </w:r>
      <w:r w:rsidR="004375BA" w:rsidRPr="00665BD6">
        <w:rPr>
          <w:rFonts w:ascii="TimesNewRomanPSMT" w:hAnsi="TimesNewRomanPSMT"/>
          <w:color w:val="000000" w:themeColor="text1"/>
          <w:sz w:val="22"/>
          <w:szCs w:val="22"/>
        </w:rPr>
        <w:t>&lt;50 years old</w:t>
      </w:r>
      <w:r w:rsidRPr="00665BD6">
        <w:rPr>
          <w:rFonts w:ascii="TimesNewRomanPSMT" w:hAnsi="TimesNewRomanPSMT"/>
          <w:color w:val="000000" w:themeColor="text1"/>
          <w:sz w:val="22"/>
          <w:szCs w:val="22"/>
        </w:rPr>
        <w:t xml:space="preserve">; mvOR </w:t>
      </w:r>
      <w:r w:rsidR="004375BA" w:rsidRPr="00665BD6">
        <w:rPr>
          <w:rFonts w:ascii="TimesNewRomanPSMT" w:hAnsi="TimesNewRomanPSMT"/>
          <w:color w:val="000000" w:themeColor="text1"/>
          <w:sz w:val="22"/>
          <w:szCs w:val="22"/>
        </w:rPr>
        <w:t>0.11</w:t>
      </w:r>
      <w:r w:rsidRPr="00665BD6">
        <w:rPr>
          <w:rFonts w:ascii="TimesNewRomanPSMT" w:hAnsi="TimesNewRomanPSMT"/>
          <w:color w:val="000000" w:themeColor="text1"/>
          <w:sz w:val="22"/>
          <w:szCs w:val="22"/>
        </w:rPr>
        <w:t xml:space="preserve">, 95% CI </w:t>
      </w:r>
      <w:r w:rsidR="004375BA" w:rsidRPr="00665BD6">
        <w:rPr>
          <w:rFonts w:ascii="TimesNewRomanPSMT" w:hAnsi="TimesNewRomanPSMT"/>
          <w:color w:val="000000" w:themeColor="text1"/>
          <w:sz w:val="22"/>
          <w:szCs w:val="22"/>
        </w:rPr>
        <w:t>0.08</w:t>
      </w:r>
      <w:r w:rsidRPr="00665BD6">
        <w:rPr>
          <w:rFonts w:ascii="TimesNewRomanPSMT" w:hAnsi="TimesNewRomanPSMT"/>
          <w:color w:val="000000" w:themeColor="text1"/>
          <w:sz w:val="22"/>
          <w:szCs w:val="22"/>
        </w:rPr>
        <w:t xml:space="preserve">, </w:t>
      </w:r>
      <w:r w:rsidR="004375BA" w:rsidRPr="00665BD6">
        <w:rPr>
          <w:rFonts w:ascii="TimesNewRomanPSMT" w:hAnsi="TimesNewRomanPSMT"/>
          <w:color w:val="000000" w:themeColor="text1"/>
          <w:sz w:val="22"/>
          <w:szCs w:val="22"/>
        </w:rPr>
        <w:t>0.16</w:t>
      </w:r>
      <w:r w:rsidRPr="00665BD6">
        <w:rPr>
          <w:rFonts w:ascii="TimesNewRomanPSMT" w:hAnsi="TimesNewRomanPSMT"/>
          <w:color w:val="000000" w:themeColor="text1"/>
          <w:sz w:val="22"/>
          <w:szCs w:val="22"/>
        </w:rPr>
        <w:t xml:space="preserve">); </w:t>
      </w:r>
      <w:r w:rsidR="003C6658" w:rsidRPr="00665BD6">
        <w:rPr>
          <w:rFonts w:ascii="TimesNewRomanPSMT" w:hAnsi="TimesNewRomanPSMT"/>
          <w:color w:val="000000" w:themeColor="text1"/>
          <w:sz w:val="22"/>
          <w:szCs w:val="22"/>
        </w:rPr>
        <w:t>a well differentiated</w:t>
      </w:r>
      <w:r w:rsidRPr="00665BD6">
        <w:rPr>
          <w:rFonts w:ascii="TimesNewRomanPSMT" w:hAnsi="TimesNewRomanPSMT"/>
          <w:color w:val="000000" w:themeColor="text1"/>
          <w:sz w:val="22"/>
          <w:szCs w:val="22"/>
        </w:rPr>
        <w:t xml:space="preserve"> </w:t>
      </w:r>
      <w:r w:rsidR="0044558C">
        <w:rPr>
          <w:rFonts w:ascii="TimesNewRomanPSMT" w:hAnsi="TimesNewRomanPSMT"/>
          <w:color w:val="000000" w:themeColor="text1"/>
          <w:sz w:val="22"/>
          <w:szCs w:val="22"/>
        </w:rPr>
        <w:t>tumor</w:t>
      </w:r>
      <w:r w:rsidRPr="00665BD6">
        <w:rPr>
          <w:rFonts w:ascii="TimesNewRomanPSMT" w:hAnsi="TimesNewRomanPSMT"/>
          <w:color w:val="000000" w:themeColor="text1"/>
          <w:sz w:val="22"/>
          <w:szCs w:val="22"/>
        </w:rPr>
        <w:t xml:space="preserve"> </w:t>
      </w:r>
      <w:r w:rsidR="003C6658" w:rsidRPr="00665BD6">
        <w:rPr>
          <w:rFonts w:ascii="TimesNewRomanPSMT" w:hAnsi="TimesNewRomanPSMT"/>
          <w:color w:val="000000" w:themeColor="text1"/>
          <w:sz w:val="22"/>
          <w:szCs w:val="22"/>
        </w:rPr>
        <w:t>grade</w:t>
      </w:r>
      <w:r w:rsidRPr="00665BD6">
        <w:rPr>
          <w:rFonts w:ascii="TimesNewRomanPSMT" w:hAnsi="TimesNewRomanPSMT"/>
          <w:color w:val="000000" w:themeColor="text1"/>
          <w:sz w:val="22"/>
          <w:szCs w:val="22"/>
        </w:rPr>
        <w:t xml:space="preserve"> (</w:t>
      </w:r>
      <w:r w:rsidR="003C6658" w:rsidRPr="00665BD6">
        <w:rPr>
          <w:rFonts w:ascii="TimesNewRomanPSMT" w:hAnsi="TimesNewRomanPSMT"/>
          <w:color w:val="000000" w:themeColor="text1"/>
          <w:sz w:val="22"/>
          <w:szCs w:val="22"/>
        </w:rPr>
        <w:t>well</w:t>
      </w:r>
      <w:r w:rsidRPr="00665BD6">
        <w:rPr>
          <w:rFonts w:ascii="TimesNewRomanPSMT" w:hAnsi="TimesNewRomanPSMT"/>
          <w:color w:val="000000" w:themeColor="text1"/>
          <w:sz w:val="22"/>
          <w:szCs w:val="22"/>
        </w:rPr>
        <w:t xml:space="preserve"> vs poor</w:t>
      </w:r>
      <w:r w:rsidR="003C6658" w:rsidRPr="00665BD6">
        <w:rPr>
          <w:rFonts w:ascii="TimesNewRomanPSMT" w:hAnsi="TimesNewRomanPSMT"/>
          <w:color w:val="000000" w:themeColor="text1"/>
          <w:sz w:val="22"/>
          <w:szCs w:val="22"/>
        </w:rPr>
        <w:t>ly</w:t>
      </w:r>
      <w:r w:rsidRPr="00665BD6">
        <w:rPr>
          <w:rFonts w:ascii="TimesNewRomanPSMT" w:hAnsi="TimesNewRomanPSMT"/>
          <w:color w:val="000000" w:themeColor="text1"/>
          <w:sz w:val="22"/>
          <w:szCs w:val="22"/>
        </w:rPr>
        <w:t xml:space="preserve"> differentiated grade; mvOR 0.</w:t>
      </w:r>
      <w:r w:rsidR="004375BA" w:rsidRPr="00665BD6">
        <w:rPr>
          <w:rFonts w:ascii="TimesNewRomanPSMT" w:hAnsi="TimesNewRomanPSMT"/>
          <w:color w:val="000000" w:themeColor="text1"/>
          <w:sz w:val="22"/>
          <w:szCs w:val="22"/>
        </w:rPr>
        <w:t>33</w:t>
      </w:r>
      <w:r w:rsidRPr="00665BD6">
        <w:rPr>
          <w:rFonts w:ascii="TimesNewRomanPSMT" w:hAnsi="TimesNewRomanPSMT"/>
          <w:color w:val="000000" w:themeColor="text1"/>
          <w:sz w:val="22"/>
          <w:szCs w:val="22"/>
        </w:rPr>
        <w:t>, 95% CI 0.1</w:t>
      </w:r>
      <w:r w:rsidR="004375BA" w:rsidRPr="00665BD6">
        <w:rPr>
          <w:rFonts w:ascii="TimesNewRomanPSMT" w:hAnsi="TimesNewRomanPSMT"/>
          <w:color w:val="000000" w:themeColor="text1"/>
          <w:sz w:val="22"/>
          <w:szCs w:val="22"/>
        </w:rPr>
        <w:t>4</w:t>
      </w:r>
      <w:r w:rsidRPr="00665BD6">
        <w:rPr>
          <w:rFonts w:ascii="TimesNewRomanPSMT" w:hAnsi="TimesNewRomanPSMT"/>
          <w:color w:val="000000" w:themeColor="text1"/>
          <w:sz w:val="22"/>
          <w:szCs w:val="22"/>
        </w:rPr>
        <w:t>, 0.</w:t>
      </w:r>
      <w:r w:rsidR="004375BA" w:rsidRPr="00665BD6">
        <w:rPr>
          <w:rFonts w:ascii="TimesNewRomanPSMT" w:hAnsi="TimesNewRomanPSMT"/>
          <w:color w:val="000000" w:themeColor="text1"/>
          <w:sz w:val="22"/>
          <w:szCs w:val="22"/>
        </w:rPr>
        <w:t>78</w:t>
      </w:r>
      <w:r w:rsidRPr="00665BD6">
        <w:rPr>
          <w:rFonts w:ascii="TimesNewRomanPSMT" w:hAnsi="TimesNewRomanPSMT"/>
          <w:color w:val="000000" w:themeColor="text1"/>
          <w:sz w:val="22"/>
          <w:szCs w:val="22"/>
        </w:rPr>
        <w:t>); three or more comorbidities (3+ vs 0 comorbidities; mvOR 0.4</w:t>
      </w:r>
      <w:r w:rsidR="004375BA" w:rsidRPr="00665BD6">
        <w:rPr>
          <w:rFonts w:ascii="TimesNewRomanPSMT" w:hAnsi="TimesNewRomanPSMT"/>
          <w:color w:val="000000" w:themeColor="text1"/>
          <w:sz w:val="22"/>
          <w:szCs w:val="22"/>
        </w:rPr>
        <w:t>6</w:t>
      </w:r>
      <w:r w:rsidRPr="00665BD6">
        <w:rPr>
          <w:rFonts w:ascii="TimesNewRomanPSMT" w:hAnsi="TimesNewRomanPSMT"/>
          <w:color w:val="000000" w:themeColor="text1"/>
          <w:sz w:val="22"/>
          <w:szCs w:val="22"/>
        </w:rPr>
        <w:t>, 95% CI 0.</w:t>
      </w:r>
      <w:r w:rsidR="004375BA" w:rsidRPr="00665BD6">
        <w:rPr>
          <w:rFonts w:ascii="TimesNewRomanPSMT" w:hAnsi="TimesNewRomanPSMT"/>
          <w:color w:val="000000" w:themeColor="text1"/>
          <w:sz w:val="22"/>
          <w:szCs w:val="22"/>
        </w:rPr>
        <w:t>26</w:t>
      </w:r>
      <w:r w:rsidRPr="00665BD6">
        <w:rPr>
          <w:rFonts w:ascii="TimesNewRomanPSMT" w:hAnsi="TimesNewRomanPSMT"/>
          <w:color w:val="000000" w:themeColor="text1"/>
          <w:sz w:val="22"/>
          <w:szCs w:val="22"/>
        </w:rPr>
        <w:t>, 0.</w:t>
      </w:r>
      <w:r w:rsidR="004375BA" w:rsidRPr="00665BD6">
        <w:rPr>
          <w:rFonts w:ascii="TimesNewRomanPSMT" w:hAnsi="TimesNewRomanPSMT"/>
          <w:color w:val="000000" w:themeColor="text1"/>
          <w:sz w:val="22"/>
          <w:szCs w:val="22"/>
        </w:rPr>
        <w:t>80</w:t>
      </w:r>
      <w:r w:rsidRPr="00665BD6">
        <w:rPr>
          <w:rFonts w:ascii="TimesNewRomanPSMT" w:hAnsi="TimesNewRomanPSMT"/>
          <w:color w:val="000000" w:themeColor="text1"/>
          <w:sz w:val="22"/>
          <w:szCs w:val="22"/>
        </w:rPr>
        <w:t>)</w:t>
      </w:r>
      <w:r w:rsidR="0001744D" w:rsidRPr="00665BD6">
        <w:rPr>
          <w:rFonts w:ascii="TimesNewRomanPSMT" w:hAnsi="TimesNewRomanPSMT"/>
          <w:color w:val="000000" w:themeColor="text1"/>
          <w:sz w:val="22"/>
          <w:szCs w:val="22"/>
        </w:rPr>
        <w:t xml:space="preserve"> and; no discussion at MDT (no vs yes</w:t>
      </w:r>
      <w:r w:rsidR="00A21E8E">
        <w:rPr>
          <w:rFonts w:ascii="TimesNewRomanPSMT" w:hAnsi="TimesNewRomanPSMT"/>
          <w:color w:val="000000" w:themeColor="text1"/>
          <w:sz w:val="22"/>
          <w:szCs w:val="22"/>
        </w:rPr>
        <w:t>;</w:t>
      </w:r>
      <w:r w:rsidR="0001744D" w:rsidRPr="00665BD6">
        <w:rPr>
          <w:rFonts w:ascii="TimesNewRomanPSMT" w:hAnsi="TimesNewRomanPSMT"/>
          <w:color w:val="000000" w:themeColor="text1"/>
          <w:sz w:val="22"/>
          <w:szCs w:val="22"/>
        </w:rPr>
        <w:t xml:space="preserve"> mvOR; 0.78, 95% CI 0.60, 1.00)</w:t>
      </w:r>
      <w:r w:rsidRPr="00665BD6">
        <w:rPr>
          <w:rFonts w:ascii="TimesNewRomanPSMT" w:hAnsi="TimesNewRomanPSMT"/>
          <w:color w:val="000000" w:themeColor="text1"/>
          <w:sz w:val="22"/>
          <w:szCs w:val="22"/>
        </w:rPr>
        <w:t xml:space="preserve">. </w:t>
      </w:r>
      <w:r w:rsidR="00A06349">
        <w:rPr>
          <w:rFonts w:ascii="TimesNewRomanPSMT" w:hAnsi="TimesNewRomanPSMT"/>
          <w:color w:val="000000" w:themeColor="text1"/>
          <w:sz w:val="22"/>
          <w:szCs w:val="22"/>
        </w:rPr>
        <w:t xml:space="preserve">Trastuzumab receipt was more common in women with ER negative </w:t>
      </w:r>
      <w:r w:rsidR="0044558C">
        <w:rPr>
          <w:rFonts w:ascii="TimesNewRomanPSMT" w:hAnsi="TimesNewRomanPSMT"/>
          <w:color w:val="000000" w:themeColor="text1"/>
          <w:sz w:val="22"/>
          <w:szCs w:val="22"/>
        </w:rPr>
        <w:t>tumor</w:t>
      </w:r>
      <w:r w:rsidR="00A06349">
        <w:rPr>
          <w:rFonts w:ascii="TimesNewRomanPSMT" w:hAnsi="TimesNewRomanPSMT"/>
          <w:color w:val="000000" w:themeColor="text1"/>
          <w:sz w:val="22"/>
          <w:szCs w:val="22"/>
        </w:rPr>
        <w:t xml:space="preserve">s </w:t>
      </w:r>
      <w:r w:rsidR="00A06349" w:rsidRPr="00665BD6">
        <w:rPr>
          <w:rFonts w:ascii="TimesNewRomanPSMT" w:hAnsi="TimesNewRomanPSMT"/>
          <w:color w:val="000000" w:themeColor="text1"/>
          <w:sz w:val="22"/>
          <w:szCs w:val="22"/>
        </w:rPr>
        <w:t>(negative vs positive; mvOR</w:t>
      </w:r>
      <w:r w:rsidR="00A21E8E">
        <w:rPr>
          <w:rFonts w:ascii="TimesNewRomanPSMT" w:hAnsi="TimesNewRomanPSMT"/>
          <w:color w:val="000000" w:themeColor="text1"/>
          <w:sz w:val="22"/>
          <w:szCs w:val="22"/>
        </w:rPr>
        <w:t>;</w:t>
      </w:r>
      <w:r w:rsidR="00A06349" w:rsidRPr="00665BD6">
        <w:rPr>
          <w:rFonts w:ascii="TimesNewRomanPSMT" w:hAnsi="TimesNewRomanPSMT"/>
          <w:color w:val="000000" w:themeColor="text1"/>
          <w:sz w:val="22"/>
          <w:szCs w:val="22"/>
        </w:rPr>
        <w:t xml:space="preserve"> 2.17, 95% CI 1.74, 2.69)</w:t>
      </w:r>
      <w:r w:rsidR="007C22CC">
        <w:rPr>
          <w:rFonts w:ascii="TimesNewRomanPSMT" w:hAnsi="TimesNewRomanPSMT"/>
          <w:color w:val="000000" w:themeColor="text1"/>
          <w:sz w:val="22"/>
          <w:szCs w:val="22"/>
        </w:rPr>
        <w:t xml:space="preserve">. </w:t>
      </w:r>
      <w:r w:rsidR="00F1758C">
        <w:rPr>
          <w:rFonts w:ascii="TimesNewRomanPSMT" w:hAnsi="TimesNewRomanPSMT"/>
          <w:color w:val="000000" w:themeColor="text1"/>
          <w:sz w:val="22"/>
          <w:szCs w:val="22"/>
        </w:rPr>
        <w:t>Additionally, trastuzumab receipt was associated with both</w:t>
      </w:r>
      <w:r w:rsidR="007C22CC">
        <w:rPr>
          <w:rFonts w:ascii="TimesNewRomanPSMT" w:hAnsi="TimesNewRomanPSMT"/>
          <w:color w:val="000000" w:themeColor="text1"/>
          <w:sz w:val="22"/>
          <w:szCs w:val="22"/>
        </w:rPr>
        <w:t xml:space="preserve"> a white and non-white ethnicity </w:t>
      </w:r>
      <w:r w:rsidR="007C22CC" w:rsidRPr="00665BD6">
        <w:rPr>
          <w:rFonts w:ascii="TimesNewRomanPSMT" w:hAnsi="TimesNewRomanPSMT"/>
          <w:color w:val="000000" w:themeColor="text1"/>
          <w:sz w:val="22"/>
          <w:szCs w:val="22"/>
        </w:rPr>
        <w:t>(other ethnic group vs white ethnicity</w:t>
      </w:r>
      <w:r w:rsidR="00A21E8E">
        <w:rPr>
          <w:rFonts w:ascii="TimesNewRomanPSMT" w:hAnsi="TimesNewRomanPSMT"/>
          <w:color w:val="000000" w:themeColor="text1"/>
          <w:sz w:val="22"/>
          <w:szCs w:val="22"/>
        </w:rPr>
        <w:t>;</w:t>
      </w:r>
      <w:r w:rsidR="007C22CC" w:rsidRPr="00665BD6">
        <w:rPr>
          <w:rFonts w:ascii="TimesNewRomanPSMT" w:hAnsi="TimesNewRomanPSMT"/>
          <w:color w:val="000000" w:themeColor="text1"/>
          <w:sz w:val="22"/>
          <w:szCs w:val="22"/>
        </w:rPr>
        <w:t xml:space="preserve"> mvOR; 1.00, 95% CI 0.71, 1.41</w:t>
      </w:r>
      <w:r w:rsidR="007C22CC">
        <w:rPr>
          <w:rFonts w:ascii="TimesNewRomanPSMT" w:hAnsi="TimesNewRomanPSMT"/>
          <w:color w:val="000000" w:themeColor="text1"/>
          <w:sz w:val="22"/>
          <w:szCs w:val="22"/>
        </w:rPr>
        <w:t>)</w:t>
      </w:r>
      <w:r w:rsidR="00F1758C">
        <w:rPr>
          <w:rFonts w:ascii="TimesNewRomanPSMT" w:hAnsi="TimesNewRomanPSMT"/>
          <w:color w:val="000000" w:themeColor="text1"/>
          <w:sz w:val="22"/>
          <w:szCs w:val="22"/>
        </w:rPr>
        <w:t xml:space="preserve"> as well as </w:t>
      </w:r>
      <w:r w:rsidR="007C22CC">
        <w:rPr>
          <w:rFonts w:ascii="TimesNewRomanPSMT" w:hAnsi="TimesNewRomanPSMT"/>
          <w:color w:val="000000" w:themeColor="text1"/>
          <w:sz w:val="22"/>
          <w:szCs w:val="22"/>
        </w:rPr>
        <w:t xml:space="preserve">residence in urban conurbations (urban conurbation vs urban city and town; </w:t>
      </w:r>
      <w:r w:rsidR="00495252">
        <w:rPr>
          <w:rFonts w:ascii="TimesNewRomanPSMT" w:hAnsi="TimesNewRomanPSMT"/>
          <w:color w:val="000000" w:themeColor="text1"/>
          <w:sz w:val="22"/>
          <w:szCs w:val="22"/>
        </w:rPr>
        <w:t>m</w:t>
      </w:r>
      <w:r w:rsidR="0092553B">
        <w:rPr>
          <w:rFonts w:ascii="TimesNewRomanPSMT" w:hAnsi="TimesNewRomanPSMT"/>
          <w:color w:val="000000" w:themeColor="text1"/>
          <w:sz w:val="22"/>
          <w:szCs w:val="22"/>
        </w:rPr>
        <w:t>v</w:t>
      </w:r>
      <w:r w:rsidR="00495252">
        <w:rPr>
          <w:rFonts w:ascii="TimesNewRomanPSMT" w:hAnsi="TimesNewRomanPSMT"/>
          <w:color w:val="000000" w:themeColor="text1"/>
          <w:sz w:val="22"/>
          <w:szCs w:val="22"/>
        </w:rPr>
        <w:t xml:space="preserve">OR </w:t>
      </w:r>
      <w:r w:rsidR="007C22CC">
        <w:rPr>
          <w:rFonts w:ascii="TimesNewRomanPSMT" w:hAnsi="TimesNewRomanPSMT"/>
          <w:color w:val="000000" w:themeColor="text1"/>
          <w:sz w:val="22"/>
          <w:szCs w:val="22"/>
        </w:rPr>
        <w:t xml:space="preserve">1.45, 95% CI 1.11, 1.87) and rural villages (rural village vs urban city and town; </w:t>
      </w:r>
      <w:r w:rsidR="00495252">
        <w:rPr>
          <w:rFonts w:ascii="TimesNewRomanPSMT" w:hAnsi="TimesNewRomanPSMT"/>
          <w:color w:val="000000" w:themeColor="text1"/>
          <w:sz w:val="22"/>
          <w:szCs w:val="22"/>
        </w:rPr>
        <w:t xml:space="preserve">mvOR </w:t>
      </w:r>
      <w:r w:rsidR="007C22CC">
        <w:rPr>
          <w:rFonts w:ascii="TimesNewRomanPSMT" w:hAnsi="TimesNewRomanPSMT"/>
          <w:color w:val="000000" w:themeColor="text1"/>
          <w:sz w:val="22"/>
          <w:szCs w:val="22"/>
        </w:rPr>
        <w:t>1.48, 95% CI 1.06, 2.04)</w:t>
      </w:r>
      <w:r w:rsidR="00852BA4">
        <w:rPr>
          <w:rFonts w:ascii="TimesNewRomanPSMT" w:hAnsi="TimesNewRomanPSMT"/>
          <w:color w:val="000000" w:themeColor="text1"/>
          <w:sz w:val="22"/>
          <w:szCs w:val="22"/>
        </w:rPr>
        <w:t xml:space="preserve"> (Table 3)</w:t>
      </w:r>
      <w:r w:rsidR="007C22CC">
        <w:rPr>
          <w:rFonts w:ascii="TimesNewRomanPSMT" w:hAnsi="TimesNewRomanPSMT"/>
          <w:color w:val="000000" w:themeColor="text1"/>
          <w:sz w:val="22"/>
          <w:szCs w:val="22"/>
        </w:rPr>
        <w:t>.</w:t>
      </w:r>
    </w:p>
    <w:p w14:paraId="6F99A71C" w14:textId="03CA8E0C" w:rsidR="002C7865" w:rsidRPr="00033A14" w:rsidRDefault="002C7865" w:rsidP="00EB2F6F">
      <w:pPr>
        <w:spacing w:line="360" w:lineRule="auto"/>
        <w:rPr>
          <w:b/>
          <w:sz w:val="22"/>
          <w:szCs w:val="22"/>
        </w:rPr>
      </w:pPr>
      <w:r w:rsidRPr="00033A14">
        <w:rPr>
          <w:b/>
          <w:sz w:val="22"/>
          <w:szCs w:val="22"/>
        </w:rPr>
        <w:t>Discussion</w:t>
      </w:r>
    </w:p>
    <w:p w14:paraId="44CD6A9E" w14:textId="30833FCC" w:rsidR="001A7173" w:rsidRDefault="00ED720C" w:rsidP="00EB2F6F">
      <w:pPr>
        <w:spacing w:line="360" w:lineRule="auto"/>
        <w:rPr>
          <w:bCs/>
          <w:sz w:val="22"/>
          <w:szCs w:val="22"/>
        </w:rPr>
      </w:pPr>
      <w:r w:rsidRPr="00033A14">
        <w:rPr>
          <w:bCs/>
          <w:sz w:val="22"/>
          <w:szCs w:val="22"/>
        </w:rPr>
        <w:t>This study addresse</w:t>
      </w:r>
      <w:r w:rsidR="000B2833" w:rsidRPr="00033A14">
        <w:rPr>
          <w:bCs/>
          <w:sz w:val="22"/>
          <w:szCs w:val="22"/>
        </w:rPr>
        <w:t>s</w:t>
      </w:r>
      <w:r w:rsidRPr="00033A14">
        <w:rPr>
          <w:bCs/>
          <w:sz w:val="22"/>
          <w:szCs w:val="22"/>
        </w:rPr>
        <w:t xml:space="preserve"> </w:t>
      </w:r>
      <w:r w:rsidR="00325AF1" w:rsidRPr="00033A14">
        <w:rPr>
          <w:bCs/>
          <w:sz w:val="22"/>
          <w:szCs w:val="22"/>
        </w:rPr>
        <w:t>associations between</w:t>
      </w:r>
      <w:r w:rsidRPr="00033A14">
        <w:rPr>
          <w:bCs/>
          <w:sz w:val="22"/>
          <w:szCs w:val="22"/>
        </w:rPr>
        <w:t xml:space="preserve"> </w:t>
      </w:r>
      <w:r w:rsidR="00A02F78">
        <w:rPr>
          <w:bCs/>
          <w:sz w:val="22"/>
          <w:szCs w:val="22"/>
        </w:rPr>
        <w:t>IMD</w:t>
      </w:r>
      <w:r w:rsidR="001B3D32">
        <w:rPr>
          <w:bCs/>
          <w:sz w:val="22"/>
          <w:szCs w:val="22"/>
        </w:rPr>
        <w:t xml:space="preserve"> </w:t>
      </w:r>
      <w:r w:rsidR="00C65AAE">
        <w:rPr>
          <w:bCs/>
          <w:sz w:val="22"/>
          <w:szCs w:val="22"/>
        </w:rPr>
        <w:t xml:space="preserve">and other </w:t>
      </w:r>
      <w:r w:rsidR="0046563A">
        <w:rPr>
          <w:bCs/>
          <w:sz w:val="22"/>
          <w:szCs w:val="22"/>
        </w:rPr>
        <w:t>socio-demographic</w:t>
      </w:r>
      <w:r w:rsidR="00C71D03">
        <w:rPr>
          <w:bCs/>
          <w:sz w:val="22"/>
          <w:szCs w:val="22"/>
        </w:rPr>
        <w:t xml:space="preserve"> </w:t>
      </w:r>
      <w:r w:rsidR="00D26B33">
        <w:rPr>
          <w:bCs/>
          <w:sz w:val="22"/>
          <w:szCs w:val="22"/>
        </w:rPr>
        <w:t>and</w:t>
      </w:r>
      <w:r w:rsidR="00A720DC">
        <w:rPr>
          <w:bCs/>
          <w:sz w:val="22"/>
          <w:szCs w:val="22"/>
        </w:rPr>
        <w:t xml:space="preserve"> clinical </w:t>
      </w:r>
      <w:r w:rsidR="00C65AAE">
        <w:rPr>
          <w:bCs/>
          <w:sz w:val="22"/>
          <w:szCs w:val="22"/>
        </w:rPr>
        <w:t>characteristics</w:t>
      </w:r>
      <w:r w:rsidR="0046563A">
        <w:rPr>
          <w:bCs/>
          <w:sz w:val="22"/>
          <w:szCs w:val="22"/>
        </w:rPr>
        <w:t xml:space="preserve"> with</w:t>
      </w:r>
      <w:r w:rsidRPr="00033A14">
        <w:rPr>
          <w:bCs/>
          <w:sz w:val="22"/>
          <w:szCs w:val="22"/>
        </w:rPr>
        <w:t xml:space="preserve"> </w:t>
      </w:r>
      <w:r w:rsidR="0046563A">
        <w:rPr>
          <w:bCs/>
          <w:sz w:val="22"/>
          <w:szCs w:val="22"/>
        </w:rPr>
        <w:t>trastuzumab</w:t>
      </w:r>
      <w:r w:rsidRPr="00033A14">
        <w:rPr>
          <w:bCs/>
          <w:sz w:val="22"/>
          <w:szCs w:val="22"/>
        </w:rPr>
        <w:t xml:space="preserve"> </w:t>
      </w:r>
      <w:r w:rsidR="000233C1">
        <w:rPr>
          <w:bCs/>
          <w:sz w:val="22"/>
          <w:szCs w:val="22"/>
        </w:rPr>
        <w:t>r</w:t>
      </w:r>
      <w:r w:rsidR="00D16134">
        <w:rPr>
          <w:bCs/>
          <w:sz w:val="22"/>
          <w:szCs w:val="22"/>
        </w:rPr>
        <w:t>eceipt</w:t>
      </w:r>
      <w:r w:rsidRPr="00033A14">
        <w:rPr>
          <w:bCs/>
          <w:sz w:val="22"/>
          <w:szCs w:val="22"/>
        </w:rPr>
        <w:t xml:space="preserve"> among a cohort of patients with HER2+ breast cancer in </w:t>
      </w:r>
      <w:r w:rsidR="00E439E8" w:rsidRPr="00033A14">
        <w:rPr>
          <w:bCs/>
          <w:sz w:val="22"/>
          <w:szCs w:val="22"/>
        </w:rPr>
        <w:t xml:space="preserve">England during </w:t>
      </w:r>
      <w:r w:rsidRPr="00033A14">
        <w:rPr>
          <w:bCs/>
          <w:sz w:val="22"/>
          <w:szCs w:val="22"/>
        </w:rPr>
        <w:t>2012</w:t>
      </w:r>
      <w:r w:rsidR="007F6790" w:rsidRPr="00033A14">
        <w:rPr>
          <w:bCs/>
          <w:sz w:val="22"/>
          <w:szCs w:val="22"/>
        </w:rPr>
        <w:t>-</w:t>
      </w:r>
      <w:r w:rsidRPr="00033A14">
        <w:rPr>
          <w:bCs/>
          <w:sz w:val="22"/>
          <w:szCs w:val="22"/>
        </w:rPr>
        <w:t xml:space="preserve">2017. </w:t>
      </w:r>
      <w:r w:rsidR="001B3D32">
        <w:rPr>
          <w:bCs/>
          <w:sz w:val="22"/>
          <w:szCs w:val="22"/>
        </w:rPr>
        <w:t>It</w:t>
      </w:r>
      <w:r w:rsidR="00D90BEB" w:rsidRPr="00033A14">
        <w:rPr>
          <w:bCs/>
          <w:sz w:val="22"/>
          <w:szCs w:val="22"/>
        </w:rPr>
        <w:t xml:space="preserve"> represents </w:t>
      </w:r>
      <w:r w:rsidR="0046563A">
        <w:rPr>
          <w:bCs/>
          <w:sz w:val="22"/>
          <w:szCs w:val="22"/>
        </w:rPr>
        <w:t xml:space="preserve">one of </w:t>
      </w:r>
      <w:r w:rsidR="00D90BEB" w:rsidRPr="00033A14">
        <w:rPr>
          <w:bCs/>
          <w:sz w:val="22"/>
          <w:szCs w:val="22"/>
        </w:rPr>
        <w:t>the f</w:t>
      </w:r>
      <w:r w:rsidR="00A244A1">
        <w:rPr>
          <w:bCs/>
          <w:sz w:val="22"/>
          <w:szCs w:val="22"/>
        </w:rPr>
        <w:t>ew</w:t>
      </w:r>
      <w:r w:rsidR="00D90BEB" w:rsidRPr="00033A14">
        <w:rPr>
          <w:bCs/>
          <w:sz w:val="22"/>
          <w:szCs w:val="22"/>
        </w:rPr>
        <w:t xml:space="preserve"> </w:t>
      </w:r>
      <w:r w:rsidR="00955B7E">
        <w:rPr>
          <w:bCs/>
          <w:sz w:val="22"/>
          <w:szCs w:val="22"/>
        </w:rPr>
        <w:t xml:space="preserve">nationwide </w:t>
      </w:r>
      <w:r w:rsidR="00A244A1">
        <w:rPr>
          <w:bCs/>
          <w:sz w:val="22"/>
          <w:szCs w:val="22"/>
        </w:rPr>
        <w:t>studies</w:t>
      </w:r>
      <w:r w:rsidRPr="00033A14">
        <w:rPr>
          <w:bCs/>
          <w:sz w:val="22"/>
          <w:szCs w:val="22"/>
        </w:rPr>
        <w:t xml:space="preserve"> using SACT data</w:t>
      </w:r>
      <w:r w:rsidR="0094752A">
        <w:rPr>
          <w:bCs/>
          <w:sz w:val="22"/>
          <w:szCs w:val="22"/>
        </w:rPr>
        <w:t xml:space="preserve"> and </w:t>
      </w:r>
      <w:r w:rsidR="00591D79">
        <w:rPr>
          <w:bCs/>
          <w:sz w:val="22"/>
          <w:szCs w:val="22"/>
        </w:rPr>
        <w:t xml:space="preserve">is </w:t>
      </w:r>
      <w:r w:rsidR="0094752A">
        <w:rPr>
          <w:bCs/>
          <w:sz w:val="22"/>
          <w:szCs w:val="22"/>
        </w:rPr>
        <w:t xml:space="preserve">the largest study </w:t>
      </w:r>
      <w:r w:rsidR="00A244A1">
        <w:rPr>
          <w:bCs/>
          <w:sz w:val="22"/>
          <w:szCs w:val="22"/>
        </w:rPr>
        <w:t>internationally of trastuzumab receipt</w:t>
      </w:r>
      <w:r w:rsidR="0094752A">
        <w:rPr>
          <w:bCs/>
          <w:sz w:val="22"/>
          <w:szCs w:val="22"/>
        </w:rPr>
        <w:t xml:space="preserve"> in a publicly funded healthcare system</w:t>
      </w:r>
      <w:r w:rsidR="00A244A1">
        <w:rPr>
          <w:bCs/>
          <w:sz w:val="22"/>
          <w:szCs w:val="22"/>
        </w:rPr>
        <w:t xml:space="preserve"> (and the second largest study on this topic </w:t>
      </w:r>
      <w:r w:rsidR="002B5BB5" w:rsidRPr="00033A14">
        <w:rPr>
          <w:bCs/>
          <w:sz w:val="22"/>
          <w:szCs w:val="22"/>
        </w:rPr>
        <w:t xml:space="preserve">after Du </w:t>
      </w:r>
      <w:r w:rsidR="002B5BB5" w:rsidRPr="00033A14">
        <w:rPr>
          <w:bCs/>
          <w:i/>
          <w:iCs/>
          <w:sz w:val="22"/>
          <w:szCs w:val="22"/>
        </w:rPr>
        <w:t>et al</w:t>
      </w:r>
      <w:r w:rsidR="002B5BB5" w:rsidRPr="00033A14">
        <w:rPr>
          <w:bCs/>
          <w:sz w:val="22"/>
          <w:szCs w:val="22"/>
        </w:rPr>
        <w:t>. (2011)</w:t>
      </w:r>
      <w:r w:rsidR="00B04E2B">
        <w:rPr>
          <w:bCs/>
          <w:sz w:val="22"/>
          <w:szCs w:val="22"/>
        </w:rPr>
        <w:t>, which reported US</w:t>
      </w:r>
      <w:r w:rsidR="00FC4D1E">
        <w:rPr>
          <w:bCs/>
          <w:sz w:val="22"/>
          <w:szCs w:val="22"/>
        </w:rPr>
        <w:t>A</w:t>
      </w:r>
      <w:r w:rsidR="00B04E2B">
        <w:rPr>
          <w:bCs/>
          <w:sz w:val="22"/>
          <w:szCs w:val="22"/>
        </w:rPr>
        <w:t xml:space="preserve"> </w:t>
      </w:r>
      <w:r w:rsidR="000233C1">
        <w:rPr>
          <w:bCs/>
          <w:sz w:val="22"/>
          <w:szCs w:val="22"/>
        </w:rPr>
        <w:t>trastuz</w:t>
      </w:r>
      <w:r w:rsidR="001643F1">
        <w:rPr>
          <w:bCs/>
          <w:sz w:val="22"/>
          <w:szCs w:val="22"/>
        </w:rPr>
        <w:t>u</w:t>
      </w:r>
      <w:r w:rsidR="000233C1">
        <w:rPr>
          <w:bCs/>
          <w:sz w:val="22"/>
          <w:szCs w:val="22"/>
        </w:rPr>
        <w:t>m</w:t>
      </w:r>
      <w:r w:rsidR="001643F1">
        <w:rPr>
          <w:bCs/>
          <w:sz w:val="22"/>
          <w:szCs w:val="22"/>
        </w:rPr>
        <w:t>a</w:t>
      </w:r>
      <w:r w:rsidR="000233C1">
        <w:rPr>
          <w:bCs/>
          <w:sz w:val="22"/>
          <w:szCs w:val="22"/>
        </w:rPr>
        <w:t xml:space="preserve">b </w:t>
      </w:r>
      <w:r w:rsidR="00B04E2B">
        <w:rPr>
          <w:bCs/>
          <w:sz w:val="22"/>
          <w:szCs w:val="22"/>
        </w:rPr>
        <w:t>data</w:t>
      </w:r>
      <w:r w:rsidR="006D60BA">
        <w:rPr>
          <w:bCs/>
          <w:sz w:val="22"/>
          <w:szCs w:val="22"/>
        </w:rPr>
        <w:t xml:space="preserve"> </w:t>
      </w:r>
      <w:r w:rsidR="000233C1">
        <w:rPr>
          <w:bCs/>
          <w:sz w:val="22"/>
          <w:szCs w:val="22"/>
        </w:rPr>
        <w:t xml:space="preserve">up </w:t>
      </w:r>
      <w:r w:rsidR="00B04E2B">
        <w:rPr>
          <w:bCs/>
          <w:sz w:val="22"/>
          <w:szCs w:val="22"/>
        </w:rPr>
        <w:t>to 2005</w:t>
      </w:r>
      <w:r w:rsidR="00A244A1">
        <w:rPr>
          <w:bCs/>
          <w:sz w:val="22"/>
          <w:szCs w:val="22"/>
        </w:rPr>
        <w:t>)</w:t>
      </w:r>
      <w:r w:rsidR="00D90BEB" w:rsidRPr="00033A14">
        <w:rPr>
          <w:bCs/>
          <w:sz w:val="22"/>
          <w:szCs w:val="22"/>
        </w:rPr>
        <w:t>.</w:t>
      </w:r>
      <w:r w:rsidR="0029625E" w:rsidRPr="00033A14">
        <w:rPr>
          <w:bCs/>
          <w:sz w:val="22"/>
          <w:szCs w:val="22"/>
        </w:rPr>
        <w:fldChar w:fldCharType="begin"/>
      </w:r>
      <w:r w:rsidR="00103315">
        <w:rPr>
          <w:bCs/>
          <w:sz w:val="22"/>
          <w:szCs w:val="22"/>
        </w:rPr>
        <w:instrText xml:space="preserve"> ADDIN ZOTERO_ITEM CSL_CITATION {"citationID":"Cy7nBEjN","properties":{"formattedCitation":"\\super 44\\nosupersub{}","plainCitation":"44","noteIndex":0},"citationItems":[{"id":66,"uris":["http://zotero.org/users/local/nRdURiV3/items/G5FQZ5QJ"],"itemData":{"id":66,"type":"article-journal","abstract":"To determine the risk of cardiotoxicities in association with trastuzumab with/without anthracycline-containing chemotherapy in a large nationwide population-based cohort of patients with breast cancer. We studied 47,806 women with breast cancer ages ≥65 in 1998–2005 from 16 cancer registries in the Surveillance, Epidemiology and End Results (SEER)-Medicare data and 16,092 cases matched with equal number of controls on the propensity of receiving chemotherapy or trastuzumab. Cumulative incidence of congestive heart failure in year-1 was 5.5% for patients receiving anthracycline and trastuzumab and 3.2% for those receiving anthracycline without trastuzumab. The cumulative incidence of congestive heart failure in year-5 was 15.5 and 9.1%, respectively. Compared to those without chemotherapy and trastuzumab, patients treated with anthracycline-containing chemotherapy and no trastuzumab were 19% significantly more likely to develop congestive heart failure (hazard ratio = 1.19, 95% CI = 1.05–1.34), whereas those receiving trastuzumab without anthracycline and those receiving both trastuzumab and anthracycline were 1.97 and 2.37 times more likely to develop congestive heart failure after adjusting for patient and tumor characteristics. Concurrent or sequential use of anthracycline and trastuzumab was associated with a greater risk of congestive heart failure and cardiomyopathy. Carefully monitoring cardiac functions in patients receiving anthracycline and trastuzumab is warranted.","container-title":"Medical Oncology","DOI":"10.1007/s12032-010-9717-7","ISSN":"1559-131X","issue":"1","journalAbbreviation":"Med Oncol","language":"en","note":"number: 1","page":"80-90","source":"Springer Link","title":"Cardiac risk associated with the receipt of anthracycline and trastuzumab in a large nationwide cohort of older women with breast cancer, 1998–2005","volume":"28","author":[{"family":"Du","given":"Xianglin L."},{"family":"Xia","given":"Rui"},{"family":"Burau","given":"Keith"},{"family":"Liu","given":"Chih-Chin"}],"issued":{"date-parts":[["2011"]]}}}],"schema":"https://github.com/citation-style-language/schema/raw/master/csl-citation.json"} </w:instrText>
      </w:r>
      <w:r w:rsidR="0029625E" w:rsidRPr="00033A14">
        <w:rPr>
          <w:bCs/>
          <w:sz w:val="22"/>
          <w:szCs w:val="22"/>
        </w:rPr>
        <w:fldChar w:fldCharType="separate"/>
      </w:r>
      <w:r w:rsidR="00103315" w:rsidRPr="00103315">
        <w:rPr>
          <w:sz w:val="22"/>
          <w:vertAlign w:val="superscript"/>
        </w:rPr>
        <w:t>44</w:t>
      </w:r>
      <w:r w:rsidR="0029625E" w:rsidRPr="00033A14">
        <w:rPr>
          <w:bCs/>
          <w:sz w:val="22"/>
          <w:szCs w:val="22"/>
        </w:rPr>
        <w:fldChar w:fldCharType="end"/>
      </w:r>
      <w:r w:rsidR="00D90BEB" w:rsidRPr="00033A14">
        <w:rPr>
          <w:bCs/>
          <w:sz w:val="22"/>
          <w:szCs w:val="22"/>
        </w:rPr>
        <w:t xml:space="preserve"> </w:t>
      </w:r>
      <w:r w:rsidR="00CB5F8B">
        <w:rPr>
          <w:bCs/>
          <w:sz w:val="22"/>
          <w:szCs w:val="22"/>
        </w:rPr>
        <w:t>This</w:t>
      </w:r>
      <w:r w:rsidR="00B04E2B">
        <w:rPr>
          <w:bCs/>
          <w:sz w:val="22"/>
          <w:szCs w:val="22"/>
        </w:rPr>
        <w:t xml:space="preserve"> </w:t>
      </w:r>
      <w:r w:rsidR="00FB672E">
        <w:rPr>
          <w:bCs/>
          <w:sz w:val="22"/>
          <w:szCs w:val="22"/>
        </w:rPr>
        <w:t>study found that w</w:t>
      </w:r>
      <w:r w:rsidR="00583E7B" w:rsidRPr="00033A14">
        <w:rPr>
          <w:bCs/>
          <w:sz w:val="22"/>
          <w:szCs w:val="22"/>
        </w:rPr>
        <w:t>omen resident i</w:t>
      </w:r>
      <w:r w:rsidR="00787EE2" w:rsidRPr="00033A14">
        <w:rPr>
          <w:bCs/>
          <w:sz w:val="22"/>
          <w:szCs w:val="22"/>
        </w:rPr>
        <w:t>n area</w:t>
      </w:r>
      <w:r w:rsidR="000B2833" w:rsidRPr="00033A14">
        <w:rPr>
          <w:bCs/>
          <w:sz w:val="22"/>
          <w:szCs w:val="22"/>
        </w:rPr>
        <w:t>s</w:t>
      </w:r>
      <w:r w:rsidR="00787EE2" w:rsidRPr="00033A14">
        <w:rPr>
          <w:bCs/>
          <w:sz w:val="22"/>
          <w:szCs w:val="22"/>
        </w:rPr>
        <w:t xml:space="preserve"> of </w:t>
      </w:r>
      <w:r w:rsidR="00583E7B" w:rsidRPr="00033A14">
        <w:rPr>
          <w:bCs/>
          <w:sz w:val="22"/>
          <w:szCs w:val="22"/>
        </w:rPr>
        <w:t>great</w:t>
      </w:r>
      <w:r w:rsidR="000B2833" w:rsidRPr="00033A14">
        <w:rPr>
          <w:bCs/>
          <w:sz w:val="22"/>
          <w:szCs w:val="22"/>
        </w:rPr>
        <w:t xml:space="preserve">er </w:t>
      </w:r>
      <w:r w:rsidR="00787EE2" w:rsidRPr="00033A14">
        <w:rPr>
          <w:bCs/>
          <w:sz w:val="22"/>
          <w:szCs w:val="22"/>
        </w:rPr>
        <w:t xml:space="preserve">deprivation </w:t>
      </w:r>
      <w:r w:rsidR="004375BA">
        <w:rPr>
          <w:bCs/>
          <w:sz w:val="22"/>
          <w:szCs w:val="22"/>
        </w:rPr>
        <w:t xml:space="preserve">with </w:t>
      </w:r>
      <w:r w:rsidR="00C65AAE">
        <w:rPr>
          <w:bCs/>
          <w:sz w:val="22"/>
          <w:szCs w:val="22"/>
        </w:rPr>
        <w:t>early-</w:t>
      </w:r>
      <w:r w:rsidR="004375BA">
        <w:rPr>
          <w:bCs/>
          <w:sz w:val="22"/>
          <w:szCs w:val="22"/>
        </w:rPr>
        <w:t xml:space="preserve">stage HER2+ breast cancer </w:t>
      </w:r>
      <w:r w:rsidR="00787EE2" w:rsidRPr="00033A14">
        <w:rPr>
          <w:bCs/>
          <w:sz w:val="22"/>
          <w:szCs w:val="22"/>
        </w:rPr>
        <w:t>w</w:t>
      </w:r>
      <w:r w:rsidR="00583E7B" w:rsidRPr="00033A14">
        <w:rPr>
          <w:bCs/>
          <w:sz w:val="22"/>
          <w:szCs w:val="22"/>
        </w:rPr>
        <w:t xml:space="preserve">ere </w:t>
      </w:r>
      <w:r w:rsidR="004375BA">
        <w:rPr>
          <w:bCs/>
          <w:sz w:val="22"/>
          <w:szCs w:val="22"/>
        </w:rPr>
        <w:t>10</w:t>
      </w:r>
      <w:r w:rsidR="00583E7B" w:rsidRPr="00033A14">
        <w:rPr>
          <w:bCs/>
          <w:sz w:val="22"/>
          <w:szCs w:val="22"/>
        </w:rPr>
        <w:t xml:space="preserve">% less likely to </w:t>
      </w:r>
      <w:r w:rsidR="00D16134">
        <w:rPr>
          <w:bCs/>
          <w:sz w:val="22"/>
          <w:szCs w:val="22"/>
        </w:rPr>
        <w:t>receive</w:t>
      </w:r>
      <w:r w:rsidR="00583E7B" w:rsidRPr="00033A14">
        <w:rPr>
          <w:bCs/>
          <w:sz w:val="22"/>
          <w:szCs w:val="22"/>
        </w:rPr>
        <w:t xml:space="preserve"> </w:t>
      </w:r>
      <w:r w:rsidR="004375BA">
        <w:rPr>
          <w:bCs/>
          <w:sz w:val="22"/>
          <w:szCs w:val="22"/>
        </w:rPr>
        <w:t>trastuzumab</w:t>
      </w:r>
      <w:r w:rsidR="00FB672E">
        <w:rPr>
          <w:bCs/>
          <w:sz w:val="22"/>
          <w:szCs w:val="22"/>
        </w:rPr>
        <w:t xml:space="preserve"> </w:t>
      </w:r>
      <w:r w:rsidR="00FB672E" w:rsidRPr="00033A14">
        <w:rPr>
          <w:bCs/>
          <w:sz w:val="22"/>
          <w:szCs w:val="22"/>
        </w:rPr>
        <w:t xml:space="preserve">compared to </w:t>
      </w:r>
      <w:r w:rsidR="00FB672E">
        <w:rPr>
          <w:bCs/>
          <w:sz w:val="22"/>
          <w:szCs w:val="22"/>
        </w:rPr>
        <w:t>women</w:t>
      </w:r>
      <w:r w:rsidR="00FB672E" w:rsidRPr="00033A14">
        <w:rPr>
          <w:bCs/>
          <w:sz w:val="22"/>
          <w:szCs w:val="22"/>
        </w:rPr>
        <w:t xml:space="preserve"> resident in the least deprived areas</w:t>
      </w:r>
      <w:r w:rsidR="00583E7B" w:rsidRPr="00033A14">
        <w:rPr>
          <w:bCs/>
          <w:sz w:val="22"/>
          <w:szCs w:val="22"/>
        </w:rPr>
        <w:t xml:space="preserve">. </w:t>
      </w:r>
      <w:r w:rsidR="004375BA">
        <w:rPr>
          <w:bCs/>
          <w:sz w:val="22"/>
          <w:szCs w:val="22"/>
        </w:rPr>
        <w:t xml:space="preserve">No clear or statistically significant associations between </w:t>
      </w:r>
      <w:r w:rsidR="0001046D">
        <w:rPr>
          <w:bCs/>
          <w:sz w:val="22"/>
          <w:szCs w:val="22"/>
        </w:rPr>
        <w:t>SES</w:t>
      </w:r>
      <w:r w:rsidR="004375BA">
        <w:rPr>
          <w:bCs/>
          <w:sz w:val="22"/>
          <w:szCs w:val="22"/>
        </w:rPr>
        <w:t xml:space="preserve"> and trastuzumab receipt were found in the </w:t>
      </w:r>
      <w:r w:rsidR="00C65AAE">
        <w:rPr>
          <w:bCs/>
          <w:sz w:val="22"/>
          <w:szCs w:val="22"/>
        </w:rPr>
        <w:t>metastatic HER2+</w:t>
      </w:r>
      <w:r w:rsidR="004375BA">
        <w:rPr>
          <w:bCs/>
          <w:sz w:val="22"/>
          <w:szCs w:val="22"/>
        </w:rPr>
        <w:t xml:space="preserve"> cohort. </w:t>
      </w:r>
      <w:r w:rsidR="001B3D32">
        <w:rPr>
          <w:bCs/>
          <w:sz w:val="22"/>
          <w:szCs w:val="22"/>
        </w:rPr>
        <w:t>A</w:t>
      </w:r>
      <w:r w:rsidR="003F3563">
        <w:rPr>
          <w:bCs/>
          <w:sz w:val="22"/>
          <w:szCs w:val="22"/>
        </w:rPr>
        <w:t xml:space="preserve"> </w:t>
      </w:r>
      <w:r w:rsidR="00A244A1">
        <w:rPr>
          <w:bCs/>
          <w:sz w:val="22"/>
          <w:szCs w:val="22"/>
        </w:rPr>
        <w:t xml:space="preserve">younger </w:t>
      </w:r>
      <w:r w:rsidR="003F3563">
        <w:rPr>
          <w:bCs/>
          <w:sz w:val="22"/>
          <w:szCs w:val="22"/>
        </w:rPr>
        <w:t xml:space="preserve">age </w:t>
      </w:r>
      <w:r w:rsidR="00A244A1">
        <w:rPr>
          <w:bCs/>
          <w:sz w:val="22"/>
          <w:szCs w:val="22"/>
        </w:rPr>
        <w:t xml:space="preserve">was associated with </w:t>
      </w:r>
      <w:r w:rsidR="00132C5F">
        <w:rPr>
          <w:bCs/>
          <w:sz w:val="22"/>
          <w:szCs w:val="22"/>
        </w:rPr>
        <w:t xml:space="preserve">increased trastuzumab receipt for all patients. Other associations </w:t>
      </w:r>
      <w:r w:rsidR="005E1882">
        <w:rPr>
          <w:bCs/>
          <w:sz w:val="22"/>
          <w:szCs w:val="22"/>
        </w:rPr>
        <w:t>of</w:t>
      </w:r>
      <w:r w:rsidR="00132C5F">
        <w:rPr>
          <w:bCs/>
          <w:sz w:val="22"/>
          <w:szCs w:val="22"/>
        </w:rPr>
        <w:t xml:space="preserve"> increased trastuzumab receipt </w:t>
      </w:r>
      <w:r w:rsidR="005E1882">
        <w:rPr>
          <w:bCs/>
          <w:sz w:val="22"/>
          <w:szCs w:val="22"/>
        </w:rPr>
        <w:t xml:space="preserve">were seen, in </w:t>
      </w:r>
      <w:r w:rsidR="00E206AC">
        <w:rPr>
          <w:bCs/>
          <w:sz w:val="22"/>
          <w:szCs w:val="22"/>
        </w:rPr>
        <w:t xml:space="preserve">patients with </w:t>
      </w:r>
      <w:r w:rsidR="005E1882">
        <w:rPr>
          <w:bCs/>
          <w:sz w:val="22"/>
          <w:szCs w:val="22"/>
        </w:rPr>
        <w:t>both early and metastatic</w:t>
      </w:r>
      <w:r w:rsidR="00132C5F">
        <w:rPr>
          <w:bCs/>
          <w:sz w:val="22"/>
          <w:szCs w:val="22"/>
        </w:rPr>
        <w:t xml:space="preserve"> </w:t>
      </w:r>
      <w:r w:rsidR="00E206AC">
        <w:rPr>
          <w:bCs/>
          <w:sz w:val="22"/>
          <w:szCs w:val="22"/>
        </w:rPr>
        <w:t>disease</w:t>
      </w:r>
      <w:r w:rsidR="008045E6">
        <w:rPr>
          <w:bCs/>
          <w:sz w:val="22"/>
          <w:szCs w:val="22"/>
        </w:rPr>
        <w:t>,</w:t>
      </w:r>
      <w:r w:rsidR="00132C5F">
        <w:rPr>
          <w:bCs/>
          <w:sz w:val="22"/>
          <w:szCs w:val="22"/>
        </w:rPr>
        <w:t xml:space="preserve"> </w:t>
      </w:r>
      <w:r w:rsidR="005E1882">
        <w:rPr>
          <w:bCs/>
          <w:sz w:val="22"/>
          <w:szCs w:val="22"/>
        </w:rPr>
        <w:t>who had</w:t>
      </w:r>
      <w:r w:rsidR="00A07514">
        <w:rPr>
          <w:bCs/>
          <w:sz w:val="22"/>
          <w:szCs w:val="22"/>
        </w:rPr>
        <w:t>:</w:t>
      </w:r>
      <w:r w:rsidR="00132C5F">
        <w:rPr>
          <w:bCs/>
          <w:sz w:val="22"/>
          <w:szCs w:val="22"/>
        </w:rPr>
        <w:t xml:space="preserve"> fewer comorbidities, an ER</w:t>
      </w:r>
      <w:r w:rsidR="00CB5F8B">
        <w:rPr>
          <w:bCs/>
          <w:sz w:val="22"/>
          <w:szCs w:val="22"/>
        </w:rPr>
        <w:t xml:space="preserve">- </w:t>
      </w:r>
      <w:r w:rsidR="0044558C">
        <w:rPr>
          <w:bCs/>
          <w:sz w:val="22"/>
          <w:szCs w:val="22"/>
        </w:rPr>
        <w:t>tumor</w:t>
      </w:r>
      <w:r w:rsidR="00132C5F">
        <w:rPr>
          <w:bCs/>
          <w:sz w:val="22"/>
          <w:szCs w:val="22"/>
        </w:rPr>
        <w:t xml:space="preserve">, and </w:t>
      </w:r>
      <w:r w:rsidR="008045E6">
        <w:rPr>
          <w:bCs/>
          <w:sz w:val="22"/>
          <w:szCs w:val="22"/>
        </w:rPr>
        <w:t xml:space="preserve">who were </w:t>
      </w:r>
      <w:r w:rsidR="00132C5F">
        <w:rPr>
          <w:bCs/>
          <w:sz w:val="22"/>
          <w:szCs w:val="22"/>
        </w:rPr>
        <w:t>discuss</w:t>
      </w:r>
      <w:r w:rsidR="007E42AB">
        <w:rPr>
          <w:bCs/>
          <w:sz w:val="22"/>
          <w:szCs w:val="22"/>
        </w:rPr>
        <w:t>ed</w:t>
      </w:r>
      <w:r w:rsidR="00132C5F">
        <w:rPr>
          <w:bCs/>
          <w:sz w:val="22"/>
          <w:szCs w:val="22"/>
        </w:rPr>
        <w:t xml:space="preserve"> at MDT. </w:t>
      </w:r>
      <w:r w:rsidR="0046563A">
        <w:rPr>
          <w:bCs/>
          <w:sz w:val="22"/>
          <w:szCs w:val="22"/>
        </w:rPr>
        <w:t xml:space="preserve">For </w:t>
      </w:r>
      <w:r w:rsidR="004904EC">
        <w:rPr>
          <w:bCs/>
          <w:sz w:val="22"/>
          <w:szCs w:val="22"/>
        </w:rPr>
        <w:t>early-stage</w:t>
      </w:r>
      <w:r w:rsidR="0046563A">
        <w:rPr>
          <w:bCs/>
          <w:sz w:val="22"/>
          <w:szCs w:val="22"/>
        </w:rPr>
        <w:t xml:space="preserve"> </w:t>
      </w:r>
      <w:r w:rsidR="008045E6">
        <w:rPr>
          <w:bCs/>
          <w:sz w:val="22"/>
          <w:szCs w:val="22"/>
        </w:rPr>
        <w:t>disease</w:t>
      </w:r>
      <w:r w:rsidR="0046563A">
        <w:rPr>
          <w:bCs/>
          <w:sz w:val="22"/>
          <w:szCs w:val="22"/>
        </w:rPr>
        <w:t xml:space="preserve">, a </w:t>
      </w:r>
      <w:r w:rsidR="00C65AAE">
        <w:rPr>
          <w:bCs/>
          <w:sz w:val="22"/>
          <w:szCs w:val="22"/>
        </w:rPr>
        <w:t>higher</w:t>
      </w:r>
      <w:r w:rsidR="0046563A">
        <w:rPr>
          <w:bCs/>
          <w:sz w:val="22"/>
          <w:szCs w:val="22"/>
        </w:rPr>
        <w:t xml:space="preserve"> stage</w:t>
      </w:r>
      <w:r w:rsidR="00C65AAE">
        <w:rPr>
          <w:bCs/>
          <w:sz w:val="22"/>
          <w:szCs w:val="22"/>
        </w:rPr>
        <w:t>d</w:t>
      </w:r>
      <w:r w:rsidR="0046563A">
        <w:rPr>
          <w:bCs/>
          <w:sz w:val="22"/>
          <w:szCs w:val="22"/>
        </w:rPr>
        <w:t xml:space="preserve"> </w:t>
      </w:r>
      <w:r w:rsidR="0044558C">
        <w:rPr>
          <w:bCs/>
          <w:sz w:val="22"/>
          <w:szCs w:val="22"/>
        </w:rPr>
        <w:t>tumor</w:t>
      </w:r>
      <w:r w:rsidR="00C65AAE">
        <w:rPr>
          <w:bCs/>
          <w:sz w:val="22"/>
          <w:szCs w:val="22"/>
        </w:rPr>
        <w:t xml:space="preserve"> and </w:t>
      </w:r>
      <w:r w:rsidR="007E42AB">
        <w:rPr>
          <w:bCs/>
          <w:sz w:val="22"/>
          <w:szCs w:val="22"/>
        </w:rPr>
        <w:t xml:space="preserve">not </w:t>
      </w:r>
      <w:r w:rsidR="00C65AAE">
        <w:rPr>
          <w:bCs/>
          <w:sz w:val="22"/>
          <w:szCs w:val="22"/>
        </w:rPr>
        <w:t>receiving surgery within 6 months</w:t>
      </w:r>
      <w:r w:rsidR="0046563A">
        <w:rPr>
          <w:bCs/>
          <w:sz w:val="22"/>
          <w:szCs w:val="22"/>
        </w:rPr>
        <w:t xml:space="preserve"> increased </w:t>
      </w:r>
      <w:r w:rsidR="008045E6">
        <w:rPr>
          <w:bCs/>
          <w:sz w:val="22"/>
          <w:szCs w:val="22"/>
        </w:rPr>
        <w:t xml:space="preserve">the </w:t>
      </w:r>
      <w:r w:rsidR="0046563A">
        <w:rPr>
          <w:bCs/>
          <w:sz w:val="22"/>
          <w:szCs w:val="22"/>
        </w:rPr>
        <w:t xml:space="preserve">likelihood of trastuzumab receipt. Whereas for metastatic </w:t>
      </w:r>
      <w:r w:rsidR="008045E6">
        <w:rPr>
          <w:bCs/>
          <w:sz w:val="22"/>
          <w:szCs w:val="22"/>
        </w:rPr>
        <w:t>disease</w:t>
      </w:r>
      <w:r w:rsidR="0046563A">
        <w:rPr>
          <w:bCs/>
          <w:sz w:val="22"/>
          <w:szCs w:val="22"/>
        </w:rPr>
        <w:t xml:space="preserve">, a moderate or poorly differentiated </w:t>
      </w:r>
      <w:r w:rsidR="0044558C">
        <w:rPr>
          <w:bCs/>
          <w:sz w:val="22"/>
          <w:szCs w:val="22"/>
        </w:rPr>
        <w:t>tumor</w:t>
      </w:r>
      <w:r w:rsidR="0046563A">
        <w:rPr>
          <w:bCs/>
          <w:sz w:val="22"/>
          <w:szCs w:val="22"/>
        </w:rPr>
        <w:t xml:space="preserve"> grade </w:t>
      </w:r>
      <w:r w:rsidR="00C65AAE">
        <w:rPr>
          <w:bCs/>
          <w:sz w:val="22"/>
          <w:szCs w:val="22"/>
        </w:rPr>
        <w:t xml:space="preserve">and receiving surgery within 6 months was associated with increased </w:t>
      </w:r>
      <w:r w:rsidR="0046563A">
        <w:rPr>
          <w:bCs/>
          <w:sz w:val="22"/>
          <w:szCs w:val="22"/>
        </w:rPr>
        <w:t>trastuzumab receipt.</w:t>
      </w:r>
    </w:p>
    <w:p w14:paraId="48FF1D22" w14:textId="77777777" w:rsidR="00305D90" w:rsidRDefault="00305D90" w:rsidP="00EB2F6F">
      <w:pPr>
        <w:spacing w:line="360" w:lineRule="auto"/>
        <w:rPr>
          <w:sz w:val="22"/>
          <w:szCs w:val="22"/>
        </w:rPr>
      </w:pPr>
    </w:p>
    <w:p w14:paraId="02D946E7" w14:textId="15603EC3" w:rsidR="0029625E" w:rsidRPr="00033A14" w:rsidRDefault="00A83664" w:rsidP="00EB2F6F">
      <w:pPr>
        <w:spacing w:line="360" w:lineRule="auto"/>
        <w:rPr>
          <w:bCs/>
          <w:sz w:val="22"/>
          <w:szCs w:val="22"/>
        </w:rPr>
      </w:pPr>
      <w:r>
        <w:rPr>
          <w:sz w:val="22"/>
          <w:szCs w:val="22"/>
        </w:rPr>
        <w:t xml:space="preserve">This </w:t>
      </w:r>
      <w:r w:rsidR="005B1A2A">
        <w:rPr>
          <w:sz w:val="22"/>
          <w:szCs w:val="22"/>
        </w:rPr>
        <w:t xml:space="preserve">population-based </w:t>
      </w:r>
      <w:r>
        <w:rPr>
          <w:sz w:val="22"/>
          <w:szCs w:val="22"/>
        </w:rPr>
        <w:t xml:space="preserve">study </w:t>
      </w:r>
      <w:r w:rsidR="005B1A2A">
        <w:rPr>
          <w:sz w:val="22"/>
          <w:szCs w:val="22"/>
        </w:rPr>
        <w:t xml:space="preserve">significantly strengthens the evidence-base showing that socio-economic </w:t>
      </w:r>
      <w:r w:rsidR="00C57B75">
        <w:rPr>
          <w:sz w:val="22"/>
          <w:szCs w:val="22"/>
        </w:rPr>
        <w:t>disparities</w:t>
      </w:r>
      <w:r w:rsidR="005B1A2A">
        <w:rPr>
          <w:sz w:val="22"/>
          <w:szCs w:val="22"/>
        </w:rPr>
        <w:t xml:space="preserve"> of </w:t>
      </w:r>
      <w:r w:rsidR="00092A1B">
        <w:rPr>
          <w:sz w:val="22"/>
          <w:szCs w:val="22"/>
        </w:rPr>
        <w:t>HER2+</w:t>
      </w:r>
      <w:r w:rsidR="00CB5F8B">
        <w:rPr>
          <w:sz w:val="22"/>
          <w:szCs w:val="22"/>
        </w:rPr>
        <w:t xml:space="preserve"> </w:t>
      </w:r>
      <w:r>
        <w:rPr>
          <w:sz w:val="22"/>
          <w:szCs w:val="22"/>
        </w:rPr>
        <w:t xml:space="preserve">breast cancer </w:t>
      </w:r>
      <w:r w:rsidR="001B3D32">
        <w:rPr>
          <w:sz w:val="22"/>
          <w:szCs w:val="22"/>
        </w:rPr>
        <w:t xml:space="preserve">treatment </w:t>
      </w:r>
      <w:r>
        <w:rPr>
          <w:bCs/>
          <w:sz w:val="22"/>
          <w:szCs w:val="22"/>
        </w:rPr>
        <w:t xml:space="preserve">occur </w:t>
      </w:r>
      <w:r w:rsidR="005B1A2A">
        <w:rPr>
          <w:bCs/>
          <w:sz w:val="22"/>
          <w:szCs w:val="22"/>
        </w:rPr>
        <w:t>even</w:t>
      </w:r>
      <w:r w:rsidR="00311B06">
        <w:rPr>
          <w:bCs/>
          <w:sz w:val="22"/>
          <w:szCs w:val="22"/>
        </w:rPr>
        <w:t xml:space="preserve"> </w:t>
      </w:r>
      <w:r>
        <w:rPr>
          <w:bCs/>
          <w:sz w:val="22"/>
          <w:szCs w:val="22"/>
        </w:rPr>
        <w:t xml:space="preserve">in healthcare systems where </w:t>
      </w:r>
      <w:r w:rsidR="006B3514">
        <w:rPr>
          <w:bCs/>
          <w:sz w:val="22"/>
          <w:szCs w:val="22"/>
        </w:rPr>
        <w:t>targeted</w:t>
      </w:r>
      <w:r>
        <w:rPr>
          <w:bCs/>
          <w:sz w:val="22"/>
          <w:szCs w:val="22"/>
        </w:rPr>
        <w:t xml:space="preserve"> therapy </w:t>
      </w:r>
      <w:r>
        <w:rPr>
          <w:bCs/>
          <w:sz w:val="22"/>
          <w:szCs w:val="22"/>
        </w:rPr>
        <w:lastRenderedPageBreak/>
        <w:t xml:space="preserve">is free at the point of access. </w:t>
      </w:r>
      <w:r w:rsidR="00885B59">
        <w:rPr>
          <w:bCs/>
          <w:sz w:val="22"/>
          <w:szCs w:val="22"/>
        </w:rPr>
        <w:t>Our parallel study on</w:t>
      </w:r>
      <w:r w:rsidR="00F5421A">
        <w:rPr>
          <w:bCs/>
          <w:sz w:val="22"/>
          <w:szCs w:val="22"/>
        </w:rPr>
        <w:t xml:space="preserve"> socio-economic </w:t>
      </w:r>
      <w:r w:rsidR="00C57B75">
        <w:rPr>
          <w:bCs/>
          <w:sz w:val="22"/>
          <w:szCs w:val="22"/>
        </w:rPr>
        <w:t>inequalities</w:t>
      </w:r>
      <w:r w:rsidR="00F5421A">
        <w:rPr>
          <w:bCs/>
          <w:sz w:val="22"/>
          <w:szCs w:val="22"/>
        </w:rPr>
        <w:t xml:space="preserve"> in </w:t>
      </w:r>
      <w:r w:rsidR="0096242F" w:rsidRPr="00033A14">
        <w:rPr>
          <w:bCs/>
          <w:sz w:val="22"/>
          <w:szCs w:val="22"/>
        </w:rPr>
        <w:t xml:space="preserve">non-small cell lung cancer (NSCLC) </w:t>
      </w:r>
      <w:r w:rsidR="00823B13">
        <w:rPr>
          <w:bCs/>
          <w:sz w:val="22"/>
          <w:szCs w:val="22"/>
        </w:rPr>
        <w:t>treatments</w:t>
      </w:r>
      <w:r w:rsidR="00F5421A">
        <w:rPr>
          <w:bCs/>
          <w:sz w:val="22"/>
          <w:szCs w:val="22"/>
        </w:rPr>
        <w:t xml:space="preserve"> </w:t>
      </w:r>
      <w:r w:rsidR="00885B59">
        <w:rPr>
          <w:bCs/>
          <w:sz w:val="22"/>
          <w:szCs w:val="22"/>
        </w:rPr>
        <w:t>in England over the same time period also</w:t>
      </w:r>
      <w:r w:rsidR="00975F8A">
        <w:rPr>
          <w:bCs/>
          <w:sz w:val="22"/>
          <w:szCs w:val="22"/>
        </w:rPr>
        <w:t xml:space="preserve"> </w:t>
      </w:r>
      <w:r w:rsidR="00F5421A">
        <w:rPr>
          <w:bCs/>
          <w:sz w:val="22"/>
          <w:szCs w:val="22"/>
        </w:rPr>
        <w:t xml:space="preserve">found that </w:t>
      </w:r>
      <w:r w:rsidR="005B1A2A">
        <w:rPr>
          <w:bCs/>
          <w:sz w:val="22"/>
          <w:szCs w:val="22"/>
        </w:rPr>
        <w:t xml:space="preserve">greater </w:t>
      </w:r>
      <w:r w:rsidR="00F5421A">
        <w:rPr>
          <w:bCs/>
          <w:sz w:val="22"/>
          <w:szCs w:val="22"/>
        </w:rPr>
        <w:t>deprivation was associated with reduced novel therapy use</w:t>
      </w:r>
      <w:r w:rsidR="00092A1B">
        <w:rPr>
          <w:bCs/>
          <w:sz w:val="22"/>
          <w:szCs w:val="22"/>
        </w:rPr>
        <w:t xml:space="preserve">, though </w:t>
      </w:r>
      <w:r w:rsidR="004F3E9D">
        <w:rPr>
          <w:bCs/>
          <w:sz w:val="22"/>
          <w:szCs w:val="22"/>
        </w:rPr>
        <w:t xml:space="preserve">the magnitude of </w:t>
      </w:r>
      <w:r w:rsidR="00092A1B">
        <w:rPr>
          <w:bCs/>
          <w:sz w:val="22"/>
          <w:szCs w:val="22"/>
        </w:rPr>
        <w:t>associa</w:t>
      </w:r>
      <w:r w:rsidR="004F3E9D">
        <w:rPr>
          <w:bCs/>
          <w:sz w:val="22"/>
          <w:szCs w:val="22"/>
        </w:rPr>
        <w:t>tions</w:t>
      </w:r>
      <w:r w:rsidR="00092A1B">
        <w:rPr>
          <w:bCs/>
          <w:sz w:val="22"/>
          <w:szCs w:val="22"/>
        </w:rPr>
        <w:t xml:space="preserve"> </w:t>
      </w:r>
      <w:r w:rsidR="001B3D32">
        <w:rPr>
          <w:bCs/>
          <w:sz w:val="22"/>
          <w:szCs w:val="22"/>
        </w:rPr>
        <w:t>were</w:t>
      </w:r>
      <w:r w:rsidR="00092A1B">
        <w:rPr>
          <w:bCs/>
          <w:sz w:val="22"/>
          <w:szCs w:val="22"/>
        </w:rPr>
        <w:t xml:space="preserve"> starker</w:t>
      </w:r>
      <w:r w:rsidR="00F5421A">
        <w:rPr>
          <w:bCs/>
          <w:sz w:val="22"/>
          <w:szCs w:val="22"/>
        </w:rPr>
        <w:t>.</w:t>
      </w:r>
      <w:r w:rsidR="0096242F" w:rsidRPr="00033A14">
        <w:rPr>
          <w:bCs/>
          <w:sz w:val="22"/>
          <w:szCs w:val="22"/>
        </w:rPr>
        <w:fldChar w:fldCharType="begin"/>
      </w:r>
      <w:r w:rsidR="00103315">
        <w:rPr>
          <w:bCs/>
          <w:sz w:val="22"/>
          <w:szCs w:val="22"/>
        </w:rPr>
        <w:instrText xml:space="preserve"> ADDIN ZOTERO_ITEM CSL_CITATION {"citationID":"QFNqmk57","properties":{"formattedCitation":"\\super 45\\nosupersub{}","plainCitation":"45","noteIndex":0},"citationItems":[{"id":1797,"uris":["http://zotero.org/users/local/nRdURiV3/items/VPQC9VE2"],"itemData":{"id":1797,"type":"article-journal","container-title":"Journal of Thoracic Oncology","title":"Socio-economic inequalities in novel NSCLC treatments during the era of tumor biomarker guided therapy: a population-based cohort study in a publicly funded healthcare system","volume":"In Prep","author":[{"family":"Norris","given":"R.P."},{"family":"Dew","given":"R."},{"family":"Greystoke","given":"A."},{"family":"Todd","given":"A."},{"family":"Sharp","given":"L."}],"issued":{"date-parts":[["2023"]]}}}],"schema":"https://github.com/citation-style-language/schema/raw/master/csl-citation.json"} </w:instrText>
      </w:r>
      <w:r w:rsidR="0096242F" w:rsidRPr="00033A14">
        <w:rPr>
          <w:bCs/>
          <w:sz w:val="22"/>
          <w:szCs w:val="22"/>
        </w:rPr>
        <w:fldChar w:fldCharType="separate"/>
      </w:r>
      <w:r w:rsidR="00103315" w:rsidRPr="00103315">
        <w:rPr>
          <w:sz w:val="22"/>
          <w:vertAlign w:val="superscript"/>
        </w:rPr>
        <w:t>45</w:t>
      </w:r>
      <w:r w:rsidR="0096242F" w:rsidRPr="00033A14">
        <w:rPr>
          <w:bCs/>
          <w:sz w:val="22"/>
          <w:szCs w:val="22"/>
        </w:rPr>
        <w:fldChar w:fldCharType="end"/>
      </w:r>
      <w:r w:rsidR="00FD0DC3" w:rsidRPr="00033A14">
        <w:rPr>
          <w:bCs/>
          <w:sz w:val="22"/>
          <w:szCs w:val="22"/>
        </w:rPr>
        <w:t xml:space="preserve"> </w:t>
      </w:r>
      <w:r w:rsidR="00F14B00" w:rsidRPr="00033A14">
        <w:rPr>
          <w:bCs/>
          <w:sz w:val="22"/>
          <w:szCs w:val="22"/>
        </w:rPr>
        <w:t xml:space="preserve">Given </w:t>
      </w:r>
      <w:r w:rsidR="002838C6" w:rsidRPr="00033A14">
        <w:rPr>
          <w:bCs/>
          <w:sz w:val="22"/>
          <w:szCs w:val="22"/>
        </w:rPr>
        <w:t xml:space="preserve">that </w:t>
      </w:r>
      <w:r w:rsidR="00F14B00" w:rsidRPr="00033A14">
        <w:rPr>
          <w:bCs/>
          <w:sz w:val="22"/>
          <w:szCs w:val="22"/>
        </w:rPr>
        <w:t>socio-economic differences in treatment</w:t>
      </w:r>
      <w:r w:rsidR="00CB5F8B">
        <w:rPr>
          <w:bCs/>
          <w:sz w:val="22"/>
          <w:szCs w:val="22"/>
        </w:rPr>
        <w:t xml:space="preserve"> receipt</w:t>
      </w:r>
      <w:r w:rsidR="00F14B00" w:rsidRPr="00033A14">
        <w:rPr>
          <w:bCs/>
          <w:sz w:val="22"/>
          <w:szCs w:val="22"/>
        </w:rPr>
        <w:t xml:space="preserve"> may account for </w:t>
      </w:r>
      <w:r w:rsidR="004F3E9D">
        <w:rPr>
          <w:bCs/>
          <w:sz w:val="22"/>
          <w:szCs w:val="22"/>
        </w:rPr>
        <w:t xml:space="preserve">disparities in cancer </w:t>
      </w:r>
      <w:r w:rsidR="00F14B00" w:rsidRPr="00033A14">
        <w:rPr>
          <w:bCs/>
          <w:sz w:val="22"/>
          <w:szCs w:val="22"/>
        </w:rPr>
        <w:t>survival and mortality,</w:t>
      </w:r>
      <w:r w:rsidR="00151179">
        <w:rPr>
          <w:bCs/>
          <w:sz w:val="22"/>
          <w:szCs w:val="22"/>
        </w:rPr>
        <w:fldChar w:fldCharType="begin"/>
      </w:r>
      <w:r w:rsidR="00103315">
        <w:rPr>
          <w:bCs/>
          <w:sz w:val="22"/>
          <w:szCs w:val="22"/>
        </w:rPr>
        <w:instrText xml:space="preserve"> ADDIN ZOTERO_ITEM CSL_CITATION {"citationID":"gTWf5KC9","properties":{"formattedCitation":"\\super 46\\uc0\\u8211{}48\\nosupersub{}","plainCitation":"46–48","noteIndex":0},"citationItems":[{"id":1206,"uris":["http://zotero.org/users/local/nRdURiV3/items/AC3ZZR8G"],"itemData":{"id":1206,"type":"article-journal","abstract":"BACKGROUND: Patients living in more deprived localities have lower cancer survival in England, but the role of individual health status at diagnosis and the utilisation of primary health care in explaining these differentials has not been widely considered. We set out to evaluate whether pre-existing individual health status at diagnosis and primary care consultation history (peri-diagnostic factors) could explain socio-economic differentials in survival amongst women diagnosed with breast cancer.\nMETHODS: We conducted a retrospective cohort study of women aged 15-99 years diagnosed in England using linked routine data. Ecologically-derived measures of income deprivation were combined with individually-linked data from the English National Cancer Registry, Clinical Practice Research Datalink (CPRD) and Hospital Episodes Statistics (HES) databases. Smoking status, alcohol consumption, BMI, comorbidity, and consultation histories were derived for all patients. Time to breast surgery was derived for women diagnosed after 2005. We estimated net survival and modelled the excess hazard ratio of breast cancer death using flexible parametric models. We accounted for missing data using multiple imputation.\nRESULTS: Net survival was lower amongst more deprived women, with a single unit increase in deprivation quintile inferring a 4.4% (95% CI 1.4-8.8) increase in excess mortality. Peri-diagnostic co-variables varied by deprivation but did not explain the differentials in multivariable analyses.\nCONCLUSIONS: These data show that socio-economic inequalities in survival cannot be explained by consultation history or by pre-existing individual health status, as measured in primary care. Differentials in the effectiveness of treatment, beyond those measuring the inclusion of breast surgery and the timing of surgery, should be considered as part of the wider effort to reduce inequalities in premature mortality.","container-title":"BMC cancer","DOI":"10.1186/s12885-021-08087-x","ISSN":"1471-2407","issue":"1","journalAbbreviation":"BMC Cancer","language":"eng","note":"PMID: 33933034\nPMCID: PMC8088027","page":"485","source":"PubMed","title":"Are socio-economic inequalities in breast cancer survival explained by peri-diagnostic factors?","volume":"21","author":[{"family":"Woods","given":"Laura M."},{"family":"Rachet","given":"Bernard"},{"family":"Morris","given":"Melanie"},{"family":"Bhaskaran","given":"Krishnan"},{"family":"Coleman","given":"Michel P."}],"issued":{"date-parts":[["2021",5,1]]}}},{"id":901,"uris":["http://zotero.org/users/local/nRdURiV3/items/RNZJPG5V"],"itemData":{"id":901,"type":"article-journal","abstract":"Background\nSurvival from colorectal cancer has been shown to be lower in Denmark and England than in comparable high-income countries. We used data from national colorectal cancer registries to assess whether differences in the proportion of patients receiving resectional surgery could contribute to international differences in colorectal cancer survival.\n\nMethods\nIn this population-based study, we collected data from all patients aged 18–99 years diagnosed with primary, invasive, colorectal adenocarcinoma from Jan 1, 2010, to Dec 31, 2012, in Denmark, England, Norway, and Sweden, from national colorectal cancer registries. We estimated age-standardised net survival using multivariable modelling, and we compared the proportion of patients receiving resectional surgery by stage and age. We used logistic regression to predict the resectional surgery status patients would have had if they had been treated as in the best performing country, given their individual characteristics.\n\nFindings\nWe extracted registry data for 139 457 adult patients with invasive colorectal adenocarcinoma: 12 958 patients in Denmark, 97 466 in England, 11 450 in Norway, and 17 583 in Sweden. 3-year colon cancer survival was lower in England (63·9%, 95% CI 63·5–64·3) and Denmark (65·7%, 64·7–66·8) than in Norway (69·5%, 68·4–70·5) and Sweden (72·1%, 71·2–73·0). Rectal cancer survival was lower in England (69·7%, 69·1–70·3) than in the other three countries (Denmark 72·5%, 71·1–74·0; Sweden 74·1%, 72·7–75·4; and Norway 75·0%, 73·1–76·8). We found no significant differences in survival for patients with stage I disease in any of the four countries. 3-year survival after stage II or III rectal cancer and stage IV colon cancer was consistently lower in England (stage II rectal cancer 86·4%, 95% CI 85·0–87·6; stage III rectal cancer 75·5%, 74·2–76·7; and stage IV colon cancer 20·5%, 19·9–21·1) than in Norway (94·1%, 91·5–96·0; 83·4%, 80·1–86·1; and 33·0%, 31·0–35·1) and Sweden (92·9%, 90·8–94·6; 80·6%, 78·2–82·7; and 23·7%, 22·0–25·3). 3-year survival after stage II rectal cancer and stage IV colon cancer was also lower in England than in Denmark (stage II rectal cancer 91·2%, 88·8–93·1; and stage IV colon cancer 23·5%, 21·9–25·1). The total proportion of patients treated with resectional surgery ranged from 47 803 (68·4%) of 69 867 patients in England to 9582 (81·3%) of 11 786 in Sweden for colon cancer, and from 16 544 (59·9%) of 27 599 in England to 4106 (70·8%) of 5797 in Sweden for rectal cancer. This range was widest for patients older than 75 years (colon cancer 19 078 [59·7%] of 31 946 patients in England to 4429 [80·9%] of 5474 in Sweden; rectal cancer 4663 [45·7%] of 10 195 in England to 1342 [61·9%] of 2169 in Sweden), and the proportion of patients treated with resectional surgery was consistently lowest in England. The age gradient of the decline in the proportion of patients treated with resectional surgery was steeper in England than in the other three countries in all stage categories. In the hypothetical scenario where all patients were treated as in Sweden, given their age, sex, and disease stage, the largest increase in resectional surgery would be for patients with stage III rectal cancer in England (increasing from 70·3% to 88·2%).\n\nInterpretation\nSurvival from colon cancer and rectal cancer in England and colon cancer in Denmark was lower than in Norway and Sweden. Survival paralleled the relative provision of resectional surgery in these countries. Differences in patient selection for surgery, especially in patients older than 75 years or individuals with advanced disease, might partly explain these differences in international colorectal cancer survival.\n\nFunding\nEarly Diagnosis Policy Research Grant from Cancer Research UK (C7923/A18348).","container-title":"The Lancet. Oncology","DOI":"10.1016/S1470-2045(18)30646-6","ISSN":"1470-2045","issue":"1","journalAbbreviation":"Lancet Oncol","note":"PMID: 30545752\nPMCID: PMC6318222","page":"74-87","source":"PubMed Central","title":"Surgical treatment and survival from colorectal cancer in Denmark, England, Norway, and Sweden: a population-based study","title-short":"Surgical treatment and survival from colorectal cancer in Denmark, England, Norway, and Sweden","volume":"20","author":[{"family":"Benitez Majano","given":"Sara"},{"family":"Di Girolamo","given":"Chiara"},{"family":"Rachet","given":"Bernard"},{"family":"Maringe","given":"Camille"},{"family":"Guren","given":"Marianne Grønlie"},{"family":"Glimelius","given":"Bengt"},{"family":"Iversen","given":"Lene Hjerrild"},{"family":"Schnell","given":"Edrun Andrea"},{"family":"Lundqvist","given":"Kristina"},{"family":"Christensen","given":"Jane"},{"family":"Morris","given":"Melanie"},{"family":"Coleman","given":"Michel P"},{"family":"Walters","given":"Sarah"}],"issued":{"date-parts":[["2019"]]}}},{"id":898,"uris":["http://zotero.org/users/local/nRdURiV3/items/EXCI8SGK"],"itemData":{"id":898,"type":"article-journal","abstract":"Substantial socioeconomic inequalities in breast cancer survival persist in England, possibly due to more advanced cancer at diagnosis and differential access to treatment. We aim to disentangle the contributions of differential stage at diagnosis and differential treatment to the socioeconomic inequalities in cancer survival. Information on 36,793 women diagnosed with breast cancer during 2000–2007 was routinely collected by an English population-based cancer registry. Deprivation was determined for each patient according to her area of residence at the time of diagnosis. A parametric implementation of the mediation formula using Monte Carlo simulation was used to estimate the proportion of the effect of deprivation on survival mediated by stage and by treatment. One-third (35 % [23–48 %]) of the higher mortality experienced by most deprived patients at 6 months after diagnosis, and one tenth (14 % [−3 to 31 %]) at 5 years, was mediated by adverse stage distribution. We initially found no evidence of mediation via differential surgical treatment. However, sensitivity analyses testing some of our study limitations showed in particular that up to thirty per cent of the higher mortality in most deprived patients could be mediated by differential surgical treatment. This study illustrates the importance of using causal inference methods with routine medical data and the need for testing key assumptions through sensitivity analyses. Our results suggest that, although effort for earlier diagnosis is important, this would reduce the cancer survival inequalities only by a third. Because of data limitations, role of differential surgical treatment may have been under-estimated.","container-title":"European Journal of Epidemiology","DOI":"10.1007/s10654-016-0155-5","ISSN":"0393-2990","journalAbbreviation":"Eur J Epidemiol","note":"PMID: 27165500\nPMCID: PMC4956701","page":"603-611","source":"PubMed Central","title":"How much do tumor stage and treatment explain socioeconomic inequalities in breast cancer survival? Applying causal mediation analysis to population-based data","title-short":"How much do tumor stage and treatment explain socioeconomic inequalities in breast cancer survival?","volume":"31","author":[{"family":"Li","given":"Ruoran"},{"family":"Daniel","given":"Rhian"},{"family":"Rachet","given":"Bernard"}],"issued":{"date-parts":[["2016"]]}}}],"schema":"https://github.com/citation-style-language/schema/raw/master/csl-citation.json"} </w:instrText>
      </w:r>
      <w:r w:rsidR="00151179">
        <w:rPr>
          <w:bCs/>
          <w:sz w:val="22"/>
          <w:szCs w:val="22"/>
        </w:rPr>
        <w:fldChar w:fldCharType="separate"/>
      </w:r>
      <w:r w:rsidR="00103315" w:rsidRPr="00103315">
        <w:rPr>
          <w:sz w:val="22"/>
          <w:vertAlign w:val="superscript"/>
        </w:rPr>
        <w:t>46–48</w:t>
      </w:r>
      <w:r w:rsidR="00151179">
        <w:rPr>
          <w:bCs/>
          <w:sz w:val="22"/>
          <w:szCs w:val="22"/>
        </w:rPr>
        <w:fldChar w:fldCharType="end"/>
      </w:r>
      <w:r w:rsidR="00F14B00" w:rsidRPr="00033A14">
        <w:rPr>
          <w:bCs/>
          <w:sz w:val="22"/>
          <w:szCs w:val="22"/>
        </w:rPr>
        <w:t xml:space="preserve"> </w:t>
      </w:r>
      <w:r w:rsidR="001B3D32">
        <w:rPr>
          <w:bCs/>
          <w:sz w:val="22"/>
          <w:szCs w:val="22"/>
        </w:rPr>
        <w:t xml:space="preserve">these </w:t>
      </w:r>
      <w:r w:rsidR="00F14B00" w:rsidRPr="00033A14">
        <w:rPr>
          <w:bCs/>
          <w:sz w:val="22"/>
          <w:szCs w:val="22"/>
        </w:rPr>
        <w:t>inequ</w:t>
      </w:r>
      <w:r w:rsidR="00C57B75">
        <w:rPr>
          <w:bCs/>
          <w:sz w:val="22"/>
          <w:szCs w:val="22"/>
        </w:rPr>
        <w:t>ities</w:t>
      </w:r>
      <w:r w:rsidR="00F14B00" w:rsidRPr="00033A14">
        <w:rPr>
          <w:bCs/>
          <w:sz w:val="22"/>
          <w:szCs w:val="22"/>
        </w:rPr>
        <w:t xml:space="preserve"> have important </w:t>
      </w:r>
      <w:r w:rsidR="00356D7E">
        <w:rPr>
          <w:bCs/>
          <w:sz w:val="22"/>
          <w:szCs w:val="22"/>
        </w:rPr>
        <w:t>implications</w:t>
      </w:r>
      <w:r w:rsidR="004F3E9D">
        <w:rPr>
          <w:bCs/>
          <w:sz w:val="22"/>
          <w:szCs w:val="22"/>
        </w:rPr>
        <w:t>.</w:t>
      </w:r>
    </w:p>
    <w:p w14:paraId="10106FAE" w14:textId="77777777" w:rsidR="004D5898" w:rsidRDefault="004D5898" w:rsidP="00EB2F6F">
      <w:pPr>
        <w:spacing w:line="360" w:lineRule="auto"/>
        <w:rPr>
          <w:bCs/>
          <w:sz w:val="22"/>
          <w:szCs w:val="22"/>
        </w:rPr>
      </w:pPr>
    </w:p>
    <w:p w14:paraId="0A6B52D2" w14:textId="45855D5D" w:rsidR="00611358" w:rsidRPr="00FF51AB" w:rsidRDefault="00DA48B7" w:rsidP="00EB2F6F">
      <w:pPr>
        <w:spacing w:line="360" w:lineRule="auto"/>
        <w:rPr>
          <w:bCs/>
          <w:color w:val="0070C0"/>
          <w:sz w:val="22"/>
          <w:szCs w:val="22"/>
        </w:rPr>
      </w:pPr>
      <w:r>
        <w:rPr>
          <w:bCs/>
          <w:sz w:val="22"/>
          <w:szCs w:val="22"/>
        </w:rPr>
        <w:t>There is no clear</w:t>
      </w:r>
      <w:r w:rsidR="00213B83">
        <w:rPr>
          <w:bCs/>
          <w:sz w:val="22"/>
          <w:szCs w:val="22"/>
        </w:rPr>
        <w:t>, single</w:t>
      </w:r>
      <w:r>
        <w:rPr>
          <w:bCs/>
          <w:sz w:val="22"/>
          <w:szCs w:val="22"/>
        </w:rPr>
        <w:t xml:space="preserve"> explanation as to why trastuzumab </w:t>
      </w:r>
      <w:r w:rsidR="009C73DD">
        <w:rPr>
          <w:bCs/>
          <w:sz w:val="22"/>
          <w:szCs w:val="22"/>
        </w:rPr>
        <w:t xml:space="preserve">receipt </w:t>
      </w:r>
      <w:r>
        <w:rPr>
          <w:bCs/>
          <w:sz w:val="22"/>
          <w:szCs w:val="22"/>
        </w:rPr>
        <w:t xml:space="preserve">is </w:t>
      </w:r>
      <w:r w:rsidR="00306BF9">
        <w:rPr>
          <w:bCs/>
          <w:sz w:val="22"/>
          <w:szCs w:val="22"/>
        </w:rPr>
        <w:t xml:space="preserve">less commonly used in women with </w:t>
      </w:r>
      <w:r w:rsidR="00A01D7A">
        <w:rPr>
          <w:bCs/>
          <w:sz w:val="22"/>
          <w:szCs w:val="22"/>
        </w:rPr>
        <w:t>early-stage breast cancer</w:t>
      </w:r>
      <w:r w:rsidR="00306BF9">
        <w:rPr>
          <w:bCs/>
          <w:sz w:val="22"/>
          <w:szCs w:val="22"/>
        </w:rPr>
        <w:t xml:space="preserve"> resident in more deprived areas or – as shown here – why receipt </w:t>
      </w:r>
      <w:r w:rsidR="005B6A5A">
        <w:rPr>
          <w:bCs/>
          <w:sz w:val="22"/>
          <w:szCs w:val="22"/>
        </w:rPr>
        <w:t>varies</w:t>
      </w:r>
      <w:r w:rsidR="00306BF9">
        <w:rPr>
          <w:bCs/>
          <w:sz w:val="22"/>
          <w:szCs w:val="22"/>
        </w:rPr>
        <w:t xml:space="preserve"> by age</w:t>
      </w:r>
      <w:r w:rsidR="0016619C">
        <w:rPr>
          <w:bCs/>
          <w:sz w:val="22"/>
          <w:szCs w:val="22"/>
        </w:rPr>
        <w:t xml:space="preserve"> </w:t>
      </w:r>
      <w:r w:rsidR="00306BF9">
        <w:rPr>
          <w:bCs/>
          <w:sz w:val="22"/>
          <w:szCs w:val="22"/>
        </w:rPr>
        <w:t>or rural-urban residence</w:t>
      </w:r>
      <w:r w:rsidR="00C2356F">
        <w:rPr>
          <w:bCs/>
          <w:sz w:val="22"/>
          <w:szCs w:val="22"/>
        </w:rPr>
        <w:t>.</w:t>
      </w:r>
      <w:r w:rsidR="007A76F8">
        <w:rPr>
          <w:bCs/>
          <w:sz w:val="22"/>
          <w:szCs w:val="22"/>
        </w:rPr>
        <w:t xml:space="preserve"> </w:t>
      </w:r>
      <w:r w:rsidR="00092A1B">
        <w:rPr>
          <w:bCs/>
          <w:sz w:val="22"/>
          <w:szCs w:val="22"/>
        </w:rPr>
        <w:t xml:space="preserve">Trastuzumab </w:t>
      </w:r>
      <w:r w:rsidR="00092A1B">
        <w:rPr>
          <w:bCs/>
          <w:color w:val="000000" w:themeColor="text1"/>
          <w:sz w:val="22"/>
          <w:szCs w:val="22"/>
        </w:rPr>
        <w:t xml:space="preserve">is </w:t>
      </w:r>
      <w:r w:rsidR="00092A1B" w:rsidRPr="00033A14">
        <w:rPr>
          <w:bCs/>
          <w:color w:val="000000" w:themeColor="text1"/>
          <w:sz w:val="22"/>
          <w:szCs w:val="22"/>
        </w:rPr>
        <w:t>well tolerated</w:t>
      </w:r>
      <w:r w:rsidR="005B6A5A">
        <w:rPr>
          <w:bCs/>
          <w:color w:val="000000" w:themeColor="text1"/>
          <w:sz w:val="22"/>
          <w:szCs w:val="22"/>
        </w:rPr>
        <w:t>,</w:t>
      </w:r>
      <w:r w:rsidR="00092A1B" w:rsidRPr="00033A14">
        <w:rPr>
          <w:bCs/>
          <w:color w:val="000000" w:themeColor="text1"/>
          <w:sz w:val="22"/>
          <w:szCs w:val="22"/>
        </w:rPr>
        <w:t xml:space="preserve"> </w:t>
      </w:r>
      <w:r w:rsidR="00092A1B">
        <w:rPr>
          <w:bCs/>
          <w:color w:val="000000" w:themeColor="text1"/>
          <w:sz w:val="22"/>
          <w:szCs w:val="22"/>
        </w:rPr>
        <w:t>to</w:t>
      </w:r>
      <w:r w:rsidR="00092A1B" w:rsidRPr="00033A14">
        <w:rPr>
          <w:bCs/>
          <w:color w:val="000000" w:themeColor="text1"/>
          <w:sz w:val="22"/>
          <w:szCs w:val="22"/>
        </w:rPr>
        <w:t xml:space="preserve">xicity </w:t>
      </w:r>
      <w:r w:rsidR="005B6A5A">
        <w:rPr>
          <w:bCs/>
          <w:color w:val="000000" w:themeColor="text1"/>
          <w:sz w:val="22"/>
          <w:szCs w:val="22"/>
        </w:rPr>
        <w:t xml:space="preserve">is </w:t>
      </w:r>
      <w:r w:rsidR="00092A1B" w:rsidRPr="00033A14">
        <w:rPr>
          <w:bCs/>
          <w:color w:val="000000" w:themeColor="text1"/>
          <w:sz w:val="22"/>
          <w:szCs w:val="22"/>
        </w:rPr>
        <w:t xml:space="preserve">lower </w:t>
      </w:r>
      <w:r w:rsidR="00092A1B">
        <w:rPr>
          <w:bCs/>
          <w:color w:val="000000" w:themeColor="text1"/>
          <w:sz w:val="22"/>
          <w:szCs w:val="22"/>
        </w:rPr>
        <w:t>than</w:t>
      </w:r>
      <w:r w:rsidR="00092A1B" w:rsidRPr="00033A14">
        <w:rPr>
          <w:bCs/>
          <w:color w:val="000000" w:themeColor="text1"/>
          <w:sz w:val="22"/>
          <w:szCs w:val="22"/>
        </w:rPr>
        <w:t xml:space="preserve"> cytotoxic chemotherapy therapy, and monitoring is in place to </w:t>
      </w:r>
      <w:r w:rsidR="00ED0757">
        <w:rPr>
          <w:bCs/>
          <w:color w:val="000000" w:themeColor="text1"/>
          <w:sz w:val="22"/>
          <w:szCs w:val="22"/>
        </w:rPr>
        <w:t>minimize</w:t>
      </w:r>
      <w:r w:rsidR="00092A1B" w:rsidRPr="00033A14">
        <w:rPr>
          <w:bCs/>
          <w:color w:val="000000" w:themeColor="text1"/>
          <w:sz w:val="22"/>
          <w:szCs w:val="22"/>
        </w:rPr>
        <w:t xml:space="preserve"> cardiovascular complications</w:t>
      </w:r>
      <w:r w:rsidR="00092A1B">
        <w:rPr>
          <w:bCs/>
          <w:color w:val="000000" w:themeColor="text1"/>
          <w:sz w:val="22"/>
          <w:szCs w:val="22"/>
        </w:rPr>
        <w:t>.</w:t>
      </w:r>
      <w:r w:rsidR="00092A1B" w:rsidRPr="00033A14">
        <w:rPr>
          <w:bCs/>
          <w:color w:val="000000" w:themeColor="text1"/>
          <w:sz w:val="22"/>
          <w:szCs w:val="22"/>
        </w:rPr>
        <w:fldChar w:fldCharType="begin"/>
      </w:r>
      <w:r w:rsidR="00203C6E">
        <w:rPr>
          <w:bCs/>
          <w:color w:val="000000" w:themeColor="text1"/>
          <w:sz w:val="22"/>
          <w:szCs w:val="22"/>
        </w:rPr>
        <w:instrText xml:space="preserve"> ADDIN ZOTERO_ITEM CSL_CITATION {"citationID":"r53skdvu","properties":{"formattedCitation":"\\super 49\\nosupersub{}","plainCitation":"49","noteIndex":0},"citationItems":[{"id":"nMalwRdq/blEQJniM","uris":["http://zotero.org/users/6915713/items/SZMTYF42",["http://zotero.org/users/6915713/items/SZMTYF42"]],"itemData":{"id":"B6tBNu26/CQXgpskB","type":"article-journal","abstract":"Trastuzumab is a humanised monoclonal antibody developed to target the HER2 receptor which is overexpressed by some cancer cells, including 25 to 30% of breast cancers. Binding with high affinity to the extracellular domain of HER2, trastuzumab inhibits the proliferation of tumour cells that overexpress HER2. A large well designed multicentre study found that the addition of trastuzumab to either an anthracycline plus cyclophosphamide or to paclitaxel, as first-line therapy for metastatic breast cancer overexpressing the HER2 receptor, significantly increased time to disease progression, rate of objective response, duration of response and survival compared with chemotherapy alone. Single-agent trastuzumab was associated with an objective response in 15% of extensively pretreated patients with metastatic breast cancer overexpressing HER2, and 26% of previously untreated patients. Patients with a HER2 overexpression level of 3+ using immunohistochemical (IHC) assay or a positive HER2 result using fluorescence in situ hybridisation (FISH), benefit more from trastuzumab therapy than those with tumours overexpressing at a level of 2+. Trastuzumab has demonstrated synergistic action with several chemotherapy agents preclinically but the optimal combination clinically is yet to be determined. Trastuzumab is generally well tolerated by most patients; the most significant adverse effects being acute fever and/or chills and the potential to cause cardiac dysfunction. Serious adverse events, including anaphylaxis and death, have occurred in 0.25% of patients. Symptomatic or asymptomatic cardiac dysfunction occurred in 27% of patients receiving an anthracycline and cyclophosphamide combined with trastuzumab. Thus, combination therapy with anthracyclines is not recommended. Symptomatic or asymptomatic cardiac dysfunction occurred in 13% of patients receiving trastuzumab plus paclitaxel and in 4.7% of patients receiving trastuzumab alone.\nCONCLUSION: Intravenous trastuzumab is effective as a single-agent, and in combination with chemotherapy it significantly improves the median time to disease progression and survival time in patients with metastatic breast cancer overexpressing the HER2 receptor compared with chemotherapy alone. Cardiotoxicity is the main concern with therapy; particularly in patients with pre-existing cardiac dysfunction, the elderly and in combination with, or following, anthracyclines. Trastuzumab is indicated for use with paclitaxel as first-line therapy or as a single agent in second- or third-line treatment regimens for patients with metastatic breast cancer overexpressing HER2. Investigation is ongoing to ascertain the optimal combination regimen containing trastuzumab and antineoplastic agents. In addition, current research is focusing on the optimal timing, sequencing and duration of therapy as well as administration in the neoadjuvant and adjuvant setting.","container-title":"Drugs","DOI":"10.2165/00003495-200262010-00008","ISSN":"0012-6667","issue":"1","journalAbbreviation":"Drugs","language":"eng","note":"PMID: 11790161","page":"209-243","source":"PubMed","title":"Trastuzumab: a review of its use in the treatment of metastatic breast cancer overexpressing HER2","title-short":"Trastuzumab","volume":"62","author":[{"family":"McKeage","given":"Kate"},{"family":"Perry","given":"Caroline M."}],"issued":{"date-parts":[["2002"]]}}}],"schema":"https://github.com/citation-style-language/schema/raw/master/csl-citation.json"} </w:instrText>
      </w:r>
      <w:r w:rsidR="00092A1B" w:rsidRPr="00033A14">
        <w:rPr>
          <w:bCs/>
          <w:color w:val="000000" w:themeColor="text1"/>
          <w:sz w:val="22"/>
          <w:szCs w:val="22"/>
        </w:rPr>
        <w:fldChar w:fldCharType="separate"/>
      </w:r>
      <w:r w:rsidR="00103315" w:rsidRPr="00103315">
        <w:rPr>
          <w:color w:val="000000"/>
          <w:sz w:val="22"/>
          <w:vertAlign w:val="superscript"/>
        </w:rPr>
        <w:t>49</w:t>
      </w:r>
      <w:r w:rsidR="00092A1B" w:rsidRPr="00033A14">
        <w:rPr>
          <w:bCs/>
          <w:color w:val="000000" w:themeColor="text1"/>
          <w:sz w:val="22"/>
          <w:szCs w:val="22"/>
        </w:rPr>
        <w:fldChar w:fldCharType="end"/>
      </w:r>
      <w:r w:rsidR="00092A1B">
        <w:rPr>
          <w:bCs/>
          <w:color w:val="000000" w:themeColor="text1"/>
          <w:sz w:val="22"/>
          <w:szCs w:val="22"/>
        </w:rPr>
        <w:t xml:space="preserve"> </w:t>
      </w:r>
      <w:r w:rsidR="004A2EB9">
        <w:rPr>
          <w:bCs/>
          <w:color w:val="000000" w:themeColor="text1"/>
          <w:sz w:val="22"/>
          <w:szCs w:val="22"/>
        </w:rPr>
        <w:t>T</w:t>
      </w:r>
      <w:r w:rsidR="00092A1B">
        <w:rPr>
          <w:bCs/>
          <w:color w:val="000000" w:themeColor="text1"/>
          <w:sz w:val="22"/>
          <w:szCs w:val="22"/>
        </w:rPr>
        <w:t xml:space="preserve">heoretically, </w:t>
      </w:r>
      <w:r w:rsidR="0046762F">
        <w:rPr>
          <w:bCs/>
          <w:color w:val="000000" w:themeColor="text1"/>
          <w:sz w:val="22"/>
          <w:szCs w:val="22"/>
        </w:rPr>
        <w:t xml:space="preserve">many </w:t>
      </w:r>
      <w:r w:rsidR="00092A1B" w:rsidRPr="00033A14">
        <w:rPr>
          <w:bCs/>
          <w:sz w:val="22"/>
          <w:szCs w:val="22"/>
        </w:rPr>
        <w:t>women</w:t>
      </w:r>
      <w:r w:rsidR="00092A1B">
        <w:rPr>
          <w:bCs/>
          <w:sz w:val="22"/>
          <w:szCs w:val="22"/>
        </w:rPr>
        <w:t xml:space="preserve"> (regardless of socio-</w:t>
      </w:r>
      <w:r w:rsidR="00092A1B" w:rsidRPr="009D3BE7">
        <w:rPr>
          <w:bCs/>
          <w:color w:val="000000" w:themeColor="text1"/>
          <w:sz w:val="22"/>
          <w:szCs w:val="22"/>
        </w:rPr>
        <w:t xml:space="preserve">economic background) should tolerate </w:t>
      </w:r>
      <w:r w:rsidR="0076209F">
        <w:rPr>
          <w:bCs/>
          <w:color w:val="000000" w:themeColor="text1"/>
          <w:sz w:val="22"/>
          <w:szCs w:val="22"/>
        </w:rPr>
        <w:t>trastuzumab</w:t>
      </w:r>
      <w:r w:rsidR="006F68A6" w:rsidRPr="009D3BE7">
        <w:rPr>
          <w:bCs/>
          <w:color w:val="000000" w:themeColor="text1"/>
          <w:sz w:val="22"/>
          <w:szCs w:val="22"/>
        </w:rPr>
        <w:t xml:space="preserve">. </w:t>
      </w:r>
      <w:r w:rsidR="00611358" w:rsidRPr="009D3BE7">
        <w:rPr>
          <w:bCs/>
          <w:color w:val="000000" w:themeColor="text1"/>
          <w:sz w:val="22"/>
          <w:szCs w:val="22"/>
        </w:rPr>
        <w:t>On</w:t>
      </w:r>
      <w:r w:rsidR="00B0530D" w:rsidRPr="009D3BE7">
        <w:rPr>
          <w:bCs/>
          <w:color w:val="000000" w:themeColor="text1"/>
          <w:sz w:val="22"/>
          <w:szCs w:val="22"/>
        </w:rPr>
        <w:t>e</w:t>
      </w:r>
      <w:r w:rsidR="009C73DD" w:rsidRPr="009D3BE7">
        <w:rPr>
          <w:bCs/>
          <w:color w:val="000000" w:themeColor="text1"/>
          <w:sz w:val="22"/>
          <w:szCs w:val="22"/>
        </w:rPr>
        <w:t xml:space="preserve"> </w:t>
      </w:r>
      <w:r w:rsidR="00311B06" w:rsidRPr="009D3BE7">
        <w:rPr>
          <w:bCs/>
          <w:color w:val="000000" w:themeColor="text1"/>
          <w:sz w:val="22"/>
          <w:szCs w:val="22"/>
        </w:rPr>
        <w:t>barrier</w:t>
      </w:r>
      <w:r w:rsidR="00334DDF" w:rsidRPr="009D3BE7">
        <w:rPr>
          <w:bCs/>
          <w:color w:val="000000" w:themeColor="text1"/>
          <w:sz w:val="22"/>
          <w:szCs w:val="22"/>
        </w:rPr>
        <w:t xml:space="preserve"> </w:t>
      </w:r>
      <w:r w:rsidR="00092A1B" w:rsidRPr="009D3BE7">
        <w:rPr>
          <w:bCs/>
          <w:color w:val="000000" w:themeColor="text1"/>
          <w:sz w:val="22"/>
          <w:szCs w:val="22"/>
        </w:rPr>
        <w:t xml:space="preserve">to receipt </w:t>
      </w:r>
      <w:r w:rsidR="00611358" w:rsidRPr="009D3BE7">
        <w:rPr>
          <w:bCs/>
          <w:color w:val="000000" w:themeColor="text1"/>
          <w:sz w:val="22"/>
          <w:szCs w:val="22"/>
        </w:rPr>
        <w:t>is</w:t>
      </w:r>
      <w:r w:rsidR="00334DDF" w:rsidRPr="009D3BE7">
        <w:rPr>
          <w:bCs/>
          <w:color w:val="000000" w:themeColor="text1"/>
          <w:sz w:val="22"/>
          <w:szCs w:val="22"/>
        </w:rPr>
        <w:t xml:space="preserve"> HER2 testin</w:t>
      </w:r>
      <w:r w:rsidR="00B0530D" w:rsidRPr="009D3BE7">
        <w:rPr>
          <w:bCs/>
          <w:color w:val="000000" w:themeColor="text1"/>
          <w:sz w:val="22"/>
          <w:szCs w:val="22"/>
        </w:rPr>
        <w:t>g</w:t>
      </w:r>
      <w:r w:rsidR="009D3BE7">
        <w:rPr>
          <w:bCs/>
          <w:color w:val="000000" w:themeColor="text1"/>
          <w:sz w:val="22"/>
          <w:szCs w:val="22"/>
        </w:rPr>
        <w:t xml:space="preserve"> access</w:t>
      </w:r>
      <w:r w:rsidR="004A2EB9" w:rsidRPr="009D3BE7">
        <w:rPr>
          <w:bCs/>
          <w:color w:val="000000" w:themeColor="text1"/>
          <w:sz w:val="22"/>
          <w:szCs w:val="22"/>
        </w:rPr>
        <w:t xml:space="preserve">. However, </w:t>
      </w:r>
      <w:r w:rsidR="00A02F78">
        <w:rPr>
          <w:bCs/>
          <w:color w:val="000000" w:themeColor="text1"/>
          <w:sz w:val="22"/>
          <w:szCs w:val="22"/>
        </w:rPr>
        <w:t xml:space="preserve">as </w:t>
      </w:r>
      <w:r w:rsidR="00611358" w:rsidRPr="009D3BE7">
        <w:rPr>
          <w:bCs/>
          <w:color w:val="000000" w:themeColor="text1"/>
          <w:sz w:val="22"/>
          <w:szCs w:val="22"/>
        </w:rPr>
        <w:t xml:space="preserve">NICE recommends </w:t>
      </w:r>
      <w:r w:rsidR="00E81F6C" w:rsidRPr="009D3BE7">
        <w:rPr>
          <w:bCs/>
          <w:color w:val="000000" w:themeColor="text1"/>
          <w:sz w:val="22"/>
          <w:szCs w:val="22"/>
        </w:rPr>
        <w:t xml:space="preserve">HER2 </w:t>
      </w:r>
      <w:r w:rsidR="007D0C5F" w:rsidRPr="009D3BE7">
        <w:rPr>
          <w:bCs/>
          <w:color w:val="000000" w:themeColor="text1"/>
          <w:sz w:val="22"/>
          <w:szCs w:val="22"/>
        </w:rPr>
        <w:t>testing</w:t>
      </w:r>
      <w:r w:rsidR="00E81F6C" w:rsidRPr="009D3BE7">
        <w:rPr>
          <w:bCs/>
          <w:color w:val="000000" w:themeColor="text1"/>
          <w:sz w:val="22"/>
          <w:szCs w:val="22"/>
        </w:rPr>
        <w:t xml:space="preserve"> in England </w:t>
      </w:r>
      <w:r w:rsidR="00611358" w:rsidRPr="009D3BE7">
        <w:rPr>
          <w:bCs/>
          <w:color w:val="000000" w:themeColor="text1"/>
          <w:sz w:val="22"/>
          <w:szCs w:val="22"/>
        </w:rPr>
        <w:t>as</w:t>
      </w:r>
      <w:r w:rsidR="00E81F6C" w:rsidRPr="009D3BE7">
        <w:rPr>
          <w:bCs/>
          <w:color w:val="000000" w:themeColor="text1"/>
          <w:sz w:val="22"/>
          <w:szCs w:val="22"/>
        </w:rPr>
        <w:t xml:space="preserve"> routine</w:t>
      </w:r>
      <w:r w:rsidR="00A02F78">
        <w:rPr>
          <w:bCs/>
          <w:color w:val="000000" w:themeColor="text1"/>
          <w:sz w:val="22"/>
          <w:szCs w:val="22"/>
        </w:rPr>
        <w:t>,</w:t>
      </w:r>
      <w:r w:rsidR="00611358" w:rsidRPr="009D3BE7">
        <w:rPr>
          <w:bCs/>
          <w:color w:val="000000" w:themeColor="text1"/>
          <w:sz w:val="22"/>
          <w:szCs w:val="22"/>
        </w:rPr>
        <w:fldChar w:fldCharType="begin"/>
      </w:r>
      <w:r w:rsidR="00103315">
        <w:rPr>
          <w:bCs/>
          <w:color w:val="000000" w:themeColor="text1"/>
          <w:sz w:val="22"/>
          <w:szCs w:val="22"/>
        </w:rPr>
        <w:instrText xml:space="preserve"> ADDIN ZOTERO_ITEM CSL_CITATION {"citationID":"oJAFdDTf","properties":{"formattedCitation":"\\super 50\\nosupersub{}","plainCitation":"50","noteIndex":0},"citationItems":[{"id":1171,"uris":["http://zotero.org/users/local/nRdURiV3/items/L523BLU3"],"itemData":{"id":1171,"type":"webpage","abstract":"This guideline covers diagnosing and managing early and locally advanced breast cancer. It aims to help healthcare professionals offer the right treatments to","language":"eng","title":"Recommendations, early and locally advanced breast cancer: diagnosis and management guidance","title-short":"Recommendations | Early and locally advanced breast cancer","URL":"https://www.nice.org.uk/guidance/ng101/chapter/Recommendations#surgery-to-the-breast","author":[{"family":"NICE","given":""}],"accessed":{"date-parts":[["2022",3,30]]},"issued":{"date-parts":[["2018"]]}}}],"schema":"https://github.com/citation-style-language/schema/raw/master/csl-citation.json"} </w:instrText>
      </w:r>
      <w:r w:rsidR="00611358" w:rsidRPr="009D3BE7">
        <w:rPr>
          <w:bCs/>
          <w:color w:val="000000" w:themeColor="text1"/>
          <w:sz w:val="22"/>
          <w:szCs w:val="22"/>
        </w:rPr>
        <w:fldChar w:fldCharType="separate"/>
      </w:r>
      <w:r w:rsidR="00103315" w:rsidRPr="00103315">
        <w:rPr>
          <w:color w:val="000000"/>
          <w:sz w:val="22"/>
          <w:vertAlign w:val="superscript"/>
        </w:rPr>
        <w:t>50</w:t>
      </w:r>
      <w:r w:rsidR="00611358" w:rsidRPr="009D3BE7">
        <w:rPr>
          <w:bCs/>
          <w:color w:val="000000" w:themeColor="text1"/>
          <w:sz w:val="22"/>
          <w:szCs w:val="22"/>
        </w:rPr>
        <w:fldChar w:fldCharType="end"/>
      </w:r>
      <w:r w:rsidR="00A02F78">
        <w:rPr>
          <w:bCs/>
          <w:color w:val="000000" w:themeColor="text1"/>
          <w:sz w:val="22"/>
          <w:szCs w:val="22"/>
        </w:rPr>
        <w:t xml:space="preserve"> testing is</w:t>
      </w:r>
      <w:r w:rsidR="0095159B" w:rsidRPr="009D3BE7">
        <w:rPr>
          <w:bCs/>
          <w:color w:val="000000" w:themeColor="text1"/>
          <w:sz w:val="22"/>
          <w:szCs w:val="22"/>
        </w:rPr>
        <w:t xml:space="preserve"> </w:t>
      </w:r>
      <w:r w:rsidR="00E81F6C" w:rsidRPr="009D3BE7">
        <w:rPr>
          <w:bCs/>
          <w:color w:val="000000" w:themeColor="text1"/>
          <w:sz w:val="22"/>
          <w:szCs w:val="22"/>
        </w:rPr>
        <w:t>well established</w:t>
      </w:r>
      <w:r w:rsidR="004A2EB9" w:rsidRPr="009D3BE7">
        <w:rPr>
          <w:bCs/>
          <w:color w:val="000000" w:themeColor="text1"/>
          <w:sz w:val="22"/>
          <w:szCs w:val="22"/>
        </w:rPr>
        <w:t xml:space="preserve"> in </w:t>
      </w:r>
      <w:r w:rsidR="00CB77DD" w:rsidRPr="009D3BE7">
        <w:rPr>
          <w:bCs/>
          <w:color w:val="000000" w:themeColor="text1"/>
          <w:sz w:val="22"/>
          <w:szCs w:val="22"/>
        </w:rPr>
        <w:t>this</w:t>
      </w:r>
      <w:r w:rsidR="004A2EB9" w:rsidRPr="009D3BE7">
        <w:rPr>
          <w:bCs/>
          <w:color w:val="000000" w:themeColor="text1"/>
          <w:sz w:val="22"/>
          <w:szCs w:val="22"/>
        </w:rPr>
        <w:t xml:space="preserve"> cancer</w:t>
      </w:r>
      <w:r w:rsidR="00306BF9" w:rsidRPr="009D3BE7">
        <w:rPr>
          <w:bCs/>
          <w:color w:val="000000" w:themeColor="text1"/>
          <w:sz w:val="22"/>
          <w:szCs w:val="22"/>
        </w:rPr>
        <w:t xml:space="preserve">. It is possible </w:t>
      </w:r>
      <w:r w:rsidR="00306BF9">
        <w:rPr>
          <w:bCs/>
          <w:sz w:val="22"/>
          <w:szCs w:val="22"/>
        </w:rPr>
        <w:t xml:space="preserve">that women residing in areas of high deprivation, or older women, </w:t>
      </w:r>
      <w:r w:rsidR="001B65A6">
        <w:rPr>
          <w:bCs/>
          <w:sz w:val="22"/>
          <w:szCs w:val="22"/>
        </w:rPr>
        <w:t xml:space="preserve">maybe </w:t>
      </w:r>
      <w:r w:rsidR="00306BF9">
        <w:rPr>
          <w:bCs/>
          <w:sz w:val="22"/>
          <w:szCs w:val="22"/>
        </w:rPr>
        <w:t>more likely to decline HER2 testing when offered. However, data from a previous systematic review and meta-analysis found only a small reduction in HER2 testing access by low SES – and this was not statistically significant</w:t>
      </w:r>
      <w:r w:rsidR="00E81F6C">
        <w:rPr>
          <w:bCs/>
          <w:sz w:val="22"/>
          <w:szCs w:val="22"/>
        </w:rPr>
        <w:t>.</w:t>
      </w:r>
      <w:r w:rsidR="00312029">
        <w:rPr>
          <w:bCs/>
          <w:sz w:val="22"/>
          <w:szCs w:val="22"/>
        </w:rPr>
        <w:fldChar w:fldCharType="begin"/>
      </w:r>
      <w:r w:rsidR="00203C6E">
        <w:rPr>
          <w:bCs/>
          <w:sz w:val="22"/>
          <w:szCs w:val="22"/>
        </w:rPr>
        <w:instrText xml:space="preserve"> ADDIN ZOTERO_ITEM CSL_CITATION {"citationID":"LK5BnLZq","properties":{"formattedCitation":"\\super 17\\nosupersub{}","plainCitation":"17","noteIndex":0},"citationItems":[{"id":"nMalwRdq/96VfIS9i","uris":["http://zotero.org/users/6915713/items/8Y9F5ZFW",["http://zotero.org/users/6915713/items/8Y9F5ZFW"]],"itemData":{"id":"DntAOho2/xNy4aygc","type":"article-journal","abstract":"Novel biological and precision therapies and their associated predictive biomarker tests offer opportunities for increased tumor response, reduced adverse effects, and improved survival. This systematic review determined if there are socio-economic inequalities in utilization of predictive biomarker tests and/or biological and precision cancer therapies.","container-title":"BMC Medicine","DOI":"10.1186/s12916-020-01753-0","ISSN":"1741-7015","issue":"1","journalAbbreviation":"BMC Medicine","page":"282","source":"BioMed Central","title":"Are there socio-economic inequalities in utilization of predictive biomarker tests and biological and precision therapies for cancer? A systematic review and meta-analysis","title-short":"Are there socio-economic inequalities in utilization of predictive biomarker tests and biological and precision therapies for cancer?","URL":"https://doi.org/10.1186/s12916-020-01753-0","volume":"18","author":[{"family":"Norris","given":"Ruth P."},{"family":"Dew","given":"Rosie"},{"family":"Sharp","given":"Linda"},{"family":"Greystoke","given":"Alastair"},{"family":"Rice","given":"Stephen"},{"family":"Johnell","given":"Kristina"},{"family":"Todd","given":"Adam"}],"accessed":{"date-parts":[["2021",7,26]]},"issued":{"date-parts":[["2020",10,23]]}}}],"schema":"https://github.com/citation-style-language/schema/raw/master/csl-citation.json"} </w:instrText>
      </w:r>
      <w:r w:rsidR="00312029">
        <w:rPr>
          <w:bCs/>
          <w:sz w:val="22"/>
          <w:szCs w:val="22"/>
        </w:rPr>
        <w:fldChar w:fldCharType="separate"/>
      </w:r>
      <w:r w:rsidR="00103315" w:rsidRPr="00103315">
        <w:rPr>
          <w:sz w:val="22"/>
          <w:vertAlign w:val="superscript"/>
        </w:rPr>
        <w:t>17</w:t>
      </w:r>
      <w:r w:rsidR="00312029">
        <w:rPr>
          <w:bCs/>
          <w:sz w:val="22"/>
          <w:szCs w:val="22"/>
        </w:rPr>
        <w:fldChar w:fldCharType="end"/>
      </w:r>
      <w:r w:rsidR="00880734">
        <w:rPr>
          <w:bCs/>
          <w:sz w:val="22"/>
          <w:szCs w:val="22"/>
        </w:rPr>
        <w:t xml:space="preserve"> </w:t>
      </w:r>
    </w:p>
    <w:p w14:paraId="7866A6D7" w14:textId="77777777" w:rsidR="00611358" w:rsidRDefault="00611358" w:rsidP="00EB2F6F">
      <w:pPr>
        <w:spacing w:line="360" w:lineRule="auto"/>
        <w:rPr>
          <w:bCs/>
          <w:sz w:val="22"/>
          <w:szCs w:val="22"/>
        </w:rPr>
      </w:pPr>
    </w:p>
    <w:p w14:paraId="59A50478" w14:textId="294CC672" w:rsidR="00E04E61" w:rsidRDefault="0001565F" w:rsidP="00EB2F6F">
      <w:pPr>
        <w:spacing w:line="360" w:lineRule="auto"/>
        <w:rPr>
          <w:bCs/>
          <w:sz w:val="22"/>
          <w:szCs w:val="22"/>
        </w:rPr>
      </w:pPr>
      <w:r>
        <w:rPr>
          <w:bCs/>
          <w:sz w:val="22"/>
          <w:szCs w:val="22"/>
        </w:rPr>
        <w:t>An alternative explanation for s</w:t>
      </w:r>
      <w:r w:rsidR="001D1FBC">
        <w:rPr>
          <w:bCs/>
          <w:sz w:val="22"/>
          <w:szCs w:val="22"/>
        </w:rPr>
        <w:t xml:space="preserve">ocio-economic </w:t>
      </w:r>
      <w:r w:rsidR="00306BF9">
        <w:rPr>
          <w:bCs/>
          <w:sz w:val="22"/>
          <w:szCs w:val="22"/>
        </w:rPr>
        <w:t xml:space="preserve">(and, indeed, wider socio-demographic) </w:t>
      </w:r>
      <w:r w:rsidR="001D1FBC">
        <w:rPr>
          <w:bCs/>
          <w:sz w:val="22"/>
          <w:szCs w:val="22"/>
        </w:rPr>
        <w:t xml:space="preserve">patterning of trastuzumab receipt </w:t>
      </w:r>
      <w:r w:rsidR="00345F3B">
        <w:rPr>
          <w:bCs/>
          <w:sz w:val="22"/>
          <w:szCs w:val="22"/>
        </w:rPr>
        <w:t>maybe</w:t>
      </w:r>
      <w:r>
        <w:rPr>
          <w:bCs/>
          <w:sz w:val="22"/>
          <w:szCs w:val="22"/>
        </w:rPr>
        <w:t xml:space="preserve"> that novel treatment</w:t>
      </w:r>
      <w:r w:rsidR="00345F3B">
        <w:rPr>
          <w:bCs/>
          <w:sz w:val="22"/>
          <w:szCs w:val="22"/>
        </w:rPr>
        <w:t xml:space="preserve"> analyses</w:t>
      </w:r>
      <w:r>
        <w:rPr>
          <w:bCs/>
          <w:sz w:val="22"/>
          <w:szCs w:val="22"/>
        </w:rPr>
        <w:t xml:space="preserve"> fail to consider the</w:t>
      </w:r>
      <w:r w:rsidRPr="00033A14">
        <w:rPr>
          <w:bCs/>
          <w:sz w:val="22"/>
          <w:szCs w:val="22"/>
        </w:rPr>
        <w:t xml:space="preserve"> “fundamental causes” or “upstream” factors (</w:t>
      </w:r>
      <w:r>
        <w:rPr>
          <w:bCs/>
          <w:sz w:val="22"/>
          <w:szCs w:val="22"/>
        </w:rPr>
        <w:t xml:space="preserve">i.e. </w:t>
      </w:r>
      <w:r w:rsidRPr="00033A14">
        <w:rPr>
          <w:bCs/>
          <w:sz w:val="22"/>
          <w:szCs w:val="22"/>
        </w:rPr>
        <w:t>unequal distribution of income</w:t>
      </w:r>
      <w:r>
        <w:rPr>
          <w:bCs/>
          <w:sz w:val="22"/>
          <w:szCs w:val="22"/>
        </w:rPr>
        <w:t xml:space="preserve"> and</w:t>
      </w:r>
      <w:r w:rsidRPr="00033A14">
        <w:rPr>
          <w:bCs/>
          <w:sz w:val="22"/>
          <w:szCs w:val="22"/>
        </w:rPr>
        <w:t xml:space="preserve"> </w:t>
      </w:r>
      <w:r>
        <w:rPr>
          <w:bCs/>
          <w:sz w:val="22"/>
          <w:szCs w:val="22"/>
        </w:rPr>
        <w:t>education) which generate inequ</w:t>
      </w:r>
      <w:r w:rsidR="00C57B75">
        <w:rPr>
          <w:bCs/>
          <w:sz w:val="22"/>
          <w:szCs w:val="22"/>
        </w:rPr>
        <w:t>ity</w:t>
      </w:r>
      <w:r>
        <w:rPr>
          <w:bCs/>
          <w:sz w:val="22"/>
          <w:szCs w:val="22"/>
        </w:rPr>
        <w:t>.</w:t>
      </w:r>
      <w:r>
        <w:rPr>
          <w:bCs/>
          <w:sz w:val="22"/>
          <w:szCs w:val="22"/>
        </w:rPr>
        <w:fldChar w:fldCharType="begin"/>
      </w:r>
      <w:r w:rsidR="00203C6E">
        <w:rPr>
          <w:bCs/>
          <w:sz w:val="22"/>
          <w:szCs w:val="22"/>
        </w:rPr>
        <w:instrText xml:space="preserve"> ADDIN ZOTERO_ITEM CSL_CITATION {"citationID":"Phm15LKZ","properties":{"formattedCitation":"\\super 51\\nosupersub{}","plainCitation":"51","noteIndex":0},"citationItems":[{"id":"nMalwRdq/G1ecmwl5","uris":["http://zotero.org/users/6915713/items/FKTKT29F",["http://zotero.org/users/6915713/items/FKTKT29F"]],"itemData":{"id":"qvza1Ty7/hz7vVpWN","type":"article-journal","abstract":"Over the last several decades, epidemiological studies have been enormously successful in identifying risk factors for major diseases. However, most of this research has focused attention on risk factors that are relatively proximal causes of disease such as diet, cholesterol level, exercise and the like. We question the emphasis on such individually-based risk factors and argue that greater attention must be paid to basic social conditions if health reform is to have its maximum effect in the time ahead. There are two reasons for this claim. First we argue that individually-based risk factors must be contextualized, by examining what puts people at risk of risks, if we are to craft effective interventions and improve the nation's health. Second, we argue that social factors such as socioeconomic status and social support are likely \"fundamental causes\" of disease that, because they embody access to important resources, affect multiple disease outcomes through multiple mechanisms, and consequently maintain an association with disease even when intervening mechanisms change. Without careful attention to these possibilities, we run the risk of imposing individually-based intervention strategies that are ineffective and of missing opportunities to adopt broad-based societal interventions that could produce substantial health benefits for our citizens.","container-title":"Journal of Health and Social Behavior","DOI":"10.2307/2626958","ISSN":"0022-1465","note":"publisher: [American Sociological Association, Sage Publications, Inc.]","page":"80-94","source":"JSTOR","title":"Social Conditions As Fundamental Causes of Disease","URL":"https://www.jstor.org/stable/2626958","author":[{"family":"Link","given":"Bruce G."},{"family":"Phelan","given":"Jo"}],"accessed":{"date-parts":[["2021",11,4]]},"issued":{"date-parts":[["1995"]]}}}],"schema":"https://github.com/citation-style-language/schema/raw/master/csl-citation.json"} </w:instrText>
      </w:r>
      <w:r>
        <w:rPr>
          <w:bCs/>
          <w:sz w:val="22"/>
          <w:szCs w:val="22"/>
        </w:rPr>
        <w:fldChar w:fldCharType="separate"/>
      </w:r>
      <w:r w:rsidR="00103315" w:rsidRPr="00103315">
        <w:rPr>
          <w:sz w:val="22"/>
          <w:vertAlign w:val="superscript"/>
        </w:rPr>
        <w:t>51</w:t>
      </w:r>
      <w:r>
        <w:rPr>
          <w:bCs/>
          <w:sz w:val="22"/>
          <w:szCs w:val="22"/>
        </w:rPr>
        <w:fldChar w:fldCharType="end"/>
      </w:r>
      <w:r>
        <w:rPr>
          <w:bCs/>
          <w:sz w:val="22"/>
          <w:szCs w:val="22"/>
        </w:rPr>
        <w:t xml:space="preserve"> Trastuzumab receipt is a “downstream intervention” focused on the final stages of </w:t>
      </w:r>
      <w:r w:rsidR="00AE0585">
        <w:rPr>
          <w:bCs/>
          <w:sz w:val="22"/>
          <w:szCs w:val="22"/>
        </w:rPr>
        <w:t xml:space="preserve">the </w:t>
      </w:r>
      <w:r w:rsidR="00345F3B">
        <w:rPr>
          <w:bCs/>
          <w:sz w:val="22"/>
          <w:szCs w:val="22"/>
        </w:rPr>
        <w:t xml:space="preserve">care </w:t>
      </w:r>
      <w:r w:rsidR="00AE0585">
        <w:rPr>
          <w:bCs/>
          <w:sz w:val="22"/>
          <w:szCs w:val="22"/>
        </w:rPr>
        <w:t>pathway</w:t>
      </w:r>
      <w:r>
        <w:rPr>
          <w:bCs/>
          <w:sz w:val="22"/>
          <w:szCs w:val="22"/>
        </w:rPr>
        <w:t xml:space="preserve">. The role of wider social determinants of health (SDoH) which also influence inequality generation and persistence are not addressed </w:t>
      </w:r>
      <w:r w:rsidR="00AE0585">
        <w:rPr>
          <w:bCs/>
          <w:sz w:val="22"/>
          <w:szCs w:val="22"/>
        </w:rPr>
        <w:t>through</w:t>
      </w:r>
      <w:r>
        <w:rPr>
          <w:bCs/>
          <w:sz w:val="22"/>
          <w:szCs w:val="22"/>
        </w:rPr>
        <w:t xml:space="preserve"> trastuzumab licensing.</w:t>
      </w:r>
      <w:r>
        <w:rPr>
          <w:bCs/>
          <w:sz w:val="22"/>
          <w:szCs w:val="22"/>
        </w:rPr>
        <w:fldChar w:fldCharType="begin"/>
      </w:r>
      <w:r w:rsidR="00103315">
        <w:rPr>
          <w:bCs/>
          <w:sz w:val="22"/>
          <w:szCs w:val="22"/>
        </w:rPr>
        <w:instrText xml:space="preserve"> ADDIN ZOTERO_ITEM CSL_CITATION {"citationID":"ftXLXujK","properties":{"formattedCitation":"\\super 52\\nosupersub{}","plainCitation":"52","noteIndex":0},"citationItems":[{"id":552,"uris":["http://zotero.org/users/local/nRdURiV3/items/B3NYGVXG"],"itemData":{"id":552,"type":"article-journal","abstract":"Alleviating health disparities in the United States is a goal with broad support. Medical research undertaken to achieve this goal typically adopts the well-established perspective that racial discrimination and poverty are the major contributors to unequal health status. However, the suggestion is increasingly made that genetic research also has a significant role to play in alleviating this problem, which likely overstates the importance of genetics as a factor in health disparities. Overemphasis on genetics as a major explanatory factor in health disparities could lead researchers to miss factors that contribute to disparities more substantially and may also reinforce racial stereotyping, which may contribute to disparities in the first place. Arguments that promote genetics research as a way to help alleviate health disparities are augmented by several factors, including research funding initiatives and the distinct demographic patterns of health disparities in the United States.","container-title":"JAMA : the journal of the American Medical Association","DOI":"10.1001/jama.291.24.2985","ISSN":"0098-7484","issue":"24","journalAbbreviation":"JAMA","note":"number: 24\nPMID: 15213210\nPMCID: PMC2271142","page":"2985-2989","source":"PubMed Central","title":"Genetic Research and Health Disparities","volume":"291","author":[{"family":"Sankar","given":"Pamela"},{"family":"Cho","given":"Mildred K."},{"family":"Condit","given":"Celeste M."},{"family":"Hunt","given":"Linda M."},{"family":"Koenig","given":"Barbara"},{"family":"Marshall","given":"Patricia"},{"family":"Lee","given":"Sandra Soo-Jin"},{"family":"Spicer","given":"Paul"}],"issued":{"date-parts":[["2004",6,23]]}}}],"schema":"https://github.com/citation-style-language/schema/raw/master/csl-citation.json"} </w:instrText>
      </w:r>
      <w:r>
        <w:rPr>
          <w:bCs/>
          <w:sz w:val="22"/>
          <w:szCs w:val="22"/>
        </w:rPr>
        <w:fldChar w:fldCharType="separate"/>
      </w:r>
      <w:r w:rsidR="00103315" w:rsidRPr="00103315">
        <w:rPr>
          <w:sz w:val="22"/>
          <w:vertAlign w:val="superscript"/>
        </w:rPr>
        <w:t>52</w:t>
      </w:r>
      <w:r>
        <w:rPr>
          <w:bCs/>
          <w:sz w:val="22"/>
          <w:szCs w:val="22"/>
        </w:rPr>
        <w:fldChar w:fldCharType="end"/>
      </w:r>
      <w:r>
        <w:rPr>
          <w:bCs/>
          <w:sz w:val="22"/>
          <w:szCs w:val="22"/>
        </w:rPr>
        <w:t xml:space="preserve"> </w:t>
      </w:r>
      <w:r w:rsidR="007109DA">
        <w:rPr>
          <w:bCs/>
          <w:sz w:val="22"/>
          <w:szCs w:val="22"/>
        </w:rPr>
        <w:t>Furthermore, MDT</w:t>
      </w:r>
      <w:r w:rsidR="009D3BE7">
        <w:rPr>
          <w:bCs/>
          <w:sz w:val="22"/>
          <w:szCs w:val="22"/>
        </w:rPr>
        <w:t>s</w:t>
      </w:r>
      <w:r w:rsidR="007109DA">
        <w:rPr>
          <w:bCs/>
          <w:sz w:val="22"/>
          <w:szCs w:val="22"/>
        </w:rPr>
        <w:t xml:space="preserve"> may be a</w:t>
      </w:r>
      <w:r w:rsidR="00AE0585">
        <w:rPr>
          <w:bCs/>
          <w:sz w:val="22"/>
          <w:szCs w:val="22"/>
        </w:rPr>
        <w:t>n additional</w:t>
      </w:r>
      <w:r w:rsidR="007109DA">
        <w:rPr>
          <w:bCs/>
          <w:sz w:val="22"/>
          <w:szCs w:val="22"/>
        </w:rPr>
        <w:t xml:space="preserve"> source of </w:t>
      </w:r>
      <w:r w:rsidR="00436367">
        <w:rPr>
          <w:bCs/>
          <w:sz w:val="22"/>
          <w:szCs w:val="22"/>
        </w:rPr>
        <w:t xml:space="preserve">socio-economic </w:t>
      </w:r>
      <w:r w:rsidR="00BE7396">
        <w:rPr>
          <w:bCs/>
          <w:sz w:val="22"/>
          <w:szCs w:val="22"/>
        </w:rPr>
        <w:t xml:space="preserve">biases </w:t>
      </w:r>
      <w:r w:rsidR="00436367">
        <w:rPr>
          <w:bCs/>
          <w:sz w:val="22"/>
          <w:szCs w:val="22"/>
        </w:rPr>
        <w:t xml:space="preserve">(conscious or unconscious) </w:t>
      </w:r>
      <w:r w:rsidR="00BE7396">
        <w:rPr>
          <w:bCs/>
          <w:sz w:val="22"/>
          <w:szCs w:val="22"/>
        </w:rPr>
        <w:t>in treatment decision</w:t>
      </w:r>
      <w:r w:rsidR="00436367">
        <w:rPr>
          <w:bCs/>
          <w:sz w:val="22"/>
          <w:szCs w:val="22"/>
        </w:rPr>
        <w:t>-</w:t>
      </w:r>
      <w:r w:rsidR="00BE7396">
        <w:rPr>
          <w:bCs/>
          <w:sz w:val="22"/>
          <w:szCs w:val="22"/>
        </w:rPr>
        <w:t>making</w:t>
      </w:r>
      <w:r w:rsidR="007109DA">
        <w:rPr>
          <w:bCs/>
          <w:sz w:val="22"/>
          <w:szCs w:val="22"/>
        </w:rPr>
        <w:t>.</w:t>
      </w:r>
      <w:r w:rsidR="007109DA">
        <w:rPr>
          <w:bCs/>
          <w:sz w:val="22"/>
          <w:szCs w:val="22"/>
        </w:rPr>
        <w:fldChar w:fldCharType="begin"/>
      </w:r>
      <w:r w:rsidR="00103315">
        <w:rPr>
          <w:bCs/>
          <w:sz w:val="22"/>
          <w:szCs w:val="22"/>
        </w:rPr>
        <w:instrText xml:space="preserve"> ADDIN ZOTERO_ITEM CSL_CITATION {"citationID":"aXvHSgs8","properties":{"formattedCitation":"\\super 53\\nosupersub{}","plainCitation":"53","noteIndex":0},"citationItems":[{"id":1800,"uris":["http://zotero.org/users/local/nRdURiV3/items/8JWBZTP3"],"itemData":{"id":1800,"type":"article-journal","abstract":"Key decisions in modern health care systems are often made by groups of people rather than lone individuals. However, group decision-making can be imperfect and result in organizational and clinical errors which may harm patients—a fact highlighted graphically in recent (and historical) health scandals and inquiries such as the recent report by Sir Robert Francis into the serious failures in patient care and safety at Mid Staffordshire Hospitals NHS Trust in the English NHS. In this article, we draw on theories from organization studies and decision science to explore the ways in which patient safety may be undermined or threatened in health care contexts as a result of four systematic biases arising from group decision-making: ‘groupthink’, ‘social loafing’, ‘group polarization’ and ‘escalation of commitment’. For each group bias, we describe its antecedents, illustrate how it can impair group decisions with regard to patient safety, outline a range of possible remedial organizational strategies that can be used to attenuate the potential for adverse consequences and look forward at the emerging research agenda in this important but hitherto neglected area of patient safety research.","container-title":"International Journal for Quality in Health Care","DOI":"10.1093/intqhc/mzu083","ISSN":"1353-4505","issue":"6","journalAbbreviation":"International Journal for Quality in Health Care","page":"606-612","source":"Silverchair","title":"Systematic biases in group decision-making: implications for patient safety","title-short":"Systematic biases in group decision-making","volume":"26","author":[{"family":"Mannion","given":"Russell"},{"family":"Thompson","given":"Carl"}],"issued":{"date-parts":[["2014",12,1]]}}}],"schema":"https://github.com/citation-style-language/schema/raw/master/csl-citation.json"} </w:instrText>
      </w:r>
      <w:r w:rsidR="007109DA">
        <w:rPr>
          <w:bCs/>
          <w:sz w:val="22"/>
          <w:szCs w:val="22"/>
        </w:rPr>
        <w:fldChar w:fldCharType="separate"/>
      </w:r>
      <w:r w:rsidR="00103315" w:rsidRPr="00103315">
        <w:rPr>
          <w:sz w:val="22"/>
          <w:vertAlign w:val="superscript"/>
        </w:rPr>
        <w:t>53</w:t>
      </w:r>
      <w:r w:rsidR="007109DA">
        <w:rPr>
          <w:bCs/>
          <w:sz w:val="22"/>
          <w:szCs w:val="22"/>
        </w:rPr>
        <w:fldChar w:fldCharType="end"/>
      </w:r>
      <w:r w:rsidR="007109DA">
        <w:rPr>
          <w:bCs/>
          <w:sz w:val="22"/>
          <w:szCs w:val="22"/>
        </w:rPr>
        <w:t xml:space="preserve"> </w:t>
      </w:r>
      <w:r w:rsidR="004D49A7">
        <w:rPr>
          <w:bCs/>
          <w:sz w:val="22"/>
          <w:szCs w:val="22"/>
        </w:rPr>
        <w:t>MDT d</w:t>
      </w:r>
      <w:r w:rsidR="00CF2CD4">
        <w:rPr>
          <w:bCs/>
          <w:sz w:val="22"/>
          <w:szCs w:val="22"/>
        </w:rPr>
        <w:t xml:space="preserve">iscussion was </w:t>
      </w:r>
      <w:r w:rsidR="00345F3B">
        <w:rPr>
          <w:bCs/>
          <w:sz w:val="22"/>
          <w:szCs w:val="22"/>
        </w:rPr>
        <w:t xml:space="preserve">important </w:t>
      </w:r>
      <w:r w:rsidR="004D49A7">
        <w:rPr>
          <w:bCs/>
          <w:sz w:val="22"/>
          <w:szCs w:val="22"/>
        </w:rPr>
        <w:t>for</w:t>
      </w:r>
      <w:r w:rsidR="00CF2CD4">
        <w:rPr>
          <w:bCs/>
          <w:sz w:val="22"/>
          <w:szCs w:val="22"/>
        </w:rPr>
        <w:t xml:space="preserve"> increasing </w:t>
      </w:r>
      <w:r w:rsidR="004D49A7">
        <w:rPr>
          <w:bCs/>
          <w:sz w:val="22"/>
          <w:szCs w:val="22"/>
        </w:rPr>
        <w:t xml:space="preserve">the </w:t>
      </w:r>
      <w:r w:rsidR="00CF2CD4">
        <w:rPr>
          <w:bCs/>
          <w:sz w:val="22"/>
          <w:szCs w:val="22"/>
        </w:rPr>
        <w:t xml:space="preserve">likelihood of </w:t>
      </w:r>
      <w:r w:rsidR="00345F3B">
        <w:rPr>
          <w:bCs/>
          <w:sz w:val="22"/>
          <w:szCs w:val="22"/>
        </w:rPr>
        <w:t xml:space="preserve">trastuzumab </w:t>
      </w:r>
      <w:r w:rsidR="00CF2CD4" w:rsidRPr="003E3675">
        <w:rPr>
          <w:bCs/>
          <w:color w:val="000000" w:themeColor="text1"/>
          <w:sz w:val="22"/>
          <w:szCs w:val="22"/>
        </w:rPr>
        <w:t>receipt</w:t>
      </w:r>
      <w:r w:rsidR="004D49A7">
        <w:rPr>
          <w:bCs/>
          <w:color w:val="000000" w:themeColor="text1"/>
          <w:sz w:val="22"/>
          <w:szCs w:val="22"/>
        </w:rPr>
        <w:t>,</w:t>
      </w:r>
      <w:r w:rsidR="00306BF9" w:rsidRPr="003E3675">
        <w:rPr>
          <w:bCs/>
          <w:color w:val="000000" w:themeColor="text1"/>
          <w:sz w:val="22"/>
          <w:szCs w:val="22"/>
        </w:rPr>
        <w:t xml:space="preserve"> </w:t>
      </w:r>
      <w:r w:rsidR="003A5E74" w:rsidRPr="003E3675">
        <w:rPr>
          <w:bCs/>
          <w:color w:val="000000" w:themeColor="text1"/>
          <w:sz w:val="22"/>
          <w:szCs w:val="22"/>
        </w:rPr>
        <w:t>despite the fact that all accredited breast cancer unit</w:t>
      </w:r>
      <w:r w:rsidR="003E3675" w:rsidRPr="003E3675">
        <w:rPr>
          <w:bCs/>
          <w:color w:val="000000" w:themeColor="text1"/>
          <w:sz w:val="22"/>
          <w:szCs w:val="22"/>
        </w:rPr>
        <w:t>s</w:t>
      </w:r>
      <w:r w:rsidR="003A5E74" w:rsidRPr="003E3675">
        <w:rPr>
          <w:bCs/>
          <w:color w:val="000000" w:themeColor="text1"/>
          <w:sz w:val="22"/>
          <w:szCs w:val="22"/>
        </w:rPr>
        <w:t xml:space="preserve"> </w:t>
      </w:r>
      <w:r w:rsidR="004D49A7">
        <w:rPr>
          <w:bCs/>
          <w:color w:val="000000" w:themeColor="text1"/>
          <w:sz w:val="22"/>
          <w:szCs w:val="22"/>
        </w:rPr>
        <w:t xml:space="preserve">managed patients </w:t>
      </w:r>
      <w:r w:rsidR="003A5E74" w:rsidRPr="003E3675">
        <w:rPr>
          <w:bCs/>
          <w:color w:val="000000" w:themeColor="text1"/>
          <w:sz w:val="22"/>
          <w:szCs w:val="22"/>
        </w:rPr>
        <w:t xml:space="preserve">in England should be </w:t>
      </w:r>
      <w:r w:rsidR="003E3675" w:rsidRPr="003E3675">
        <w:rPr>
          <w:bCs/>
          <w:color w:val="000000" w:themeColor="text1"/>
          <w:sz w:val="22"/>
          <w:szCs w:val="22"/>
        </w:rPr>
        <w:t>considered</w:t>
      </w:r>
      <w:r w:rsidR="003A5E74" w:rsidRPr="003E3675">
        <w:rPr>
          <w:bCs/>
          <w:color w:val="000000" w:themeColor="text1"/>
          <w:sz w:val="22"/>
          <w:szCs w:val="22"/>
        </w:rPr>
        <w:t xml:space="preserve"> a</w:t>
      </w:r>
      <w:r w:rsidR="00AE4B70" w:rsidRPr="003E3675">
        <w:rPr>
          <w:bCs/>
          <w:color w:val="000000" w:themeColor="text1"/>
          <w:sz w:val="22"/>
          <w:szCs w:val="22"/>
        </w:rPr>
        <w:t xml:space="preserve">t </w:t>
      </w:r>
      <w:r w:rsidR="003A5E74" w:rsidRPr="003E3675">
        <w:rPr>
          <w:bCs/>
          <w:color w:val="000000" w:themeColor="text1"/>
          <w:sz w:val="22"/>
          <w:szCs w:val="22"/>
        </w:rPr>
        <w:t xml:space="preserve">MDT. </w:t>
      </w:r>
      <w:r w:rsidR="003E3675" w:rsidRPr="003E3675">
        <w:rPr>
          <w:bCs/>
          <w:color w:val="000000" w:themeColor="text1"/>
          <w:sz w:val="22"/>
          <w:szCs w:val="22"/>
        </w:rPr>
        <w:t>This</w:t>
      </w:r>
      <w:r w:rsidR="003A5E74" w:rsidRPr="003E3675">
        <w:rPr>
          <w:bCs/>
          <w:color w:val="000000" w:themeColor="text1"/>
          <w:sz w:val="22"/>
          <w:szCs w:val="22"/>
        </w:rPr>
        <w:t xml:space="preserve"> </w:t>
      </w:r>
      <w:r w:rsidR="0066576F">
        <w:rPr>
          <w:bCs/>
          <w:color w:val="000000" w:themeColor="text1"/>
          <w:sz w:val="22"/>
          <w:szCs w:val="22"/>
        </w:rPr>
        <w:t>suggests</w:t>
      </w:r>
      <w:r w:rsidR="00A407E8" w:rsidRPr="003E3675">
        <w:rPr>
          <w:bCs/>
          <w:color w:val="000000" w:themeColor="text1"/>
          <w:sz w:val="22"/>
          <w:szCs w:val="22"/>
        </w:rPr>
        <w:t xml:space="preserve"> that </w:t>
      </w:r>
      <w:r w:rsidR="003A5E74" w:rsidRPr="003E3675">
        <w:rPr>
          <w:bCs/>
          <w:color w:val="000000" w:themeColor="text1"/>
          <w:sz w:val="22"/>
          <w:szCs w:val="22"/>
        </w:rPr>
        <w:t>MDT</w:t>
      </w:r>
      <w:r w:rsidR="003E3675" w:rsidRPr="003E3675">
        <w:rPr>
          <w:bCs/>
          <w:color w:val="000000" w:themeColor="text1"/>
          <w:sz w:val="22"/>
          <w:szCs w:val="22"/>
        </w:rPr>
        <w:t xml:space="preserve">s </w:t>
      </w:r>
      <w:r w:rsidR="009D3BE7">
        <w:rPr>
          <w:bCs/>
          <w:color w:val="000000" w:themeColor="text1"/>
          <w:sz w:val="22"/>
          <w:szCs w:val="22"/>
        </w:rPr>
        <w:t>facilitate</w:t>
      </w:r>
      <w:r w:rsidR="00A407E8" w:rsidRPr="003E3675">
        <w:rPr>
          <w:bCs/>
          <w:color w:val="000000" w:themeColor="text1"/>
          <w:sz w:val="22"/>
          <w:szCs w:val="22"/>
        </w:rPr>
        <w:t xml:space="preserve"> evidence-based</w:t>
      </w:r>
      <w:r w:rsidR="006342D8" w:rsidRPr="003E3675">
        <w:rPr>
          <w:bCs/>
          <w:color w:val="000000" w:themeColor="text1"/>
          <w:sz w:val="22"/>
          <w:szCs w:val="22"/>
        </w:rPr>
        <w:t xml:space="preserve">, </w:t>
      </w:r>
      <w:r w:rsidR="00FB1256">
        <w:rPr>
          <w:bCs/>
          <w:color w:val="000000" w:themeColor="text1"/>
          <w:sz w:val="22"/>
          <w:szCs w:val="22"/>
        </w:rPr>
        <w:t>standardized</w:t>
      </w:r>
      <w:r w:rsidR="00A407E8" w:rsidRPr="003E3675">
        <w:rPr>
          <w:bCs/>
          <w:color w:val="000000" w:themeColor="text1"/>
          <w:sz w:val="22"/>
          <w:szCs w:val="22"/>
        </w:rPr>
        <w:t xml:space="preserve"> clinical decision making</w:t>
      </w:r>
      <w:r w:rsidR="003A5E74" w:rsidRPr="003E3675">
        <w:rPr>
          <w:bCs/>
          <w:color w:val="000000" w:themeColor="text1"/>
          <w:sz w:val="22"/>
          <w:szCs w:val="22"/>
        </w:rPr>
        <w:t xml:space="preserve"> </w:t>
      </w:r>
      <w:r w:rsidR="003E3675" w:rsidRPr="003E3675">
        <w:rPr>
          <w:bCs/>
          <w:color w:val="000000" w:themeColor="text1"/>
          <w:sz w:val="22"/>
          <w:szCs w:val="22"/>
        </w:rPr>
        <w:t xml:space="preserve">around trastuzumab </w:t>
      </w:r>
      <w:r w:rsidR="009D3BE7">
        <w:rPr>
          <w:bCs/>
          <w:color w:val="000000" w:themeColor="text1"/>
          <w:sz w:val="22"/>
          <w:szCs w:val="22"/>
        </w:rPr>
        <w:t>use</w:t>
      </w:r>
      <w:r w:rsidR="003E3675" w:rsidRPr="003E3675">
        <w:rPr>
          <w:bCs/>
          <w:color w:val="000000" w:themeColor="text1"/>
          <w:sz w:val="22"/>
          <w:szCs w:val="22"/>
        </w:rPr>
        <w:t>.</w:t>
      </w:r>
      <w:r w:rsidR="006342D8" w:rsidRPr="003E3675">
        <w:rPr>
          <w:bCs/>
          <w:color w:val="000000" w:themeColor="text1"/>
          <w:sz w:val="22"/>
          <w:szCs w:val="22"/>
        </w:rPr>
        <w:fldChar w:fldCharType="begin"/>
      </w:r>
      <w:r w:rsidR="00103315">
        <w:rPr>
          <w:bCs/>
          <w:color w:val="000000" w:themeColor="text1"/>
          <w:sz w:val="22"/>
          <w:szCs w:val="22"/>
        </w:rPr>
        <w:instrText xml:space="preserve"> ADDIN ZOTERO_ITEM CSL_CITATION {"citationID":"xVMkyLNN","properties":{"formattedCitation":"\\super 54\\nosupersub{}","plainCitation":"54","noteIndex":0},"citationItems":[{"id":1833,"uris":["http://zotero.org/users/local/nRdURiV3/items/DYVUG82S"],"itemData":{"id":1833,"type":"article-journal","abstract":"The diagnostic and treatment landscapes of prostate cancer are rapidly evolving. This has led to several challenges and controversies regarding optimal management of the disease that outpace guidelines and clinical data. Multidisciplinary teams (MDTs) can be used to engage the array of specialists that collaborate to treat complex malignancies such as prostate cancer. While the rationale for the use of MDTs in prostate cancer is well known, ways to optimally use MDTs to address the challenges and controversies associated with prostate cancer management are less well understood. One area of MDT care that remains undefined is how MDTs can most effectively provide guidance on clinical decision-making in situations in which information from novel diagnostic testing (genetic testing, molecular imaging) is substantially different from the established clinical risk factors. In this review, we provide a clinical perspective on ways that MDTs can be used to address this and other challenges and controversies across the prostate cancer disease continuum, from diagnosis to end-of-life considerations. Beyond clinical scenarios, we also review ways in which MDTs can mitigate disparities of care in prostate cancer. Overall, MDTs play a central role in helping to address the daily vexing issues faced by clinicians related to diagnosis, risk stratification, and treatment. Given the accelerating advances in precision medicine and targeted therapy, and the new questions and controversies these will bring, the value of MDTs for prostate cancer management will only increase in the future.","container-title":"Targeted Oncology","DOI":"10.1007/s11523-022-00925-7","ISSN":"1776-2596","issue":"6","journalAbbreviation":"Target Oncol","note":"PMID: 36399218\nPMCID: PMC9672595","page":"709-725","source":"PubMed Central","title":"Addressing Challenges and Controversies in the Management of Prostate Cancer with Multidisciplinary Teams","volume":"17","author":[{"family":"Shore","given":"Neal D."},{"family":"Morgans","given":"Alicia K."},{"family":"El-Haddad","given":"Ghassan"},{"family":"Srinivas","given":"Sandy"},{"family":"Abramowitz","given":"Matthew"}],"issued":{"date-parts":[["2022"]]}}}],"schema":"https://github.com/citation-style-language/schema/raw/master/csl-citation.json"} </w:instrText>
      </w:r>
      <w:r w:rsidR="006342D8" w:rsidRPr="003E3675">
        <w:rPr>
          <w:bCs/>
          <w:color w:val="000000" w:themeColor="text1"/>
          <w:sz w:val="22"/>
          <w:szCs w:val="22"/>
        </w:rPr>
        <w:fldChar w:fldCharType="separate"/>
      </w:r>
      <w:r w:rsidR="00103315" w:rsidRPr="00103315">
        <w:rPr>
          <w:color w:val="000000"/>
          <w:sz w:val="22"/>
          <w:vertAlign w:val="superscript"/>
        </w:rPr>
        <w:t>54</w:t>
      </w:r>
      <w:r w:rsidR="006342D8" w:rsidRPr="003E3675">
        <w:rPr>
          <w:bCs/>
          <w:color w:val="000000" w:themeColor="text1"/>
          <w:sz w:val="22"/>
          <w:szCs w:val="22"/>
        </w:rPr>
        <w:fldChar w:fldCharType="end"/>
      </w:r>
      <w:r w:rsidR="00CF2CD4" w:rsidRPr="003E3675">
        <w:rPr>
          <w:bCs/>
          <w:color w:val="000000" w:themeColor="text1"/>
          <w:sz w:val="22"/>
          <w:szCs w:val="22"/>
        </w:rPr>
        <w:t xml:space="preserve"> </w:t>
      </w:r>
      <w:r w:rsidR="0024334A" w:rsidRPr="003E3675">
        <w:rPr>
          <w:bCs/>
          <w:color w:val="000000" w:themeColor="text1"/>
          <w:sz w:val="22"/>
          <w:szCs w:val="22"/>
        </w:rPr>
        <w:t>P</w:t>
      </w:r>
      <w:r w:rsidR="00621437" w:rsidRPr="003E3675">
        <w:rPr>
          <w:bCs/>
          <w:color w:val="000000" w:themeColor="text1"/>
          <w:sz w:val="22"/>
          <w:szCs w:val="22"/>
        </w:rPr>
        <w:t xml:space="preserve">revious work </w:t>
      </w:r>
      <w:r w:rsidR="00C33F2A">
        <w:rPr>
          <w:bCs/>
          <w:sz w:val="22"/>
          <w:szCs w:val="22"/>
        </w:rPr>
        <w:t xml:space="preserve">has discussed </w:t>
      </w:r>
      <w:r w:rsidR="0066576F">
        <w:rPr>
          <w:bCs/>
          <w:sz w:val="22"/>
          <w:szCs w:val="22"/>
        </w:rPr>
        <w:t>how</w:t>
      </w:r>
      <w:r w:rsidR="00621437">
        <w:rPr>
          <w:bCs/>
          <w:sz w:val="22"/>
          <w:szCs w:val="22"/>
        </w:rPr>
        <w:t xml:space="preserve"> </w:t>
      </w:r>
      <w:r w:rsidR="003E3675">
        <w:rPr>
          <w:bCs/>
          <w:sz w:val="22"/>
          <w:szCs w:val="22"/>
        </w:rPr>
        <w:t xml:space="preserve">MDT </w:t>
      </w:r>
      <w:r w:rsidR="00621437">
        <w:rPr>
          <w:bCs/>
          <w:sz w:val="22"/>
          <w:szCs w:val="22"/>
        </w:rPr>
        <w:t xml:space="preserve">decision implementation </w:t>
      </w:r>
      <w:r w:rsidR="00801982">
        <w:rPr>
          <w:bCs/>
          <w:sz w:val="22"/>
          <w:szCs w:val="22"/>
        </w:rPr>
        <w:t>can</w:t>
      </w:r>
      <w:r w:rsidR="00621437">
        <w:rPr>
          <w:bCs/>
          <w:sz w:val="22"/>
          <w:szCs w:val="22"/>
        </w:rPr>
        <w:t xml:space="preserve"> vary by deprivation status</w:t>
      </w:r>
      <w:r w:rsidR="004652C2">
        <w:rPr>
          <w:bCs/>
          <w:sz w:val="22"/>
          <w:szCs w:val="22"/>
        </w:rPr>
        <w:t>,</w:t>
      </w:r>
      <w:r w:rsidR="00621437">
        <w:rPr>
          <w:bCs/>
          <w:sz w:val="22"/>
          <w:szCs w:val="22"/>
        </w:rPr>
        <w:fldChar w:fldCharType="begin"/>
      </w:r>
      <w:r w:rsidR="00103315">
        <w:rPr>
          <w:bCs/>
          <w:sz w:val="22"/>
          <w:szCs w:val="22"/>
        </w:rPr>
        <w:instrText xml:space="preserve"> ADDIN ZOTERO_ITEM CSL_CITATION {"citationID":"118ZTda5","properties":{"formattedCitation":"\\super 55\\nosupersub{}","plainCitation":"55","noteIndex":0},"citationItems":[{"id":1831,"uris":["http://zotero.org/users/local/nRdURiV3/items/UIP96M25"],"itemData":{"id":1831,"type":"book","abstract":"Multidisciplinary team (MDT) meetings have been endorsed by the Department of Health as the core model for managing chronic diseases. However, the evidence for their effectiveness is mixed and the degree to which they have been absorbed into clinical practice varies widely across conditions and settings. We aimed to identify the key characteristics of chronic disease MDT meetings that are associated with decision implementation, a measure of effectiveness, and to derive a set of feasible modifications to MDT meetings to improve decision-making., We undertook a mixed-methods prospective observational study of 12 MDTs in the London and North Thames area, covering cancer, heart failure, mental health and memory clinic teams. Data were collected by observation of 370 MDT meetings, completion of the Team Climate Inventory (TCI) by 161 MDT members, interviews with 53 MDT members and 20 patients, and review of 2654 patients’ medical records. We examined the influence of patient-related factors (disease, age, sex, deprivation indicator, whether or not their preferences and other clinical/health behaviours were mentioned) and MDT features (team climate and skill mix) on the implementation of MDT treatment plans. Interview and observation data were thematically analysed and integrated to explore possible explanations for the quantitative findings, and to identify areas of diverse beliefs and practice across MDT meetings. Based on these data, we used a modified formal consensus technique involving expert stakeholders to derive a set of indications of good practice for effective MDT meetings., The adjusted odds of implementation were reduced by 25% for each additional professional group represented [95% confidence interval (CI) 0.66 to 0.87], though there was some evidence of a differential effect by type of disease. Implementation was more likely in MDTs with clear goals and processes and a good team climate (adjusted odds of implementation increased by 7%; 95% CI 1% to 13% for a 0.1-unit increase in TCI score). Implementation varied by disease category (with the lowest adjusted odds of implementation in mental health teams) and by patient deprivation (adjusted odds of implementation for patients in the most compared with least deprived areas were 0.60, 95% CI 0.39 to 0.91). We ascertained 16 key themes within five domains where there was substantial diversity in beliefs and practices across MDT meetings. These related to the purpose, structure, processes and content of MDT meetings, as well as to the role of the patient. We identified 68 potential recommendations for improving the effectiveness of MDT meetings. Of these, 21 engendered both strong agreement (median ≥ 7) and low variation in the extent of agreement (mean absolute deviation from the median of &lt; 1.11) among the expert consensus panel. These related to the purpose of the meetings (e.g. that agreeing treatment plans should take precedence over other objectives); meeting processes (e.g. that MDT decision implementation should be audited annually); content of the discussion (e.g. that information on comorbidities and past medical history should be routinely available); and the role of the patient (e.g. concerning the most appropriate time to discuss treatment options). Panellists from all specialties agreed that these recommendations were both desirable and feasible. We were unable to achieve consensus for 17 statements. In part, this was a result of disease-specific differences including the need to be prescriptive about MDT membership, with local flexibility deemed appropriate for heart failure and uniformity supported for cancer. In other cases, our data suggest that some processes (e.g. discussion of unrelated research topics) should be locally agreed, depending on the preferences of individual teams., Substantial diversity exists in the purpose, structure, processes and content of MDT meetings. Greater multidisciplinarity is not necessarily associated with more effective decision-making and MDT decisions (as measured by decision implementation). Decisions were less likely to be implemented for patients living in more deprived areas. We identified 21 indications of good practice for improving the effectiveness of MDT meetings, which expert stakeholders from a range of chronic disease specialties agree are both desirable and feasible. These are important because MDT meetings are resource-intensive and they should deliver value to the NHS and patients. Priorities for future work include research to examine whether or not the 21 indications of good practice identified in this study will lead to better decision-making; for example, incorporating the indications into a modified MDT and experimentally evaluating its effectiveness in a pragmatic randomised controlled trial. Other areas for further research include exploring the value of multidisciplinarity in MDT meetings and the reasons for low implementation in community mental health teams. There is also scope to examine the underlying determinants of the inequalities demonstrated in this study, for example by exploring patient preferences in more depth. Finally, future work could examine the association between MDT decision implementation and improvements in patient outcomes., The National Institute for Health Research Health Services and Delivery Research programme.","call-number":"NBK260189","collection-title":"Health Services and Delivery Research","event-place":"Southampton (UK)","language":"eng","license":"Copyright © Queen’s Printer and Controller of HMSO 2014. This work was produced by Raine et al. under the terms of a commissioning contract issued by the Secretary of State for Health. This issue may be freely reproduced for the purposes of private research and study and extracts (or indeed, the full report) may be included in professional journals provided that suitable acknowledgement is made and the reproduction is not associated with any form of advertising. Applications for commercial reproduction should be addressed to: NIHR Journals Library, National Institute for Health Research, Evaluation, Trials and Studies Coordinating Centre, Alpha House, University of Southampton Science Park, Southampton SO16 7NS, UK.","note":"PMID: 25642498","publisher":"NIHR Journals Library","publisher-place":"Southampton (UK)","source":"PubMed","title":"Improving the effectiveness of multidisciplinary team meetings for patients with chronic diseases: a prospective observational study","title-short":"Improving the effectiveness of multidisciplinary team meetings for patients with chronic diseases","URL":"http://www.ncbi.nlm.nih.gov/books/NBK260189/","author":[{"family":"Raine","given":"Rosalind"},{"family":"Wallace","given":"Isla"},{"family":"Nic a’ Bháird","given":"Caoimhe"},{"family":"Xanthopoulou","given":"Penny"},{"family":"Lanceley","given":"Anne"},{"family":"Clarke","given":"Alex"},{"family":"Prentice","given":"Archie"},{"family":"Ardron","given":"David"},{"family":"Harris","given":"Miriam"},{"family":"Gibbs","given":"J. Simon R."},{"family":"Ferlie","given":"Ewan"},{"family":"King","given":"Michael"},{"family":"Blazeby","given":"Jane M."},{"family":"Michie","given":"Susan"},{"family":"Livingston","given":"Gill"},{"family":"Barber","given":"Julie"}],"accessed":{"date-parts":[["2023",11,23]]},"issued":{"date-parts":[["2014"]]}}}],"schema":"https://github.com/citation-style-language/schema/raw/master/csl-citation.json"} </w:instrText>
      </w:r>
      <w:r w:rsidR="00621437">
        <w:rPr>
          <w:bCs/>
          <w:sz w:val="22"/>
          <w:szCs w:val="22"/>
        </w:rPr>
        <w:fldChar w:fldCharType="separate"/>
      </w:r>
      <w:r w:rsidR="00103315" w:rsidRPr="00103315">
        <w:rPr>
          <w:sz w:val="22"/>
          <w:vertAlign w:val="superscript"/>
        </w:rPr>
        <w:t>55</w:t>
      </w:r>
      <w:r w:rsidR="00621437">
        <w:rPr>
          <w:bCs/>
          <w:sz w:val="22"/>
          <w:szCs w:val="22"/>
        </w:rPr>
        <w:fldChar w:fldCharType="end"/>
      </w:r>
      <w:r w:rsidR="00621437">
        <w:rPr>
          <w:bCs/>
          <w:sz w:val="22"/>
          <w:szCs w:val="22"/>
        </w:rPr>
        <w:t xml:space="preserve"> </w:t>
      </w:r>
      <w:r w:rsidR="004652C2">
        <w:rPr>
          <w:bCs/>
          <w:sz w:val="22"/>
          <w:szCs w:val="22"/>
        </w:rPr>
        <w:t>however more work is needed to explore</w:t>
      </w:r>
      <w:r w:rsidR="00A407E8">
        <w:rPr>
          <w:bCs/>
          <w:sz w:val="22"/>
          <w:szCs w:val="22"/>
        </w:rPr>
        <w:t xml:space="preserve"> whether MDTs mitigate socio-economic biases in </w:t>
      </w:r>
      <w:r w:rsidR="009D3BE7">
        <w:rPr>
          <w:bCs/>
          <w:sz w:val="22"/>
          <w:szCs w:val="22"/>
        </w:rPr>
        <w:t>targeted</w:t>
      </w:r>
      <w:r w:rsidR="006342D8">
        <w:rPr>
          <w:bCs/>
          <w:sz w:val="22"/>
          <w:szCs w:val="22"/>
        </w:rPr>
        <w:t xml:space="preserve"> treatment access</w:t>
      </w:r>
      <w:r w:rsidR="00A407E8">
        <w:rPr>
          <w:bCs/>
          <w:sz w:val="22"/>
          <w:szCs w:val="22"/>
        </w:rPr>
        <w:t xml:space="preserve">. </w:t>
      </w:r>
      <w:r w:rsidR="007109DA">
        <w:rPr>
          <w:bCs/>
          <w:sz w:val="22"/>
          <w:szCs w:val="22"/>
        </w:rPr>
        <w:t xml:space="preserve">Finally, patient </w:t>
      </w:r>
      <w:r w:rsidR="00E04E61">
        <w:rPr>
          <w:bCs/>
          <w:sz w:val="22"/>
          <w:szCs w:val="22"/>
        </w:rPr>
        <w:t>views of, and willingness to accept, trastuzumab maybe socio-economically</w:t>
      </w:r>
      <w:r w:rsidR="008B3E63">
        <w:rPr>
          <w:bCs/>
          <w:sz w:val="22"/>
          <w:szCs w:val="22"/>
        </w:rPr>
        <w:t>/</w:t>
      </w:r>
      <w:r w:rsidR="00E04E61">
        <w:rPr>
          <w:bCs/>
          <w:sz w:val="22"/>
          <w:szCs w:val="22"/>
        </w:rPr>
        <w:t xml:space="preserve">socio-demographically patterned. </w:t>
      </w:r>
      <w:r w:rsidR="008B3E63">
        <w:rPr>
          <w:bCs/>
          <w:sz w:val="22"/>
          <w:szCs w:val="22"/>
        </w:rPr>
        <w:t>Treatment</w:t>
      </w:r>
      <w:r w:rsidR="00E04E61">
        <w:rPr>
          <w:bCs/>
          <w:sz w:val="22"/>
          <w:szCs w:val="22"/>
        </w:rPr>
        <w:t xml:space="preserve"> involves</w:t>
      </w:r>
      <w:r w:rsidR="008B3E63">
        <w:rPr>
          <w:bCs/>
          <w:sz w:val="22"/>
          <w:szCs w:val="22"/>
        </w:rPr>
        <w:t xml:space="preserve"> </w:t>
      </w:r>
      <w:r w:rsidR="00E04E61">
        <w:rPr>
          <w:bCs/>
          <w:sz w:val="22"/>
          <w:szCs w:val="22"/>
        </w:rPr>
        <w:t xml:space="preserve">returning regularly to the hospital </w:t>
      </w:r>
      <w:r w:rsidR="008B3E63">
        <w:rPr>
          <w:bCs/>
          <w:sz w:val="22"/>
          <w:szCs w:val="22"/>
        </w:rPr>
        <w:t>for</w:t>
      </w:r>
      <w:r w:rsidR="00E04E61">
        <w:rPr>
          <w:bCs/>
          <w:sz w:val="22"/>
          <w:szCs w:val="22"/>
        </w:rPr>
        <w:t xml:space="preserve"> up to a year; this may be challenging and/or less appealing to, the oldest patients or those with limited economic resources. </w:t>
      </w:r>
      <w:r w:rsidR="00C33F2A">
        <w:rPr>
          <w:bCs/>
          <w:sz w:val="22"/>
          <w:szCs w:val="22"/>
        </w:rPr>
        <w:t>Specific research on</w:t>
      </w:r>
      <w:r w:rsidR="00E04E61">
        <w:rPr>
          <w:bCs/>
          <w:sz w:val="22"/>
          <w:szCs w:val="22"/>
        </w:rPr>
        <w:t xml:space="preserve"> trastuzumab treatment decision-making</w:t>
      </w:r>
      <w:r w:rsidR="00C33F2A">
        <w:rPr>
          <w:bCs/>
          <w:sz w:val="22"/>
          <w:szCs w:val="22"/>
        </w:rPr>
        <w:t xml:space="preserve"> </w:t>
      </w:r>
      <w:r w:rsidR="00F67D46">
        <w:rPr>
          <w:bCs/>
          <w:sz w:val="22"/>
          <w:szCs w:val="22"/>
        </w:rPr>
        <w:t>is</w:t>
      </w:r>
      <w:r w:rsidR="00C33F2A">
        <w:rPr>
          <w:bCs/>
          <w:sz w:val="22"/>
          <w:szCs w:val="22"/>
        </w:rPr>
        <w:t xml:space="preserve"> lacking</w:t>
      </w:r>
      <w:r w:rsidR="00E04E61">
        <w:rPr>
          <w:bCs/>
          <w:sz w:val="22"/>
          <w:szCs w:val="22"/>
        </w:rPr>
        <w:t xml:space="preserve">, </w:t>
      </w:r>
      <w:r w:rsidR="008B3E63">
        <w:rPr>
          <w:bCs/>
          <w:sz w:val="22"/>
          <w:szCs w:val="22"/>
        </w:rPr>
        <w:t xml:space="preserve">however </w:t>
      </w:r>
      <w:r w:rsidR="00E04E61">
        <w:rPr>
          <w:bCs/>
          <w:sz w:val="22"/>
          <w:szCs w:val="22"/>
        </w:rPr>
        <w:t xml:space="preserve">a 2015 systematic review reported </w:t>
      </w:r>
      <w:r w:rsidR="003F7988">
        <w:rPr>
          <w:bCs/>
          <w:sz w:val="22"/>
          <w:szCs w:val="22"/>
        </w:rPr>
        <w:t xml:space="preserve">generally </w:t>
      </w:r>
      <w:r w:rsidR="00E04E61">
        <w:rPr>
          <w:bCs/>
          <w:sz w:val="22"/>
          <w:szCs w:val="22"/>
        </w:rPr>
        <w:t>that convenience and transportation difficulties were key determinants of older adults’ decisions to accept or decline cancer treatment.</w:t>
      </w:r>
      <w:r w:rsidR="009403F7">
        <w:rPr>
          <w:bCs/>
          <w:sz w:val="22"/>
          <w:szCs w:val="22"/>
        </w:rPr>
        <w:fldChar w:fldCharType="begin"/>
      </w:r>
      <w:r w:rsidR="00103315">
        <w:rPr>
          <w:bCs/>
          <w:sz w:val="22"/>
          <w:szCs w:val="22"/>
        </w:rPr>
        <w:instrText xml:space="preserve"> ADDIN ZOTERO_ITEM CSL_CITATION {"citationID":"Nk4BV726","properties":{"formattedCitation":"\\super 56\\nosupersub{}","plainCitation":"56","noteIndex":0},"citationItems":[{"id":1900,"uris":["http://zotero.org/users/local/nRdURiV3/items/A2WRKUTK"],"itemData":{"id":1900,"type":"article-journal","abstract":"BACKGROUND: Cancer is a disease that affects mostly older adults. Older adults often have other chronic health conditions in addition to cancer and may have different health priorities, both of which can impact cancer treatment decision-making. However, no systematic review of factors that influence an older cancer patient's decision to accept or decline cancer treatment has been conducted.\nMATERIALS AND METHODS: Systematic review of the literature published between inception of the databases and February 2013. Dutch, English, French or German articles reporting on qualitative studies, cross-sectional, longitudinal observational or intervention studies describing factors why older adults accepted or declined cancer treatment examining actual treatment decisions were included. Ten databases were used. Two independent reviewers reviewed manuscripts and performed data abstraction using a standardized form and the quality of studies was assessed with the Mixed Methods Appraisal Tool.\nRESULTS: Of 17,343 abstracts reviewed, a total of 38 studies were included. The majority focused on breast and prostate cancer treatment decisions and most studies used a qualitative design. Important factors for accepting treatment were convenience and success rate of treatment, seeing necessity of treatment, trust in the physician and following the physician's recommendation. Factors important for declining cancer treatment included concerns about the discomfort of the treatments, fear of side effects and transportation difficulties.\nCONCLUSION: Although the reasons why older adults with cancer accepted or declined treatment varied considerably, the most consistent determinant was physician recommendation. Further studies using large, representative samples and exploring decision-making incorporating health literacy and comorbidity are needed.","container-title":"Cancer Treatment Reviews","DOI":"10.1016/j.ctrv.2014.12.010","ISSN":"1532-1967","issue":"2","journalAbbreviation":"Cancer Treat Rev","language":"eng","note":"PMID: 25579752","page":"197-215","source":"PubMed","title":"A systematic review of factors influencing older adults' decision to accept or decline cancer treatment","volume":"41","author":[{"family":"Puts","given":"Martine T. E."},{"family":"Tapscott","given":"Brianne"},{"family":"Fitch","given":"Margaret"},{"family":"Howell","given":"Doris"},{"family":"Monette","given":"Johanne"},{"family":"Wan-Chow-Wah","given":"Doreen"},{"family":"Krzyzanowska","given":"Monika"},{"family":"Leighl","given":"Nathasha B."},{"family":"Springall","given":"Elena"},{"family":"Alibhai","given":"Shabbir M."}],"issued":{"date-parts":[["2015",2]]}}}],"schema":"https://github.com/citation-style-language/schema/raw/master/csl-citation.json"} </w:instrText>
      </w:r>
      <w:r w:rsidR="009403F7">
        <w:rPr>
          <w:bCs/>
          <w:sz w:val="22"/>
          <w:szCs w:val="22"/>
        </w:rPr>
        <w:fldChar w:fldCharType="separate"/>
      </w:r>
      <w:r w:rsidR="00103315" w:rsidRPr="00103315">
        <w:rPr>
          <w:sz w:val="22"/>
          <w:vertAlign w:val="superscript"/>
        </w:rPr>
        <w:t>56</w:t>
      </w:r>
      <w:r w:rsidR="009403F7">
        <w:rPr>
          <w:bCs/>
          <w:sz w:val="22"/>
          <w:szCs w:val="22"/>
        </w:rPr>
        <w:fldChar w:fldCharType="end"/>
      </w:r>
      <w:r w:rsidR="00E04E61">
        <w:rPr>
          <w:bCs/>
          <w:sz w:val="22"/>
          <w:szCs w:val="22"/>
        </w:rPr>
        <w:t xml:space="preserve"> </w:t>
      </w:r>
    </w:p>
    <w:p w14:paraId="7E641677" w14:textId="77777777" w:rsidR="00197841" w:rsidRDefault="00197841" w:rsidP="00EB2F6F">
      <w:pPr>
        <w:spacing w:line="360" w:lineRule="auto"/>
        <w:rPr>
          <w:bCs/>
          <w:sz w:val="22"/>
          <w:szCs w:val="22"/>
        </w:rPr>
      </w:pPr>
    </w:p>
    <w:p w14:paraId="05910770" w14:textId="7B2E71A3" w:rsidR="00816488" w:rsidRPr="00A751A4" w:rsidRDefault="00FA1889" w:rsidP="00831C6E">
      <w:pPr>
        <w:spacing w:line="360" w:lineRule="auto"/>
        <w:rPr>
          <w:bCs/>
          <w:color w:val="000000" w:themeColor="text1"/>
          <w:sz w:val="22"/>
          <w:szCs w:val="22"/>
        </w:rPr>
      </w:pPr>
      <w:r w:rsidRPr="00FA1889">
        <w:rPr>
          <w:bCs/>
          <w:color w:val="000000" w:themeColor="text1"/>
          <w:sz w:val="22"/>
          <w:szCs w:val="22"/>
        </w:rPr>
        <w:lastRenderedPageBreak/>
        <w:t>Socio</w:t>
      </w:r>
      <w:r w:rsidR="00EF26F0" w:rsidRPr="00FA1889">
        <w:rPr>
          <w:bCs/>
          <w:color w:val="000000" w:themeColor="text1"/>
          <w:sz w:val="22"/>
          <w:szCs w:val="22"/>
        </w:rPr>
        <w:t xml:space="preserve">-economic associations </w:t>
      </w:r>
      <w:r w:rsidR="00A01D7A">
        <w:rPr>
          <w:bCs/>
          <w:color w:val="000000" w:themeColor="text1"/>
          <w:sz w:val="22"/>
          <w:szCs w:val="22"/>
        </w:rPr>
        <w:t>in trastuzumab receipt varied by cancer stage</w:t>
      </w:r>
      <w:r w:rsidR="00492BBB">
        <w:rPr>
          <w:bCs/>
          <w:color w:val="000000" w:themeColor="text1"/>
          <w:sz w:val="22"/>
          <w:szCs w:val="22"/>
        </w:rPr>
        <w:t>, with an association evident for early stage, but not for metastatic disease</w:t>
      </w:r>
      <w:r w:rsidR="00A01D7A">
        <w:rPr>
          <w:bCs/>
          <w:color w:val="000000" w:themeColor="text1"/>
          <w:sz w:val="22"/>
          <w:szCs w:val="22"/>
        </w:rPr>
        <w:t xml:space="preserve">. </w:t>
      </w:r>
      <w:r w:rsidR="00777E47">
        <w:rPr>
          <w:bCs/>
          <w:color w:val="000000" w:themeColor="text1"/>
          <w:sz w:val="22"/>
          <w:szCs w:val="22"/>
        </w:rPr>
        <w:t>Potentially</w:t>
      </w:r>
      <w:r w:rsidR="00A751A4">
        <w:rPr>
          <w:bCs/>
          <w:color w:val="000000" w:themeColor="text1"/>
          <w:sz w:val="22"/>
          <w:szCs w:val="22"/>
        </w:rPr>
        <w:t xml:space="preserve"> th</w:t>
      </w:r>
      <w:r w:rsidR="00DF00A2">
        <w:rPr>
          <w:bCs/>
          <w:color w:val="000000" w:themeColor="text1"/>
          <w:sz w:val="22"/>
          <w:szCs w:val="22"/>
        </w:rPr>
        <w:t>is reflects</w:t>
      </w:r>
      <w:r w:rsidR="00A751A4">
        <w:rPr>
          <w:bCs/>
          <w:color w:val="000000" w:themeColor="text1"/>
          <w:sz w:val="22"/>
          <w:szCs w:val="22"/>
        </w:rPr>
        <w:t xml:space="preserve"> time since licensing. </w:t>
      </w:r>
      <w:r w:rsidR="006600D3">
        <w:rPr>
          <w:bCs/>
          <w:color w:val="000000" w:themeColor="text1"/>
          <w:sz w:val="22"/>
          <w:szCs w:val="22"/>
        </w:rPr>
        <w:t>New</w:t>
      </w:r>
      <w:r w:rsidR="00A751A4">
        <w:rPr>
          <w:bCs/>
          <w:color w:val="000000" w:themeColor="text1"/>
          <w:sz w:val="22"/>
          <w:szCs w:val="22"/>
        </w:rPr>
        <w:t xml:space="preserve"> drug interventions</w:t>
      </w:r>
      <w:r w:rsidR="00DF00A2">
        <w:rPr>
          <w:bCs/>
          <w:color w:val="000000" w:themeColor="text1"/>
          <w:sz w:val="22"/>
          <w:szCs w:val="22"/>
        </w:rPr>
        <w:t xml:space="preserve"> may</w:t>
      </w:r>
      <w:r w:rsidR="00A751A4">
        <w:rPr>
          <w:bCs/>
          <w:color w:val="000000" w:themeColor="text1"/>
          <w:sz w:val="22"/>
          <w:szCs w:val="22"/>
        </w:rPr>
        <w:t xml:space="preserve"> </w:t>
      </w:r>
      <w:r w:rsidR="004728C7">
        <w:rPr>
          <w:bCs/>
          <w:color w:val="000000" w:themeColor="text1"/>
          <w:sz w:val="22"/>
          <w:szCs w:val="22"/>
        </w:rPr>
        <w:t xml:space="preserve">become </w:t>
      </w:r>
      <w:r w:rsidR="00A751A4">
        <w:rPr>
          <w:bCs/>
          <w:color w:val="000000" w:themeColor="text1"/>
          <w:sz w:val="22"/>
          <w:szCs w:val="22"/>
        </w:rPr>
        <w:t>intervention generated inequality (IG</w:t>
      </w:r>
      <w:r w:rsidR="006600D3">
        <w:rPr>
          <w:bCs/>
          <w:color w:val="000000" w:themeColor="text1"/>
          <w:sz w:val="22"/>
          <w:szCs w:val="22"/>
        </w:rPr>
        <w:t>I</w:t>
      </w:r>
      <w:r w:rsidR="00A751A4">
        <w:rPr>
          <w:bCs/>
          <w:color w:val="000000" w:themeColor="text1"/>
          <w:sz w:val="22"/>
          <w:szCs w:val="22"/>
        </w:rPr>
        <w:t xml:space="preserve">) </w:t>
      </w:r>
      <w:r w:rsidR="009D3BE7">
        <w:rPr>
          <w:bCs/>
          <w:color w:val="000000" w:themeColor="text1"/>
          <w:sz w:val="22"/>
          <w:szCs w:val="22"/>
        </w:rPr>
        <w:t xml:space="preserve">examples </w:t>
      </w:r>
      <w:r w:rsidR="00A751A4">
        <w:rPr>
          <w:bCs/>
          <w:color w:val="000000" w:themeColor="text1"/>
          <w:sz w:val="22"/>
          <w:szCs w:val="22"/>
        </w:rPr>
        <w:t>whe</w:t>
      </w:r>
      <w:r w:rsidR="005D71F3">
        <w:rPr>
          <w:bCs/>
          <w:color w:val="000000" w:themeColor="text1"/>
          <w:sz w:val="22"/>
          <w:szCs w:val="22"/>
        </w:rPr>
        <w:t>n</w:t>
      </w:r>
      <w:r w:rsidR="00A751A4">
        <w:rPr>
          <w:bCs/>
          <w:color w:val="000000" w:themeColor="text1"/>
          <w:sz w:val="22"/>
          <w:szCs w:val="22"/>
        </w:rPr>
        <w:t xml:space="preserve"> the</w:t>
      </w:r>
      <w:r w:rsidR="004728C7">
        <w:rPr>
          <w:bCs/>
          <w:color w:val="000000" w:themeColor="text1"/>
          <w:sz w:val="22"/>
          <w:szCs w:val="22"/>
        </w:rPr>
        <w:t>ir</w:t>
      </w:r>
      <w:r w:rsidR="00A751A4">
        <w:rPr>
          <w:bCs/>
          <w:color w:val="000000" w:themeColor="text1"/>
          <w:sz w:val="22"/>
          <w:szCs w:val="22"/>
        </w:rPr>
        <w:t xml:space="preserve"> int</w:t>
      </w:r>
      <w:r w:rsidR="004728C7">
        <w:rPr>
          <w:bCs/>
          <w:color w:val="000000" w:themeColor="text1"/>
          <w:sz w:val="22"/>
          <w:szCs w:val="22"/>
        </w:rPr>
        <w:t>roduction</w:t>
      </w:r>
      <w:r w:rsidR="00A751A4">
        <w:rPr>
          <w:bCs/>
          <w:color w:val="000000" w:themeColor="text1"/>
          <w:sz w:val="22"/>
          <w:szCs w:val="22"/>
        </w:rPr>
        <w:t xml:space="preserve"> preferentially benefits those </w:t>
      </w:r>
      <w:r w:rsidR="00E0294A" w:rsidRPr="00033A14">
        <w:rPr>
          <w:bCs/>
          <w:color w:val="000000" w:themeColor="text1"/>
          <w:sz w:val="22"/>
          <w:szCs w:val="22"/>
        </w:rPr>
        <w:t>of high</w:t>
      </w:r>
      <w:r w:rsidR="00E67819">
        <w:rPr>
          <w:bCs/>
          <w:color w:val="000000" w:themeColor="text1"/>
          <w:sz w:val="22"/>
          <w:szCs w:val="22"/>
        </w:rPr>
        <w:t>er</w:t>
      </w:r>
      <w:r w:rsidR="00E0294A" w:rsidRPr="00033A14">
        <w:rPr>
          <w:bCs/>
          <w:color w:val="000000" w:themeColor="text1"/>
          <w:sz w:val="22"/>
          <w:szCs w:val="22"/>
        </w:rPr>
        <w:t xml:space="preserve"> SES with resources to gain priority access</w:t>
      </w:r>
      <w:r w:rsidR="00A751A4">
        <w:rPr>
          <w:bCs/>
          <w:color w:val="000000" w:themeColor="text1"/>
          <w:sz w:val="22"/>
          <w:szCs w:val="22"/>
        </w:rPr>
        <w:t>.</w:t>
      </w:r>
      <w:r w:rsidR="00E0294A" w:rsidRPr="00033A14">
        <w:rPr>
          <w:bCs/>
          <w:color w:val="000000" w:themeColor="text1"/>
          <w:sz w:val="22"/>
          <w:szCs w:val="22"/>
        </w:rPr>
        <w:fldChar w:fldCharType="begin"/>
      </w:r>
      <w:r w:rsidR="00203C6E">
        <w:rPr>
          <w:bCs/>
          <w:color w:val="000000" w:themeColor="text1"/>
          <w:sz w:val="22"/>
          <w:szCs w:val="22"/>
        </w:rPr>
        <w:instrText xml:space="preserve"> ADDIN ZOTERO_ITEM CSL_CITATION {"citationID":"kFIjLrbX","properties":{"formattedCitation":"\\super 57\\nosupersub{}","plainCitation":"57","noteIndex":0},"citationItems":[{"id":"nMalwRdq/ui1rgzqB","uris":["http://zotero.org/users/6915713/items/N6SGFG7D",["http://zotero.org/users/6915713/items/N6SGFG7D"]],"itemData":{"id":"B6tBNu26/cBS6bqSp","type":"chapter","container-title":"In: Babones SJ, editor. Social inequality and public health","event-place":"Bristol","publisher":"Policy Press","publisher-place":"Bristol","title":"How and why do interventions that increase health overall widen inequalities within populations?","author":[{"family":"White","given":"M"},{"family":"Adams","given":"J"},{"family":"Heywood","given":"P"}],"issued":{"date-parts":[["2012"]]}}}],"schema":"https://github.com/citation-style-language/schema/raw/master/csl-citation.json"} </w:instrText>
      </w:r>
      <w:r w:rsidR="00E0294A" w:rsidRPr="00033A14">
        <w:rPr>
          <w:bCs/>
          <w:color w:val="000000" w:themeColor="text1"/>
          <w:sz w:val="22"/>
          <w:szCs w:val="22"/>
        </w:rPr>
        <w:fldChar w:fldCharType="separate"/>
      </w:r>
      <w:r w:rsidR="00103315" w:rsidRPr="00103315">
        <w:rPr>
          <w:color w:val="000000"/>
          <w:sz w:val="22"/>
          <w:vertAlign w:val="superscript"/>
        </w:rPr>
        <w:t>57</w:t>
      </w:r>
      <w:r w:rsidR="00E0294A" w:rsidRPr="00033A14">
        <w:rPr>
          <w:bCs/>
          <w:color w:val="000000" w:themeColor="text1"/>
          <w:sz w:val="22"/>
          <w:szCs w:val="22"/>
        </w:rPr>
        <w:fldChar w:fldCharType="end"/>
      </w:r>
      <w:r w:rsidR="008B2A75">
        <w:rPr>
          <w:bCs/>
          <w:color w:val="000000" w:themeColor="text1"/>
          <w:sz w:val="22"/>
          <w:szCs w:val="22"/>
        </w:rPr>
        <w:t xml:space="preserve"> </w:t>
      </w:r>
      <w:r w:rsidR="00A70E1E">
        <w:rPr>
          <w:bCs/>
          <w:color w:val="000000" w:themeColor="text1"/>
          <w:sz w:val="22"/>
          <w:szCs w:val="22"/>
        </w:rPr>
        <w:t xml:space="preserve">IGIs are </w:t>
      </w:r>
      <w:r w:rsidR="00E0294A" w:rsidRPr="00033A14">
        <w:rPr>
          <w:bCs/>
          <w:color w:val="000000" w:themeColor="text1"/>
          <w:sz w:val="22"/>
          <w:szCs w:val="22"/>
        </w:rPr>
        <w:t>particularly concern</w:t>
      </w:r>
      <w:r w:rsidR="00A70E1E">
        <w:rPr>
          <w:bCs/>
          <w:color w:val="000000" w:themeColor="text1"/>
          <w:sz w:val="22"/>
          <w:szCs w:val="22"/>
        </w:rPr>
        <w:t>ing</w:t>
      </w:r>
      <w:r w:rsidR="00E0294A" w:rsidRPr="00033A14">
        <w:rPr>
          <w:bCs/>
          <w:color w:val="000000" w:themeColor="text1"/>
          <w:sz w:val="22"/>
          <w:szCs w:val="22"/>
        </w:rPr>
        <w:t xml:space="preserve"> when treatments are new</w:t>
      </w:r>
      <w:r w:rsidR="005D71F3">
        <w:rPr>
          <w:bCs/>
          <w:color w:val="000000" w:themeColor="text1"/>
          <w:sz w:val="22"/>
          <w:szCs w:val="22"/>
        </w:rPr>
        <w:t xml:space="preserve"> and </w:t>
      </w:r>
      <w:r w:rsidR="00C85EDC">
        <w:rPr>
          <w:bCs/>
          <w:color w:val="000000" w:themeColor="text1"/>
          <w:sz w:val="22"/>
          <w:szCs w:val="22"/>
        </w:rPr>
        <w:t>wane over</w:t>
      </w:r>
      <w:r w:rsidR="00FE361D">
        <w:rPr>
          <w:bCs/>
          <w:color w:val="000000" w:themeColor="text1"/>
          <w:sz w:val="22"/>
          <w:szCs w:val="22"/>
        </w:rPr>
        <w:t xml:space="preserve"> </w:t>
      </w:r>
      <w:r w:rsidR="00C85EDC">
        <w:rPr>
          <w:bCs/>
          <w:color w:val="000000" w:themeColor="text1"/>
          <w:sz w:val="22"/>
          <w:szCs w:val="22"/>
        </w:rPr>
        <w:t>time as</w:t>
      </w:r>
      <w:r w:rsidR="003B3779">
        <w:rPr>
          <w:bCs/>
          <w:color w:val="000000" w:themeColor="text1"/>
          <w:sz w:val="22"/>
          <w:szCs w:val="22"/>
        </w:rPr>
        <w:t xml:space="preserve"> interventions become </w:t>
      </w:r>
      <w:r w:rsidR="00C85EDC">
        <w:rPr>
          <w:bCs/>
          <w:color w:val="000000" w:themeColor="text1"/>
          <w:sz w:val="22"/>
          <w:szCs w:val="22"/>
        </w:rPr>
        <w:t>“</w:t>
      </w:r>
      <w:r w:rsidR="003B3779">
        <w:rPr>
          <w:bCs/>
          <w:color w:val="000000" w:themeColor="text1"/>
          <w:sz w:val="22"/>
          <w:szCs w:val="22"/>
        </w:rPr>
        <w:t>standard practice”</w:t>
      </w:r>
      <w:r w:rsidR="009B3782">
        <w:rPr>
          <w:bCs/>
          <w:color w:val="000000" w:themeColor="text1"/>
          <w:sz w:val="22"/>
          <w:szCs w:val="22"/>
        </w:rPr>
        <w:t xml:space="preserve"> </w:t>
      </w:r>
      <w:r w:rsidR="00E0294A" w:rsidRPr="00033A14">
        <w:rPr>
          <w:bCs/>
          <w:color w:val="000000" w:themeColor="text1"/>
          <w:sz w:val="22"/>
          <w:szCs w:val="22"/>
        </w:rPr>
        <w:t>(Inverse Inequity Hypothesis).</w:t>
      </w:r>
      <w:r w:rsidR="00E0294A" w:rsidRPr="00033A14">
        <w:rPr>
          <w:bCs/>
          <w:color w:val="000000" w:themeColor="text1"/>
          <w:sz w:val="22"/>
          <w:szCs w:val="22"/>
        </w:rPr>
        <w:fldChar w:fldCharType="begin"/>
      </w:r>
      <w:r w:rsidR="00103315">
        <w:rPr>
          <w:bCs/>
          <w:color w:val="000000" w:themeColor="text1"/>
          <w:sz w:val="22"/>
          <w:szCs w:val="22"/>
        </w:rPr>
        <w:instrText xml:space="preserve"> ADDIN ZOTERO_ITEM CSL_CITATION {"citationID":"x05qemxz","properties":{"formattedCitation":"\\super 58\\nosupersub{}","plainCitation":"58","noteIndex":0},"citationItems":[{"id":237,"uris":["http://zotero.org/users/local/nRdURiV3/items/NITBPMRD"],"itemData":{"id":237,"type":"article-journal","abstract":"There is considerable international concern that child-health inequities seem to be getting worse between and within richer and poorer countries. The \"inverse equity hypothesis\" is proposed to explain how such health inequities may get worse, remain the same, or improve over time. We postulate that as new public-health interventions and programmes initially reach those of higher socioeconomic status and only later affect the poor, there are early increases in inequity ratios for coverage, morbidity, and mortality indicators. Inequities only improve later when the rich have achieved new minimum achievable levels for morbidity and mortality and the poor gain greater access to the interventions. The hypothesis was examined using three epidemiological data sets for time trends in child-health inequities within Brazil. Time trends for inequity ratios for morbidity and mortality, which were consistent with the hypothesis, showed both improvements and deterioration over time, despite the indicators showing absolute improvements in health status between rich and poor.","container-title":"Lancet (London, England)","DOI":"10.1016/S0140-6736(00)02741-0","ISSN":"0140-6736","issue":"9235","journalAbbreviation":"Lancet","language":"eng","note":"number: 9235\nPMID: 11009159","page":"1093-1098","source":"PubMed","title":"Explaining trends in inequities: evidence from Brazilian child health studies","title-short":"Explaining trends in inequities","volume":"356","author":[{"family":"Victora","given":"C. G."},{"family":"Vaughan","given":"J. P."},{"family":"Barros","given":"F. C."},{"family":"Silva","given":"A. C."},{"family":"Tomasi","given":"E."}],"issued":{"date-parts":[["2000"]]}}}],"schema":"https://github.com/citation-style-language/schema/raw/master/csl-citation.json"} </w:instrText>
      </w:r>
      <w:r w:rsidR="00E0294A" w:rsidRPr="00033A14">
        <w:rPr>
          <w:bCs/>
          <w:color w:val="000000" w:themeColor="text1"/>
          <w:sz w:val="22"/>
          <w:szCs w:val="22"/>
        </w:rPr>
        <w:fldChar w:fldCharType="separate"/>
      </w:r>
      <w:r w:rsidR="00103315" w:rsidRPr="00103315">
        <w:rPr>
          <w:color w:val="000000"/>
          <w:sz w:val="22"/>
          <w:vertAlign w:val="superscript"/>
        </w:rPr>
        <w:t>58</w:t>
      </w:r>
      <w:r w:rsidR="00E0294A" w:rsidRPr="00033A14">
        <w:rPr>
          <w:bCs/>
          <w:color w:val="000000" w:themeColor="text1"/>
          <w:sz w:val="22"/>
          <w:szCs w:val="22"/>
        </w:rPr>
        <w:fldChar w:fldCharType="end"/>
      </w:r>
      <w:r w:rsidR="003B3779">
        <w:rPr>
          <w:bCs/>
          <w:color w:val="000000" w:themeColor="text1"/>
          <w:sz w:val="22"/>
          <w:szCs w:val="22"/>
        </w:rPr>
        <w:t xml:space="preserve"> </w:t>
      </w:r>
      <w:r w:rsidR="0022551D">
        <w:rPr>
          <w:bCs/>
          <w:color w:val="000000" w:themeColor="text1"/>
          <w:sz w:val="22"/>
          <w:szCs w:val="22"/>
        </w:rPr>
        <w:t xml:space="preserve">Minimal socio-economic </w:t>
      </w:r>
      <w:r w:rsidR="00C57B75">
        <w:rPr>
          <w:bCs/>
          <w:color w:val="000000" w:themeColor="text1"/>
          <w:sz w:val="22"/>
          <w:szCs w:val="22"/>
        </w:rPr>
        <w:t>disparities</w:t>
      </w:r>
      <w:r w:rsidR="0022551D">
        <w:rPr>
          <w:bCs/>
          <w:color w:val="000000" w:themeColor="text1"/>
          <w:sz w:val="22"/>
          <w:szCs w:val="22"/>
        </w:rPr>
        <w:t xml:space="preserve"> in metastatic compared to early-stage trastuzumab receipt may reflect </w:t>
      </w:r>
      <w:r w:rsidR="00A751A4">
        <w:rPr>
          <w:bCs/>
          <w:color w:val="000000" w:themeColor="text1"/>
          <w:sz w:val="22"/>
          <w:szCs w:val="22"/>
        </w:rPr>
        <w:t>first licenc</w:t>
      </w:r>
      <w:r w:rsidR="009D3BE7">
        <w:rPr>
          <w:bCs/>
          <w:color w:val="000000" w:themeColor="text1"/>
          <w:sz w:val="22"/>
          <w:szCs w:val="22"/>
        </w:rPr>
        <w:t>ing</w:t>
      </w:r>
      <w:r w:rsidR="00A751A4">
        <w:rPr>
          <w:bCs/>
          <w:color w:val="000000" w:themeColor="text1"/>
          <w:sz w:val="22"/>
          <w:szCs w:val="22"/>
        </w:rPr>
        <w:t xml:space="preserve"> in </w:t>
      </w:r>
      <w:r w:rsidR="006600D3">
        <w:rPr>
          <w:bCs/>
          <w:color w:val="000000" w:themeColor="text1"/>
          <w:sz w:val="22"/>
          <w:szCs w:val="22"/>
        </w:rPr>
        <w:t>metastatic</w:t>
      </w:r>
      <w:r w:rsidR="00A751A4">
        <w:rPr>
          <w:bCs/>
          <w:color w:val="000000" w:themeColor="text1"/>
          <w:sz w:val="22"/>
          <w:szCs w:val="22"/>
        </w:rPr>
        <w:t xml:space="preserve"> HER2+ disease in England </w:t>
      </w:r>
      <w:r w:rsidR="001C09A2">
        <w:rPr>
          <w:bCs/>
          <w:color w:val="000000" w:themeColor="text1"/>
          <w:sz w:val="22"/>
          <w:szCs w:val="22"/>
        </w:rPr>
        <w:t xml:space="preserve">in </w:t>
      </w:r>
      <w:r w:rsidR="00A751A4">
        <w:rPr>
          <w:bCs/>
          <w:color w:val="000000" w:themeColor="text1"/>
          <w:sz w:val="22"/>
          <w:szCs w:val="22"/>
        </w:rPr>
        <w:t>2002</w:t>
      </w:r>
      <w:r w:rsidR="001C09A2">
        <w:rPr>
          <w:bCs/>
          <w:color w:val="000000" w:themeColor="text1"/>
          <w:sz w:val="22"/>
          <w:szCs w:val="22"/>
        </w:rPr>
        <w:t xml:space="preserve"> (access widened to</w:t>
      </w:r>
      <w:r w:rsidR="00A751A4">
        <w:rPr>
          <w:bCs/>
          <w:color w:val="000000" w:themeColor="text1"/>
          <w:sz w:val="22"/>
          <w:szCs w:val="22"/>
        </w:rPr>
        <w:t xml:space="preserve"> early</w:t>
      </w:r>
      <w:r w:rsidR="006600D3">
        <w:rPr>
          <w:bCs/>
          <w:color w:val="000000" w:themeColor="text1"/>
          <w:sz w:val="22"/>
          <w:szCs w:val="22"/>
        </w:rPr>
        <w:t>-</w:t>
      </w:r>
      <w:r w:rsidR="00A751A4">
        <w:rPr>
          <w:bCs/>
          <w:color w:val="000000" w:themeColor="text1"/>
          <w:sz w:val="22"/>
          <w:szCs w:val="22"/>
        </w:rPr>
        <w:t>stage breast cancer</w:t>
      </w:r>
      <w:r w:rsidR="009D3BE7">
        <w:rPr>
          <w:bCs/>
          <w:color w:val="000000" w:themeColor="text1"/>
          <w:sz w:val="22"/>
          <w:szCs w:val="22"/>
        </w:rPr>
        <w:t xml:space="preserve"> </w:t>
      </w:r>
      <w:r w:rsidR="001C09A2">
        <w:rPr>
          <w:bCs/>
          <w:color w:val="000000" w:themeColor="text1"/>
          <w:sz w:val="22"/>
          <w:szCs w:val="22"/>
        </w:rPr>
        <w:t xml:space="preserve">in </w:t>
      </w:r>
      <w:r w:rsidR="00305BAE">
        <w:rPr>
          <w:bCs/>
          <w:color w:val="000000" w:themeColor="text1"/>
          <w:sz w:val="22"/>
          <w:szCs w:val="22"/>
        </w:rPr>
        <w:t>2006)</w:t>
      </w:r>
      <w:r w:rsidR="0022551D">
        <w:rPr>
          <w:bCs/>
          <w:color w:val="000000" w:themeColor="text1"/>
          <w:sz w:val="22"/>
          <w:szCs w:val="22"/>
        </w:rPr>
        <w:t>.</w:t>
      </w:r>
      <w:r w:rsidR="00A751A4">
        <w:rPr>
          <w:bCs/>
          <w:color w:val="000000" w:themeColor="text1"/>
          <w:sz w:val="22"/>
          <w:szCs w:val="22"/>
        </w:rPr>
        <w:fldChar w:fldCharType="begin"/>
      </w:r>
      <w:r w:rsidR="00103315">
        <w:rPr>
          <w:bCs/>
          <w:color w:val="000000" w:themeColor="text1"/>
          <w:sz w:val="22"/>
          <w:szCs w:val="22"/>
        </w:rPr>
        <w:instrText xml:space="preserve"> ADDIN ZOTERO_ITEM CSL_CITATION {"citationID":"hsRYpty1","properties":{"formattedCitation":"\\super 59,60\\nosupersub{}","plainCitation":"59,60","noteIndex":0},"citationItems":[{"id":514,"uris":["http://zotero.org/users/local/nRdURiV3/items/PCKAH9KS"],"itemData":{"id":514,"type":"webpage","language":"eng","note":"publisher: NICE","title":"Overview | Guidance on the use of trastuzumab for the treatment of advanced breast cancer | Guidance | NICE","URL":"https://www.nice.org.uk/guidance/ta34","author":[{"literal":"NICE"}],"accessed":{"date-parts":[["2021",9,17]]},"issued":{"date-parts":[["2002"]]}}},{"id":505,"uris":["http://zotero.org/users/local/nRdURiV3/items/7UBSCMWY"],"itemData":{"id":505,"type":"document","title":"Final Appraisal Determination Trastuzumab for the adjuvant treatment of early-stage HER2-positive breast cancer","URL":"https://www.nice.org.uk/guidance/ta107/documents/final-appraisal-determination-breast-cancer-early-trastuzumab2","author":[{"literal":"NICE"}],"accessed":{"date-parts":[["2021",9,16]]},"issued":{"date-parts":[["2006"]]}}}],"schema":"https://github.com/citation-style-language/schema/raw/master/csl-citation.json"} </w:instrText>
      </w:r>
      <w:r w:rsidR="00A751A4">
        <w:rPr>
          <w:bCs/>
          <w:color w:val="000000" w:themeColor="text1"/>
          <w:sz w:val="22"/>
          <w:szCs w:val="22"/>
        </w:rPr>
        <w:fldChar w:fldCharType="separate"/>
      </w:r>
      <w:r w:rsidR="00103315" w:rsidRPr="00103315">
        <w:rPr>
          <w:color w:val="000000"/>
          <w:sz w:val="22"/>
          <w:vertAlign w:val="superscript"/>
        </w:rPr>
        <w:t>59,60</w:t>
      </w:r>
      <w:r w:rsidR="00A751A4">
        <w:rPr>
          <w:bCs/>
          <w:color w:val="000000" w:themeColor="text1"/>
          <w:sz w:val="22"/>
          <w:szCs w:val="22"/>
        </w:rPr>
        <w:fldChar w:fldCharType="end"/>
      </w:r>
      <w:r w:rsidR="0022551D">
        <w:rPr>
          <w:bCs/>
          <w:color w:val="000000" w:themeColor="text1"/>
          <w:sz w:val="22"/>
          <w:szCs w:val="22"/>
        </w:rPr>
        <w:t xml:space="preserve"> </w:t>
      </w:r>
      <w:r w:rsidR="006600D3">
        <w:rPr>
          <w:bCs/>
          <w:color w:val="000000" w:themeColor="text1"/>
          <w:sz w:val="22"/>
          <w:szCs w:val="22"/>
        </w:rPr>
        <w:t>T</w:t>
      </w:r>
      <w:r w:rsidR="004073EC">
        <w:rPr>
          <w:bCs/>
          <w:color w:val="000000" w:themeColor="text1"/>
          <w:sz w:val="22"/>
          <w:szCs w:val="22"/>
        </w:rPr>
        <w:t xml:space="preserve">his </w:t>
      </w:r>
      <w:r w:rsidR="00A751A4">
        <w:rPr>
          <w:bCs/>
          <w:color w:val="000000" w:themeColor="text1"/>
          <w:sz w:val="22"/>
          <w:szCs w:val="22"/>
        </w:rPr>
        <w:t xml:space="preserve">hypothesis </w:t>
      </w:r>
      <w:r w:rsidR="004073EC">
        <w:rPr>
          <w:bCs/>
          <w:color w:val="000000" w:themeColor="text1"/>
          <w:sz w:val="22"/>
          <w:szCs w:val="22"/>
        </w:rPr>
        <w:t xml:space="preserve">cannot be considered nationally as </w:t>
      </w:r>
      <w:r w:rsidR="003B3779" w:rsidRPr="003B3779">
        <w:rPr>
          <w:bCs/>
          <w:color w:val="000000" w:themeColor="text1"/>
          <w:sz w:val="22"/>
          <w:szCs w:val="22"/>
        </w:rPr>
        <w:t>SACT was only established in 2012</w:t>
      </w:r>
      <w:r w:rsidR="005544B9">
        <w:rPr>
          <w:bCs/>
          <w:color w:val="000000" w:themeColor="text1"/>
          <w:sz w:val="22"/>
          <w:szCs w:val="22"/>
        </w:rPr>
        <w:t>.</w:t>
      </w:r>
      <w:r w:rsidR="00CF1071">
        <w:rPr>
          <w:bCs/>
          <w:color w:val="000000" w:themeColor="text1"/>
          <w:sz w:val="22"/>
          <w:szCs w:val="22"/>
        </w:rPr>
        <w:t xml:space="preserve"> </w:t>
      </w:r>
    </w:p>
    <w:p w14:paraId="432ECD5F" w14:textId="272FB91C" w:rsidR="006F338A" w:rsidRPr="00850B75" w:rsidRDefault="006F338A" w:rsidP="00924401">
      <w:pPr>
        <w:spacing w:line="360" w:lineRule="auto"/>
        <w:jc w:val="both"/>
        <w:rPr>
          <w:bCs/>
          <w:sz w:val="22"/>
          <w:szCs w:val="22"/>
        </w:rPr>
      </w:pPr>
    </w:p>
    <w:p w14:paraId="697B23FF" w14:textId="1E4386B7" w:rsidR="0029625E" w:rsidRDefault="00A80483" w:rsidP="00EB2F6F">
      <w:pPr>
        <w:spacing w:line="360" w:lineRule="auto"/>
        <w:rPr>
          <w:bCs/>
          <w:sz w:val="22"/>
          <w:szCs w:val="22"/>
        </w:rPr>
      </w:pPr>
      <w:r w:rsidRPr="00033A14">
        <w:rPr>
          <w:bCs/>
          <w:sz w:val="22"/>
          <w:szCs w:val="22"/>
        </w:rPr>
        <w:t xml:space="preserve">This study </w:t>
      </w:r>
      <w:r w:rsidR="0027105B" w:rsidRPr="00033A14">
        <w:rPr>
          <w:bCs/>
          <w:sz w:val="22"/>
          <w:szCs w:val="22"/>
        </w:rPr>
        <w:t>is</w:t>
      </w:r>
      <w:r w:rsidRPr="00033A14">
        <w:rPr>
          <w:bCs/>
          <w:sz w:val="22"/>
          <w:szCs w:val="22"/>
        </w:rPr>
        <w:t xml:space="preserve"> among</w:t>
      </w:r>
      <w:r w:rsidR="0027105B" w:rsidRPr="00033A14">
        <w:rPr>
          <w:bCs/>
          <w:sz w:val="22"/>
          <w:szCs w:val="22"/>
        </w:rPr>
        <w:t>st</w:t>
      </w:r>
      <w:r w:rsidRPr="00033A14">
        <w:rPr>
          <w:bCs/>
          <w:sz w:val="22"/>
          <w:szCs w:val="22"/>
        </w:rPr>
        <w:t xml:space="preserve"> the first to report </w:t>
      </w:r>
      <w:r w:rsidR="008C6163">
        <w:rPr>
          <w:bCs/>
          <w:sz w:val="22"/>
          <w:szCs w:val="22"/>
        </w:rPr>
        <w:t>English</w:t>
      </w:r>
      <w:r w:rsidR="007B348A" w:rsidRPr="00033A14">
        <w:rPr>
          <w:bCs/>
          <w:sz w:val="22"/>
          <w:szCs w:val="22"/>
        </w:rPr>
        <w:t xml:space="preserve"> population-</w:t>
      </w:r>
      <w:r w:rsidR="00410947" w:rsidRPr="00033A14">
        <w:rPr>
          <w:bCs/>
          <w:sz w:val="22"/>
          <w:szCs w:val="22"/>
        </w:rPr>
        <w:t xml:space="preserve">registry </w:t>
      </w:r>
      <w:r w:rsidR="007B348A" w:rsidRPr="00033A14">
        <w:rPr>
          <w:bCs/>
          <w:sz w:val="22"/>
          <w:szCs w:val="22"/>
        </w:rPr>
        <w:t xml:space="preserve">based </w:t>
      </w:r>
      <w:r w:rsidRPr="00033A14">
        <w:rPr>
          <w:bCs/>
          <w:sz w:val="22"/>
          <w:szCs w:val="22"/>
        </w:rPr>
        <w:t xml:space="preserve">data </w:t>
      </w:r>
      <w:r w:rsidR="007B348A" w:rsidRPr="00033A14">
        <w:rPr>
          <w:bCs/>
          <w:sz w:val="22"/>
          <w:szCs w:val="22"/>
        </w:rPr>
        <w:t xml:space="preserve">analysing </w:t>
      </w:r>
      <w:r w:rsidR="009834A3">
        <w:rPr>
          <w:bCs/>
          <w:sz w:val="22"/>
          <w:szCs w:val="22"/>
        </w:rPr>
        <w:t>r</w:t>
      </w:r>
      <w:r w:rsidR="00D16134">
        <w:rPr>
          <w:bCs/>
          <w:sz w:val="22"/>
          <w:szCs w:val="22"/>
        </w:rPr>
        <w:t>eceipt</w:t>
      </w:r>
      <w:r w:rsidR="007B348A" w:rsidRPr="00033A14">
        <w:rPr>
          <w:bCs/>
          <w:sz w:val="22"/>
          <w:szCs w:val="22"/>
        </w:rPr>
        <w:t xml:space="preserve"> of a </w:t>
      </w:r>
      <w:r w:rsidR="002B5BB5" w:rsidRPr="00033A14">
        <w:rPr>
          <w:bCs/>
          <w:sz w:val="22"/>
          <w:szCs w:val="22"/>
        </w:rPr>
        <w:t>high-cost</w:t>
      </w:r>
      <w:r w:rsidR="007B348A" w:rsidRPr="00033A14">
        <w:rPr>
          <w:bCs/>
          <w:sz w:val="22"/>
          <w:szCs w:val="22"/>
        </w:rPr>
        <w:t xml:space="preserve"> targeted treatment (trastuzumab) </w:t>
      </w:r>
      <w:r w:rsidR="002F2470" w:rsidRPr="00033A14">
        <w:rPr>
          <w:bCs/>
          <w:sz w:val="22"/>
          <w:szCs w:val="22"/>
        </w:rPr>
        <w:t>as well as</w:t>
      </w:r>
      <w:r w:rsidR="007B348A" w:rsidRPr="00033A14">
        <w:rPr>
          <w:bCs/>
          <w:sz w:val="22"/>
          <w:szCs w:val="22"/>
        </w:rPr>
        <w:t xml:space="preserve"> explor</w:t>
      </w:r>
      <w:r w:rsidR="00313EB3" w:rsidRPr="00033A14">
        <w:rPr>
          <w:bCs/>
          <w:sz w:val="22"/>
          <w:szCs w:val="22"/>
        </w:rPr>
        <w:t>ing</w:t>
      </w:r>
      <w:r w:rsidR="007B348A" w:rsidRPr="00033A14">
        <w:rPr>
          <w:bCs/>
          <w:sz w:val="22"/>
          <w:szCs w:val="22"/>
        </w:rPr>
        <w:t xml:space="preserve"> </w:t>
      </w:r>
      <w:r w:rsidR="008B0F85" w:rsidRPr="00033A14">
        <w:rPr>
          <w:bCs/>
          <w:sz w:val="22"/>
          <w:szCs w:val="22"/>
        </w:rPr>
        <w:t xml:space="preserve">an emerging </w:t>
      </w:r>
      <w:r w:rsidR="007B348A" w:rsidRPr="00033A14">
        <w:rPr>
          <w:bCs/>
          <w:sz w:val="22"/>
          <w:szCs w:val="22"/>
        </w:rPr>
        <w:t xml:space="preserve">big data resource </w:t>
      </w:r>
      <w:r w:rsidR="008B0F85" w:rsidRPr="00033A14">
        <w:rPr>
          <w:bCs/>
          <w:sz w:val="22"/>
          <w:szCs w:val="22"/>
        </w:rPr>
        <w:t>(</w:t>
      </w:r>
      <w:r w:rsidR="007B348A" w:rsidRPr="00033A14">
        <w:rPr>
          <w:bCs/>
          <w:sz w:val="22"/>
          <w:szCs w:val="22"/>
        </w:rPr>
        <w:t>SACT</w:t>
      </w:r>
      <w:r w:rsidR="008B0F85" w:rsidRPr="00033A14">
        <w:rPr>
          <w:bCs/>
          <w:sz w:val="22"/>
          <w:szCs w:val="22"/>
        </w:rPr>
        <w:t>)</w:t>
      </w:r>
      <w:r w:rsidR="007B348A" w:rsidRPr="00033A14">
        <w:rPr>
          <w:bCs/>
          <w:sz w:val="22"/>
          <w:szCs w:val="22"/>
        </w:rPr>
        <w:t xml:space="preserve"> – with a focus on socio-e</w:t>
      </w:r>
      <w:r w:rsidR="00261E9A" w:rsidRPr="00033A14">
        <w:rPr>
          <w:bCs/>
          <w:sz w:val="22"/>
          <w:szCs w:val="22"/>
        </w:rPr>
        <w:t>c</w:t>
      </w:r>
      <w:r w:rsidR="007B348A" w:rsidRPr="00033A14">
        <w:rPr>
          <w:bCs/>
          <w:sz w:val="22"/>
          <w:szCs w:val="22"/>
        </w:rPr>
        <w:t>onomic</w:t>
      </w:r>
      <w:r w:rsidR="00E67819">
        <w:rPr>
          <w:bCs/>
          <w:sz w:val="22"/>
          <w:szCs w:val="22"/>
        </w:rPr>
        <w:t xml:space="preserve"> </w:t>
      </w:r>
      <w:r w:rsidR="00C57B75">
        <w:rPr>
          <w:bCs/>
          <w:sz w:val="22"/>
          <w:szCs w:val="22"/>
        </w:rPr>
        <w:t>disparities</w:t>
      </w:r>
      <w:r w:rsidR="007B348A" w:rsidRPr="00033A14">
        <w:rPr>
          <w:bCs/>
          <w:sz w:val="22"/>
          <w:szCs w:val="22"/>
        </w:rPr>
        <w:t xml:space="preserve">. </w:t>
      </w:r>
      <w:r w:rsidR="002F2470" w:rsidRPr="00033A14">
        <w:rPr>
          <w:bCs/>
          <w:sz w:val="22"/>
          <w:szCs w:val="22"/>
        </w:rPr>
        <w:t>The</w:t>
      </w:r>
      <w:r w:rsidR="00B3501B" w:rsidRPr="00033A14">
        <w:rPr>
          <w:bCs/>
          <w:sz w:val="22"/>
          <w:szCs w:val="22"/>
        </w:rPr>
        <w:t xml:space="preserve"> </w:t>
      </w:r>
      <w:r w:rsidR="00AF7715">
        <w:rPr>
          <w:bCs/>
          <w:sz w:val="22"/>
          <w:szCs w:val="22"/>
        </w:rPr>
        <w:t>national</w:t>
      </w:r>
      <w:r w:rsidR="002F2470" w:rsidRPr="00033A14">
        <w:rPr>
          <w:bCs/>
          <w:sz w:val="22"/>
          <w:szCs w:val="22"/>
        </w:rPr>
        <w:t xml:space="preserve"> </w:t>
      </w:r>
      <w:r w:rsidR="00B3501B" w:rsidRPr="00033A14">
        <w:rPr>
          <w:bCs/>
          <w:sz w:val="22"/>
          <w:szCs w:val="22"/>
        </w:rPr>
        <w:t>dataset</w:t>
      </w:r>
      <w:r w:rsidR="00005A20">
        <w:rPr>
          <w:bCs/>
          <w:sz w:val="22"/>
          <w:szCs w:val="22"/>
        </w:rPr>
        <w:t xml:space="preserve"> coverage</w:t>
      </w:r>
      <w:r w:rsidR="00B3501B" w:rsidRPr="00033A14">
        <w:rPr>
          <w:bCs/>
          <w:sz w:val="22"/>
          <w:szCs w:val="22"/>
        </w:rPr>
        <w:t xml:space="preserve"> </w:t>
      </w:r>
      <w:r w:rsidR="00ED0757">
        <w:rPr>
          <w:bCs/>
          <w:sz w:val="22"/>
          <w:szCs w:val="22"/>
        </w:rPr>
        <w:t>minimize</w:t>
      </w:r>
      <w:r w:rsidR="00B3501B" w:rsidRPr="00033A14">
        <w:rPr>
          <w:bCs/>
          <w:sz w:val="22"/>
          <w:szCs w:val="22"/>
        </w:rPr>
        <w:t>s selection bias</w:t>
      </w:r>
      <w:r w:rsidR="00A0308D">
        <w:rPr>
          <w:bCs/>
          <w:sz w:val="22"/>
          <w:szCs w:val="22"/>
        </w:rPr>
        <w:t xml:space="preserve">, </w:t>
      </w:r>
      <w:r w:rsidR="00B3501B" w:rsidRPr="00033A14">
        <w:rPr>
          <w:bCs/>
          <w:sz w:val="22"/>
          <w:szCs w:val="22"/>
        </w:rPr>
        <w:t>improv</w:t>
      </w:r>
      <w:r w:rsidR="00A0308D">
        <w:rPr>
          <w:bCs/>
          <w:sz w:val="22"/>
          <w:szCs w:val="22"/>
        </w:rPr>
        <w:t>es</w:t>
      </w:r>
      <w:r w:rsidR="00B3501B" w:rsidRPr="00033A14">
        <w:rPr>
          <w:bCs/>
          <w:sz w:val="22"/>
          <w:szCs w:val="22"/>
        </w:rPr>
        <w:t xml:space="preserve"> data </w:t>
      </w:r>
      <w:r w:rsidR="004728C7">
        <w:rPr>
          <w:bCs/>
          <w:sz w:val="22"/>
          <w:szCs w:val="22"/>
        </w:rPr>
        <w:t>completeness,</w:t>
      </w:r>
      <w:r w:rsidR="00B3501B" w:rsidRPr="00033A14">
        <w:rPr>
          <w:bCs/>
          <w:sz w:val="22"/>
          <w:szCs w:val="22"/>
        </w:rPr>
        <w:t xml:space="preserve"> and </w:t>
      </w:r>
      <w:r w:rsidR="00A0308D">
        <w:rPr>
          <w:bCs/>
          <w:sz w:val="22"/>
          <w:szCs w:val="22"/>
        </w:rPr>
        <w:t xml:space="preserve">enhances </w:t>
      </w:r>
      <w:r w:rsidR="00706971">
        <w:rPr>
          <w:bCs/>
          <w:sz w:val="22"/>
          <w:szCs w:val="22"/>
        </w:rPr>
        <w:t xml:space="preserve">study </w:t>
      </w:r>
      <w:r w:rsidR="00B3501B" w:rsidRPr="00033A14">
        <w:rPr>
          <w:bCs/>
          <w:sz w:val="22"/>
          <w:szCs w:val="22"/>
        </w:rPr>
        <w:t>validity</w:t>
      </w:r>
      <w:r w:rsidR="00706971">
        <w:rPr>
          <w:bCs/>
          <w:sz w:val="22"/>
          <w:szCs w:val="22"/>
        </w:rPr>
        <w:t xml:space="preserve">. </w:t>
      </w:r>
      <w:r w:rsidR="0029625E" w:rsidRPr="00033A14">
        <w:rPr>
          <w:bCs/>
          <w:sz w:val="22"/>
          <w:szCs w:val="22"/>
        </w:rPr>
        <w:t>Despite th</w:t>
      </w:r>
      <w:r w:rsidR="00E67819">
        <w:rPr>
          <w:bCs/>
          <w:sz w:val="22"/>
          <w:szCs w:val="22"/>
        </w:rPr>
        <w:t>ese strengths</w:t>
      </w:r>
      <w:r w:rsidR="0029625E" w:rsidRPr="00033A14">
        <w:rPr>
          <w:bCs/>
          <w:sz w:val="22"/>
          <w:szCs w:val="22"/>
        </w:rPr>
        <w:t>, th</w:t>
      </w:r>
      <w:r w:rsidR="00005A20">
        <w:rPr>
          <w:bCs/>
          <w:sz w:val="22"/>
          <w:szCs w:val="22"/>
        </w:rPr>
        <w:t>ere</w:t>
      </w:r>
      <w:r w:rsidR="00E67819">
        <w:rPr>
          <w:bCs/>
          <w:sz w:val="22"/>
          <w:szCs w:val="22"/>
        </w:rPr>
        <w:t xml:space="preserve"> </w:t>
      </w:r>
      <w:r w:rsidR="00005A20">
        <w:rPr>
          <w:bCs/>
          <w:sz w:val="22"/>
          <w:szCs w:val="22"/>
        </w:rPr>
        <w:t>are</w:t>
      </w:r>
      <w:r w:rsidR="0029625E" w:rsidRPr="00033A14">
        <w:rPr>
          <w:bCs/>
          <w:sz w:val="22"/>
          <w:szCs w:val="22"/>
        </w:rPr>
        <w:t xml:space="preserve"> several limitations</w:t>
      </w:r>
      <w:r w:rsidR="00E67819">
        <w:rPr>
          <w:bCs/>
          <w:sz w:val="22"/>
          <w:szCs w:val="22"/>
        </w:rPr>
        <w:t>.</w:t>
      </w:r>
      <w:r w:rsidR="007D69D6" w:rsidRPr="00033A14">
        <w:rPr>
          <w:bCs/>
          <w:sz w:val="22"/>
          <w:szCs w:val="22"/>
        </w:rPr>
        <w:t xml:space="preserve"> </w:t>
      </w:r>
      <w:r w:rsidR="0029625E" w:rsidRPr="00033A14">
        <w:rPr>
          <w:bCs/>
          <w:sz w:val="22"/>
          <w:szCs w:val="22"/>
        </w:rPr>
        <w:t xml:space="preserve">First, early </w:t>
      </w:r>
      <w:r w:rsidR="00586136" w:rsidRPr="00033A14">
        <w:rPr>
          <w:bCs/>
          <w:sz w:val="22"/>
          <w:szCs w:val="22"/>
        </w:rPr>
        <w:t>SACT data</w:t>
      </w:r>
      <w:r w:rsidR="006F1BC7">
        <w:rPr>
          <w:bCs/>
          <w:sz w:val="22"/>
          <w:szCs w:val="22"/>
        </w:rPr>
        <w:t xml:space="preserve"> completeness</w:t>
      </w:r>
      <w:r w:rsidR="0029625E" w:rsidRPr="00033A14">
        <w:rPr>
          <w:bCs/>
          <w:sz w:val="22"/>
          <w:szCs w:val="22"/>
        </w:rPr>
        <w:t xml:space="preserve"> </w:t>
      </w:r>
      <w:r w:rsidR="00AC5947" w:rsidRPr="00033A14">
        <w:rPr>
          <w:bCs/>
          <w:sz w:val="22"/>
          <w:szCs w:val="22"/>
        </w:rPr>
        <w:t>prior to</w:t>
      </w:r>
      <w:r w:rsidR="00586136" w:rsidRPr="00033A14">
        <w:rPr>
          <w:bCs/>
          <w:sz w:val="22"/>
          <w:szCs w:val="22"/>
        </w:rPr>
        <w:t xml:space="preserve"> mandat</w:t>
      </w:r>
      <w:r w:rsidR="00AC5947" w:rsidRPr="00033A14">
        <w:rPr>
          <w:bCs/>
          <w:sz w:val="22"/>
          <w:szCs w:val="22"/>
        </w:rPr>
        <w:t xml:space="preserve">ed </w:t>
      </w:r>
      <w:r w:rsidR="00730A4C">
        <w:rPr>
          <w:bCs/>
          <w:sz w:val="22"/>
          <w:szCs w:val="22"/>
        </w:rPr>
        <w:t>T</w:t>
      </w:r>
      <w:r w:rsidR="00AC5947" w:rsidRPr="00033A14">
        <w:rPr>
          <w:bCs/>
          <w:sz w:val="22"/>
          <w:szCs w:val="22"/>
        </w:rPr>
        <w:t>rust</w:t>
      </w:r>
      <w:r w:rsidR="006929F2" w:rsidRPr="00033A14">
        <w:rPr>
          <w:bCs/>
          <w:sz w:val="22"/>
          <w:szCs w:val="22"/>
        </w:rPr>
        <w:t xml:space="preserve"> </w:t>
      </w:r>
      <w:r w:rsidR="002B5B0A" w:rsidRPr="00033A14">
        <w:rPr>
          <w:bCs/>
          <w:sz w:val="22"/>
          <w:szCs w:val="22"/>
        </w:rPr>
        <w:t>submission</w:t>
      </w:r>
      <w:r w:rsidR="00586136" w:rsidRPr="00033A14">
        <w:rPr>
          <w:bCs/>
          <w:sz w:val="22"/>
          <w:szCs w:val="22"/>
        </w:rPr>
        <w:t xml:space="preserve"> post April 2014 </w:t>
      </w:r>
      <w:r w:rsidR="00AB72FC">
        <w:rPr>
          <w:bCs/>
          <w:sz w:val="22"/>
          <w:szCs w:val="22"/>
        </w:rPr>
        <w:t>is uncertain and may</w:t>
      </w:r>
      <w:r w:rsidR="00F958B3">
        <w:rPr>
          <w:bCs/>
          <w:sz w:val="22"/>
          <w:szCs w:val="22"/>
        </w:rPr>
        <w:t xml:space="preserve"> explain</w:t>
      </w:r>
      <w:r w:rsidR="00AB72FC">
        <w:rPr>
          <w:bCs/>
          <w:sz w:val="22"/>
          <w:szCs w:val="22"/>
        </w:rPr>
        <w:t xml:space="preserve"> appa</w:t>
      </w:r>
      <w:r w:rsidR="006F1BC7">
        <w:rPr>
          <w:bCs/>
          <w:sz w:val="22"/>
          <w:szCs w:val="22"/>
        </w:rPr>
        <w:t xml:space="preserve">rent </w:t>
      </w:r>
      <w:r w:rsidR="00A01D7A">
        <w:rPr>
          <w:bCs/>
          <w:sz w:val="22"/>
          <w:szCs w:val="22"/>
        </w:rPr>
        <w:t xml:space="preserve">low </w:t>
      </w:r>
      <w:r w:rsidR="00F958B3">
        <w:rPr>
          <w:bCs/>
          <w:sz w:val="22"/>
          <w:szCs w:val="22"/>
        </w:rPr>
        <w:t>overall trastuzumab</w:t>
      </w:r>
      <w:r w:rsidR="00A01D7A">
        <w:rPr>
          <w:bCs/>
          <w:sz w:val="22"/>
          <w:szCs w:val="22"/>
        </w:rPr>
        <w:t xml:space="preserve"> receipt</w:t>
      </w:r>
      <w:r w:rsidR="0029625E" w:rsidRPr="00033A14">
        <w:rPr>
          <w:bCs/>
          <w:sz w:val="22"/>
          <w:szCs w:val="22"/>
        </w:rPr>
        <w:t>.</w:t>
      </w:r>
      <w:r w:rsidR="00C046F8" w:rsidRPr="00033A14">
        <w:rPr>
          <w:bCs/>
          <w:sz w:val="22"/>
          <w:szCs w:val="22"/>
        </w:rPr>
        <w:fldChar w:fldCharType="begin"/>
      </w:r>
      <w:r w:rsidR="00203C6E">
        <w:rPr>
          <w:bCs/>
          <w:sz w:val="22"/>
          <w:szCs w:val="22"/>
        </w:rPr>
        <w:instrText xml:space="preserve"> ADDIN ZOTERO_ITEM CSL_CITATION {"citationID":"7hY4GF7J","properties":{"formattedCitation":"\\super 37\\nosupersub{}","plainCitation":"37","noteIndex":0},"citationItems":[{"id":"nMalwRdq/fyL9nVrM","uris":["http://zotero.org/users/6915713/items/X2G84EIT",["http://zotero.org/users/6915713/items/X2G84EIT"]],"itemData":{"id":432,"type":"article-journal","abstract":"BACKGROUND: 30-day mortality might be a useful indicator of avoidable harm to patients from systemic anticancer treatments, but data for this indicator are limited. The Systemic Anti-Cancer Therapy (SACT) dataset collated by Public Health England allows the assessment of factors affecting 30-day mortality in a national patient population. The aim of this first study based on the SACT dataset was to establish national 30-day mortality benchmarks for breast and lung cancer patients receiving SACT in England, and to start to identify where patient care could be improved.\nMETHODS: In this population-based study, we included all women with breast cancer and all men and women with lung cancer residing in England, who were 24 years or older and who started a cycle of SACT in 2014 irrespective of the number of previous treatment cycles or programmes, and irrespective of their position within the disease trajectory. We calculated 30-day mortality after the most recent cycle of SACT for those patients. We did logistic regression analyses, adjusting for relevant factors, to examine whether patient, tumour, or treatment-related factors were associated with the risk of 30-day mortality. For each cancer type and intent, we calculated 30-day mortality rates and patient volume at the hospital trust level, and contrasted these in a funnel plot.\nFINDINGS: Between Jan 1, and Dec, 31, 2014, we included 23 228 patients with breast cancer and 9634 patients with non-small cell lung cancer (NSCLC) in our regression and trust-level analyses. 30-day mortality increased with age for both patients with breast cancer and patients with NSCLC treated with curative intent, and decreased with age for patients receiving palliative SACT (breast curative: odds ratio [OR] 1·085, 99% CI 1·040-1·132; p&lt;0·0001; NSCLC curative: 1·045, 1·013-1·079; p=0·00033; breast palliative: 0·987, 0·977-0·996; p=0·00034; NSCLC palliative: 0·987, 0·976-0·998; p=0·0015). 30-day mortality was also significantly higher for patients receiving their first reported curative or palliative SACT versus those who received SACT previously (breast palliative: OR 2·326 99% CI 1·634-3·312; p&lt;0·0001; NSCLC curative: 3·371, 1·554-7·316; p&lt;0·0001; NSCLC palliative: 2·667, 2·109-3·373; p&lt;0·0001), and for patients with worse general wellbeing (performance status 2-4) versus those who were generally well (breast curative: 6·057, 1·333-27·513; p=0·0021; breast palliative: 6·241, 4·180-9·319; p&lt;0·0001; NSCLC palliative: 3·384, 2·276-5·032; p&lt;0·0001). We identified trusts with mortality rates in excess of the 95% control limits; this included seven for curative breast cancer, four for palliative breast cancer, five for curative NSCLC, and seven for palliative NSCLC.\nINTERPRETATION: Our findings show that several factors affect the risk of early mortality of breast and lung cancer patients in England and that some groups are at a substantially increased risk of 30-day mortality. The identification of hospitals with significantly higher 30-day mortality rates should promote review of clinical decision making in these hospitals. Furthermore, our results highlight the importance of collecting routine data beyond clinical trials to better understand the factors placing patients at higher risk of 30-day mortality, and ultimately improve clinical decision making. Our insights into the factors affecting risk of 30-day mortality will help treating clinicians and their patients predict the balance of harms and benefits associated with SACT.\nFUNDING: Public Health England.","container-title":"The Lancet. Oncology","DOI":"10.1016/S1470-2045(16)30383-7","ISSN":"1474-5488","issue":"9","journalAbbreviation":"Lancet Oncol","language":"eng","note":"PMID: 27599138\nPMCID: PMC5027226","page":"1203-1216","source":"PubMed","title":"30-day mortality after systemic anticancer treatment for breast and lung cancer in England: a population-based, observational study","title-short":"30-day mortality after systemic anticancer treatment for breast and lung cancer in England","volume":"17","author":[{"family":"Wallington","given":"Michael"},{"family":"Saxon","given":"Emma B."},{"family":"Bomb","given":"Martine"},{"family":"Smittenaar","given":"Rebecca"},{"family":"Wickenden","given":"Matthew"},{"family":"McPhail","given":"Sean"},{"family":"Rashbass","given":"Jem"},{"family":"Chao","given":"David"},{"family":"Dewar","given":"John"},{"family":"Talbot","given":"Denis"},{"family":"Peake","given":"Michael"},{"family":"Perren","given":"Timothy"},{"family":"Wilson","given":"Charles"},{"family":"Dodwell","given":"David"}],"issued":{"date-parts":[["2016",9]]}}}],"schema":"https://github.com/citation-style-language/schema/raw/master/csl-citation.json"} </w:instrText>
      </w:r>
      <w:r w:rsidR="00C046F8" w:rsidRPr="00033A14">
        <w:rPr>
          <w:bCs/>
          <w:sz w:val="22"/>
          <w:szCs w:val="22"/>
        </w:rPr>
        <w:fldChar w:fldCharType="separate"/>
      </w:r>
      <w:r w:rsidR="00103315" w:rsidRPr="00103315">
        <w:rPr>
          <w:sz w:val="22"/>
          <w:vertAlign w:val="superscript"/>
        </w:rPr>
        <w:t>37</w:t>
      </w:r>
      <w:r w:rsidR="00C046F8" w:rsidRPr="00033A14">
        <w:rPr>
          <w:bCs/>
          <w:sz w:val="22"/>
          <w:szCs w:val="22"/>
        </w:rPr>
        <w:fldChar w:fldCharType="end"/>
      </w:r>
      <w:r w:rsidR="00F41EDA">
        <w:rPr>
          <w:bCs/>
          <w:sz w:val="22"/>
          <w:szCs w:val="22"/>
        </w:rPr>
        <w:t xml:space="preserve"> </w:t>
      </w:r>
      <w:r w:rsidR="00CD2BE4" w:rsidRPr="00033A14">
        <w:rPr>
          <w:bCs/>
          <w:sz w:val="22"/>
          <w:szCs w:val="22"/>
        </w:rPr>
        <w:t xml:space="preserve">However, sensitivity analyses </w:t>
      </w:r>
      <w:r w:rsidR="00C549A7">
        <w:rPr>
          <w:bCs/>
          <w:sz w:val="22"/>
          <w:szCs w:val="22"/>
        </w:rPr>
        <w:t xml:space="preserve">for early-stage disease </w:t>
      </w:r>
      <w:r w:rsidR="00CD2BE4" w:rsidRPr="00033A14">
        <w:rPr>
          <w:bCs/>
          <w:sz w:val="22"/>
          <w:szCs w:val="22"/>
        </w:rPr>
        <w:t xml:space="preserve">confirmed </w:t>
      </w:r>
      <w:r w:rsidR="00565608">
        <w:rPr>
          <w:bCs/>
          <w:sz w:val="22"/>
          <w:szCs w:val="22"/>
        </w:rPr>
        <w:t xml:space="preserve">that associations with deprivation were </w:t>
      </w:r>
      <w:r w:rsidR="00565608" w:rsidRPr="00FF51AB">
        <w:rPr>
          <w:bCs/>
          <w:color w:val="000000" w:themeColor="text1"/>
          <w:sz w:val="22"/>
          <w:szCs w:val="22"/>
        </w:rPr>
        <w:t xml:space="preserve">not impacted by </w:t>
      </w:r>
      <w:r w:rsidR="00A0308D" w:rsidRPr="00FF51AB">
        <w:rPr>
          <w:bCs/>
          <w:color w:val="000000" w:themeColor="text1"/>
          <w:sz w:val="22"/>
          <w:szCs w:val="22"/>
        </w:rPr>
        <w:t>time</w:t>
      </w:r>
      <w:r w:rsidR="00565608" w:rsidRPr="00FF51AB">
        <w:rPr>
          <w:bCs/>
          <w:color w:val="000000" w:themeColor="text1"/>
          <w:sz w:val="22"/>
          <w:szCs w:val="22"/>
        </w:rPr>
        <w:t xml:space="preserve">. </w:t>
      </w:r>
      <w:r w:rsidR="00CD2BE4" w:rsidRPr="00FF51AB">
        <w:rPr>
          <w:bCs/>
          <w:color w:val="000000" w:themeColor="text1"/>
          <w:sz w:val="22"/>
          <w:szCs w:val="22"/>
        </w:rPr>
        <w:t>Second,</w:t>
      </w:r>
      <w:r w:rsidR="00EA61BA" w:rsidRPr="00FF51AB">
        <w:rPr>
          <w:bCs/>
          <w:color w:val="000000" w:themeColor="text1"/>
          <w:sz w:val="22"/>
          <w:szCs w:val="22"/>
        </w:rPr>
        <w:t xml:space="preserve"> </w:t>
      </w:r>
      <w:r w:rsidR="00FF51AB" w:rsidRPr="00FF51AB">
        <w:rPr>
          <w:bCs/>
          <w:color w:val="000000" w:themeColor="text1"/>
          <w:sz w:val="22"/>
          <w:szCs w:val="22"/>
        </w:rPr>
        <w:t xml:space="preserve">NCRD </w:t>
      </w:r>
      <w:r w:rsidR="00B64E53" w:rsidRPr="00FF51AB">
        <w:rPr>
          <w:bCs/>
          <w:color w:val="000000" w:themeColor="text1"/>
          <w:sz w:val="22"/>
          <w:szCs w:val="22"/>
        </w:rPr>
        <w:t>data collection across healthcare providers can vary.</w:t>
      </w:r>
      <w:r w:rsidR="008E1AF1" w:rsidRPr="00FF51AB">
        <w:rPr>
          <w:bCs/>
          <w:color w:val="000000" w:themeColor="text1"/>
          <w:sz w:val="22"/>
          <w:szCs w:val="22"/>
        </w:rPr>
        <w:fldChar w:fldCharType="begin"/>
      </w:r>
      <w:r w:rsidR="00203C6E">
        <w:rPr>
          <w:bCs/>
          <w:color w:val="000000" w:themeColor="text1"/>
          <w:sz w:val="22"/>
          <w:szCs w:val="22"/>
        </w:rPr>
        <w:instrText xml:space="preserve"> ADDIN ZOTERO_ITEM CSL_CITATION {"citationID":"J053aFqt","properties":{"formattedCitation":"\\super 35\\nosupersub{}","plainCitation":"35","noteIndex":0},"citationItems":[{"id":"nMalwRdq/GtPj3cf4","uris":["http://zotero.org/users/6915713/items/YYB5PW6S",["http://zotero.org/users/6915713/items/YYB5PW6S"]],"itemData":{"id":"1iyANijq/fDEgXZ4G","type":"article-journal","container-title":"International Journal of Epidemiology","DOI":"10.1093/ije/dyz137","ISSN":"0300-5771","issue":"1","journalAbbreviation":"International Journal of Epidemiology","page":"15-15l","source":"Silverchair","title":"Data Resource Profile: The Systemic Anti-Cancer Therapy (SACT) dataset","title-short":"Data Resource Profile","URL":"https://doi.org/10.1093/ije/dyz137","volume":"49","author":[{"family":"Bright","given":"Chloe J"},{"family":"Lawton","given":"Sarah"},{"family":"Benson","given":"Stephen"},{"family":"Bomb","given":"Martine"},{"family":"Dodwell","given":"David"},{"family":"Henson","given":"Katherine E"},{"family":"McPhail","given":"Sean"},{"family":"Miller","given":"Louise"},{"family":"Rashbass","given":"Jem"},{"family":"Turnbull","given":"Alice"},{"family":"Smittenaar","given":"Rebecca"}],"accessed":{"date-parts":[["2021",8,31]]},"issued":{"date-parts":[["2020",2,1]]}}}],"schema":"https://github.com/citation-style-language/schema/raw/master/csl-citation.json"} </w:instrText>
      </w:r>
      <w:r w:rsidR="008E1AF1" w:rsidRPr="00FF51AB">
        <w:rPr>
          <w:bCs/>
          <w:color w:val="000000" w:themeColor="text1"/>
          <w:sz w:val="22"/>
          <w:szCs w:val="22"/>
        </w:rPr>
        <w:fldChar w:fldCharType="separate"/>
      </w:r>
      <w:r w:rsidR="00103315" w:rsidRPr="00103315">
        <w:rPr>
          <w:color w:val="000000"/>
          <w:sz w:val="22"/>
          <w:vertAlign w:val="superscript"/>
        </w:rPr>
        <w:t>35</w:t>
      </w:r>
      <w:r w:rsidR="008E1AF1" w:rsidRPr="00FF51AB">
        <w:rPr>
          <w:bCs/>
          <w:color w:val="000000" w:themeColor="text1"/>
          <w:sz w:val="22"/>
          <w:szCs w:val="22"/>
        </w:rPr>
        <w:fldChar w:fldCharType="end"/>
      </w:r>
      <w:r w:rsidR="00B64E53" w:rsidRPr="00FF51AB">
        <w:rPr>
          <w:bCs/>
          <w:color w:val="000000" w:themeColor="text1"/>
          <w:sz w:val="22"/>
          <w:szCs w:val="22"/>
        </w:rPr>
        <w:t xml:space="preserve"> This may explain why surgery rates in early-stage breast cancer were lower than anticipated. Third, </w:t>
      </w:r>
      <w:r w:rsidR="00EA61BA" w:rsidRPr="00FF51AB">
        <w:rPr>
          <w:bCs/>
          <w:color w:val="000000" w:themeColor="text1"/>
          <w:sz w:val="22"/>
          <w:szCs w:val="22"/>
        </w:rPr>
        <w:t xml:space="preserve">it </w:t>
      </w:r>
      <w:r w:rsidR="00EA61BA">
        <w:rPr>
          <w:bCs/>
          <w:sz w:val="22"/>
          <w:szCs w:val="22"/>
        </w:rPr>
        <w:t>is</w:t>
      </w:r>
      <w:r w:rsidR="000A325B">
        <w:rPr>
          <w:bCs/>
          <w:sz w:val="22"/>
          <w:szCs w:val="22"/>
        </w:rPr>
        <w:t xml:space="preserve"> possible that recording of trastuzumab </w:t>
      </w:r>
      <w:r w:rsidR="00AB72FC">
        <w:rPr>
          <w:bCs/>
          <w:sz w:val="22"/>
          <w:szCs w:val="22"/>
        </w:rPr>
        <w:t xml:space="preserve">by hospital Trusts </w:t>
      </w:r>
      <w:r w:rsidR="000A325B">
        <w:rPr>
          <w:bCs/>
          <w:sz w:val="22"/>
          <w:szCs w:val="22"/>
        </w:rPr>
        <w:t>is biased by deprivation category</w:t>
      </w:r>
      <w:r w:rsidR="00AB72FC">
        <w:rPr>
          <w:bCs/>
          <w:sz w:val="22"/>
          <w:szCs w:val="22"/>
        </w:rPr>
        <w:t xml:space="preserve"> or other socio-demographic factors</w:t>
      </w:r>
      <w:r w:rsidR="000A325B">
        <w:rPr>
          <w:bCs/>
          <w:sz w:val="22"/>
          <w:szCs w:val="22"/>
        </w:rPr>
        <w:t xml:space="preserve">. </w:t>
      </w:r>
      <w:r w:rsidR="00EA61BA">
        <w:rPr>
          <w:bCs/>
          <w:sz w:val="22"/>
          <w:szCs w:val="22"/>
        </w:rPr>
        <w:t xml:space="preserve">However, </w:t>
      </w:r>
      <w:r w:rsidR="00031DDE">
        <w:rPr>
          <w:bCs/>
          <w:sz w:val="22"/>
          <w:szCs w:val="22"/>
        </w:rPr>
        <w:t xml:space="preserve">given </w:t>
      </w:r>
      <w:r w:rsidR="00CD2BE4" w:rsidRPr="00033A14">
        <w:rPr>
          <w:bCs/>
          <w:sz w:val="22"/>
          <w:szCs w:val="22"/>
        </w:rPr>
        <w:t xml:space="preserve">the comparability </w:t>
      </w:r>
      <w:r w:rsidR="003E0154">
        <w:rPr>
          <w:bCs/>
          <w:sz w:val="22"/>
          <w:szCs w:val="22"/>
        </w:rPr>
        <w:t>in demographic</w:t>
      </w:r>
      <w:r w:rsidR="00AB72FC">
        <w:rPr>
          <w:bCs/>
          <w:sz w:val="22"/>
          <w:szCs w:val="22"/>
        </w:rPr>
        <w:t xml:space="preserve"> characteristics b</w:t>
      </w:r>
      <w:r w:rsidR="00CD2BE4" w:rsidRPr="00033A14">
        <w:rPr>
          <w:bCs/>
          <w:sz w:val="22"/>
          <w:szCs w:val="22"/>
        </w:rPr>
        <w:t xml:space="preserve">etween patients </w:t>
      </w:r>
      <w:r w:rsidR="000A325B">
        <w:rPr>
          <w:bCs/>
          <w:sz w:val="22"/>
          <w:szCs w:val="22"/>
        </w:rPr>
        <w:t>both</w:t>
      </w:r>
      <w:r w:rsidR="00CD2BE4" w:rsidRPr="00033A14">
        <w:rPr>
          <w:bCs/>
          <w:sz w:val="22"/>
          <w:szCs w:val="22"/>
        </w:rPr>
        <w:t xml:space="preserve"> with and without SACT </w:t>
      </w:r>
      <w:r w:rsidR="000A325B">
        <w:rPr>
          <w:bCs/>
          <w:sz w:val="22"/>
          <w:szCs w:val="22"/>
        </w:rPr>
        <w:t>information recorded</w:t>
      </w:r>
      <w:r w:rsidR="00031DDE">
        <w:rPr>
          <w:bCs/>
          <w:sz w:val="22"/>
          <w:szCs w:val="22"/>
        </w:rPr>
        <w:t xml:space="preserve"> </w:t>
      </w:r>
      <w:r w:rsidR="00AB72FC">
        <w:rPr>
          <w:bCs/>
          <w:sz w:val="22"/>
          <w:szCs w:val="22"/>
        </w:rPr>
        <w:t xml:space="preserve">(not shown) </w:t>
      </w:r>
      <w:r w:rsidR="00031DDE">
        <w:rPr>
          <w:bCs/>
          <w:sz w:val="22"/>
          <w:szCs w:val="22"/>
        </w:rPr>
        <w:t xml:space="preserve">and the fact that </w:t>
      </w:r>
      <w:r w:rsidR="008F16ED">
        <w:rPr>
          <w:bCs/>
          <w:sz w:val="22"/>
          <w:szCs w:val="22"/>
        </w:rPr>
        <w:t>hospital</w:t>
      </w:r>
      <w:r w:rsidR="00031DDE">
        <w:rPr>
          <w:bCs/>
          <w:sz w:val="22"/>
          <w:szCs w:val="22"/>
        </w:rPr>
        <w:t xml:space="preserve"> catchment areas have diverse populations</w:t>
      </w:r>
      <w:r w:rsidR="00AF6BFD">
        <w:rPr>
          <w:bCs/>
          <w:sz w:val="22"/>
          <w:szCs w:val="22"/>
        </w:rPr>
        <w:t xml:space="preserve">, </w:t>
      </w:r>
      <w:r w:rsidR="00031DDE">
        <w:rPr>
          <w:bCs/>
          <w:sz w:val="22"/>
          <w:szCs w:val="22"/>
        </w:rPr>
        <w:t>this seems unlikely.</w:t>
      </w:r>
      <w:r w:rsidR="007557DD" w:rsidRPr="00033A14">
        <w:rPr>
          <w:bCs/>
          <w:sz w:val="22"/>
          <w:szCs w:val="22"/>
        </w:rPr>
        <w:t xml:space="preserve"> </w:t>
      </w:r>
      <w:r w:rsidR="00B64E53">
        <w:rPr>
          <w:bCs/>
          <w:sz w:val="22"/>
          <w:szCs w:val="22"/>
        </w:rPr>
        <w:t>Fourth</w:t>
      </w:r>
      <w:r w:rsidR="007557DD" w:rsidRPr="00033A14">
        <w:rPr>
          <w:bCs/>
          <w:sz w:val="22"/>
          <w:szCs w:val="22"/>
        </w:rPr>
        <w:t xml:space="preserve">, </w:t>
      </w:r>
      <w:r w:rsidR="00D917C0">
        <w:rPr>
          <w:bCs/>
          <w:sz w:val="22"/>
          <w:szCs w:val="22"/>
        </w:rPr>
        <w:t>IMD</w:t>
      </w:r>
      <w:r w:rsidR="00342AFD">
        <w:rPr>
          <w:bCs/>
          <w:sz w:val="22"/>
          <w:szCs w:val="22"/>
        </w:rPr>
        <w:t xml:space="preserve"> </w:t>
      </w:r>
      <w:r w:rsidR="00D55F61">
        <w:rPr>
          <w:bCs/>
          <w:sz w:val="22"/>
          <w:szCs w:val="22"/>
        </w:rPr>
        <w:t>was at area, rather than patient-level</w:t>
      </w:r>
      <w:r w:rsidR="00301A7C">
        <w:rPr>
          <w:bCs/>
          <w:sz w:val="22"/>
          <w:szCs w:val="22"/>
        </w:rPr>
        <w:t xml:space="preserve"> and only </w:t>
      </w:r>
      <w:r w:rsidR="00E00E22">
        <w:rPr>
          <w:bCs/>
          <w:sz w:val="22"/>
          <w:szCs w:val="22"/>
        </w:rPr>
        <w:t xml:space="preserve">considered a single domain of </w:t>
      </w:r>
      <w:r w:rsidR="00301A7C">
        <w:rPr>
          <w:bCs/>
          <w:sz w:val="22"/>
          <w:szCs w:val="22"/>
        </w:rPr>
        <w:t xml:space="preserve"> deprivation (income)</w:t>
      </w:r>
      <w:r w:rsidR="00D55F61">
        <w:rPr>
          <w:bCs/>
          <w:sz w:val="22"/>
          <w:szCs w:val="22"/>
        </w:rPr>
        <w:t>, so</w:t>
      </w:r>
      <w:r w:rsidR="007557DD" w:rsidRPr="00033A14">
        <w:rPr>
          <w:bCs/>
          <w:sz w:val="22"/>
          <w:szCs w:val="22"/>
        </w:rPr>
        <w:t xml:space="preserve"> care is </w:t>
      </w:r>
      <w:r w:rsidR="00CA19D8">
        <w:rPr>
          <w:bCs/>
          <w:sz w:val="22"/>
          <w:szCs w:val="22"/>
        </w:rPr>
        <w:t>needed</w:t>
      </w:r>
      <w:r w:rsidR="007557DD" w:rsidRPr="00033A14">
        <w:rPr>
          <w:bCs/>
          <w:sz w:val="22"/>
          <w:szCs w:val="22"/>
        </w:rPr>
        <w:t xml:space="preserve"> to </w:t>
      </w:r>
      <w:r w:rsidR="00565608">
        <w:rPr>
          <w:bCs/>
          <w:sz w:val="22"/>
          <w:szCs w:val="22"/>
        </w:rPr>
        <w:t>avoid</w:t>
      </w:r>
      <w:r w:rsidR="003E0154">
        <w:rPr>
          <w:bCs/>
          <w:sz w:val="22"/>
          <w:szCs w:val="22"/>
        </w:rPr>
        <w:t xml:space="preserve"> the</w:t>
      </w:r>
      <w:r w:rsidR="007557DD" w:rsidRPr="00033A14">
        <w:rPr>
          <w:bCs/>
          <w:sz w:val="22"/>
          <w:szCs w:val="22"/>
        </w:rPr>
        <w:t xml:space="preserve"> ecological fallacy</w:t>
      </w:r>
      <w:r w:rsidR="00301A7C">
        <w:rPr>
          <w:bCs/>
          <w:sz w:val="22"/>
          <w:szCs w:val="22"/>
        </w:rPr>
        <w:t xml:space="preserve"> and </w:t>
      </w:r>
      <w:r w:rsidR="00E00E22">
        <w:rPr>
          <w:bCs/>
          <w:sz w:val="22"/>
          <w:szCs w:val="22"/>
        </w:rPr>
        <w:t xml:space="preserve">the assumption </w:t>
      </w:r>
      <w:r w:rsidR="00301A7C">
        <w:rPr>
          <w:bCs/>
          <w:sz w:val="22"/>
          <w:szCs w:val="22"/>
        </w:rPr>
        <w:t>that similar associations would be observed with other SES measures</w:t>
      </w:r>
      <w:r w:rsidR="00E00E22">
        <w:rPr>
          <w:bCs/>
          <w:sz w:val="22"/>
          <w:szCs w:val="22"/>
        </w:rPr>
        <w:t>, especially those at the individual level</w:t>
      </w:r>
      <w:r w:rsidR="00301A7C">
        <w:rPr>
          <w:bCs/>
          <w:sz w:val="22"/>
          <w:szCs w:val="22"/>
        </w:rPr>
        <w:t xml:space="preserve"> </w:t>
      </w:r>
      <w:r w:rsidR="00E00E22">
        <w:rPr>
          <w:bCs/>
          <w:sz w:val="22"/>
          <w:szCs w:val="22"/>
        </w:rPr>
        <w:t>(</w:t>
      </w:r>
      <w:r w:rsidR="00301A7C">
        <w:rPr>
          <w:bCs/>
          <w:sz w:val="22"/>
          <w:szCs w:val="22"/>
        </w:rPr>
        <w:t>e.g. education</w:t>
      </w:r>
      <w:r w:rsidR="000A14DE">
        <w:rPr>
          <w:bCs/>
          <w:sz w:val="22"/>
          <w:szCs w:val="22"/>
        </w:rPr>
        <w:t xml:space="preserve"> level</w:t>
      </w:r>
      <w:r w:rsidR="00301A7C">
        <w:rPr>
          <w:bCs/>
          <w:sz w:val="22"/>
          <w:szCs w:val="22"/>
        </w:rPr>
        <w:t>, employment</w:t>
      </w:r>
      <w:r w:rsidR="000A14DE">
        <w:rPr>
          <w:bCs/>
          <w:sz w:val="22"/>
          <w:szCs w:val="22"/>
        </w:rPr>
        <w:t xml:space="preserve"> status</w:t>
      </w:r>
      <w:r w:rsidR="00E00E22">
        <w:rPr>
          <w:bCs/>
          <w:sz w:val="22"/>
          <w:szCs w:val="22"/>
        </w:rPr>
        <w:t>)</w:t>
      </w:r>
      <w:r w:rsidR="007557DD" w:rsidRPr="00033A14">
        <w:rPr>
          <w:bCs/>
          <w:sz w:val="22"/>
          <w:szCs w:val="22"/>
        </w:rPr>
        <w:t>.</w:t>
      </w:r>
      <w:r w:rsidR="007557DD" w:rsidRPr="00033A14">
        <w:rPr>
          <w:bCs/>
          <w:sz w:val="22"/>
          <w:szCs w:val="22"/>
        </w:rPr>
        <w:fldChar w:fldCharType="begin"/>
      </w:r>
      <w:r w:rsidR="00103315">
        <w:rPr>
          <w:bCs/>
          <w:sz w:val="22"/>
          <w:szCs w:val="22"/>
        </w:rPr>
        <w:instrText xml:space="preserve"> ADDIN ZOTERO_ITEM CSL_CITATION {"citationID":"7GtrWJNV","properties":{"formattedCitation":"\\super 61\\nosupersub{}","plainCitation":"61","noteIndex":0},"citationItems":[{"id":1341,"uris":["http://zotero.org/users/local/nRdURiV3/items/Q7WNHI77"],"itemData":{"id":1341,"type":"article-journal","container-title":"American Journal of Epidemiology","DOI":"10.1093/oxfordjournals.aje.a114892","ISSN":"0002-9262","issue":"5","journalAbbreviation":"Am J Epidemiol","language":"eng","note":"PMID: 3282433","page":"893-904","source":"PubMed","title":"The ecological fallacy","volume":"127","author":[{"family":"Piantadosi","given":"S."},{"family":"Byar","given":"D. P."},{"family":"Green","given":"S. B."}],"issued":{"date-parts":[["1988"]]}}}],"schema":"https://github.com/citation-style-language/schema/raw/master/csl-citation.json"} </w:instrText>
      </w:r>
      <w:r w:rsidR="007557DD" w:rsidRPr="00033A14">
        <w:rPr>
          <w:bCs/>
          <w:sz w:val="22"/>
          <w:szCs w:val="22"/>
        </w:rPr>
        <w:fldChar w:fldCharType="separate"/>
      </w:r>
      <w:r w:rsidR="00103315" w:rsidRPr="00103315">
        <w:rPr>
          <w:sz w:val="22"/>
          <w:vertAlign w:val="superscript"/>
        </w:rPr>
        <w:t>61</w:t>
      </w:r>
      <w:r w:rsidR="007557DD" w:rsidRPr="00033A14">
        <w:rPr>
          <w:bCs/>
          <w:sz w:val="22"/>
          <w:szCs w:val="22"/>
        </w:rPr>
        <w:fldChar w:fldCharType="end"/>
      </w:r>
      <w:r w:rsidR="007557DD" w:rsidRPr="00033A14">
        <w:rPr>
          <w:bCs/>
          <w:sz w:val="22"/>
          <w:szCs w:val="22"/>
        </w:rPr>
        <w:t xml:space="preserve"> </w:t>
      </w:r>
      <w:r w:rsidR="00AB72FC">
        <w:rPr>
          <w:bCs/>
          <w:sz w:val="22"/>
          <w:szCs w:val="22"/>
        </w:rPr>
        <w:t>Moreover, ethnicity was based on information recorded in hospital records; whilst quality of ethnicity data for the period of the study is considered better than in earlier years,</w:t>
      </w:r>
      <w:r w:rsidR="00AB72FC">
        <w:rPr>
          <w:bCs/>
          <w:sz w:val="22"/>
          <w:szCs w:val="22"/>
        </w:rPr>
        <w:fldChar w:fldCharType="begin"/>
      </w:r>
      <w:r w:rsidR="00103315">
        <w:rPr>
          <w:bCs/>
          <w:sz w:val="22"/>
          <w:szCs w:val="22"/>
        </w:rPr>
        <w:instrText xml:space="preserve"> ADDIN ZOTERO_ITEM CSL_CITATION {"citationID":"QxGP4Ff5","properties":{"formattedCitation":"\\super 62\\nosupersub{}","plainCitation":"62","noteIndex":0},"citationItems":[{"id":1904,"uris":["http://zotero.org/users/local/nRdURiV3/items/7VVAKTH3"],"itemData":{"id":1904,"type":"article-journal","abstract":"BACKGROUND: Cancer incidence variation between population groups can inform public health and cancer services. Previous studies have shown cancer incidence rates vary by ethnic group in England. Since their publication, the completeness of ethnicity recording in cancer data has improved, and relevant inequalities (e.g. risk factor prevalence and healthcare access) may have changed.\nMETHODS: Age-standardised incidence rates were calculated for Asian, Black, Mixed/Multiple and White ethnic groups in England in 2013-2017, using almost 3 million diagnoses across 31 cancer sites. Rate ratios were calculated with the White ethnic group as reference. Sensitivity analyses used imputed ethnicity for cases with missing data and perturbed population estimates.\nRESULTS: Incidence rates for most cancer sites and ethnic group and sex combinations were lower in non-White minority ethnic groups compared with the corresponding White group, with particularly low rate ratios (below 0.5) for melanoma skin cancer and some smoking-related cancers (lung, bladder and oesophageal cancers). Exceptions included prostate cancer (2.1 times higher in males of Black ethnicity), myeloma (2.7-3.0 times higher in people of Black ethnicity), several gastrointestinal cancers (1.1-1.9 times higher in people of Black ethnicity, 1.4-2.2 times higher in people of Asian ethnicity), Hodgkin lymphoma (1.1 times higher in males of Asian ethnicity, 1.3 times higher in males of Black ethnicity) and thyroid cancers (1.4 times higher in people of Asian ethnicity, 1.2 times higher in people of Black ethnicity). Sensitivity analyses did not materially alter these results (rate ratios changed by a maximum of 12 percentage points, the direction and significance of results were unchanged in all but two cancer site/sex/ethnic group combinations).\nCONCLUSIONS: People of non-White minority ethnicity in England generally have lower cancer risk than the White population, though there are a number of notable exceptions. These results should galvanise efforts to better understand the reasons for this variation, and the possible impact on cancer services, patient experiences and outcomes.","container-title":"British Journal of Cancer","DOI":"10.1038/s41416-022-01718-5","ISSN":"1532-1827","issue":"12","journalAbbreviation":"Br J Cancer","language":"eng","note":"PMID: 35233092\nPMCID: PMC9174248","page":"1765-1773","source":"PubMed","title":"Differences in cancer incidence by broad ethnic group in England, 2013-2017","volume":"126","author":[{"family":"Delon","given":"Christine"},{"family":"Brown","given":"Katrina F."},{"family":"Payne","given":"Nick W. S."},{"family":"Kotrotsios","given":"Yannis"},{"family":"Vernon","given":"Sally"},{"family":"Shelton","given":"Jon"}],"issued":{"date-parts":[["2022",6]]}}}],"schema":"https://github.com/citation-style-language/schema/raw/master/csl-citation.json"} </w:instrText>
      </w:r>
      <w:r w:rsidR="00AB72FC">
        <w:rPr>
          <w:bCs/>
          <w:sz w:val="22"/>
          <w:szCs w:val="22"/>
        </w:rPr>
        <w:fldChar w:fldCharType="separate"/>
      </w:r>
      <w:r w:rsidR="00103315" w:rsidRPr="00103315">
        <w:rPr>
          <w:sz w:val="22"/>
          <w:vertAlign w:val="superscript"/>
        </w:rPr>
        <w:t>62</w:t>
      </w:r>
      <w:r w:rsidR="00AB72FC">
        <w:rPr>
          <w:bCs/>
          <w:sz w:val="22"/>
          <w:szCs w:val="22"/>
        </w:rPr>
        <w:fldChar w:fldCharType="end"/>
      </w:r>
      <w:r w:rsidR="00AB72FC">
        <w:rPr>
          <w:bCs/>
          <w:sz w:val="22"/>
          <w:szCs w:val="22"/>
        </w:rPr>
        <w:t xml:space="preserve"> 4</w:t>
      </w:r>
      <w:r w:rsidR="00C370F3">
        <w:rPr>
          <w:bCs/>
          <w:sz w:val="22"/>
          <w:szCs w:val="22"/>
        </w:rPr>
        <w:t>.2</w:t>
      </w:r>
      <w:r w:rsidR="00AB72FC">
        <w:rPr>
          <w:bCs/>
          <w:sz w:val="22"/>
          <w:szCs w:val="22"/>
        </w:rPr>
        <w:t>% of patients were recorded as “unknown” ethnic group (and only 7</w:t>
      </w:r>
      <w:r w:rsidR="00C370F3">
        <w:rPr>
          <w:bCs/>
          <w:sz w:val="22"/>
          <w:szCs w:val="22"/>
        </w:rPr>
        <w:t>.7</w:t>
      </w:r>
      <w:r w:rsidR="00AB72FC">
        <w:rPr>
          <w:bCs/>
          <w:sz w:val="22"/>
          <w:szCs w:val="22"/>
        </w:rPr>
        <w:t xml:space="preserve">% as non-white ethnic group), which </w:t>
      </w:r>
      <w:r w:rsidR="000E29EE">
        <w:rPr>
          <w:bCs/>
          <w:sz w:val="22"/>
          <w:szCs w:val="22"/>
        </w:rPr>
        <w:t xml:space="preserve">may </w:t>
      </w:r>
      <w:r w:rsidR="00AB72FC">
        <w:rPr>
          <w:bCs/>
          <w:sz w:val="22"/>
          <w:szCs w:val="22"/>
        </w:rPr>
        <w:t xml:space="preserve">have introduced misclassification. </w:t>
      </w:r>
      <w:r w:rsidR="00FD076E">
        <w:rPr>
          <w:bCs/>
          <w:sz w:val="22"/>
          <w:szCs w:val="22"/>
        </w:rPr>
        <w:t xml:space="preserve">Combining of non-white ethnicities into one </w:t>
      </w:r>
      <w:r w:rsidR="00E00E22">
        <w:rPr>
          <w:bCs/>
          <w:sz w:val="22"/>
          <w:szCs w:val="22"/>
        </w:rPr>
        <w:t>group for the purpose of analysis meant that</w:t>
      </w:r>
      <w:r w:rsidR="00FD076E">
        <w:rPr>
          <w:bCs/>
          <w:sz w:val="22"/>
          <w:szCs w:val="22"/>
        </w:rPr>
        <w:t xml:space="preserve"> variation between </w:t>
      </w:r>
      <w:r w:rsidR="00E00E22">
        <w:rPr>
          <w:bCs/>
          <w:sz w:val="22"/>
          <w:szCs w:val="22"/>
        </w:rPr>
        <w:t xml:space="preserve">the constituent </w:t>
      </w:r>
      <w:r w:rsidR="00FD076E">
        <w:rPr>
          <w:bCs/>
          <w:sz w:val="22"/>
          <w:szCs w:val="22"/>
        </w:rPr>
        <w:t xml:space="preserve">ethnic groups </w:t>
      </w:r>
      <w:r w:rsidR="00E00E22">
        <w:rPr>
          <w:bCs/>
          <w:sz w:val="22"/>
          <w:szCs w:val="22"/>
        </w:rPr>
        <w:t xml:space="preserve">could not be investigated; this in turn limits the ability to target </w:t>
      </w:r>
      <w:r w:rsidR="00FD076E">
        <w:rPr>
          <w:bCs/>
          <w:sz w:val="22"/>
          <w:szCs w:val="22"/>
        </w:rPr>
        <w:t>intervention</w:t>
      </w:r>
      <w:r w:rsidR="004F187C">
        <w:rPr>
          <w:bCs/>
          <w:sz w:val="22"/>
          <w:szCs w:val="22"/>
        </w:rPr>
        <w:t>s tackl</w:t>
      </w:r>
      <w:r w:rsidR="00E00E22">
        <w:rPr>
          <w:bCs/>
          <w:sz w:val="22"/>
          <w:szCs w:val="22"/>
        </w:rPr>
        <w:t>ing</w:t>
      </w:r>
      <w:r w:rsidR="004F187C">
        <w:rPr>
          <w:bCs/>
          <w:sz w:val="22"/>
          <w:szCs w:val="22"/>
        </w:rPr>
        <w:t xml:space="preserve"> inequalities </w:t>
      </w:r>
      <w:r w:rsidR="00FD076E">
        <w:rPr>
          <w:bCs/>
          <w:sz w:val="22"/>
          <w:szCs w:val="22"/>
        </w:rPr>
        <w:t xml:space="preserve">based on ethnicity. </w:t>
      </w:r>
      <w:r w:rsidR="00B64E53">
        <w:rPr>
          <w:bCs/>
          <w:sz w:val="22"/>
          <w:szCs w:val="22"/>
        </w:rPr>
        <w:t>Fifth</w:t>
      </w:r>
      <w:r w:rsidR="005C33D5" w:rsidRPr="00033A14">
        <w:rPr>
          <w:bCs/>
          <w:sz w:val="22"/>
          <w:szCs w:val="22"/>
        </w:rPr>
        <w:t xml:space="preserve">, </w:t>
      </w:r>
      <w:r w:rsidR="00E83A54">
        <w:rPr>
          <w:bCs/>
          <w:sz w:val="22"/>
          <w:szCs w:val="22"/>
        </w:rPr>
        <w:t xml:space="preserve">it was </w:t>
      </w:r>
      <w:r w:rsidR="005C33D5" w:rsidRPr="00033A14">
        <w:rPr>
          <w:bCs/>
          <w:sz w:val="22"/>
          <w:szCs w:val="22"/>
        </w:rPr>
        <w:t>not</w:t>
      </w:r>
      <w:r w:rsidR="00E83A54">
        <w:rPr>
          <w:bCs/>
          <w:sz w:val="22"/>
          <w:szCs w:val="22"/>
        </w:rPr>
        <w:t xml:space="preserve"> possible to account for</w:t>
      </w:r>
      <w:r w:rsidR="005C33D5" w:rsidRPr="00033A14">
        <w:rPr>
          <w:bCs/>
          <w:sz w:val="22"/>
          <w:szCs w:val="22"/>
        </w:rPr>
        <w:t xml:space="preserve"> all factors</w:t>
      </w:r>
      <w:r w:rsidR="00B81F9D">
        <w:rPr>
          <w:bCs/>
          <w:sz w:val="22"/>
          <w:szCs w:val="22"/>
        </w:rPr>
        <w:t xml:space="preserve"> </w:t>
      </w:r>
      <w:r w:rsidR="00B81F9D" w:rsidRPr="00033A14">
        <w:rPr>
          <w:bCs/>
          <w:sz w:val="22"/>
          <w:szCs w:val="22"/>
        </w:rPr>
        <w:t>serv</w:t>
      </w:r>
      <w:r w:rsidR="00342AFD">
        <w:rPr>
          <w:bCs/>
          <w:sz w:val="22"/>
          <w:szCs w:val="22"/>
        </w:rPr>
        <w:t>ing</w:t>
      </w:r>
      <w:r w:rsidR="00B81F9D" w:rsidRPr="00033A14">
        <w:rPr>
          <w:bCs/>
          <w:sz w:val="22"/>
          <w:szCs w:val="22"/>
        </w:rPr>
        <w:t xml:space="preserve"> as a barrier to treatment </w:t>
      </w:r>
      <w:r w:rsidR="00CA6270">
        <w:rPr>
          <w:bCs/>
          <w:sz w:val="22"/>
          <w:szCs w:val="22"/>
        </w:rPr>
        <w:t>r</w:t>
      </w:r>
      <w:r w:rsidR="00D16134">
        <w:rPr>
          <w:bCs/>
          <w:sz w:val="22"/>
          <w:szCs w:val="22"/>
        </w:rPr>
        <w:t>eceipt</w:t>
      </w:r>
      <w:r w:rsidR="005C33D5" w:rsidRPr="00033A14">
        <w:rPr>
          <w:bCs/>
          <w:sz w:val="22"/>
          <w:szCs w:val="22"/>
        </w:rPr>
        <w:t xml:space="preserve"> </w:t>
      </w:r>
      <w:r w:rsidR="00ED17F3" w:rsidRPr="00033A14">
        <w:rPr>
          <w:bCs/>
          <w:sz w:val="22"/>
          <w:szCs w:val="22"/>
        </w:rPr>
        <w:t>(e.g. a low performance status</w:t>
      </w:r>
      <w:r w:rsidR="00342AFD">
        <w:rPr>
          <w:bCs/>
          <w:sz w:val="22"/>
          <w:szCs w:val="22"/>
        </w:rPr>
        <w:t xml:space="preserve">). </w:t>
      </w:r>
      <w:r w:rsidR="00B64E53">
        <w:rPr>
          <w:bCs/>
          <w:sz w:val="22"/>
          <w:szCs w:val="22"/>
        </w:rPr>
        <w:t>Sixth</w:t>
      </w:r>
      <w:r w:rsidR="0011751B">
        <w:rPr>
          <w:bCs/>
          <w:sz w:val="22"/>
          <w:szCs w:val="22"/>
        </w:rPr>
        <w:t>,</w:t>
      </w:r>
      <w:r w:rsidR="00E83A54">
        <w:rPr>
          <w:bCs/>
          <w:sz w:val="22"/>
          <w:szCs w:val="22"/>
        </w:rPr>
        <w:t xml:space="preserve"> </w:t>
      </w:r>
      <w:r w:rsidR="008526F0">
        <w:rPr>
          <w:bCs/>
          <w:sz w:val="22"/>
          <w:szCs w:val="22"/>
        </w:rPr>
        <w:t xml:space="preserve">whilst </w:t>
      </w:r>
      <w:r w:rsidR="00E83A54">
        <w:rPr>
          <w:bCs/>
          <w:sz w:val="22"/>
          <w:szCs w:val="22"/>
        </w:rPr>
        <w:t>comorbid</w:t>
      </w:r>
      <w:r w:rsidR="008526F0">
        <w:rPr>
          <w:bCs/>
          <w:sz w:val="22"/>
          <w:szCs w:val="22"/>
        </w:rPr>
        <w:t>ity presence</w:t>
      </w:r>
      <w:r w:rsidR="00E83A54">
        <w:rPr>
          <w:bCs/>
          <w:sz w:val="22"/>
          <w:szCs w:val="22"/>
        </w:rPr>
        <w:t xml:space="preserve"> </w:t>
      </w:r>
      <w:r w:rsidR="008526F0">
        <w:rPr>
          <w:bCs/>
          <w:sz w:val="22"/>
          <w:szCs w:val="22"/>
        </w:rPr>
        <w:t xml:space="preserve">was adjusted for in models, </w:t>
      </w:r>
      <w:r w:rsidR="00E83A54">
        <w:rPr>
          <w:bCs/>
          <w:sz w:val="22"/>
          <w:szCs w:val="22"/>
        </w:rPr>
        <w:t xml:space="preserve">the Charlson Comorbidity Index </w:t>
      </w:r>
      <w:r w:rsidR="008526F0">
        <w:rPr>
          <w:bCs/>
          <w:sz w:val="22"/>
          <w:szCs w:val="22"/>
        </w:rPr>
        <w:t>(</w:t>
      </w:r>
      <w:r w:rsidR="00E83A54">
        <w:rPr>
          <w:bCs/>
          <w:sz w:val="22"/>
          <w:szCs w:val="22"/>
        </w:rPr>
        <w:t>computed from hospital admissions in the perio</w:t>
      </w:r>
      <w:r w:rsidR="0011751B">
        <w:rPr>
          <w:bCs/>
          <w:sz w:val="22"/>
          <w:szCs w:val="22"/>
        </w:rPr>
        <w:t>d</w:t>
      </w:r>
      <w:r w:rsidR="00E83A54">
        <w:rPr>
          <w:bCs/>
          <w:sz w:val="22"/>
          <w:szCs w:val="22"/>
        </w:rPr>
        <w:t xml:space="preserve"> 78 to 6 months prior to cancer diagnosis</w:t>
      </w:r>
      <w:r w:rsidR="008526F0">
        <w:rPr>
          <w:bCs/>
          <w:sz w:val="22"/>
          <w:szCs w:val="22"/>
        </w:rPr>
        <w:t>) is a crude measure, so</w:t>
      </w:r>
      <w:r w:rsidR="00E83A54">
        <w:rPr>
          <w:bCs/>
          <w:sz w:val="22"/>
          <w:szCs w:val="22"/>
        </w:rPr>
        <w:t xml:space="preserve"> there is likely</w:t>
      </w:r>
      <w:r w:rsidR="00ED17F3" w:rsidRPr="00033A14">
        <w:rPr>
          <w:bCs/>
          <w:sz w:val="22"/>
          <w:szCs w:val="22"/>
        </w:rPr>
        <w:t xml:space="preserve"> </w:t>
      </w:r>
      <w:r w:rsidR="00B81F9D">
        <w:rPr>
          <w:bCs/>
          <w:sz w:val="22"/>
          <w:szCs w:val="22"/>
        </w:rPr>
        <w:t xml:space="preserve">residual confounding by </w:t>
      </w:r>
      <w:r w:rsidR="00E83A54">
        <w:rPr>
          <w:bCs/>
          <w:sz w:val="22"/>
          <w:szCs w:val="22"/>
        </w:rPr>
        <w:t>fitness for treatment</w:t>
      </w:r>
      <w:r w:rsidR="00B81F9D">
        <w:rPr>
          <w:bCs/>
          <w:sz w:val="22"/>
          <w:szCs w:val="22"/>
        </w:rPr>
        <w:t>.</w:t>
      </w:r>
      <w:r w:rsidR="003348BF" w:rsidRPr="00033A14">
        <w:rPr>
          <w:bCs/>
          <w:sz w:val="22"/>
          <w:szCs w:val="22"/>
        </w:rPr>
        <w:fldChar w:fldCharType="begin"/>
      </w:r>
      <w:r w:rsidR="00203C6E">
        <w:rPr>
          <w:bCs/>
          <w:sz w:val="22"/>
          <w:szCs w:val="22"/>
        </w:rPr>
        <w:instrText xml:space="preserve"> ADDIN ZOTERO_ITEM CSL_CITATION {"citationID":"LbHYENDo","properties":{"formattedCitation":"\\super 63\\nosupersub{}","plainCitation":"63","noteIndex":0},"citationItems":[{"id":"nMalwRdq/Z1NBOFEc","uris":["http://zotero.org/users/6915713/items/3GULGJYH",["http://zotero.org/users/6915713/items/3GULGJYH"]],"itemData":{"id":"B6tBNu26/YkK7F63U","type":"article-journal","abstract":"BACKGROUND: Comorbidity scores are increasingly used to reduce potential confounding in epidemiological research. Our objective was to compare metrical and practical properties of published comorbidity scores for use in epidemiological research with administrative databases.\nMETHODS: The literature was searched for studies of the validity of comorbidity scores as predictors of mortality and health service use, as measured by change in the area under the receiver operating characteristic (ROC) curve for dichotomous outcomes, and change in R(2) for continuous outcomes.\nRESULTS: Six scores were identified, including four versions of the Charlson Index (CI) which use either the three-digit International Classification of Diseases, Ninth Revision (ICD-9) or the full ICD-9-CM (clinical modification) code, and two versions of the Chronic Disease Score (CDS) which used outpatient pharmacy records. Depending on the population and exposure under study, predictive validities varied between c = 0.64 and c = 0.77 for in-hospital or 30-day mortality. This is only a slight improvement over age adjustment. In one study the simple measure 'number of diagnoses' outperformed the CI (c = 0.73 versus c = 0.65). Proprietary scores like Ambulatory Diagnosis Groups and Patient Management Categories do not necessarily perform better in predicting mortality. Comorbidity indices are susceptible to a variety of coding errors.\nCONCLUSIONS: Comorbidity scores, particularly the CDS or D'Hoore's CI based on three-digit ICD-9 codes, may be useful in exploratory data analysis. However, residual confounding by comorbidity is inevitable, given how these scores are derived. How much residual confounding usually remains is something that future studies of comorbidity scores should examine. In any given study, better control for confounding can be achieved by deriving study-specific weights, to aggregate comorbidities into groups with similar relative risks of the outcomes of interest.","container-title":"International Journal of Epidemiology","DOI":"10.1093/ije/29.5.891","ISSN":"0300-5771","issue":"5","journalAbbreviation":"Int J Epidemiol","language":"eng","note":"PMID: 11034974","page":"891-898","source":"PubMed","title":"Use of comorbidity scores for control of confounding in studies using administrative databases","volume":"29","author":[{"family":"Schneeweiss","given":"S."},{"family":"Maclure","given":"M."}],"issued":{"date-parts":[["2000",10]]}}}],"schema":"https://github.com/citation-style-language/schema/raw/master/csl-citation.json"} </w:instrText>
      </w:r>
      <w:r w:rsidR="003348BF" w:rsidRPr="00033A14">
        <w:rPr>
          <w:bCs/>
          <w:sz w:val="22"/>
          <w:szCs w:val="22"/>
        </w:rPr>
        <w:fldChar w:fldCharType="separate"/>
      </w:r>
      <w:r w:rsidR="00103315" w:rsidRPr="00103315">
        <w:rPr>
          <w:sz w:val="22"/>
          <w:vertAlign w:val="superscript"/>
        </w:rPr>
        <w:t>63</w:t>
      </w:r>
      <w:r w:rsidR="003348BF" w:rsidRPr="00033A14">
        <w:rPr>
          <w:bCs/>
          <w:sz w:val="22"/>
          <w:szCs w:val="22"/>
        </w:rPr>
        <w:fldChar w:fldCharType="end"/>
      </w:r>
      <w:r w:rsidR="003348BF" w:rsidRPr="00033A14">
        <w:rPr>
          <w:bCs/>
          <w:sz w:val="22"/>
          <w:szCs w:val="22"/>
        </w:rPr>
        <w:t xml:space="preserve"> Finally, this study </w:t>
      </w:r>
      <w:r w:rsidR="003348BF" w:rsidRPr="00033A14">
        <w:rPr>
          <w:bCs/>
          <w:sz w:val="22"/>
          <w:szCs w:val="22"/>
        </w:rPr>
        <w:lastRenderedPageBreak/>
        <w:t xml:space="preserve">reports a snapshot of trastuzumab </w:t>
      </w:r>
      <w:r w:rsidR="00CA6270">
        <w:rPr>
          <w:bCs/>
          <w:sz w:val="22"/>
          <w:szCs w:val="22"/>
        </w:rPr>
        <w:t>r</w:t>
      </w:r>
      <w:r w:rsidR="00D16134">
        <w:rPr>
          <w:bCs/>
          <w:sz w:val="22"/>
          <w:szCs w:val="22"/>
        </w:rPr>
        <w:t>eceipt</w:t>
      </w:r>
      <w:r w:rsidR="003348BF" w:rsidRPr="00033A14">
        <w:rPr>
          <w:bCs/>
          <w:sz w:val="22"/>
          <w:szCs w:val="22"/>
        </w:rPr>
        <w:t xml:space="preserve"> pre-</w:t>
      </w:r>
      <w:r w:rsidR="001A742A">
        <w:rPr>
          <w:bCs/>
          <w:sz w:val="22"/>
          <w:szCs w:val="22"/>
        </w:rPr>
        <w:t xml:space="preserve">COVID-19 </w:t>
      </w:r>
      <w:r w:rsidR="003348BF" w:rsidRPr="00033A14">
        <w:rPr>
          <w:bCs/>
          <w:sz w:val="22"/>
          <w:szCs w:val="22"/>
        </w:rPr>
        <w:t xml:space="preserve">pandemic in </w:t>
      </w:r>
      <w:r w:rsidR="00BE5BB9">
        <w:rPr>
          <w:bCs/>
          <w:sz w:val="22"/>
          <w:szCs w:val="22"/>
        </w:rPr>
        <w:t>one country</w:t>
      </w:r>
      <w:r w:rsidR="00E83A54">
        <w:rPr>
          <w:bCs/>
          <w:sz w:val="22"/>
          <w:szCs w:val="22"/>
        </w:rPr>
        <w:t xml:space="preserve">. </w:t>
      </w:r>
      <w:r w:rsidR="003348BF" w:rsidRPr="00033A14">
        <w:rPr>
          <w:bCs/>
          <w:sz w:val="22"/>
          <w:szCs w:val="22"/>
        </w:rPr>
        <w:t>Results may not be generali</w:t>
      </w:r>
      <w:r w:rsidR="008526F0">
        <w:rPr>
          <w:bCs/>
          <w:sz w:val="22"/>
          <w:szCs w:val="22"/>
        </w:rPr>
        <w:t>z</w:t>
      </w:r>
      <w:r w:rsidR="003348BF" w:rsidRPr="00033A14">
        <w:rPr>
          <w:bCs/>
          <w:sz w:val="22"/>
          <w:szCs w:val="22"/>
        </w:rPr>
        <w:t>able to other novel</w:t>
      </w:r>
      <w:r w:rsidR="00F958B3">
        <w:rPr>
          <w:bCs/>
          <w:sz w:val="22"/>
          <w:szCs w:val="22"/>
        </w:rPr>
        <w:t xml:space="preserve"> high-cost</w:t>
      </w:r>
      <w:r w:rsidR="00286DEF">
        <w:rPr>
          <w:bCs/>
          <w:sz w:val="22"/>
          <w:szCs w:val="22"/>
        </w:rPr>
        <w:t xml:space="preserve"> </w:t>
      </w:r>
      <w:r w:rsidR="00F05E24">
        <w:rPr>
          <w:bCs/>
          <w:sz w:val="22"/>
          <w:szCs w:val="22"/>
        </w:rPr>
        <w:t xml:space="preserve">targeted </w:t>
      </w:r>
      <w:r w:rsidR="003348BF" w:rsidRPr="00033A14">
        <w:rPr>
          <w:bCs/>
          <w:sz w:val="22"/>
          <w:szCs w:val="22"/>
        </w:rPr>
        <w:t xml:space="preserve">treatments, countries, or the period since 2017. </w:t>
      </w:r>
    </w:p>
    <w:p w14:paraId="4994482A" w14:textId="77777777" w:rsidR="009D4355" w:rsidRPr="00FA5DE1" w:rsidRDefault="009D4355" w:rsidP="00EB2F6F">
      <w:pPr>
        <w:spacing w:line="360" w:lineRule="auto"/>
        <w:rPr>
          <w:bCs/>
          <w:sz w:val="22"/>
          <w:szCs w:val="22"/>
        </w:rPr>
      </w:pPr>
    </w:p>
    <w:p w14:paraId="72FAF7BF" w14:textId="4CC7330C" w:rsidR="005E0F13" w:rsidRPr="00033A14" w:rsidRDefault="00EC2B89" w:rsidP="00EB2F6F">
      <w:pPr>
        <w:spacing w:line="360" w:lineRule="auto"/>
        <w:rPr>
          <w:bCs/>
          <w:sz w:val="22"/>
          <w:szCs w:val="22"/>
        </w:rPr>
      </w:pPr>
      <w:r w:rsidRPr="00033A14">
        <w:rPr>
          <w:bCs/>
          <w:sz w:val="22"/>
          <w:szCs w:val="22"/>
        </w:rPr>
        <w:t xml:space="preserve">Future </w:t>
      </w:r>
      <w:r w:rsidR="00CB74C4">
        <w:rPr>
          <w:bCs/>
          <w:sz w:val="22"/>
          <w:szCs w:val="22"/>
        </w:rPr>
        <w:t>research</w:t>
      </w:r>
      <w:r w:rsidRPr="00033A14">
        <w:rPr>
          <w:bCs/>
          <w:sz w:val="22"/>
          <w:szCs w:val="22"/>
        </w:rPr>
        <w:t xml:space="preserve"> has </w:t>
      </w:r>
      <w:r w:rsidR="00975665" w:rsidRPr="00033A14">
        <w:rPr>
          <w:bCs/>
          <w:sz w:val="22"/>
          <w:szCs w:val="22"/>
        </w:rPr>
        <w:t>several</w:t>
      </w:r>
      <w:r w:rsidRPr="00033A14">
        <w:rPr>
          <w:bCs/>
          <w:sz w:val="22"/>
          <w:szCs w:val="22"/>
        </w:rPr>
        <w:t xml:space="preserve"> </w:t>
      </w:r>
      <w:r w:rsidR="00F10903" w:rsidRPr="00033A14">
        <w:rPr>
          <w:bCs/>
          <w:sz w:val="22"/>
          <w:szCs w:val="22"/>
        </w:rPr>
        <w:t>priorities</w:t>
      </w:r>
      <w:r w:rsidR="004204DB">
        <w:rPr>
          <w:bCs/>
          <w:sz w:val="22"/>
          <w:szCs w:val="22"/>
        </w:rPr>
        <w:t>:</w:t>
      </w:r>
      <w:r w:rsidR="00D010EF">
        <w:rPr>
          <w:bCs/>
          <w:sz w:val="22"/>
          <w:szCs w:val="22"/>
        </w:rPr>
        <w:t xml:space="preserve"> (i)</w:t>
      </w:r>
      <w:r w:rsidR="00CB74C4">
        <w:rPr>
          <w:bCs/>
          <w:sz w:val="22"/>
          <w:szCs w:val="22"/>
        </w:rPr>
        <w:t xml:space="preserve"> </w:t>
      </w:r>
      <w:r w:rsidR="00D010EF">
        <w:rPr>
          <w:bCs/>
          <w:sz w:val="22"/>
          <w:szCs w:val="22"/>
        </w:rPr>
        <w:t>exploring</w:t>
      </w:r>
      <w:r w:rsidR="00CB74C4">
        <w:rPr>
          <w:bCs/>
          <w:sz w:val="22"/>
          <w:szCs w:val="22"/>
        </w:rPr>
        <w:t xml:space="preserve"> whether inequ</w:t>
      </w:r>
      <w:r w:rsidR="00C57B75">
        <w:rPr>
          <w:bCs/>
          <w:sz w:val="22"/>
          <w:szCs w:val="22"/>
        </w:rPr>
        <w:t>ities</w:t>
      </w:r>
      <w:r w:rsidR="00CB74C4">
        <w:rPr>
          <w:bCs/>
          <w:sz w:val="22"/>
          <w:szCs w:val="22"/>
        </w:rPr>
        <w:t xml:space="preserve"> in </w:t>
      </w:r>
      <w:r w:rsidR="00C549A7">
        <w:rPr>
          <w:bCs/>
          <w:sz w:val="22"/>
          <w:szCs w:val="22"/>
        </w:rPr>
        <w:t>trastuzumab receipt</w:t>
      </w:r>
      <w:r w:rsidR="00D010EF">
        <w:rPr>
          <w:bCs/>
          <w:sz w:val="22"/>
          <w:szCs w:val="22"/>
        </w:rPr>
        <w:t xml:space="preserve"> </w:t>
      </w:r>
      <w:r w:rsidR="00D55F61">
        <w:rPr>
          <w:bCs/>
          <w:sz w:val="22"/>
          <w:szCs w:val="22"/>
        </w:rPr>
        <w:t>explain observed</w:t>
      </w:r>
      <w:r w:rsidR="00D010EF">
        <w:rPr>
          <w:bCs/>
          <w:sz w:val="22"/>
          <w:szCs w:val="22"/>
        </w:rPr>
        <w:t xml:space="preserve"> </w:t>
      </w:r>
      <w:r w:rsidR="00C57B75">
        <w:rPr>
          <w:bCs/>
          <w:sz w:val="22"/>
          <w:szCs w:val="22"/>
        </w:rPr>
        <w:t>disparities</w:t>
      </w:r>
      <w:r w:rsidR="00D010EF">
        <w:rPr>
          <w:bCs/>
          <w:sz w:val="22"/>
          <w:szCs w:val="22"/>
        </w:rPr>
        <w:t xml:space="preserve"> in outcomes (survival and quality of life); (ii) </w:t>
      </w:r>
      <w:r w:rsidR="00D55F61">
        <w:rPr>
          <w:bCs/>
          <w:sz w:val="22"/>
          <w:szCs w:val="22"/>
        </w:rPr>
        <w:t>seeking to better understand</w:t>
      </w:r>
      <w:r w:rsidR="00F10903" w:rsidRPr="00033A14">
        <w:rPr>
          <w:bCs/>
          <w:sz w:val="22"/>
          <w:szCs w:val="22"/>
        </w:rPr>
        <w:t xml:space="preserve"> </w:t>
      </w:r>
      <w:r w:rsidR="00565608">
        <w:rPr>
          <w:bCs/>
          <w:sz w:val="22"/>
          <w:szCs w:val="22"/>
        </w:rPr>
        <w:t>“</w:t>
      </w:r>
      <w:r w:rsidR="00F10903" w:rsidRPr="00033A14">
        <w:rPr>
          <w:bCs/>
          <w:sz w:val="22"/>
          <w:szCs w:val="22"/>
        </w:rPr>
        <w:t>causal mechanisms</w:t>
      </w:r>
      <w:r w:rsidR="00565608">
        <w:rPr>
          <w:bCs/>
          <w:sz w:val="22"/>
          <w:szCs w:val="22"/>
        </w:rPr>
        <w:t xml:space="preserve">” </w:t>
      </w:r>
      <w:r w:rsidR="00D55F61">
        <w:rPr>
          <w:bCs/>
          <w:sz w:val="22"/>
          <w:szCs w:val="22"/>
        </w:rPr>
        <w:t xml:space="preserve">underpinning </w:t>
      </w:r>
      <w:r w:rsidR="00EB0213">
        <w:rPr>
          <w:bCs/>
          <w:sz w:val="22"/>
          <w:szCs w:val="22"/>
        </w:rPr>
        <w:t>current</w:t>
      </w:r>
      <w:r w:rsidR="00D55F61">
        <w:rPr>
          <w:bCs/>
          <w:sz w:val="22"/>
          <w:szCs w:val="22"/>
        </w:rPr>
        <w:t xml:space="preserve"> findings; </w:t>
      </w:r>
      <w:r w:rsidR="00D010EF">
        <w:rPr>
          <w:bCs/>
          <w:sz w:val="22"/>
          <w:szCs w:val="22"/>
        </w:rPr>
        <w:t xml:space="preserve">and (iii) </w:t>
      </w:r>
      <w:r w:rsidR="00D010EF" w:rsidRPr="00033A14">
        <w:rPr>
          <w:bCs/>
          <w:sz w:val="22"/>
          <w:szCs w:val="22"/>
        </w:rPr>
        <w:t>exten</w:t>
      </w:r>
      <w:r w:rsidR="00D010EF">
        <w:rPr>
          <w:bCs/>
          <w:sz w:val="22"/>
          <w:szCs w:val="22"/>
        </w:rPr>
        <w:t>ding</w:t>
      </w:r>
      <w:r w:rsidR="00D010EF" w:rsidRPr="00033A14">
        <w:rPr>
          <w:bCs/>
          <w:sz w:val="22"/>
          <w:szCs w:val="22"/>
        </w:rPr>
        <w:t xml:space="preserve"> inequ</w:t>
      </w:r>
      <w:r w:rsidR="00C57B75">
        <w:rPr>
          <w:bCs/>
          <w:sz w:val="22"/>
          <w:szCs w:val="22"/>
        </w:rPr>
        <w:t>ity</w:t>
      </w:r>
      <w:r w:rsidR="00D010EF" w:rsidRPr="00033A14">
        <w:rPr>
          <w:bCs/>
          <w:sz w:val="22"/>
          <w:szCs w:val="22"/>
        </w:rPr>
        <w:t xml:space="preserve"> evaluation</w:t>
      </w:r>
      <w:r w:rsidR="00D010EF">
        <w:rPr>
          <w:bCs/>
          <w:sz w:val="22"/>
          <w:szCs w:val="22"/>
        </w:rPr>
        <w:t xml:space="preserve">s to other novel therapies </w:t>
      </w:r>
      <w:r w:rsidR="006A4CB7">
        <w:rPr>
          <w:bCs/>
          <w:sz w:val="22"/>
          <w:szCs w:val="22"/>
        </w:rPr>
        <w:t xml:space="preserve">(including those where predictive biomarker testing is not undertaken) </w:t>
      </w:r>
      <w:r w:rsidR="00D010EF">
        <w:rPr>
          <w:bCs/>
          <w:sz w:val="22"/>
          <w:szCs w:val="22"/>
        </w:rPr>
        <w:t>and</w:t>
      </w:r>
      <w:r w:rsidR="00D010EF" w:rsidRPr="00033A14">
        <w:rPr>
          <w:bCs/>
          <w:sz w:val="22"/>
          <w:szCs w:val="22"/>
        </w:rPr>
        <w:t xml:space="preserve"> </w:t>
      </w:r>
      <w:r w:rsidR="00690E5C">
        <w:rPr>
          <w:bCs/>
          <w:sz w:val="22"/>
          <w:szCs w:val="22"/>
        </w:rPr>
        <w:t xml:space="preserve">other </w:t>
      </w:r>
      <w:r w:rsidR="00D010EF" w:rsidRPr="00033A14">
        <w:rPr>
          <w:bCs/>
          <w:sz w:val="22"/>
          <w:szCs w:val="22"/>
        </w:rPr>
        <w:t>cancers</w:t>
      </w:r>
      <w:r w:rsidR="00D010EF">
        <w:rPr>
          <w:bCs/>
          <w:sz w:val="22"/>
          <w:szCs w:val="22"/>
        </w:rPr>
        <w:t>. From a policy and practice perspective, an increasing focus on</w:t>
      </w:r>
      <w:r w:rsidR="00F10903" w:rsidRPr="00033A14">
        <w:rPr>
          <w:bCs/>
          <w:sz w:val="22"/>
          <w:szCs w:val="22"/>
        </w:rPr>
        <w:t xml:space="preserve"> </w:t>
      </w:r>
      <w:r w:rsidR="00D01A43" w:rsidRPr="00033A14">
        <w:rPr>
          <w:bCs/>
          <w:sz w:val="22"/>
          <w:szCs w:val="22"/>
        </w:rPr>
        <w:t>implementin</w:t>
      </w:r>
      <w:r w:rsidR="00D01A43">
        <w:rPr>
          <w:bCs/>
          <w:sz w:val="22"/>
          <w:szCs w:val="22"/>
        </w:rPr>
        <w:t>g</w:t>
      </w:r>
      <w:r w:rsidR="00F10903" w:rsidRPr="00033A14">
        <w:rPr>
          <w:bCs/>
          <w:sz w:val="22"/>
          <w:szCs w:val="22"/>
        </w:rPr>
        <w:t xml:space="preserve"> effective strategies and policies to </w:t>
      </w:r>
      <w:r w:rsidR="007D69D6" w:rsidRPr="00033A14">
        <w:rPr>
          <w:bCs/>
          <w:sz w:val="22"/>
          <w:szCs w:val="22"/>
        </w:rPr>
        <w:t>overcome</w:t>
      </w:r>
      <w:r w:rsidR="00F10903" w:rsidRPr="00033A14">
        <w:rPr>
          <w:bCs/>
          <w:sz w:val="22"/>
          <w:szCs w:val="22"/>
        </w:rPr>
        <w:t xml:space="preserve"> </w:t>
      </w:r>
      <w:r w:rsidR="00D55F61">
        <w:rPr>
          <w:bCs/>
          <w:sz w:val="22"/>
          <w:szCs w:val="22"/>
        </w:rPr>
        <w:t>un</w:t>
      </w:r>
      <w:r w:rsidR="00F10903" w:rsidRPr="00033A14">
        <w:rPr>
          <w:bCs/>
          <w:sz w:val="22"/>
          <w:szCs w:val="22"/>
        </w:rPr>
        <w:t xml:space="preserve">fair </w:t>
      </w:r>
      <w:r w:rsidR="00C549A7">
        <w:rPr>
          <w:bCs/>
          <w:sz w:val="22"/>
          <w:szCs w:val="22"/>
        </w:rPr>
        <w:t xml:space="preserve">novel </w:t>
      </w:r>
      <w:r w:rsidR="00F10903" w:rsidRPr="00033A14">
        <w:rPr>
          <w:bCs/>
          <w:sz w:val="22"/>
          <w:szCs w:val="22"/>
        </w:rPr>
        <w:t>treatment access</w:t>
      </w:r>
      <w:r w:rsidR="004204DB">
        <w:rPr>
          <w:bCs/>
          <w:sz w:val="22"/>
          <w:szCs w:val="22"/>
        </w:rPr>
        <w:t xml:space="preserve"> is needed</w:t>
      </w:r>
      <w:r w:rsidR="00F10903" w:rsidRPr="00033A14">
        <w:rPr>
          <w:bCs/>
          <w:sz w:val="22"/>
          <w:szCs w:val="22"/>
        </w:rPr>
        <w:t>.</w:t>
      </w:r>
      <w:r w:rsidR="00EB0213">
        <w:rPr>
          <w:bCs/>
          <w:sz w:val="22"/>
          <w:szCs w:val="22"/>
        </w:rPr>
        <w:t xml:space="preserve"> This is pertinent given that targeted treatments are expanding for HER2 and other breast cancer subtypes (e.g. abemaciclib). </w:t>
      </w:r>
      <w:r w:rsidR="006A4CB7">
        <w:rPr>
          <w:bCs/>
          <w:sz w:val="22"/>
          <w:szCs w:val="22"/>
        </w:rPr>
        <w:t>Timely m</w:t>
      </w:r>
      <w:r w:rsidR="00EB0213">
        <w:rPr>
          <w:bCs/>
          <w:sz w:val="22"/>
          <w:szCs w:val="22"/>
        </w:rPr>
        <w:t xml:space="preserve">onitoring </w:t>
      </w:r>
      <w:r w:rsidR="006A4CB7">
        <w:rPr>
          <w:bCs/>
          <w:sz w:val="22"/>
          <w:szCs w:val="22"/>
        </w:rPr>
        <w:t xml:space="preserve">of </w:t>
      </w:r>
      <w:r w:rsidR="00EB0213">
        <w:rPr>
          <w:bCs/>
          <w:sz w:val="22"/>
          <w:szCs w:val="22"/>
        </w:rPr>
        <w:t>novel treatment</w:t>
      </w:r>
      <w:r w:rsidR="004204DB">
        <w:rPr>
          <w:bCs/>
          <w:sz w:val="22"/>
          <w:szCs w:val="22"/>
        </w:rPr>
        <w:t xml:space="preserve"> receipt</w:t>
      </w:r>
      <w:r w:rsidR="00EB0213">
        <w:rPr>
          <w:bCs/>
          <w:sz w:val="22"/>
          <w:szCs w:val="22"/>
        </w:rPr>
        <w:t xml:space="preserve"> to ensure that inequ</w:t>
      </w:r>
      <w:r w:rsidR="00C57B75">
        <w:rPr>
          <w:bCs/>
          <w:sz w:val="22"/>
          <w:szCs w:val="22"/>
        </w:rPr>
        <w:t>ities</w:t>
      </w:r>
      <w:r w:rsidR="00EB0213">
        <w:rPr>
          <w:bCs/>
          <w:sz w:val="22"/>
          <w:szCs w:val="22"/>
        </w:rPr>
        <w:t xml:space="preserve"> do</w:t>
      </w:r>
      <w:r w:rsidR="00F510C2">
        <w:rPr>
          <w:bCs/>
          <w:sz w:val="22"/>
          <w:szCs w:val="22"/>
        </w:rPr>
        <w:t xml:space="preserve"> not</w:t>
      </w:r>
      <w:r w:rsidR="00EB0213">
        <w:rPr>
          <w:bCs/>
          <w:sz w:val="22"/>
          <w:szCs w:val="22"/>
        </w:rPr>
        <w:t xml:space="preserve"> become established is </w:t>
      </w:r>
      <w:r w:rsidR="004204DB">
        <w:rPr>
          <w:bCs/>
          <w:sz w:val="22"/>
          <w:szCs w:val="22"/>
        </w:rPr>
        <w:t>needed</w:t>
      </w:r>
      <w:r w:rsidR="00EB0213">
        <w:rPr>
          <w:bCs/>
          <w:sz w:val="22"/>
          <w:szCs w:val="22"/>
        </w:rPr>
        <w:t>.</w:t>
      </w:r>
      <w:r w:rsidR="00D010EF">
        <w:rPr>
          <w:bCs/>
          <w:sz w:val="22"/>
          <w:szCs w:val="22"/>
        </w:rPr>
        <w:t xml:space="preserve"> Solutions likely require attention from patient, </w:t>
      </w:r>
      <w:r w:rsidR="003F159B">
        <w:rPr>
          <w:bCs/>
          <w:sz w:val="22"/>
          <w:szCs w:val="22"/>
        </w:rPr>
        <w:t xml:space="preserve">NHS </w:t>
      </w:r>
      <w:r w:rsidR="00D010EF">
        <w:rPr>
          <w:bCs/>
          <w:sz w:val="22"/>
          <w:szCs w:val="22"/>
        </w:rPr>
        <w:t>provider, healthcare system</w:t>
      </w:r>
      <w:r w:rsidR="00C549A7">
        <w:rPr>
          <w:bCs/>
          <w:sz w:val="22"/>
          <w:szCs w:val="22"/>
        </w:rPr>
        <w:t>,</w:t>
      </w:r>
      <w:r w:rsidR="00D010EF">
        <w:rPr>
          <w:bCs/>
          <w:sz w:val="22"/>
          <w:szCs w:val="22"/>
        </w:rPr>
        <w:t xml:space="preserve"> </w:t>
      </w:r>
      <w:r w:rsidR="003F159B">
        <w:rPr>
          <w:bCs/>
          <w:sz w:val="22"/>
          <w:szCs w:val="22"/>
        </w:rPr>
        <w:t>and wider society</w:t>
      </w:r>
      <w:r w:rsidR="00F5513C">
        <w:rPr>
          <w:bCs/>
          <w:sz w:val="22"/>
          <w:szCs w:val="22"/>
        </w:rPr>
        <w:t xml:space="preserve"> levels</w:t>
      </w:r>
      <w:r w:rsidR="003F159B">
        <w:rPr>
          <w:bCs/>
          <w:sz w:val="22"/>
          <w:szCs w:val="22"/>
        </w:rPr>
        <w:t>.</w:t>
      </w:r>
      <w:r w:rsidR="00D010EF">
        <w:rPr>
          <w:bCs/>
          <w:sz w:val="22"/>
          <w:szCs w:val="22"/>
        </w:rPr>
        <w:t xml:space="preserve"> </w:t>
      </w:r>
      <w:r w:rsidR="00E00E22">
        <w:rPr>
          <w:bCs/>
          <w:sz w:val="22"/>
          <w:szCs w:val="22"/>
        </w:rPr>
        <w:t xml:space="preserve">Application of approaches like </w:t>
      </w:r>
      <w:r w:rsidR="00866101">
        <w:rPr>
          <w:bCs/>
          <w:sz w:val="22"/>
          <w:szCs w:val="22"/>
        </w:rPr>
        <w:t xml:space="preserve">Intervention Mapping (a framework </w:t>
      </w:r>
      <w:r w:rsidR="004F187C">
        <w:rPr>
          <w:bCs/>
          <w:sz w:val="22"/>
          <w:szCs w:val="22"/>
        </w:rPr>
        <w:t xml:space="preserve">that uses </w:t>
      </w:r>
      <w:r w:rsidR="00866101">
        <w:rPr>
          <w:bCs/>
          <w:sz w:val="22"/>
          <w:szCs w:val="22"/>
        </w:rPr>
        <w:t xml:space="preserve">theory and evidence to support intervention development) </w:t>
      </w:r>
      <w:r w:rsidR="00E00E22">
        <w:rPr>
          <w:bCs/>
          <w:sz w:val="22"/>
          <w:szCs w:val="22"/>
        </w:rPr>
        <w:t>would be of value to inform the systematic development and testing of solutions. As an initial step, improved understanding of the determinants of utilization is required</w:t>
      </w:r>
      <w:r w:rsidR="00866101">
        <w:rPr>
          <w:bCs/>
          <w:sz w:val="22"/>
          <w:szCs w:val="22"/>
        </w:rPr>
        <w:t>.</w:t>
      </w:r>
      <w:r w:rsidR="00CB3E7F">
        <w:rPr>
          <w:bCs/>
          <w:sz w:val="22"/>
          <w:szCs w:val="22"/>
        </w:rPr>
        <w:fldChar w:fldCharType="begin"/>
      </w:r>
      <w:r w:rsidR="00103315">
        <w:rPr>
          <w:bCs/>
          <w:sz w:val="22"/>
          <w:szCs w:val="22"/>
        </w:rPr>
        <w:instrText xml:space="preserve"> ADDIN ZOTERO_ITEM CSL_CITATION {"citationID":"sBLY8pBE","properties":{"formattedCitation":"\\super 64\\nosupersub{}","plainCitation":"64","noteIndex":0},"citationItems":[{"id":1962,"uris":["http://zotero.org/users/local/nRdURiV3/items/UY8P9DJM"],"itemData":{"id":1962,"type":"article-journal","abstract":"Evidence-informed health intervention planning that incorporates theoretical and empirical evidence and engages key stakeholders and community members or patients in the planning process results in interventions that are more effective. Nevertheless, exactly how and when to use evidence, theory, and community-based participation during planning represents a challenge. In this Perspective, we describe Intervention Mapping (IM), a framework for theory- and evidence-based health promotion program planning that addresses this challenge by providing a systematic and stepwise approach to planning interventions. IM has been used to develop health promotion interventions and implementation strategies in community and clinical settings globally, with over 1000 published articles employing the framework. In this Perspective, we also highlight recent and innovative applications of IM described in the articles of the Frontiers in Public Health Special Topic on IM. We conclude by discussing new directions in the application of IM including novel methods for identifying determinants of behavior and environmental conditions, the application of IM for planning implementation strategies, and IM for adaptation of evidence-based programs in new settings.","container-title":"Frontiers in Public Health","DOI":"10.3389/fpubh.2019.00209","ISSN":"2296-2565","journalAbbreviation":"Front Public Health","note":"PMID: 31475126\nPMCID: PMC6702459","page":"209","source":"PubMed Central","title":"Intervention Mapping: Theory- and Evidence-Based Health Promotion Program Planning: Perspective and Examples","title-short":"Intervention Mapping","volume":"7","author":[{"family":"Fernandez","given":"Maria E."},{"family":"Ruiter","given":"Robert A. C."},{"family":"Markham","given":"Christine M."},{"family":"Kok","given":"Gerjo"}],"issued":{"date-parts":[["2019",8,14]]}}}],"schema":"https://github.com/citation-style-language/schema/raw/master/csl-citation.json"} </w:instrText>
      </w:r>
      <w:r w:rsidR="00CB3E7F">
        <w:rPr>
          <w:bCs/>
          <w:sz w:val="22"/>
          <w:szCs w:val="22"/>
        </w:rPr>
        <w:fldChar w:fldCharType="separate"/>
      </w:r>
      <w:r w:rsidR="00103315" w:rsidRPr="00103315">
        <w:rPr>
          <w:sz w:val="22"/>
          <w:vertAlign w:val="superscript"/>
        </w:rPr>
        <w:t>64</w:t>
      </w:r>
      <w:r w:rsidR="00CB3E7F">
        <w:rPr>
          <w:bCs/>
          <w:sz w:val="22"/>
          <w:szCs w:val="22"/>
        </w:rPr>
        <w:fldChar w:fldCharType="end"/>
      </w:r>
      <w:r w:rsidR="00866101">
        <w:rPr>
          <w:bCs/>
          <w:sz w:val="22"/>
          <w:szCs w:val="22"/>
        </w:rPr>
        <w:t xml:space="preserve"> </w:t>
      </w:r>
      <w:r w:rsidR="00E00E22">
        <w:rPr>
          <w:bCs/>
          <w:sz w:val="22"/>
          <w:szCs w:val="22"/>
        </w:rPr>
        <w:t>Later stages could consider</w:t>
      </w:r>
      <w:r w:rsidR="00562A2E">
        <w:rPr>
          <w:bCs/>
          <w:sz w:val="22"/>
          <w:szCs w:val="22"/>
        </w:rPr>
        <w:t xml:space="preserve"> adaption of interventions successfully applied in other contexts</w:t>
      </w:r>
      <w:r w:rsidR="004F187C">
        <w:rPr>
          <w:bCs/>
          <w:sz w:val="22"/>
          <w:szCs w:val="22"/>
        </w:rPr>
        <w:fldChar w:fldCharType="begin"/>
      </w:r>
      <w:r w:rsidR="00103315">
        <w:rPr>
          <w:bCs/>
          <w:sz w:val="22"/>
          <w:szCs w:val="22"/>
        </w:rPr>
        <w:instrText xml:space="preserve"> ADDIN ZOTERO_ITEM CSL_CITATION {"citationID":"iDJSMhzg","properties":{"formattedCitation":"\\super 65,66\\nosupersub{}","plainCitation":"65,66","noteIndex":0},"citationItems":[{"id":1439,"uris":["http://zotero.org/users/local/nRdURiV3/items/PFWYL6G4"],"itemData":{"id":1439,"type":"article-journal","abstract":"BACKGROUND: Community service-learning (CSL) has been proposed as one way to enrich medical and dental students' sense of social responsibility toward people who are marginalized in society.\nAIM: We developed and implemented a new CSL option in the integrated medical/dental curriculum and assessed its educational impact.\nMETHODS: Focus groups, individual open-ended interviews, and a survey were used to assess dental students', faculty tutors' and community partners' experiences with CSL.\nRESULTS: CSL enabled a deeper appreciation for the vulnerabilities that people who are marginalized experience; students gained a greater insight into the social determinants of health and the related importance of community engagement; and they developed useful skills in health promotion project planning, implementation and evaluation. Community partners and faculty tutors indicated that equal partnership, greater collaboration, and a participatory approach to course development are essential to sustainability in CSL.\nCONCLUSIONS: CSL can play an important role in nurturing a purposeful sense of social responsibility among future practitioners. Our study enabled the implementation of an innovative longitudinal course (professionalism and community service) in all 4 years of the dental curriculum.","container-title":"Medical Teacher","DOI":"10.3109/01421590903434169","ISSN":"1466-187X","issue":"11","journalAbbreviation":"Med Teach","language":"eng","note":"PMID: 21039101","page":"905-911","source":"PubMed","title":"Nurturing social responsibility through community service-learning: Lessons learned from a pilot project","title-short":"Nurturing social responsibility through community service-learning","volume":"32","author":[{"family":"Dharamsi","given":"Shafik"},{"family":"Espinoza","given":"Nancy"},{"family":"Cramer","given":"Carl"},{"family":"Amin","given":"Maryam"},{"family":"Bainbridge","given":"Lesley"},{"family":"Poole","given":"Gary"}],"issued":{"date-parts":[["2010"]]}}},{"id":1418,"uris":["http://zotero.org/users/local/nRdURiV3/items/ADMZDSSI"],"itemData":{"id":1418,"type":"article-journal","abstract":"BACKGROUND: Minority and low-income women receive fewer cancer screenings than other women.\nOBJECTIVE: To evaluate the effect of a telephone support intervention to increase rates of breast, cervical, and colorectal cancer screening among minority and low-income women.\nDESIGN: Randomized, controlled trial conducted between November 2001 and April 2004.\nSETTING: 11 community and migrant health centers in New York City.\nPATIENTS: 1413 women who were overdue for cancer screening.\nINTERVENTION: Over 18 months, women assigned to the intervention group received an average of 4 calls from prevention care managers and women assigned to the control group received usual care. Follow-up data were available for 99% of women, and 91% of the intervention group received at least 1 call.\nMEASUREMENTS: Medical record documentation of mammography, Papanicolaou testing, and colorectal cancer screening according to U.S. Preventive Services Task Force recommendations.\nRESULTS: The proportion of women who had mammography increased from 0.58 to 0.68 with the intervention and decreased from 0.60 to 0.58 with usual care; the proportion who had Papanicolaou testing increased from 0.71 to 0.78 with the intervention and was unchanged with usual care; and the proportion who had colorectal screening increased from 0.39 to 0.63 with the intervention and from 0.39 to 0.50 with usual care. The difference in the change in screening rates between groups was 0.12 for mammography (95% CI, 0.06 to 0.19), 0.07 for Papanicolaou testing (CI, 0.01 to 0.12), and 0.13 for colorectal screening (CI, 0.07 to 0.19). The proportion of women who were up to date for 3 tests increased from 0.21 to 0.43 with the intervention.\nLIMITATIONS: Participants were from 1 city and had access to a regular source of care. Medical records may not have captured all cancer screenings.\nCONCLUSIONS: Telephone support can improve cancer screening rates among women who visit community and migrant health centers. The intervention seems to be well suited to health plans, large medical groups, and other organizations that seek to increase cancer screening rates and to address disparities in care.","container-title":"Annals of Internal Medicine","DOI":"10.7326/0003-4819-144-8-200604180-00006","ISSN":"1539-3704","issue":"8","journalAbbreviation":"Ann Intern Med","language":"eng","note":"PMID: 16618953\nPMCID: PMC3841972","page":"563-571","source":"PubMed","title":"Telephone care management to improve cancer screening among low-income women: a randomized, controlled trial","title-short":"Telephone care management to improve cancer screening among low-income women","volume":"144","author":[{"family":"Dietrich","given":"Allen J."},{"family":"Tobin","given":"Jonathan N."},{"family":"Cassells","given":"Andrea"},{"family":"Robinson","given":"Christina M."},{"family":"Greene","given":"Mary Ann"},{"family":"Sox","given":"Carol Hill"},{"family":"Beach","given":"Michael L."},{"family":"DuHamel","given":"Katherine N."},{"family":"Younge","given":"Richard G."}],"issued":{"date-parts":[["2006",4,18]]}}}],"schema":"https://github.com/citation-style-language/schema/raw/master/csl-citation.json"} </w:instrText>
      </w:r>
      <w:r w:rsidR="004F187C">
        <w:rPr>
          <w:bCs/>
          <w:sz w:val="22"/>
          <w:szCs w:val="22"/>
        </w:rPr>
        <w:fldChar w:fldCharType="separate"/>
      </w:r>
      <w:r w:rsidR="00103315" w:rsidRPr="00103315">
        <w:rPr>
          <w:sz w:val="22"/>
          <w:vertAlign w:val="superscript"/>
        </w:rPr>
        <w:t>65,66</w:t>
      </w:r>
      <w:r w:rsidR="004F187C">
        <w:rPr>
          <w:bCs/>
          <w:sz w:val="22"/>
          <w:szCs w:val="22"/>
        </w:rPr>
        <w:fldChar w:fldCharType="end"/>
      </w:r>
      <w:r w:rsidR="00FD2FD1">
        <w:rPr>
          <w:bCs/>
          <w:sz w:val="22"/>
          <w:szCs w:val="22"/>
        </w:rPr>
        <w:t xml:space="preserve"> </w:t>
      </w:r>
      <w:r w:rsidR="000D65D7">
        <w:rPr>
          <w:bCs/>
          <w:sz w:val="22"/>
          <w:szCs w:val="22"/>
        </w:rPr>
        <w:t xml:space="preserve">to </w:t>
      </w:r>
      <w:r w:rsidR="004F187C">
        <w:rPr>
          <w:bCs/>
          <w:sz w:val="22"/>
          <w:szCs w:val="22"/>
        </w:rPr>
        <w:t xml:space="preserve">improve </w:t>
      </w:r>
      <w:r w:rsidR="000D65D7">
        <w:rPr>
          <w:bCs/>
          <w:sz w:val="22"/>
          <w:szCs w:val="22"/>
        </w:rPr>
        <w:t>medication utilization.</w:t>
      </w:r>
      <w:r w:rsidR="00562A2E">
        <w:rPr>
          <w:bCs/>
          <w:sz w:val="22"/>
          <w:szCs w:val="22"/>
        </w:rPr>
        <w:t xml:space="preserve"> Examples include e.g.</w:t>
      </w:r>
      <w:r w:rsidR="00D010EF">
        <w:rPr>
          <w:bCs/>
          <w:sz w:val="22"/>
          <w:szCs w:val="22"/>
        </w:rPr>
        <w:t xml:space="preserve"> </w:t>
      </w:r>
      <w:r w:rsidR="003F159B">
        <w:rPr>
          <w:bCs/>
          <w:sz w:val="22"/>
          <w:szCs w:val="22"/>
        </w:rPr>
        <w:t xml:space="preserve">targeted health literacy </w:t>
      </w:r>
      <w:r w:rsidR="00D55F61">
        <w:rPr>
          <w:bCs/>
          <w:sz w:val="22"/>
          <w:szCs w:val="22"/>
        </w:rPr>
        <w:t xml:space="preserve">interventions </w:t>
      </w:r>
      <w:r w:rsidR="003F159B">
        <w:rPr>
          <w:bCs/>
          <w:sz w:val="22"/>
          <w:szCs w:val="22"/>
        </w:rPr>
        <w:t xml:space="preserve">to improve patient participation in shared treatment decision making, increased education of clinicians in the SDoH, and </w:t>
      </w:r>
      <w:r w:rsidR="004204DB">
        <w:rPr>
          <w:bCs/>
          <w:sz w:val="22"/>
          <w:szCs w:val="22"/>
        </w:rPr>
        <w:t>use</w:t>
      </w:r>
      <w:r w:rsidR="00D55F61">
        <w:rPr>
          <w:bCs/>
          <w:sz w:val="22"/>
          <w:szCs w:val="22"/>
        </w:rPr>
        <w:t xml:space="preserve"> of </w:t>
      </w:r>
      <w:r w:rsidR="003F159B">
        <w:rPr>
          <w:bCs/>
          <w:sz w:val="22"/>
          <w:szCs w:val="22"/>
        </w:rPr>
        <w:t>patient navigat</w:t>
      </w:r>
      <w:r w:rsidR="00D55F61">
        <w:rPr>
          <w:bCs/>
          <w:sz w:val="22"/>
          <w:szCs w:val="22"/>
        </w:rPr>
        <w:t>ors to support</w:t>
      </w:r>
      <w:r w:rsidR="003F159B">
        <w:rPr>
          <w:bCs/>
          <w:sz w:val="22"/>
          <w:szCs w:val="22"/>
        </w:rPr>
        <w:t xml:space="preserve"> </w:t>
      </w:r>
      <w:r w:rsidR="00EB0213">
        <w:rPr>
          <w:bCs/>
          <w:sz w:val="22"/>
          <w:szCs w:val="22"/>
        </w:rPr>
        <w:t xml:space="preserve">more disadvantaged patients. </w:t>
      </w:r>
      <w:r w:rsidR="00A73D74">
        <w:rPr>
          <w:bCs/>
          <w:sz w:val="22"/>
          <w:szCs w:val="22"/>
        </w:rPr>
        <w:t>Finally</w:t>
      </w:r>
      <w:r w:rsidR="00EF280C">
        <w:rPr>
          <w:bCs/>
          <w:sz w:val="22"/>
          <w:szCs w:val="22"/>
        </w:rPr>
        <w:t xml:space="preserve">, interventions which </w:t>
      </w:r>
      <w:r w:rsidR="002D00CB">
        <w:rPr>
          <w:bCs/>
          <w:sz w:val="22"/>
          <w:szCs w:val="22"/>
        </w:rPr>
        <w:t>may</w:t>
      </w:r>
      <w:r w:rsidR="00EF280C">
        <w:rPr>
          <w:bCs/>
          <w:sz w:val="22"/>
          <w:szCs w:val="22"/>
        </w:rPr>
        <w:t xml:space="preserve"> improve ease of </w:t>
      </w:r>
      <w:r w:rsidR="002D00CB">
        <w:rPr>
          <w:bCs/>
          <w:sz w:val="22"/>
          <w:szCs w:val="22"/>
        </w:rPr>
        <w:t xml:space="preserve">trastuzumab </w:t>
      </w:r>
      <w:r w:rsidR="00EF280C">
        <w:rPr>
          <w:bCs/>
          <w:sz w:val="22"/>
          <w:szCs w:val="22"/>
        </w:rPr>
        <w:t>use (e.g. shorter duration of therapy)</w:t>
      </w:r>
      <w:r w:rsidR="002D00CB">
        <w:rPr>
          <w:bCs/>
          <w:sz w:val="22"/>
          <w:szCs w:val="22"/>
        </w:rPr>
        <w:fldChar w:fldCharType="begin"/>
      </w:r>
      <w:r w:rsidR="00103315">
        <w:rPr>
          <w:bCs/>
          <w:sz w:val="22"/>
          <w:szCs w:val="22"/>
        </w:rPr>
        <w:instrText xml:space="preserve"> ADDIN ZOTERO_ITEM CSL_CITATION {"citationID":"mVsmHAr6","properties":{"formattedCitation":"\\super 67\\nosupersub{}","plainCitation":"67","noteIndex":0},"citationItems":[{"id":1960,"uris":["http://zotero.org/users/local/nRdURiV3/items/BFMRAMAN"],"itemData":{"id":1960,"type":"article-journal","container-title":"Annals of Oncology: Official Journal of the European Society for Medical Oncology","DOI":"10.1093/annonc/mdy480","ISSN":"1569-8041","issue":"12","journalAbbreviation":"Ann Oncol","language":"eng","note":"PMID: 30357308","page":"2273-2274","source":"PubMed","title":"Duration of adjuvant trastuzumab: might less be more?","title-short":"Duration of adjuvant trastuzumab","volume":"29","author":[{"family":"Metzger Filho","given":"O."},{"family":"Burstein","given":"H. J."}],"issued":{"date-parts":[["2018",12,1]]}}}],"schema":"https://github.com/citation-style-language/schema/raw/master/csl-citation.json"} </w:instrText>
      </w:r>
      <w:r w:rsidR="002D00CB">
        <w:rPr>
          <w:bCs/>
          <w:sz w:val="22"/>
          <w:szCs w:val="22"/>
        </w:rPr>
        <w:fldChar w:fldCharType="separate"/>
      </w:r>
      <w:r w:rsidR="00103315" w:rsidRPr="00103315">
        <w:rPr>
          <w:sz w:val="22"/>
          <w:vertAlign w:val="superscript"/>
        </w:rPr>
        <w:t>67</w:t>
      </w:r>
      <w:r w:rsidR="002D00CB">
        <w:rPr>
          <w:bCs/>
          <w:sz w:val="22"/>
          <w:szCs w:val="22"/>
        </w:rPr>
        <w:fldChar w:fldCharType="end"/>
      </w:r>
      <w:r w:rsidR="00EF280C">
        <w:rPr>
          <w:bCs/>
          <w:sz w:val="22"/>
          <w:szCs w:val="22"/>
        </w:rPr>
        <w:t xml:space="preserve"> </w:t>
      </w:r>
      <w:r w:rsidR="00562A2E">
        <w:rPr>
          <w:bCs/>
          <w:sz w:val="22"/>
          <w:szCs w:val="22"/>
        </w:rPr>
        <w:t>could also be of value in</w:t>
      </w:r>
      <w:r w:rsidR="002D00CB">
        <w:rPr>
          <w:bCs/>
          <w:sz w:val="22"/>
          <w:szCs w:val="22"/>
        </w:rPr>
        <w:t xml:space="preserve"> reducing potential socio-economic barriers (e.g. financial)</w:t>
      </w:r>
      <w:r w:rsidR="00562A2E">
        <w:rPr>
          <w:bCs/>
          <w:sz w:val="22"/>
          <w:szCs w:val="22"/>
        </w:rPr>
        <w:t>.</w:t>
      </w:r>
    </w:p>
    <w:p w14:paraId="033F357B" w14:textId="77777777" w:rsidR="00E25B70" w:rsidRPr="00033A14" w:rsidRDefault="00E25B70" w:rsidP="00EB2F6F">
      <w:pPr>
        <w:spacing w:line="360" w:lineRule="auto"/>
        <w:rPr>
          <w:bCs/>
          <w:sz w:val="22"/>
          <w:szCs w:val="22"/>
        </w:rPr>
      </w:pPr>
    </w:p>
    <w:p w14:paraId="11FF4E27" w14:textId="2F3096F4" w:rsidR="00233D2B" w:rsidRPr="00033A14" w:rsidRDefault="00233D2B" w:rsidP="00EB2F6F">
      <w:pPr>
        <w:spacing w:line="360" w:lineRule="auto"/>
        <w:rPr>
          <w:b/>
          <w:sz w:val="22"/>
          <w:szCs w:val="22"/>
        </w:rPr>
      </w:pPr>
      <w:r w:rsidRPr="00033A14">
        <w:rPr>
          <w:b/>
          <w:sz w:val="22"/>
          <w:szCs w:val="22"/>
        </w:rPr>
        <w:t>Conclusion</w:t>
      </w:r>
      <w:r w:rsidR="00AE3E81" w:rsidRPr="00033A14">
        <w:rPr>
          <w:b/>
          <w:sz w:val="22"/>
          <w:szCs w:val="22"/>
        </w:rPr>
        <w:t>s</w:t>
      </w:r>
    </w:p>
    <w:p w14:paraId="548735A5" w14:textId="1D581A16" w:rsidR="00BE5BB9" w:rsidRDefault="004146E9" w:rsidP="00EB2F6F">
      <w:pPr>
        <w:spacing w:line="360" w:lineRule="auto"/>
        <w:rPr>
          <w:bCs/>
          <w:sz w:val="22"/>
          <w:szCs w:val="22"/>
        </w:rPr>
      </w:pPr>
      <w:r>
        <w:rPr>
          <w:bCs/>
          <w:sz w:val="22"/>
          <w:szCs w:val="22"/>
        </w:rPr>
        <w:t xml:space="preserve">There are </w:t>
      </w:r>
      <w:r w:rsidR="00BC6623">
        <w:rPr>
          <w:bCs/>
          <w:sz w:val="22"/>
          <w:szCs w:val="22"/>
        </w:rPr>
        <w:t xml:space="preserve">socio-demographic </w:t>
      </w:r>
      <w:r w:rsidR="00C57B75">
        <w:rPr>
          <w:bCs/>
          <w:sz w:val="22"/>
          <w:szCs w:val="22"/>
        </w:rPr>
        <w:t>disparities</w:t>
      </w:r>
      <w:r w:rsidR="00D01ABB">
        <w:rPr>
          <w:bCs/>
          <w:sz w:val="22"/>
          <w:szCs w:val="22"/>
        </w:rPr>
        <w:t xml:space="preserve"> </w:t>
      </w:r>
      <w:r w:rsidR="00BB114F">
        <w:rPr>
          <w:bCs/>
          <w:sz w:val="22"/>
          <w:szCs w:val="22"/>
        </w:rPr>
        <w:t>HER2+ breast cancer</w:t>
      </w:r>
      <w:r w:rsidR="00790AE5">
        <w:rPr>
          <w:bCs/>
          <w:sz w:val="22"/>
          <w:szCs w:val="22"/>
        </w:rPr>
        <w:t xml:space="preserve"> </w:t>
      </w:r>
      <w:r w:rsidR="00727A94">
        <w:rPr>
          <w:bCs/>
          <w:sz w:val="22"/>
          <w:szCs w:val="22"/>
        </w:rPr>
        <w:t xml:space="preserve">trastuzumab receipt </w:t>
      </w:r>
      <w:r w:rsidR="00790AE5">
        <w:rPr>
          <w:bCs/>
          <w:sz w:val="22"/>
          <w:szCs w:val="22"/>
        </w:rPr>
        <w:t>in England</w:t>
      </w:r>
      <w:r w:rsidR="00BC6623">
        <w:rPr>
          <w:bCs/>
          <w:sz w:val="22"/>
          <w:szCs w:val="22"/>
        </w:rPr>
        <w:t>.</w:t>
      </w:r>
      <w:r w:rsidR="00790AE5">
        <w:rPr>
          <w:bCs/>
          <w:sz w:val="22"/>
          <w:szCs w:val="22"/>
        </w:rPr>
        <w:t xml:space="preserve"> </w:t>
      </w:r>
      <w:r w:rsidR="00782790">
        <w:rPr>
          <w:bCs/>
          <w:sz w:val="22"/>
          <w:szCs w:val="22"/>
        </w:rPr>
        <w:t>In both early and metastatic disease, o</w:t>
      </w:r>
      <w:r w:rsidR="006A4CB7">
        <w:rPr>
          <w:bCs/>
          <w:sz w:val="22"/>
          <w:szCs w:val="22"/>
        </w:rPr>
        <w:t>lder w</w:t>
      </w:r>
      <w:r w:rsidR="0037644D">
        <w:rPr>
          <w:bCs/>
          <w:sz w:val="22"/>
          <w:szCs w:val="22"/>
        </w:rPr>
        <w:t>omen</w:t>
      </w:r>
      <w:r w:rsidR="006A4CB7">
        <w:rPr>
          <w:bCs/>
          <w:sz w:val="22"/>
          <w:szCs w:val="22"/>
        </w:rPr>
        <w:t xml:space="preserve">, </w:t>
      </w:r>
      <w:r w:rsidR="00727A94">
        <w:rPr>
          <w:bCs/>
          <w:sz w:val="22"/>
          <w:szCs w:val="22"/>
        </w:rPr>
        <w:t>with more</w:t>
      </w:r>
      <w:r w:rsidR="00BC6623">
        <w:rPr>
          <w:bCs/>
          <w:sz w:val="22"/>
          <w:szCs w:val="22"/>
        </w:rPr>
        <w:t xml:space="preserve"> comorbidities, </w:t>
      </w:r>
      <w:r w:rsidR="007E7DEB">
        <w:rPr>
          <w:bCs/>
          <w:sz w:val="22"/>
          <w:szCs w:val="22"/>
        </w:rPr>
        <w:t xml:space="preserve">ER positive disease </w:t>
      </w:r>
      <w:r w:rsidR="00BC6623">
        <w:rPr>
          <w:bCs/>
          <w:sz w:val="22"/>
          <w:szCs w:val="22"/>
        </w:rPr>
        <w:t xml:space="preserve">and who </w:t>
      </w:r>
      <w:r w:rsidR="00727A94">
        <w:rPr>
          <w:bCs/>
          <w:sz w:val="22"/>
          <w:szCs w:val="22"/>
        </w:rPr>
        <w:t>are not</w:t>
      </w:r>
      <w:r w:rsidR="00BC6623">
        <w:rPr>
          <w:bCs/>
          <w:sz w:val="22"/>
          <w:szCs w:val="22"/>
        </w:rPr>
        <w:t xml:space="preserve"> discussed at MDT are less likely to receive trast</w:t>
      </w:r>
      <w:r w:rsidR="0063026D">
        <w:rPr>
          <w:bCs/>
          <w:sz w:val="22"/>
          <w:szCs w:val="22"/>
        </w:rPr>
        <w:t>u</w:t>
      </w:r>
      <w:r w:rsidR="00BC6623">
        <w:rPr>
          <w:bCs/>
          <w:sz w:val="22"/>
          <w:szCs w:val="22"/>
        </w:rPr>
        <w:t>zumab</w:t>
      </w:r>
      <w:r w:rsidR="00782790">
        <w:rPr>
          <w:bCs/>
          <w:sz w:val="22"/>
          <w:szCs w:val="22"/>
        </w:rPr>
        <w:t>.</w:t>
      </w:r>
      <w:r w:rsidR="007E7DEB">
        <w:rPr>
          <w:bCs/>
          <w:sz w:val="22"/>
          <w:szCs w:val="22"/>
        </w:rPr>
        <w:t xml:space="preserve"> Reduced trastuzumab receipt </w:t>
      </w:r>
      <w:r w:rsidR="00562A2E">
        <w:rPr>
          <w:bCs/>
          <w:sz w:val="22"/>
          <w:szCs w:val="22"/>
        </w:rPr>
        <w:t>amongst those residents in more deprived areas</w:t>
      </w:r>
      <w:r w:rsidR="007E7DEB">
        <w:rPr>
          <w:bCs/>
          <w:sz w:val="22"/>
          <w:szCs w:val="22"/>
        </w:rPr>
        <w:t xml:space="preserve"> was </w:t>
      </w:r>
      <w:r w:rsidR="00562A2E">
        <w:rPr>
          <w:bCs/>
          <w:sz w:val="22"/>
          <w:szCs w:val="22"/>
        </w:rPr>
        <w:t>also</w:t>
      </w:r>
      <w:r w:rsidR="007E7DEB">
        <w:rPr>
          <w:bCs/>
          <w:sz w:val="22"/>
          <w:szCs w:val="22"/>
        </w:rPr>
        <w:t xml:space="preserve"> observed in women with early-stage disease. </w:t>
      </w:r>
      <w:r w:rsidR="00BC6623">
        <w:rPr>
          <w:bCs/>
          <w:sz w:val="22"/>
          <w:szCs w:val="22"/>
        </w:rPr>
        <w:t>These i</w:t>
      </w:r>
      <w:r w:rsidR="00F24F21">
        <w:rPr>
          <w:bCs/>
          <w:sz w:val="22"/>
          <w:szCs w:val="22"/>
        </w:rPr>
        <w:t>nequ</w:t>
      </w:r>
      <w:r w:rsidR="00C57B75">
        <w:rPr>
          <w:bCs/>
          <w:sz w:val="22"/>
          <w:szCs w:val="22"/>
        </w:rPr>
        <w:t>ities</w:t>
      </w:r>
      <w:r w:rsidR="00790AE5">
        <w:rPr>
          <w:bCs/>
          <w:sz w:val="22"/>
          <w:szCs w:val="22"/>
        </w:rPr>
        <w:t xml:space="preserve"> are present, despite </w:t>
      </w:r>
      <w:r w:rsidR="00BC6623">
        <w:rPr>
          <w:bCs/>
          <w:sz w:val="22"/>
          <w:szCs w:val="22"/>
        </w:rPr>
        <w:t xml:space="preserve">biomarker driven guidelines and </w:t>
      </w:r>
      <w:r w:rsidR="00790AE5">
        <w:rPr>
          <w:bCs/>
          <w:sz w:val="22"/>
          <w:szCs w:val="22"/>
        </w:rPr>
        <w:t xml:space="preserve">trastuzumab being free at the point of </w:t>
      </w:r>
      <w:r w:rsidR="00043D3B">
        <w:rPr>
          <w:bCs/>
          <w:sz w:val="22"/>
          <w:szCs w:val="22"/>
        </w:rPr>
        <w:t>delivery</w:t>
      </w:r>
      <w:r w:rsidR="00790AE5">
        <w:rPr>
          <w:bCs/>
          <w:sz w:val="22"/>
          <w:szCs w:val="22"/>
        </w:rPr>
        <w:t xml:space="preserve"> in </w:t>
      </w:r>
      <w:r w:rsidR="0063026D">
        <w:rPr>
          <w:bCs/>
          <w:sz w:val="22"/>
          <w:szCs w:val="22"/>
        </w:rPr>
        <w:t>the</w:t>
      </w:r>
      <w:r w:rsidR="00C009C1">
        <w:rPr>
          <w:bCs/>
          <w:sz w:val="22"/>
          <w:szCs w:val="22"/>
        </w:rPr>
        <w:t xml:space="preserve"> publicly funded </w:t>
      </w:r>
      <w:r w:rsidR="0063026D">
        <w:rPr>
          <w:bCs/>
          <w:sz w:val="22"/>
          <w:szCs w:val="22"/>
        </w:rPr>
        <w:t>NHS</w:t>
      </w:r>
      <w:r w:rsidR="00BB114F">
        <w:rPr>
          <w:bCs/>
          <w:sz w:val="22"/>
          <w:szCs w:val="22"/>
        </w:rPr>
        <w:t xml:space="preserve">. </w:t>
      </w:r>
      <w:r w:rsidR="00790AE5">
        <w:rPr>
          <w:bCs/>
          <w:sz w:val="22"/>
          <w:szCs w:val="22"/>
        </w:rPr>
        <w:t>National</w:t>
      </w:r>
      <w:r w:rsidR="00582092" w:rsidRPr="00033A14">
        <w:rPr>
          <w:bCs/>
          <w:sz w:val="22"/>
          <w:szCs w:val="22"/>
        </w:rPr>
        <w:t xml:space="preserve"> polic</w:t>
      </w:r>
      <w:r w:rsidR="00331CA4" w:rsidRPr="00033A14">
        <w:rPr>
          <w:bCs/>
          <w:sz w:val="22"/>
          <w:szCs w:val="22"/>
        </w:rPr>
        <w:t>ies</w:t>
      </w:r>
      <w:r w:rsidR="00582092" w:rsidRPr="00033A14">
        <w:rPr>
          <w:bCs/>
          <w:sz w:val="22"/>
          <w:szCs w:val="22"/>
        </w:rPr>
        <w:t xml:space="preserve"> to address </w:t>
      </w:r>
      <w:r w:rsidR="00A550A4">
        <w:rPr>
          <w:bCs/>
          <w:sz w:val="22"/>
          <w:szCs w:val="22"/>
        </w:rPr>
        <w:t xml:space="preserve">inequalities in </w:t>
      </w:r>
      <w:r w:rsidR="0063026D">
        <w:rPr>
          <w:bCs/>
          <w:sz w:val="22"/>
          <w:szCs w:val="22"/>
        </w:rPr>
        <w:t xml:space="preserve">trastuzumab and other </w:t>
      </w:r>
      <w:r w:rsidR="00A550A4">
        <w:rPr>
          <w:bCs/>
          <w:sz w:val="22"/>
          <w:szCs w:val="22"/>
        </w:rPr>
        <w:t xml:space="preserve">novel </w:t>
      </w:r>
      <w:r>
        <w:rPr>
          <w:bCs/>
          <w:sz w:val="22"/>
          <w:szCs w:val="22"/>
        </w:rPr>
        <w:t xml:space="preserve">breast </w:t>
      </w:r>
      <w:r w:rsidR="00582092" w:rsidRPr="00033A14">
        <w:rPr>
          <w:bCs/>
          <w:sz w:val="22"/>
          <w:szCs w:val="22"/>
        </w:rPr>
        <w:t xml:space="preserve">cancer </w:t>
      </w:r>
      <w:r>
        <w:rPr>
          <w:bCs/>
          <w:sz w:val="22"/>
          <w:szCs w:val="22"/>
        </w:rPr>
        <w:t>treatment</w:t>
      </w:r>
      <w:r w:rsidR="00A550A4">
        <w:rPr>
          <w:bCs/>
          <w:sz w:val="22"/>
          <w:szCs w:val="22"/>
        </w:rPr>
        <w:t>s</w:t>
      </w:r>
      <w:r>
        <w:rPr>
          <w:bCs/>
          <w:sz w:val="22"/>
          <w:szCs w:val="22"/>
        </w:rPr>
        <w:t xml:space="preserve"> are urgently needed. </w:t>
      </w:r>
      <w:r w:rsidR="00727A94">
        <w:rPr>
          <w:bCs/>
          <w:sz w:val="22"/>
          <w:szCs w:val="22"/>
        </w:rPr>
        <w:t>Policies</w:t>
      </w:r>
      <w:r>
        <w:rPr>
          <w:bCs/>
          <w:sz w:val="22"/>
          <w:szCs w:val="22"/>
        </w:rPr>
        <w:t xml:space="preserve"> should focus on ensuring </w:t>
      </w:r>
      <w:r w:rsidR="00A44E54" w:rsidRPr="00033A14">
        <w:rPr>
          <w:bCs/>
          <w:sz w:val="22"/>
          <w:szCs w:val="22"/>
        </w:rPr>
        <w:t xml:space="preserve">fair access </w:t>
      </w:r>
      <w:r>
        <w:rPr>
          <w:bCs/>
          <w:sz w:val="22"/>
          <w:szCs w:val="22"/>
        </w:rPr>
        <w:t>regardless of place of residence</w:t>
      </w:r>
      <w:r w:rsidR="0063026D">
        <w:rPr>
          <w:bCs/>
          <w:sz w:val="22"/>
          <w:szCs w:val="22"/>
        </w:rPr>
        <w:t xml:space="preserve">, socio-demographic </w:t>
      </w:r>
      <w:r w:rsidR="00BB2018">
        <w:rPr>
          <w:bCs/>
          <w:sz w:val="22"/>
          <w:szCs w:val="22"/>
        </w:rPr>
        <w:t>characteristics</w:t>
      </w:r>
      <w:r w:rsidR="00BC6623">
        <w:rPr>
          <w:bCs/>
          <w:sz w:val="22"/>
          <w:szCs w:val="22"/>
        </w:rPr>
        <w:t xml:space="preserve"> and/or cancer stage</w:t>
      </w:r>
      <w:r>
        <w:rPr>
          <w:bCs/>
          <w:sz w:val="22"/>
          <w:szCs w:val="22"/>
        </w:rPr>
        <w:t xml:space="preserve">. </w:t>
      </w:r>
    </w:p>
    <w:p w14:paraId="167BBC01" w14:textId="77777777" w:rsidR="00664C6C" w:rsidRPr="00033A14" w:rsidRDefault="00664C6C" w:rsidP="00EB2F6F">
      <w:pPr>
        <w:spacing w:line="360" w:lineRule="auto"/>
        <w:rPr>
          <w:bCs/>
          <w:sz w:val="22"/>
          <w:szCs w:val="22"/>
        </w:rPr>
      </w:pPr>
    </w:p>
    <w:p w14:paraId="408B9636" w14:textId="77777777" w:rsidR="0017201E" w:rsidRPr="00033A14" w:rsidRDefault="0017201E" w:rsidP="00EB2F6F">
      <w:pPr>
        <w:spacing w:line="360" w:lineRule="auto"/>
        <w:rPr>
          <w:b/>
          <w:color w:val="000000" w:themeColor="text1"/>
          <w:sz w:val="22"/>
          <w:szCs w:val="22"/>
          <w:lang w:val="en-US"/>
        </w:rPr>
      </w:pPr>
      <w:r w:rsidRPr="00033A14">
        <w:rPr>
          <w:b/>
          <w:color w:val="000000" w:themeColor="text1"/>
          <w:sz w:val="22"/>
          <w:szCs w:val="22"/>
          <w:lang w:val="en-US"/>
        </w:rPr>
        <w:t>Acknowledgements</w:t>
      </w:r>
    </w:p>
    <w:p w14:paraId="493F1075" w14:textId="77777777" w:rsidR="003B418C" w:rsidRDefault="003B418C" w:rsidP="003B418C">
      <w:pPr>
        <w:spacing w:line="360" w:lineRule="auto"/>
        <w:rPr>
          <w:color w:val="000000" w:themeColor="text1"/>
          <w:sz w:val="22"/>
          <w:szCs w:val="22"/>
          <w:lang w:val="en-US"/>
        </w:rPr>
      </w:pPr>
      <w:r>
        <w:rPr>
          <w:color w:val="000000" w:themeColor="text1"/>
          <w:sz w:val="22"/>
          <w:szCs w:val="22"/>
          <w:lang w:val="en-US"/>
        </w:rPr>
        <w:t xml:space="preserve">This independent research, funded by </w:t>
      </w:r>
      <w:r w:rsidRPr="00033A14">
        <w:rPr>
          <w:color w:val="000000" w:themeColor="text1"/>
          <w:sz w:val="22"/>
          <w:szCs w:val="22"/>
          <w:lang w:val="en-US"/>
        </w:rPr>
        <w:t>a Barbour Foundation PhD Studentship</w:t>
      </w:r>
      <w:r>
        <w:rPr>
          <w:color w:val="000000" w:themeColor="text1"/>
          <w:sz w:val="22"/>
          <w:szCs w:val="22"/>
          <w:lang w:val="en-US"/>
        </w:rPr>
        <w:t xml:space="preserve"> for RN, was in part carried out at the National Institute for Health and Care Research (NIHR) Newcastle Patient Safety Research Collaboration (PSRC). The views expressed are those of the authors and not necessarily those of the NIHR or the Department of Health and Social Care. </w:t>
      </w:r>
      <w:r w:rsidRPr="00033A14">
        <w:rPr>
          <w:color w:val="000000" w:themeColor="text1"/>
          <w:sz w:val="22"/>
          <w:szCs w:val="22"/>
          <w:lang w:val="en-US"/>
        </w:rPr>
        <w:t xml:space="preserve">RD was supported by a grant from </w:t>
      </w:r>
      <w:r w:rsidRPr="00033A14">
        <w:rPr>
          <w:color w:val="000000" w:themeColor="text1"/>
          <w:sz w:val="22"/>
          <w:szCs w:val="22"/>
          <w:lang w:val="en-US"/>
        </w:rPr>
        <w:lastRenderedPageBreak/>
        <w:t xml:space="preserve">Cancer Research UK (A25618). Neither funding source </w:t>
      </w:r>
      <w:r>
        <w:rPr>
          <w:color w:val="000000" w:themeColor="text1"/>
          <w:sz w:val="22"/>
          <w:szCs w:val="22"/>
          <w:lang w:val="en-US"/>
        </w:rPr>
        <w:t xml:space="preserve">or the NIHR PSRC </w:t>
      </w:r>
      <w:r w:rsidRPr="00033A14">
        <w:rPr>
          <w:color w:val="000000" w:themeColor="text1"/>
          <w:sz w:val="22"/>
          <w:szCs w:val="22"/>
          <w:lang w:val="en-US"/>
        </w:rPr>
        <w:t>had a role in the design and conduct of the study, data obtainment, management, analysis and interpretation, preparation, review or approval of the manuscript, or the decision to submit for publication.</w:t>
      </w:r>
    </w:p>
    <w:p w14:paraId="460E59E0" w14:textId="6C275E67" w:rsidR="0017201E" w:rsidRDefault="00F67A9E" w:rsidP="00EB2F6F">
      <w:pPr>
        <w:spacing w:line="360" w:lineRule="auto"/>
        <w:rPr>
          <w:color w:val="000000"/>
          <w:sz w:val="22"/>
          <w:szCs w:val="22"/>
        </w:rPr>
      </w:pPr>
      <w:r>
        <w:rPr>
          <w:color w:val="000000"/>
          <w:sz w:val="22"/>
          <w:szCs w:val="22"/>
        </w:rPr>
        <w:t>There are s</w:t>
      </w:r>
      <w:r w:rsidR="00C23804">
        <w:rPr>
          <w:color w:val="000000"/>
          <w:sz w:val="22"/>
          <w:szCs w:val="22"/>
        </w:rPr>
        <w:t>everal</w:t>
      </w:r>
      <w:r w:rsidR="0017201E" w:rsidRPr="00033A14">
        <w:rPr>
          <w:color w:val="000000"/>
          <w:sz w:val="22"/>
          <w:szCs w:val="22"/>
        </w:rPr>
        <w:t xml:space="preserve"> people </w:t>
      </w:r>
      <w:r w:rsidR="00B07ECD" w:rsidRPr="00033A14">
        <w:rPr>
          <w:color w:val="000000"/>
          <w:sz w:val="22"/>
          <w:szCs w:val="22"/>
        </w:rPr>
        <w:t xml:space="preserve">who </w:t>
      </w:r>
      <w:r w:rsidR="0017201E" w:rsidRPr="00033A14">
        <w:rPr>
          <w:color w:val="000000"/>
          <w:sz w:val="22"/>
          <w:szCs w:val="22"/>
        </w:rPr>
        <w:t>supported the development of this work and its analysis</w:t>
      </w:r>
      <w:r w:rsidR="00B07ECD" w:rsidRPr="00033A14">
        <w:rPr>
          <w:color w:val="000000"/>
          <w:sz w:val="22"/>
          <w:szCs w:val="22"/>
        </w:rPr>
        <w:t xml:space="preserve"> who we wish to thank</w:t>
      </w:r>
      <w:r w:rsidR="0017201E" w:rsidRPr="00033A14">
        <w:rPr>
          <w:color w:val="000000"/>
          <w:sz w:val="22"/>
          <w:szCs w:val="22"/>
        </w:rPr>
        <w:t>. Th</w:t>
      </w:r>
      <w:r w:rsidR="00B07ECD" w:rsidRPr="00033A14">
        <w:rPr>
          <w:color w:val="000000"/>
          <w:sz w:val="22"/>
          <w:szCs w:val="22"/>
        </w:rPr>
        <w:t>ese</w:t>
      </w:r>
      <w:r w:rsidR="0017201E" w:rsidRPr="00033A14">
        <w:rPr>
          <w:color w:val="000000"/>
          <w:sz w:val="22"/>
          <w:szCs w:val="22"/>
        </w:rPr>
        <w:t xml:space="preserve"> include: </w:t>
      </w:r>
      <w:r w:rsidR="00460F03" w:rsidRPr="00033A14">
        <w:rPr>
          <w:color w:val="000000"/>
          <w:sz w:val="22"/>
          <w:szCs w:val="22"/>
        </w:rPr>
        <w:t xml:space="preserve">(i) </w:t>
      </w:r>
      <w:r w:rsidR="0017201E" w:rsidRPr="00033A14">
        <w:rPr>
          <w:bCs/>
          <w:color w:val="000000" w:themeColor="text1"/>
          <w:sz w:val="22"/>
          <w:szCs w:val="22"/>
          <w:lang w:val="en-US"/>
        </w:rPr>
        <w:t>Sarah Lawton (</w:t>
      </w:r>
      <w:r w:rsidR="00460F03" w:rsidRPr="00033A14">
        <w:rPr>
          <w:bCs/>
          <w:color w:val="000000" w:themeColor="text1"/>
          <w:sz w:val="22"/>
          <w:szCs w:val="22"/>
          <w:lang w:val="en-US"/>
        </w:rPr>
        <w:t xml:space="preserve">at the then </w:t>
      </w:r>
      <w:r w:rsidR="0017201E" w:rsidRPr="00033A14">
        <w:rPr>
          <w:bCs/>
          <w:color w:val="000000" w:themeColor="text1"/>
          <w:sz w:val="22"/>
          <w:szCs w:val="22"/>
          <w:lang w:val="en-US"/>
        </w:rPr>
        <w:t>P</w:t>
      </w:r>
      <w:r w:rsidR="00460F03" w:rsidRPr="00033A14">
        <w:rPr>
          <w:bCs/>
          <w:color w:val="000000" w:themeColor="text1"/>
          <w:sz w:val="22"/>
          <w:szCs w:val="22"/>
          <w:lang w:val="en-US"/>
        </w:rPr>
        <w:t xml:space="preserve">ublic </w:t>
      </w:r>
      <w:r w:rsidR="0017201E" w:rsidRPr="00033A14">
        <w:rPr>
          <w:bCs/>
          <w:color w:val="000000" w:themeColor="text1"/>
          <w:sz w:val="22"/>
          <w:szCs w:val="22"/>
          <w:lang w:val="en-US"/>
        </w:rPr>
        <w:t>H</w:t>
      </w:r>
      <w:r w:rsidR="00460F03" w:rsidRPr="00033A14">
        <w:rPr>
          <w:bCs/>
          <w:color w:val="000000" w:themeColor="text1"/>
          <w:sz w:val="22"/>
          <w:szCs w:val="22"/>
          <w:lang w:val="en-US"/>
        </w:rPr>
        <w:t xml:space="preserve">ealth </w:t>
      </w:r>
      <w:r w:rsidR="0017201E" w:rsidRPr="00033A14">
        <w:rPr>
          <w:bCs/>
          <w:color w:val="000000" w:themeColor="text1"/>
          <w:sz w:val="22"/>
          <w:szCs w:val="22"/>
          <w:lang w:val="en-US"/>
        </w:rPr>
        <w:t>E</w:t>
      </w:r>
      <w:r w:rsidR="00460F03" w:rsidRPr="00033A14">
        <w:rPr>
          <w:bCs/>
          <w:color w:val="000000" w:themeColor="text1"/>
          <w:sz w:val="22"/>
          <w:szCs w:val="22"/>
          <w:lang w:val="en-US"/>
        </w:rPr>
        <w:t>ngland (PHE)</w:t>
      </w:r>
      <w:r w:rsidR="0017201E" w:rsidRPr="00033A14">
        <w:rPr>
          <w:bCs/>
          <w:color w:val="000000" w:themeColor="text1"/>
          <w:sz w:val="22"/>
          <w:szCs w:val="22"/>
          <w:lang w:val="en-US"/>
        </w:rPr>
        <w:t xml:space="preserve">) </w:t>
      </w:r>
      <w:r w:rsidR="00460F03" w:rsidRPr="00033A14">
        <w:rPr>
          <w:bCs/>
          <w:color w:val="000000" w:themeColor="text1"/>
          <w:sz w:val="22"/>
          <w:szCs w:val="22"/>
          <w:lang w:val="en-US"/>
        </w:rPr>
        <w:t xml:space="preserve">for guidance with SACT data’s suitability to undertake this analysis; (ii) Jonathon Smith (also </w:t>
      </w:r>
      <w:r w:rsidR="00F51B77" w:rsidRPr="00033A14">
        <w:rPr>
          <w:bCs/>
          <w:color w:val="000000" w:themeColor="text1"/>
          <w:sz w:val="22"/>
          <w:szCs w:val="22"/>
          <w:lang w:val="en-US"/>
        </w:rPr>
        <w:t xml:space="preserve">previously at </w:t>
      </w:r>
      <w:r w:rsidR="00460F03" w:rsidRPr="00033A14">
        <w:rPr>
          <w:bCs/>
          <w:color w:val="000000" w:themeColor="text1"/>
          <w:sz w:val="22"/>
          <w:szCs w:val="22"/>
          <w:lang w:val="en-US"/>
        </w:rPr>
        <w:t xml:space="preserve">PHE) </w:t>
      </w:r>
      <w:r w:rsidR="00F51B77" w:rsidRPr="00033A14">
        <w:rPr>
          <w:bCs/>
          <w:color w:val="000000" w:themeColor="text1"/>
          <w:sz w:val="22"/>
          <w:szCs w:val="22"/>
          <w:lang w:val="en-US"/>
        </w:rPr>
        <w:t xml:space="preserve">for continued advice throughout </w:t>
      </w:r>
      <w:r w:rsidR="00E803B2" w:rsidRPr="00033A14">
        <w:rPr>
          <w:bCs/>
          <w:color w:val="000000" w:themeColor="text1"/>
          <w:sz w:val="22"/>
          <w:szCs w:val="22"/>
          <w:lang w:val="en-US"/>
        </w:rPr>
        <w:t xml:space="preserve">(and beyond) </w:t>
      </w:r>
      <w:r w:rsidR="00F51B77" w:rsidRPr="00033A14">
        <w:rPr>
          <w:bCs/>
          <w:color w:val="000000" w:themeColor="text1"/>
          <w:sz w:val="22"/>
          <w:szCs w:val="22"/>
          <w:lang w:val="en-US"/>
        </w:rPr>
        <w:t>the Office for Data Release (ODR) data application process</w:t>
      </w:r>
      <w:r w:rsidR="00E803B2" w:rsidRPr="00033A14">
        <w:rPr>
          <w:bCs/>
          <w:color w:val="000000" w:themeColor="text1"/>
          <w:sz w:val="22"/>
          <w:szCs w:val="22"/>
          <w:lang w:val="en-US"/>
        </w:rPr>
        <w:t xml:space="preserve"> and; (iii) </w:t>
      </w:r>
      <w:r w:rsidR="0017201E" w:rsidRPr="00033A14">
        <w:rPr>
          <w:bCs/>
          <w:color w:val="000000" w:themeColor="text1"/>
          <w:sz w:val="22"/>
          <w:szCs w:val="22"/>
          <w:lang w:val="en-US"/>
        </w:rPr>
        <w:t>Antonia Hamill and Mark Bousfield at Newcastle</w:t>
      </w:r>
      <w:r w:rsidR="00E803B2" w:rsidRPr="00033A14">
        <w:rPr>
          <w:bCs/>
          <w:color w:val="000000" w:themeColor="text1"/>
          <w:sz w:val="22"/>
          <w:szCs w:val="22"/>
          <w:lang w:val="en-US"/>
        </w:rPr>
        <w:t>-u</w:t>
      </w:r>
      <w:r w:rsidR="0017201E" w:rsidRPr="00033A14">
        <w:rPr>
          <w:bCs/>
          <w:color w:val="000000" w:themeColor="text1"/>
          <w:sz w:val="22"/>
          <w:szCs w:val="22"/>
          <w:lang w:val="en-US"/>
        </w:rPr>
        <w:t>pon</w:t>
      </w:r>
      <w:r w:rsidR="00E803B2" w:rsidRPr="00033A14">
        <w:rPr>
          <w:bCs/>
          <w:color w:val="000000" w:themeColor="text1"/>
          <w:sz w:val="22"/>
          <w:szCs w:val="22"/>
          <w:lang w:val="en-US"/>
        </w:rPr>
        <w:t>-</w:t>
      </w:r>
      <w:r w:rsidR="0017201E" w:rsidRPr="00033A14">
        <w:rPr>
          <w:bCs/>
          <w:color w:val="000000" w:themeColor="text1"/>
          <w:sz w:val="22"/>
          <w:szCs w:val="22"/>
          <w:lang w:val="en-US"/>
        </w:rPr>
        <w:t xml:space="preserve">Tyne Hospital NHS Foundation Trust for </w:t>
      </w:r>
      <w:r w:rsidR="00E803B2" w:rsidRPr="00033A14">
        <w:rPr>
          <w:bCs/>
          <w:color w:val="000000" w:themeColor="text1"/>
          <w:sz w:val="22"/>
          <w:szCs w:val="22"/>
          <w:lang w:val="en-US"/>
        </w:rPr>
        <w:t>dispensing their knowledge on the practical and</w:t>
      </w:r>
      <w:r w:rsidR="0017201E" w:rsidRPr="00033A14">
        <w:rPr>
          <w:bCs/>
          <w:color w:val="000000" w:themeColor="text1"/>
          <w:sz w:val="22"/>
          <w:szCs w:val="22"/>
          <w:lang w:val="en-US"/>
        </w:rPr>
        <w:t xml:space="preserve"> technical aspects of SACT </w:t>
      </w:r>
      <w:r w:rsidR="00E803B2" w:rsidRPr="00033A14">
        <w:rPr>
          <w:bCs/>
          <w:color w:val="000000" w:themeColor="text1"/>
          <w:sz w:val="22"/>
          <w:szCs w:val="22"/>
          <w:lang w:val="en-US"/>
        </w:rPr>
        <w:t>real-world data collection from hospital Trust</w:t>
      </w:r>
      <w:r w:rsidR="0017201E" w:rsidRPr="00033A14">
        <w:rPr>
          <w:bCs/>
          <w:color w:val="000000" w:themeColor="text1"/>
          <w:sz w:val="22"/>
          <w:szCs w:val="22"/>
          <w:lang w:val="en-US"/>
        </w:rPr>
        <w:t xml:space="preserve"> Chemocare records</w:t>
      </w:r>
      <w:r w:rsidR="00E803B2" w:rsidRPr="00033A14">
        <w:rPr>
          <w:bCs/>
          <w:color w:val="000000" w:themeColor="text1"/>
          <w:sz w:val="22"/>
          <w:szCs w:val="22"/>
          <w:lang w:val="en-US"/>
        </w:rPr>
        <w:t xml:space="preserve">. Finally, the data </w:t>
      </w:r>
      <w:r w:rsidR="00412920" w:rsidRPr="00033A14">
        <w:rPr>
          <w:bCs/>
          <w:color w:val="000000" w:themeColor="text1"/>
          <w:sz w:val="22"/>
          <w:szCs w:val="22"/>
          <w:lang w:val="en-US"/>
        </w:rPr>
        <w:t>analyzed</w:t>
      </w:r>
      <w:r w:rsidR="00E803B2" w:rsidRPr="00033A14">
        <w:rPr>
          <w:bCs/>
          <w:color w:val="000000" w:themeColor="text1"/>
          <w:sz w:val="22"/>
          <w:szCs w:val="22"/>
          <w:lang w:val="en-US"/>
        </w:rPr>
        <w:t xml:space="preserve"> is routinely collated and maintained by </w:t>
      </w:r>
      <w:r w:rsidR="00D14233">
        <w:rPr>
          <w:bCs/>
          <w:color w:val="000000" w:themeColor="text1"/>
          <w:sz w:val="22"/>
          <w:szCs w:val="22"/>
          <w:lang w:val="en-US"/>
        </w:rPr>
        <w:t xml:space="preserve">the </w:t>
      </w:r>
      <w:r w:rsidR="00E803B2" w:rsidRPr="00033A14">
        <w:rPr>
          <w:color w:val="000000"/>
          <w:sz w:val="22"/>
          <w:szCs w:val="22"/>
        </w:rPr>
        <w:t xml:space="preserve">National Cancer Registration and Analysis Service </w:t>
      </w:r>
      <w:r w:rsidR="00043D3B">
        <w:rPr>
          <w:color w:val="000000"/>
          <w:sz w:val="22"/>
          <w:szCs w:val="22"/>
        </w:rPr>
        <w:t xml:space="preserve">(NCRAS) </w:t>
      </w:r>
      <w:r w:rsidR="00E803B2" w:rsidRPr="00033A14">
        <w:rPr>
          <w:color w:val="000000"/>
          <w:sz w:val="22"/>
          <w:szCs w:val="22"/>
        </w:rPr>
        <w:t xml:space="preserve">(formally part of </w:t>
      </w:r>
      <w:r w:rsidR="00043D3B">
        <w:rPr>
          <w:color w:val="000000"/>
          <w:sz w:val="22"/>
          <w:szCs w:val="22"/>
        </w:rPr>
        <w:t>PHE</w:t>
      </w:r>
      <w:r w:rsidR="00E803B2" w:rsidRPr="00033A14">
        <w:rPr>
          <w:color w:val="000000"/>
          <w:sz w:val="22"/>
          <w:szCs w:val="22"/>
        </w:rPr>
        <w:t xml:space="preserve">). Data analyses of this type are only possibly because of </w:t>
      </w:r>
      <w:r w:rsidR="00B07ECD" w:rsidRPr="00033A14">
        <w:rPr>
          <w:color w:val="000000"/>
          <w:sz w:val="22"/>
          <w:szCs w:val="22"/>
        </w:rPr>
        <w:t xml:space="preserve">routine patient level data collection by the NHS as part of their standard care and support. </w:t>
      </w:r>
    </w:p>
    <w:p w14:paraId="5E67FE5C" w14:textId="77777777" w:rsidR="007713BF" w:rsidRDefault="007713BF" w:rsidP="00EB2F6F">
      <w:pPr>
        <w:spacing w:line="360" w:lineRule="auto"/>
        <w:rPr>
          <w:color w:val="000000"/>
          <w:sz w:val="22"/>
          <w:szCs w:val="22"/>
        </w:rPr>
      </w:pPr>
    </w:p>
    <w:p w14:paraId="43E47844" w14:textId="77777777" w:rsidR="007713BF" w:rsidRDefault="007713BF" w:rsidP="00EB2F6F">
      <w:pPr>
        <w:spacing w:line="360" w:lineRule="auto"/>
        <w:rPr>
          <w:color w:val="000000"/>
          <w:sz w:val="22"/>
          <w:szCs w:val="22"/>
        </w:rPr>
      </w:pPr>
    </w:p>
    <w:p w14:paraId="6A546B8B" w14:textId="77777777" w:rsidR="007713BF" w:rsidRDefault="007713BF" w:rsidP="00EB2F6F">
      <w:pPr>
        <w:spacing w:line="360" w:lineRule="auto"/>
        <w:rPr>
          <w:color w:val="000000"/>
          <w:sz w:val="22"/>
          <w:szCs w:val="22"/>
        </w:rPr>
      </w:pPr>
    </w:p>
    <w:p w14:paraId="30D44AAE" w14:textId="77777777" w:rsidR="007713BF" w:rsidRDefault="007713BF" w:rsidP="00EB2F6F">
      <w:pPr>
        <w:spacing w:line="360" w:lineRule="auto"/>
        <w:rPr>
          <w:color w:val="000000"/>
          <w:sz w:val="22"/>
          <w:szCs w:val="22"/>
        </w:rPr>
      </w:pPr>
    </w:p>
    <w:p w14:paraId="44B9EBA5" w14:textId="77777777" w:rsidR="007713BF" w:rsidRDefault="007713BF" w:rsidP="00EB2F6F">
      <w:pPr>
        <w:spacing w:line="360" w:lineRule="auto"/>
        <w:rPr>
          <w:color w:val="000000"/>
          <w:sz w:val="22"/>
          <w:szCs w:val="22"/>
        </w:rPr>
      </w:pPr>
    </w:p>
    <w:p w14:paraId="19270FCD" w14:textId="77777777" w:rsidR="007713BF" w:rsidRDefault="007713BF" w:rsidP="00EB2F6F">
      <w:pPr>
        <w:spacing w:line="360" w:lineRule="auto"/>
        <w:rPr>
          <w:color w:val="000000"/>
          <w:sz w:val="22"/>
          <w:szCs w:val="22"/>
        </w:rPr>
      </w:pPr>
    </w:p>
    <w:p w14:paraId="1AAB92C7" w14:textId="77777777" w:rsidR="007713BF" w:rsidRDefault="007713BF" w:rsidP="00EB2F6F">
      <w:pPr>
        <w:spacing w:line="360" w:lineRule="auto"/>
        <w:rPr>
          <w:color w:val="000000"/>
          <w:sz w:val="22"/>
          <w:szCs w:val="22"/>
        </w:rPr>
      </w:pPr>
    </w:p>
    <w:p w14:paraId="08E18C89" w14:textId="77777777" w:rsidR="007713BF" w:rsidRDefault="007713BF" w:rsidP="00EB2F6F">
      <w:pPr>
        <w:spacing w:line="360" w:lineRule="auto"/>
        <w:rPr>
          <w:color w:val="000000"/>
          <w:sz w:val="22"/>
          <w:szCs w:val="22"/>
        </w:rPr>
      </w:pPr>
    </w:p>
    <w:p w14:paraId="4AE4DFF6" w14:textId="77777777" w:rsidR="007713BF" w:rsidRDefault="007713BF" w:rsidP="00EB2F6F">
      <w:pPr>
        <w:spacing w:line="360" w:lineRule="auto"/>
        <w:rPr>
          <w:color w:val="000000"/>
          <w:sz w:val="22"/>
          <w:szCs w:val="22"/>
        </w:rPr>
      </w:pPr>
    </w:p>
    <w:p w14:paraId="4756E566" w14:textId="77777777" w:rsidR="007713BF" w:rsidRDefault="007713BF" w:rsidP="00EB2F6F">
      <w:pPr>
        <w:spacing w:line="360" w:lineRule="auto"/>
        <w:rPr>
          <w:color w:val="000000"/>
          <w:sz w:val="22"/>
          <w:szCs w:val="22"/>
        </w:rPr>
      </w:pPr>
    </w:p>
    <w:p w14:paraId="347AD893" w14:textId="77777777" w:rsidR="007713BF" w:rsidRDefault="007713BF" w:rsidP="00EB2F6F">
      <w:pPr>
        <w:spacing w:line="360" w:lineRule="auto"/>
        <w:rPr>
          <w:color w:val="000000"/>
          <w:sz w:val="22"/>
          <w:szCs w:val="22"/>
        </w:rPr>
      </w:pPr>
    </w:p>
    <w:p w14:paraId="72974233" w14:textId="77777777" w:rsidR="007713BF" w:rsidRDefault="007713BF" w:rsidP="00EB2F6F">
      <w:pPr>
        <w:spacing w:line="360" w:lineRule="auto"/>
        <w:rPr>
          <w:color w:val="000000"/>
          <w:sz w:val="22"/>
          <w:szCs w:val="22"/>
        </w:rPr>
      </w:pPr>
    </w:p>
    <w:p w14:paraId="32C5B2E1" w14:textId="77777777" w:rsidR="007713BF" w:rsidRDefault="007713BF" w:rsidP="00EB2F6F">
      <w:pPr>
        <w:spacing w:line="360" w:lineRule="auto"/>
        <w:rPr>
          <w:color w:val="000000"/>
          <w:sz w:val="22"/>
          <w:szCs w:val="22"/>
        </w:rPr>
      </w:pPr>
    </w:p>
    <w:p w14:paraId="37330DF9" w14:textId="77777777" w:rsidR="007713BF" w:rsidRDefault="007713BF" w:rsidP="00EB2F6F">
      <w:pPr>
        <w:spacing w:line="360" w:lineRule="auto"/>
        <w:rPr>
          <w:color w:val="000000"/>
          <w:sz w:val="22"/>
          <w:szCs w:val="22"/>
        </w:rPr>
      </w:pPr>
    </w:p>
    <w:p w14:paraId="4225B0FE" w14:textId="77777777" w:rsidR="007713BF" w:rsidRDefault="007713BF" w:rsidP="00EB2F6F">
      <w:pPr>
        <w:spacing w:line="360" w:lineRule="auto"/>
        <w:rPr>
          <w:color w:val="000000"/>
          <w:sz w:val="22"/>
          <w:szCs w:val="22"/>
        </w:rPr>
      </w:pPr>
    </w:p>
    <w:p w14:paraId="052D53F1" w14:textId="77777777" w:rsidR="007713BF" w:rsidRDefault="007713BF" w:rsidP="00EB2F6F">
      <w:pPr>
        <w:spacing w:line="360" w:lineRule="auto"/>
        <w:rPr>
          <w:color w:val="000000"/>
          <w:sz w:val="22"/>
          <w:szCs w:val="22"/>
        </w:rPr>
      </w:pPr>
    </w:p>
    <w:p w14:paraId="09428D59" w14:textId="77777777" w:rsidR="007713BF" w:rsidRDefault="007713BF" w:rsidP="00EB2F6F">
      <w:pPr>
        <w:spacing w:line="360" w:lineRule="auto"/>
        <w:rPr>
          <w:color w:val="000000"/>
          <w:sz w:val="22"/>
          <w:szCs w:val="22"/>
        </w:rPr>
      </w:pPr>
    </w:p>
    <w:p w14:paraId="50B37AB8" w14:textId="77777777" w:rsidR="007713BF" w:rsidRDefault="007713BF" w:rsidP="00EB2F6F">
      <w:pPr>
        <w:spacing w:line="360" w:lineRule="auto"/>
        <w:rPr>
          <w:color w:val="000000"/>
          <w:sz w:val="22"/>
          <w:szCs w:val="22"/>
        </w:rPr>
      </w:pPr>
    </w:p>
    <w:p w14:paraId="2874ADE2" w14:textId="77777777" w:rsidR="007713BF" w:rsidRDefault="007713BF" w:rsidP="00EB2F6F">
      <w:pPr>
        <w:spacing w:line="360" w:lineRule="auto"/>
        <w:rPr>
          <w:color w:val="000000"/>
          <w:sz w:val="22"/>
          <w:szCs w:val="22"/>
        </w:rPr>
      </w:pPr>
    </w:p>
    <w:p w14:paraId="72D6C8FB" w14:textId="77777777" w:rsidR="007713BF" w:rsidRDefault="007713BF" w:rsidP="00EB2F6F">
      <w:pPr>
        <w:spacing w:line="360" w:lineRule="auto"/>
        <w:rPr>
          <w:color w:val="000000"/>
          <w:sz w:val="22"/>
          <w:szCs w:val="22"/>
        </w:rPr>
      </w:pPr>
    </w:p>
    <w:p w14:paraId="7BE95723" w14:textId="77777777" w:rsidR="007713BF" w:rsidRDefault="007713BF" w:rsidP="00EB2F6F">
      <w:pPr>
        <w:spacing w:line="360" w:lineRule="auto"/>
        <w:rPr>
          <w:color w:val="000000"/>
          <w:sz w:val="22"/>
          <w:szCs w:val="22"/>
        </w:rPr>
      </w:pPr>
    </w:p>
    <w:p w14:paraId="04A85B1A" w14:textId="77777777" w:rsidR="007713BF" w:rsidRDefault="007713BF" w:rsidP="00EB2F6F">
      <w:pPr>
        <w:spacing w:line="360" w:lineRule="auto"/>
        <w:rPr>
          <w:color w:val="000000"/>
          <w:sz w:val="22"/>
          <w:szCs w:val="22"/>
        </w:rPr>
      </w:pPr>
    </w:p>
    <w:p w14:paraId="7C054881" w14:textId="77777777" w:rsidR="007713BF" w:rsidRDefault="007713BF" w:rsidP="00EB2F6F">
      <w:pPr>
        <w:spacing w:line="360" w:lineRule="auto"/>
        <w:rPr>
          <w:color w:val="000000"/>
          <w:sz w:val="22"/>
          <w:szCs w:val="22"/>
        </w:rPr>
      </w:pPr>
    </w:p>
    <w:p w14:paraId="1B6E7BB8" w14:textId="77777777" w:rsidR="007713BF" w:rsidRDefault="007713BF" w:rsidP="00EB2F6F">
      <w:pPr>
        <w:spacing w:line="360" w:lineRule="auto"/>
        <w:rPr>
          <w:color w:val="000000"/>
          <w:sz w:val="22"/>
          <w:szCs w:val="22"/>
        </w:rPr>
      </w:pPr>
    </w:p>
    <w:p w14:paraId="2CD5DC9B" w14:textId="68518029" w:rsidR="008532D1" w:rsidRPr="006477F5" w:rsidRDefault="008532D1" w:rsidP="00EB2F6F">
      <w:pPr>
        <w:spacing w:line="360" w:lineRule="auto"/>
        <w:rPr>
          <w:b/>
          <w:sz w:val="22"/>
          <w:szCs w:val="22"/>
        </w:rPr>
      </w:pPr>
      <w:r w:rsidRPr="006477F5">
        <w:rPr>
          <w:b/>
          <w:sz w:val="22"/>
          <w:szCs w:val="22"/>
        </w:rPr>
        <w:lastRenderedPageBreak/>
        <w:t>References</w:t>
      </w:r>
    </w:p>
    <w:p w14:paraId="71E25190" w14:textId="66727837" w:rsidR="00203C6E" w:rsidRPr="0069173E" w:rsidRDefault="00F91898" w:rsidP="00203C6E">
      <w:pPr>
        <w:pStyle w:val="Bibliography"/>
        <w:rPr>
          <w:rFonts w:ascii="Times New Roman" w:hAnsi="Times New Roman" w:cs="Times New Roman"/>
          <w:sz w:val="22"/>
          <w:szCs w:val="22"/>
        </w:rPr>
      </w:pPr>
      <w:r w:rsidRPr="0069173E">
        <w:rPr>
          <w:rFonts w:ascii="Times New Roman" w:hAnsi="Times New Roman" w:cs="Times New Roman"/>
          <w:b/>
          <w:sz w:val="22"/>
          <w:szCs w:val="22"/>
        </w:rPr>
        <w:fldChar w:fldCharType="begin"/>
      </w:r>
      <w:r w:rsidR="00A5191F" w:rsidRPr="0069173E">
        <w:rPr>
          <w:rFonts w:ascii="Times New Roman" w:hAnsi="Times New Roman" w:cs="Times New Roman"/>
          <w:b/>
          <w:sz w:val="22"/>
          <w:szCs w:val="22"/>
        </w:rPr>
        <w:instrText xml:space="preserve"> ADDIN ZOTERO_BIBL {"uncited":[],"omitted":[],"custom":[]} CSL_BIBLIOGRAPHY </w:instrText>
      </w:r>
      <w:r w:rsidRPr="0069173E">
        <w:rPr>
          <w:rFonts w:ascii="Times New Roman" w:hAnsi="Times New Roman" w:cs="Times New Roman"/>
          <w:b/>
          <w:sz w:val="22"/>
          <w:szCs w:val="22"/>
        </w:rPr>
        <w:fldChar w:fldCharType="separate"/>
      </w:r>
      <w:r w:rsidR="00203C6E" w:rsidRPr="0069173E">
        <w:rPr>
          <w:rFonts w:ascii="Times New Roman" w:hAnsi="Times New Roman" w:cs="Times New Roman"/>
          <w:sz w:val="22"/>
          <w:szCs w:val="22"/>
        </w:rPr>
        <w:t xml:space="preserve">1. </w:t>
      </w:r>
      <w:r w:rsidR="00203C6E" w:rsidRPr="0069173E">
        <w:rPr>
          <w:rFonts w:ascii="Times New Roman" w:hAnsi="Times New Roman" w:cs="Times New Roman"/>
          <w:sz w:val="22"/>
          <w:szCs w:val="22"/>
        </w:rPr>
        <w:tab/>
        <w:t xml:space="preserve">Crimini E, Repetto M, Aftimos P, Botticelli A, Marchetti P, Curigliano G. Precision medicine in breast cancer: from clinical trials to clinical practice. </w:t>
      </w:r>
      <w:r w:rsidR="00203C6E" w:rsidRPr="0069173E">
        <w:rPr>
          <w:rFonts w:ascii="Times New Roman" w:hAnsi="Times New Roman" w:cs="Times New Roman"/>
          <w:i/>
          <w:iCs/>
          <w:sz w:val="22"/>
          <w:szCs w:val="22"/>
        </w:rPr>
        <w:t>Cancer Treat Rev</w:t>
      </w:r>
      <w:r w:rsidR="00203C6E" w:rsidRPr="0069173E">
        <w:rPr>
          <w:rFonts w:ascii="Times New Roman" w:hAnsi="Times New Roman" w:cs="Times New Roman"/>
          <w:sz w:val="22"/>
          <w:szCs w:val="22"/>
        </w:rPr>
        <w:t xml:space="preserve"> </w:t>
      </w:r>
      <w:r w:rsidR="00203C6E" w:rsidRPr="0069173E">
        <w:rPr>
          <w:rFonts w:ascii="Times New Roman" w:hAnsi="Times New Roman" w:cs="Times New Roman"/>
          <w:b/>
          <w:bCs/>
          <w:sz w:val="22"/>
          <w:szCs w:val="22"/>
        </w:rPr>
        <w:t>2021</w:t>
      </w:r>
      <w:r w:rsidR="00203C6E" w:rsidRPr="0069173E">
        <w:rPr>
          <w:rFonts w:ascii="Times New Roman" w:hAnsi="Times New Roman" w:cs="Times New Roman"/>
          <w:sz w:val="22"/>
          <w:szCs w:val="22"/>
        </w:rPr>
        <w:t>;98:</w:t>
      </w:r>
      <w:r w:rsidR="00535665" w:rsidRPr="0069173E">
        <w:rPr>
          <w:rFonts w:ascii="Times New Roman" w:hAnsi="Times New Roman" w:cs="Times New Roman"/>
          <w:color w:val="000000" w:themeColor="text1"/>
          <w:sz w:val="22"/>
          <w:szCs w:val="22"/>
          <w:shd w:val="clear" w:color="auto" w:fill="FFFFFF"/>
        </w:rPr>
        <w:t>102223.</w:t>
      </w:r>
    </w:p>
    <w:p w14:paraId="125FFBAC" w14:textId="646D2AE0"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2. </w:t>
      </w:r>
      <w:r w:rsidRPr="0069173E">
        <w:rPr>
          <w:rFonts w:ascii="Times New Roman" w:hAnsi="Times New Roman" w:cs="Times New Roman"/>
          <w:sz w:val="22"/>
          <w:szCs w:val="22"/>
        </w:rPr>
        <w:tab/>
        <w:t xml:space="preserve">Arteaga CL, Sliwkowski MX, Osborne CK, Perez EA, Puglisi F, Gianni L. Treatment of HER2 positive breast cancer: current status and future perspectives. </w:t>
      </w:r>
      <w:r w:rsidRPr="0069173E">
        <w:rPr>
          <w:rFonts w:ascii="Times New Roman" w:hAnsi="Times New Roman" w:cs="Times New Roman"/>
          <w:i/>
          <w:iCs/>
          <w:sz w:val="22"/>
          <w:szCs w:val="22"/>
        </w:rPr>
        <w:t xml:space="preserve">Nat Rev Clin Oncol </w:t>
      </w:r>
      <w:r w:rsidRPr="0069173E">
        <w:rPr>
          <w:rFonts w:ascii="Times New Roman" w:hAnsi="Times New Roman" w:cs="Times New Roman"/>
          <w:b/>
          <w:bCs/>
          <w:sz w:val="22"/>
          <w:szCs w:val="22"/>
        </w:rPr>
        <w:t>2011</w:t>
      </w:r>
      <w:r w:rsidRPr="0069173E">
        <w:rPr>
          <w:rFonts w:ascii="Times New Roman" w:hAnsi="Times New Roman" w:cs="Times New Roman"/>
          <w:sz w:val="22"/>
          <w:szCs w:val="22"/>
        </w:rPr>
        <w:t xml:space="preserve">;9(1):16–32. </w:t>
      </w:r>
    </w:p>
    <w:p w14:paraId="0746C0CB" w14:textId="421E919B"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3. </w:t>
      </w:r>
      <w:r w:rsidRPr="0069173E">
        <w:rPr>
          <w:rFonts w:ascii="Times New Roman" w:hAnsi="Times New Roman" w:cs="Times New Roman"/>
          <w:sz w:val="22"/>
          <w:szCs w:val="22"/>
        </w:rPr>
        <w:tab/>
        <w:t xml:space="preserve">Hudis CA. Trastuzumab-mechanism of action and use in clinical practice. </w:t>
      </w:r>
      <w:r w:rsidRPr="0069173E">
        <w:rPr>
          <w:rFonts w:ascii="Times New Roman" w:hAnsi="Times New Roman" w:cs="Times New Roman"/>
          <w:i/>
          <w:iCs/>
          <w:sz w:val="22"/>
          <w:szCs w:val="22"/>
        </w:rPr>
        <w:t xml:space="preserve">N Engl J Med </w:t>
      </w:r>
      <w:r w:rsidRPr="0069173E">
        <w:rPr>
          <w:rFonts w:ascii="Times New Roman" w:hAnsi="Times New Roman" w:cs="Times New Roman"/>
          <w:b/>
          <w:bCs/>
          <w:sz w:val="22"/>
          <w:szCs w:val="22"/>
        </w:rPr>
        <w:t>2007</w:t>
      </w:r>
      <w:r w:rsidRPr="0069173E">
        <w:rPr>
          <w:rFonts w:ascii="Times New Roman" w:hAnsi="Times New Roman" w:cs="Times New Roman"/>
          <w:sz w:val="22"/>
          <w:szCs w:val="22"/>
        </w:rPr>
        <w:t xml:space="preserve">;357(1):39–51. </w:t>
      </w:r>
    </w:p>
    <w:p w14:paraId="405ECDEA" w14:textId="5CFD0D7A"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4. </w:t>
      </w:r>
      <w:r w:rsidRPr="0069173E">
        <w:rPr>
          <w:rFonts w:ascii="Times New Roman" w:hAnsi="Times New Roman" w:cs="Times New Roman"/>
          <w:sz w:val="22"/>
          <w:szCs w:val="22"/>
        </w:rPr>
        <w:tab/>
        <w:t xml:space="preserve">Slamon D, Pegram M. Rationale for trastuzumab (Herceptin) in adjuvant breast cancer trials. </w:t>
      </w:r>
      <w:r w:rsidRPr="0069173E">
        <w:rPr>
          <w:rFonts w:ascii="Times New Roman" w:hAnsi="Times New Roman" w:cs="Times New Roman"/>
          <w:i/>
          <w:iCs/>
          <w:sz w:val="22"/>
          <w:szCs w:val="22"/>
        </w:rPr>
        <w:t xml:space="preserve">Semin Oncol </w:t>
      </w:r>
      <w:r w:rsidRPr="0069173E">
        <w:rPr>
          <w:rFonts w:ascii="Times New Roman" w:hAnsi="Times New Roman" w:cs="Times New Roman"/>
          <w:b/>
          <w:bCs/>
          <w:sz w:val="22"/>
          <w:szCs w:val="22"/>
        </w:rPr>
        <w:t>2001</w:t>
      </w:r>
      <w:r w:rsidRPr="0069173E">
        <w:rPr>
          <w:rFonts w:ascii="Times New Roman" w:hAnsi="Times New Roman" w:cs="Times New Roman"/>
          <w:sz w:val="22"/>
          <w:szCs w:val="22"/>
        </w:rPr>
        <w:t>;28(1 Suppl 3):13–</w:t>
      </w:r>
      <w:r w:rsidR="00616585">
        <w:rPr>
          <w:rFonts w:ascii="Times New Roman" w:hAnsi="Times New Roman" w:cs="Times New Roman"/>
          <w:sz w:val="22"/>
          <w:szCs w:val="22"/>
        </w:rPr>
        <w:t>1</w:t>
      </w:r>
      <w:r w:rsidRPr="0069173E">
        <w:rPr>
          <w:rFonts w:ascii="Times New Roman" w:hAnsi="Times New Roman" w:cs="Times New Roman"/>
          <w:sz w:val="22"/>
          <w:szCs w:val="22"/>
        </w:rPr>
        <w:t xml:space="preserve">9. </w:t>
      </w:r>
    </w:p>
    <w:p w14:paraId="100E5D42" w14:textId="736401C4"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5. </w:t>
      </w:r>
      <w:r w:rsidRPr="0069173E">
        <w:rPr>
          <w:rFonts w:ascii="Times New Roman" w:hAnsi="Times New Roman" w:cs="Times New Roman"/>
          <w:sz w:val="22"/>
          <w:szCs w:val="22"/>
        </w:rPr>
        <w:tab/>
        <w:t xml:space="preserve">Slamon DJ, Clark GM, Wong SG, Levin WJ, Ullrich A, McGuire WL. Human breast cancer: correlation of relapse and survival with amplification of the HER-2/neu oncogene. </w:t>
      </w:r>
      <w:r w:rsidRPr="0069173E">
        <w:rPr>
          <w:rFonts w:ascii="Times New Roman" w:hAnsi="Times New Roman" w:cs="Times New Roman"/>
          <w:i/>
          <w:iCs/>
          <w:sz w:val="22"/>
          <w:szCs w:val="22"/>
        </w:rPr>
        <w:t>Science</w:t>
      </w:r>
      <w:r w:rsidR="00535665" w:rsidRPr="0069173E">
        <w:rPr>
          <w:rFonts w:ascii="Times New Roman" w:hAnsi="Times New Roman" w:cs="Times New Roman"/>
          <w:sz w:val="22"/>
          <w:szCs w:val="22"/>
        </w:rPr>
        <w:t xml:space="preserve"> </w:t>
      </w:r>
      <w:r w:rsidRPr="0069173E">
        <w:rPr>
          <w:rFonts w:ascii="Times New Roman" w:hAnsi="Times New Roman" w:cs="Times New Roman"/>
          <w:b/>
          <w:bCs/>
          <w:sz w:val="22"/>
          <w:szCs w:val="22"/>
        </w:rPr>
        <w:t>1987</w:t>
      </w:r>
      <w:r w:rsidRPr="0069173E">
        <w:rPr>
          <w:rFonts w:ascii="Times New Roman" w:hAnsi="Times New Roman" w:cs="Times New Roman"/>
          <w:sz w:val="22"/>
          <w:szCs w:val="22"/>
        </w:rPr>
        <w:t>;235(4785):177–</w:t>
      </w:r>
      <w:r w:rsidR="00616585">
        <w:rPr>
          <w:rFonts w:ascii="Times New Roman" w:hAnsi="Times New Roman" w:cs="Times New Roman"/>
          <w:sz w:val="22"/>
          <w:szCs w:val="22"/>
        </w:rPr>
        <w:t>1</w:t>
      </w:r>
      <w:r w:rsidRPr="0069173E">
        <w:rPr>
          <w:rFonts w:ascii="Times New Roman" w:hAnsi="Times New Roman" w:cs="Times New Roman"/>
          <w:sz w:val="22"/>
          <w:szCs w:val="22"/>
        </w:rPr>
        <w:t xml:space="preserve">82. </w:t>
      </w:r>
    </w:p>
    <w:p w14:paraId="121C58E3" w14:textId="36812F08"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6. </w:t>
      </w:r>
      <w:r w:rsidRPr="0069173E">
        <w:rPr>
          <w:rFonts w:ascii="Times New Roman" w:hAnsi="Times New Roman" w:cs="Times New Roman"/>
          <w:sz w:val="22"/>
          <w:szCs w:val="22"/>
        </w:rPr>
        <w:tab/>
        <w:t xml:space="preserve">Cardoso F, Kyriakides S, Ohno S, Penault-Llorca F, Poortmans P, Rubio IT, </w:t>
      </w:r>
      <w:r w:rsidRPr="0069173E">
        <w:rPr>
          <w:rFonts w:ascii="Times New Roman" w:hAnsi="Times New Roman" w:cs="Times New Roman"/>
          <w:i/>
          <w:iCs/>
          <w:sz w:val="22"/>
          <w:szCs w:val="22"/>
        </w:rPr>
        <w:t>et al</w:t>
      </w:r>
      <w:r w:rsidRPr="0069173E">
        <w:rPr>
          <w:rFonts w:ascii="Times New Roman" w:hAnsi="Times New Roman" w:cs="Times New Roman"/>
          <w:sz w:val="22"/>
          <w:szCs w:val="22"/>
        </w:rPr>
        <w:t xml:space="preserve">. Early breast cancer: ESMO </w:t>
      </w:r>
      <w:r w:rsidR="00535665" w:rsidRPr="0069173E">
        <w:rPr>
          <w:rFonts w:ascii="Times New Roman" w:hAnsi="Times New Roman" w:cs="Times New Roman"/>
          <w:sz w:val="22"/>
          <w:szCs w:val="22"/>
        </w:rPr>
        <w:t>c</w:t>
      </w:r>
      <w:r w:rsidRPr="0069173E">
        <w:rPr>
          <w:rFonts w:ascii="Times New Roman" w:hAnsi="Times New Roman" w:cs="Times New Roman"/>
          <w:sz w:val="22"/>
          <w:szCs w:val="22"/>
        </w:rPr>
        <w:t xml:space="preserve">linical </w:t>
      </w:r>
      <w:r w:rsidR="00535665" w:rsidRPr="0069173E">
        <w:rPr>
          <w:rFonts w:ascii="Times New Roman" w:hAnsi="Times New Roman" w:cs="Times New Roman"/>
          <w:sz w:val="22"/>
          <w:szCs w:val="22"/>
        </w:rPr>
        <w:t>p</w:t>
      </w:r>
      <w:r w:rsidRPr="0069173E">
        <w:rPr>
          <w:rFonts w:ascii="Times New Roman" w:hAnsi="Times New Roman" w:cs="Times New Roman"/>
          <w:sz w:val="22"/>
          <w:szCs w:val="22"/>
        </w:rPr>
        <w:t xml:space="preserve">ractice </w:t>
      </w:r>
      <w:r w:rsidR="00535665" w:rsidRPr="0069173E">
        <w:rPr>
          <w:rFonts w:ascii="Times New Roman" w:hAnsi="Times New Roman" w:cs="Times New Roman"/>
          <w:sz w:val="22"/>
          <w:szCs w:val="22"/>
        </w:rPr>
        <w:t>g</w:t>
      </w:r>
      <w:r w:rsidRPr="0069173E">
        <w:rPr>
          <w:rFonts w:ascii="Times New Roman" w:hAnsi="Times New Roman" w:cs="Times New Roman"/>
          <w:sz w:val="22"/>
          <w:szCs w:val="22"/>
        </w:rPr>
        <w:t xml:space="preserve">uidelines for diagnosis, treatment and follow-up. </w:t>
      </w:r>
      <w:r w:rsidRPr="0069173E">
        <w:rPr>
          <w:rFonts w:ascii="Times New Roman" w:hAnsi="Times New Roman" w:cs="Times New Roman"/>
          <w:i/>
          <w:iCs/>
          <w:sz w:val="22"/>
          <w:szCs w:val="22"/>
        </w:rPr>
        <w:t xml:space="preserve">Ann Oncol </w:t>
      </w:r>
      <w:r w:rsidRPr="0069173E">
        <w:rPr>
          <w:rFonts w:ascii="Times New Roman" w:hAnsi="Times New Roman" w:cs="Times New Roman"/>
          <w:b/>
          <w:bCs/>
          <w:sz w:val="22"/>
          <w:szCs w:val="22"/>
        </w:rPr>
        <w:t>2019</w:t>
      </w:r>
      <w:r w:rsidRPr="0069173E">
        <w:rPr>
          <w:rFonts w:ascii="Times New Roman" w:hAnsi="Times New Roman" w:cs="Times New Roman"/>
          <w:sz w:val="22"/>
          <w:szCs w:val="22"/>
        </w:rPr>
        <w:t>;30(8):1194–</w:t>
      </w:r>
      <w:r w:rsidR="00616585">
        <w:rPr>
          <w:rFonts w:ascii="Times New Roman" w:hAnsi="Times New Roman" w:cs="Times New Roman"/>
          <w:sz w:val="22"/>
          <w:szCs w:val="22"/>
        </w:rPr>
        <w:t>1</w:t>
      </w:r>
      <w:r w:rsidRPr="0069173E">
        <w:rPr>
          <w:rFonts w:ascii="Times New Roman" w:hAnsi="Times New Roman" w:cs="Times New Roman"/>
          <w:sz w:val="22"/>
          <w:szCs w:val="22"/>
        </w:rPr>
        <w:t xml:space="preserve">220. </w:t>
      </w:r>
    </w:p>
    <w:p w14:paraId="648AC0DF" w14:textId="3CAE401D"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7. </w:t>
      </w:r>
      <w:r w:rsidRPr="0069173E">
        <w:rPr>
          <w:rFonts w:ascii="Times New Roman" w:hAnsi="Times New Roman" w:cs="Times New Roman"/>
          <w:sz w:val="22"/>
          <w:szCs w:val="22"/>
        </w:rPr>
        <w:tab/>
        <w:t xml:space="preserve">Gennari A, André F, Barrios CH, Cortés J, de Azambuja E, DeMichele A, </w:t>
      </w:r>
      <w:r w:rsidRPr="0069173E">
        <w:rPr>
          <w:rFonts w:ascii="Times New Roman" w:hAnsi="Times New Roman" w:cs="Times New Roman"/>
          <w:i/>
          <w:iCs/>
          <w:sz w:val="22"/>
          <w:szCs w:val="22"/>
        </w:rPr>
        <w:t>et al.</w:t>
      </w:r>
      <w:r w:rsidRPr="0069173E">
        <w:rPr>
          <w:rFonts w:ascii="Times New Roman" w:hAnsi="Times New Roman" w:cs="Times New Roman"/>
          <w:sz w:val="22"/>
          <w:szCs w:val="22"/>
        </w:rPr>
        <w:t xml:space="preserve"> ESMO </w:t>
      </w:r>
      <w:r w:rsidR="00535665" w:rsidRPr="0069173E">
        <w:rPr>
          <w:rFonts w:ascii="Times New Roman" w:hAnsi="Times New Roman" w:cs="Times New Roman"/>
          <w:sz w:val="22"/>
          <w:szCs w:val="22"/>
        </w:rPr>
        <w:t>c</w:t>
      </w:r>
      <w:r w:rsidRPr="0069173E">
        <w:rPr>
          <w:rFonts w:ascii="Times New Roman" w:hAnsi="Times New Roman" w:cs="Times New Roman"/>
          <w:sz w:val="22"/>
          <w:szCs w:val="22"/>
        </w:rPr>
        <w:t xml:space="preserve">linical </w:t>
      </w:r>
      <w:r w:rsidR="00535665" w:rsidRPr="0069173E">
        <w:rPr>
          <w:rFonts w:ascii="Times New Roman" w:hAnsi="Times New Roman" w:cs="Times New Roman"/>
          <w:sz w:val="22"/>
          <w:szCs w:val="22"/>
        </w:rPr>
        <w:t>p</w:t>
      </w:r>
      <w:r w:rsidRPr="0069173E">
        <w:rPr>
          <w:rFonts w:ascii="Times New Roman" w:hAnsi="Times New Roman" w:cs="Times New Roman"/>
          <w:sz w:val="22"/>
          <w:szCs w:val="22"/>
        </w:rPr>
        <w:t xml:space="preserve">ractice </w:t>
      </w:r>
      <w:r w:rsidR="00535665" w:rsidRPr="0069173E">
        <w:rPr>
          <w:rFonts w:ascii="Times New Roman" w:hAnsi="Times New Roman" w:cs="Times New Roman"/>
          <w:sz w:val="22"/>
          <w:szCs w:val="22"/>
        </w:rPr>
        <w:t>g</w:t>
      </w:r>
      <w:r w:rsidRPr="0069173E">
        <w:rPr>
          <w:rFonts w:ascii="Times New Roman" w:hAnsi="Times New Roman" w:cs="Times New Roman"/>
          <w:sz w:val="22"/>
          <w:szCs w:val="22"/>
        </w:rPr>
        <w:t>uideline for the diagnosis, staging and treatment of patients with metastatic breast cancer.</w:t>
      </w:r>
      <w:r w:rsidRPr="0069173E">
        <w:rPr>
          <w:rFonts w:ascii="Times New Roman" w:hAnsi="Times New Roman" w:cs="Times New Roman"/>
          <w:i/>
          <w:iCs/>
          <w:sz w:val="22"/>
          <w:szCs w:val="22"/>
        </w:rPr>
        <w:t xml:space="preserve"> Ann Oncol </w:t>
      </w:r>
      <w:r w:rsidRPr="0069173E">
        <w:rPr>
          <w:rFonts w:ascii="Times New Roman" w:hAnsi="Times New Roman" w:cs="Times New Roman"/>
          <w:b/>
          <w:bCs/>
          <w:sz w:val="22"/>
          <w:szCs w:val="22"/>
        </w:rPr>
        <w:t>2021</w:t>
      </w:r>
      <w:r w:rsidRPr="0069173E">
        <w:rPr>
          <w:rFonts w:ascii="Times New Roman" w:hAnsi="Times New Roman" w:cs="Times New Roman"/>
          <w:sz w:val="22"/>
          <w:szCs w:val="22"/>
        </w:rPr>
        <w:t>;32(12):1475–</w:t>
      </w:r>
      <w:r w:rsidR="00616585">
        <w:rPr>
          <w:rFonts w:ascii="Times New Roman" w:hAnsi="Times New Roman" w:cs="Times New Roman"/>
          <w:sz w:val="22"/>
          <w:szCs w:val="22"/>
        </w:rPr>
        <w:t>14</w:t>
      </w:r>
      <w:r w:rsidRPr="0069173E">
        <w:rPr>
          <w:rFonts w:ascii="Times New Roman" w:hAnsi="Times New Roman" w:cs="Times New Roman"/>
          <w:sz w:val="22"/>
          <w:szCs w:val="22"/>
        </w:rPr>
        <w:t xml:space="preserve">95. </w:t>
      </w:r>
    </w:p>
    <w:p w14:paraId="3A1624FF" w14:textId="0C84D4BE"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8. </w:t>
      </w:r>
      <w:r w:rsidRPr="0069173E">
        <w:rPr>
          <w:rFonts w:ascii="Times New Roman" w:hAnsi="Times New Roman" w:cs="Times New Roman"/>
          <w:sz w:val="22"/>
          <w:szCs w:val="22"/>
        </w:rPr>
        <w:tab/>
        <w:t xml:space="preserve">Bradley R, Braybrooke J, Gray R, Hills R, Liu Z, Peto R, </w:t>
      </w:r>
      <w:r w:rsidRPr="00616585">
        <w:rPr>
          <w:rFonts w:ascii="Times New Roman" w:hAnsi="Times New Roman" w:cs="Times New Roman"/>
          <w:i/>
          <w:iCs/>
          <w:sz w:val="22"/>
          <w:szCs w:val="22"/>
        </w:rPr>
        <w:t>et al.</w:t>
      </w:r>
      <w:r w:rsidRPr="0069173E">
        <w:rPr>
          <w:rFonts w:ascii="Times New Roman" w:hAnsi="Times New Roman" w:cs="Times New Roman"/>
          <w:sz w:val="22"/>
          <w:szCs w:val="22"/>
        </w:rPr>
        <w:t xml:space="preserve"> Trastuzumab for early-stage, HER2-positive breast cancer: a meta-analysis of 13</w:t>
      </w:r>
      <w:r w:rsidR="00535665" w:rsidRPr="0069173E">
        <w:rPr>
          <w:rFonts w:ascii="Times New Roman" w:hAnsi="Times New Roman" w:cs="Times New Roman"/>
          <w:sz w:val="22"/>
          <w:szCs w:val="22"/>
        </w:rPr>
        <w:t>,</w:t>
      </w:r>
      <w:r w:rsidRPr="0069173E">
        <w:rPr>
          <w:rFonts w:ascii="Times New Roman" w:hAnsi="Times New Roman" w:cs="Times New Roman"/>
          <w:sz w:val="22"/>
          <w:szCs w:val="22"/>
        </w:rPr>
        <w:t xml:space="preserve">864 women in seven randomised trials. </w:t>
      </w:r>
      <w:r w:rsidRPr="0069173E">
        <w:rPr>
          <w:rFonts w:ascii="Times New Roman" w:hAnsi="Times New Roman" w:cs="Times New Roman"/>
          <w:i/>
          <w:iCs/>
          <w:sz w:val="22"/>
          <w:szCs w:val="22"/>
        </w:rPr>
        <w:t>Lancet Oncol</w:t>
      </w:r>
      <w:r w:rsidRPr="0069173E">
        <w:rPr>
          <w:rFonts w:ascii="Times New Roman" w:hAnsi="Times New Roman" w:cs="Times New Roman"/>
          <w:sz w:val="22"/>
          <w:szCs w:val="22"/>
        </w:rPr>
        <w:t xml:space="preserve"> 2021;22(8):1139–</w:t>
      </w:r>
      <w:r w:rsidR="00535665" w:rsidRPr="0069173E">
        <w:rPr>
          <w:rFonts w:ascii="Times New Roman" w:hAnsi="Times New Roman" w:cs="Times New Roman"/>
          <w:sz w:val="22"/>
          <w:szCs w:val="22"/>
        </w:rPr>
        <w:t>11</w:t>
      </w:r>
      <w:r w:rsidRPr="0069173E">
        <w:rPr>
          <w:rFonts w:ascii="Times New Roman" w:hAnsi="Times New Roman" w:cs="Times New Roman"/>
          <w:sz w:val="22"/>
          <w:szCs w:val="22"/>
        </w:rPr>
        <w:t xml:space="preserve">50. </w:t>
      </w:r>
    </w:p>
    <w:p w14:paraId="7E961962" w14:textId="58811756"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9. </w:t>
      </w:r>
      <w:r w:rsidRPr="0069173E">
        <w:rPr>
          <w:rFonts w:ascii="Times New Roman" w:hAnsi="Times New Roman" w:cs="Times New Roman"/>
          <w:sz w:val="22"/>
          <w:szCs w:val="22"/>
        </w:rPr>
        <w:tab/>
        <w:t xml:space="preserve">Balduzzi S, Mantarro S, Guarneri V, Tagliabue L, Pistotti V, Moja L, </w:t>
      </w:r>
      <w:r w:rsidRPr="0069173E">
        <w:rPr>
          <w:rFonts w:ascii="Times New Roman" w:hAnsi="Times New Roman" w:cs="Times New Roman"/>
          <w:i/>
          <w:iCs/>
          <w:sz w:val="22"/>
          <w:szCs w:val="22"/>
        </w:rPr>
        <w:t>et al.</w:t>
      </w:r>
      <w:r w:rsidRPr="0069173E">
        <w:rPr>
          <w:rFonts w:ascii="Times New Roman" w:hAnsi="Times New Roman" w:cs="Times New Roman"/>
          <w:sz w:val="22"/>
          <w:szCs w:val="22"/>
        </w:rPr>
        <w:t xml:space="preserve"> Trastuzumab‐containing regimens for metastatic breast cancer. </w:t>
      </w:r>
      <w:r w:rsidRPr="0069173E">
        <w:rPr>
          <w:rFonts w:ascii="Times New Roman" w:hAnsi="Times New Roman" w:cs="Times New Roman"/>
          <w:i/>
          <w:iCs/>
          <w:sz w:val="22"/>
          <w:szCs w:val="22"/>
        </w:rPr>
        <w:t>Cochrane Database Syst Re</w:t>
      </w:r>
      <w:r w:rsidR="00535665" w:rsidRPr="0069173E">
        <w:rPr>
          <w:rFonts w:ascii="Times New Roman" w:hAnsi="Times New Roman" w:cs="Times New Roman"/>
          <w:i/>
          <w:iCs/>
          <w:sz w:val="22"/>
          <w:szCs w:val="22"/>
        </w:rPr>
        <w:t>v</w:t>
      </w:r>
      <w:r w:rsidR="00535665" w:rsidRPr="0069173E">
        <w:rPr>
          <w:rFonts w:ascii="Times New Roman" w:hAnsi="Times New Roman" w:cs="Times New Roman"/>
          <w:b/>
          <w:bCs/>
          <w:i/>
          <w:iCs/>
          <w:sz w:val="22"/>
          <w:szCs w:val="22"/>
        </w:rPr>
        <w:t xml:space="preserve"> </w:t>
      </w:r>
      <w:r w:rsidRPr="0069173E">
        <w:rPr>
          <w:rFonts w:ascii="Times New Roman" w:hAnsi="Times New Roman" w:cs="Times New Roman"/>
          <w:b/>
          <w:bCs/>
          <w:sz w:val="22"/>
          <w:szCs w:val="22"/>
        </w:rPr>
        <w:t>201</w:t>
      </w:r>
      <w:r w:rsidR="00535665" w:rsidRPr="0069173E">
        <w:rPr>
          <w:rFonts w:ascii="Times New Roman" w:hAnsi="Times New Roman" w:cs="Times New Roman"/>
          <w:b/>
          <w:bCs/>
          <w:sz w:val="22"/>
          <w:szCs w:val="22"/>
        </w:rPr>
        <w:t>4</w:t>
      </w:r>
      <w:r w:rsidRPr="0069173E">
        <w:rPr>
          <w:rFonts w:ascii="Times New Roman" w:hAnsi="Times New Roman" w:cs="Times New Roman"/>
          <w:sz w:val="22"/>
          <w:szCs w:val="22"/>
        </w:rPr>
        <w:t>;(6)</w:t>
      </w:r>
      <w:r w:rsidR="00766021">
        <w:rPr>
          <w:rFonts w:ascii="Times New Roman" w:hAnsi="Times New Roman" w:cs="Times New Roman"/>
          <w:sz w:val="22"/>
          <w:szCs w:val="22"/>
        </w:rPr>
        <w:t xml:space="preserve">; </w:t>
      </w:r>
      <w:r w:rsidR="00535665" w:rsidRPr="0069173E">
        <w:rPr>
          <w:rFonts w:ascii="Times New Roman" w:hAnsi="Times New Roman" w:cs="Times New Roman"/>
          <w:sz w:val="22"/>
          <w:szCs w:val="22"/>
        </w:rPr>
        <w:t>CD006242.</w:t>
      </w:r>
    </w:p>
    <w:p w14:paraId="5F58C121" w14:textId="4A7F7D31"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10. </w:t>
      </w:r>
      <w:r w:rsidRPr="0069173E">
        <w:rPr>
          <w:rFonts w:ascii="Times New Roman" w:hAnsi="Times New Roman" w:cs="Times New Roman"/>
          <w:sz w:val="22"/>
          <w:szCs w:val="22"/>
        </w:rPr>
        <w:tab/>
        <w:t>Van Loon AJ, Goldbohm RA, Van den Brandt PA. Socioeconomic status and breast cancer incidence: a prospective cohort study.</w:t>
      </w:r>
      <w:r w:rsidRPr="0069173E">
        <w:rPr>
          <w:rFonts w:ascii="Times New Roman" w:hAnsi="Times New Roman" w:cs="Times New Roman"/>
          <w:i/>
          <w:iCs/>
          <w:sz w:val="22"/>
          <w:szCs w:val="22"/>
        </w:rPr>
        <w:t xml:space="preserve"> Int J Epidemiol </w:t>
      </w:r>
      <w:r w:rsidRPr="0069173E">
        <w:rPr>
          <w:rFonts w:ascii="Times New Roman" w:hAnsi="Times New Roman" w:cs="Times New Roman"/>
          <w:b/>
          <w:bCs/>
          <w:sz w:val="22"/>
          <w:szCs w:val="22"/>
        </w:rPr>
        <w:t>1994</w:t>
      </w:r>
      <w:r w:rsidRPr="0069173E">
        <w:rPr>
          <w:rFonts w:ascii="Times New Roman" w:hAnsi="Times New Roman" w:cs="Times New Roman"/>
          <w:sz w:val="22"/>
          <w:szCs w:val="22"/>
        </w:rPr>
        <w:t xml:space="preserve">;23(5):899–905. </w:t>
      </w:r>
    </w:p>
    <w:p w14:paraId="6AF60AD8" w14:textId="401ED580"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11. </w:t>
      </w:r>
      <w:r w:rsidRPr="0069173E">
        <w:rPr>
          <w:rFonts w:ascii="Times New Roman" w:hAnsi="Times New Roman" w:cs="Times New Roman"/>
          <w:sz w:val="22"/>
          <w:szCs w:val="22"/>
        </w:rPr>
        <w:tab/>
        <w:t xml:space="preserve">Lagerlund M, Bellocco R, Karlsson P, Tejler G, Lambe M. Socio-economic factors and breast cancer survival- a population-based cohort study (Sweden). </w:t>
      </w:r>
      <w:r w:rsidRPr="0069173E">
        <w:rPr>
          <w:rFonts w:ascii="Times New Roman" w:hAnsi="Times New Roman" w:cs="Times New Roman"/>
          <w:i/>
          <w:iCs/>
          <w:sz w:val="22"/>
          <w:szCs w:val="22"/>
        </w:rPr>
        <w:t>Cancer Causes Control</w:t>
      </w:r>
      <w:r w:rsidRPr="0069173E">
        <w:rPr>
          <w:rFonts w:ascii="Times New Roman" w:hAnsi="Times New Roman" w:cs="Times New Roman"/>
          <w:sz w:val="22"/>
          <w:szCs w:val="22"/>
        </w:rPr>
        <w:t xml:space="preserve"> </w:t>
      </w:r>
      <w:r w:rsidRPr="0069173E">
        <w:rPr>
          <w:rFonts w:ascii="Times New Roman" w:hAnsi="Times New Roman" w:cs="Times New Roman"/>
          <w:b/>
          <w:bCs/>
          <w:sz w:val="22"/>
          <w:szCs w:val="22"/>
        </w:rPr>
        <w:t>2005</w:t>
      </w:r>
      <w:r w:rsidRPr="0069173E">
        <w:rPr>
          <w:rFonts w:ascii="Times New Roman" w:hAnsi="Times New Roman" w:cs="Times New Roman"/>
          <w:sz w:val="22"/>
          <w:szCs w:val="22"/>
        </w:rPr>
        <w:t>;16(4):419–</w:t>
      </w:r>
      <w:r w:rsidR="00535665" w:rsidRPr="0069173E">
        <w:rPr>
          <w:rFonts w:ascii="Times New Roman" w:hAnsi="Times New Roman" w:cs="Times New Roman"/>
          <w:sz w:val="22"/>
          <w:szCs w:val="22"/>
        </w:rPr>
        <w:t>4</w:t>
      </w:r>
      <w:r w:rsidRPr="0069173E">
        <w:rPr>
          <w:rFonts w:ascii="Times New Roman" w:hAnsi="Times New Roman" w:cs="Times New Roman"/>
          <w:sz w:val="22"/>
          <w:szCs w:val="22"/>
        </w:rPr>
        <w:t xml:space="preserve">30. </w:t>
      </w:r>
    </w:p>
    <w:p w14:paraId="7C0AE3F8" w14:textId="0A47B61B"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12. </w:t>
      </w:r>
      <w:r w:rsidRPr="0069173E">
        <w:rPr>
          <w:rFonts w:ascii="Times New Roman" w:hAnsi="Times New Roman" w:cs="Times New Roman"/>
          <w:sz w:val="22"/>
          <w:szCs w:val="22"/>
        </w:rPr>
        <w:tab/>
        <w:t xml:space="preserve">Dreyer MS, Nattinger AB, McGinley EL, Pezzin LE. Socioeconomic status and breast cancer treatment. </w:t>
      </w:r>
      <w:r w:rsidRPr="0069173E">
        <w:rPr>
          <w:rFonts w:ascii="Times New Roman" w:hAnsi="Times New Roman" w:cs="Times New Roman"/>
          <w:i/>
          <w:iCs/>
          <w:sz w:val="22"/>
          <w:szCs w:val="22"/>
        </w:rPr>
        <w:t xml:space="preserve">Breast Cancer Res Treat </w:t>
      </w:r>
      <w:r w:rsidRPr="0069173E">
        <w:rPr>
          <w:rFonts w:ascii="Times New Roman" w:hAnsi="Times New Roman" w:cs="Times New Roman"/>
          <w:b/>
          <w:bCs/>
          <w:sz w:val="22"/>
          <w:szCs w:val="22"/>
        </w:rPr>
        <w:t>2018</w:t>
      </w:r>
      <w:r w:rsidRPr="0069173E">
        <w:rPr>
          <w:rFonts w:ascii="Times New Roman" w:hAnsi="Times New Roman" w:cs="Times New Roman"/>
          <w:sz w:val="22"/>
          <w:szCs w:val="22"/>
        </w:rPr>
        <w:t xml:space="preserve">;167(1):1–8. </w:t>
      </w:r>
    </w:p>
    <w:p w14:paraId="48D8A9B0" w14:textId="7C6B86CC"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13. </w:t>
      </w:r>
      <w:r w:rsidRPr="0069173E">
        <w:rPr>
          <w:rFonts w:ascii="Times New Roman" w:hAnsi="Times New Roman" w:cs="Times New Roman"/>
          <w:sz w:val="22"/>
          <w:szCs w:val="22"/>
        </w:rPr>
        <w:tab/>
        <w:t xml:space="preserve">Neuner JM, Kong A, Blaes A, Riley D, Chrischilles E, Smallwood A, </w:t>
      </w:r>
      <w:r w:rsidRPr="0069173E">
        <w:rPr>
          <w:rFonts w:ascii="Times New Roman" w:hAnsi="Times New Roman" w:cs="Times New Roman"/>
          <w:i/>
          <w:iCs/>
          <w:sz w:val="22"/>
          <w:szCs w:val="22"/>
        </w:rPr>
        <w:t>et al.</w:t>
      </w:r>
      <w:r w:rsidRPr="0069173E">
        <w:rPr>
          <w:rFonts w:ascii="Times New Roman" w:hAnsi="Times New Roman" w:cs="Times New Roman"/>
          <w:sz w:val="22"/>
          <w:szCs w:val="22"/>
        </w:rPr>
        <w:t xml:space="preserve"> The association of socioeconomic status with receipt of neoadjuvant chemotherapy. </w:t>
      </w:r>
      <w:r w:rsidRPr="0069173E">
        <w:rPr>
          <w:rFonts w:ascii="Times New Roman" w:hAnsi="Times New Roman" w:cs="Times New Roman"/>
          <w:i/>
          <w:iCs/>
          <w:sz w:val="22"/>
          <w:szCs w:val="22"/>
        </w:rPr>
        <w:t xml:space="preserve">Breast Cancer Res Treat </w:t>
      </w:r>
      <w:r w:rsidRPr="0069173E">
        <w:rPr>
          <w:rFonts w:ascii="Times New Roman" w:hAnsi="Times New Roman" w:cs="Times New Roman"/>
          <w:b/>
          <w:bCs/>
          <w:sz w:val="22"/>
          <w:szCs w:val="22"/>
        </w:rPr>
        <w:t>2019</w:t>
      </w:r>
      <w:r w:rsidRPr="0069173E">
        <w:rPr>
          <w:rFonts w:ascii="Times New Roman" w:hAnsi="Times New Roman" w:cs="Times New Roman"/>
          <w:sz w:val="22"/>
          <w:szCs w:val="22"/>
        </w:rPr>
        <w:t>;173(1):179–</w:t>
      </w:r>
      <w:r w:rsidR="00535665" w:rsidRPr="0069173E">
        <w:rPr>
          <w:rFonts w:ascii="Times New Roman" w:hAnsi="Times New Roman" w:cs="Times New Roman"/>
          <w:sz w:val="22"/>
          <w:szCs w:val="22"/>
        </w:rPr>
        <w:t>1</w:t>
      </w:r>
      <w:r w:rsidRPr="0069173E">
        <w:rPr>
          <w:rFonts w:ascii="Times New Roman" w:hAnsi="Times New Roman" w:cs="Times New Roman"/>
          <w:sz w:val="22"/>
          <w:szCs w:val="22"/>
        </w:rPr>
        <w:t xml:space="preserve">88. </w:t>
      </w:r>
    </w:p>
    <w:p w14:paraId="3AF2A3DF" w14:textId="6EF3F29F"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14. </w:t>
      </w:r>
      <w:r w:rsidRPr="0069173E">
        <w:rPr>
          <w:rFonts w:ascii="Times New Roman" w:hAnsi="Times New Roman" w:cs="Times New Roman"/>
          <w:sz w:val="22"/>
          <w:szCs w:val="22"/>
        </w:rPr>
        <w:tab/>
        <w:t xml:space="preserve">Singh S, Sridhar P. A narrative review of sociodemographic risk and disparities in screening, diagnosis, treatment, and outcomes of the most common extrathoracic malignancies in the United States. </w:t>
      </w:r>
      <w:r w:rsidRPr="0069173E">
        <w:rPr>
          <w:rFonts w:ascii="Times New Roman" w:hAnsi="Times New Roman" w:cs="Times New Roman"/>
          <w:i/>
          <w:iCs/>
          <w:sz w:val="22"/>
          <w:szCs w:val="22"/>
        </w:rPr>
        <w:t>J Thorac Dis</w:t>
      </w:r>
      <w:r w:rsidRPr="0069173E">
        <w:rPr>
          <w:rFonts w:ascii="Times New Roman" w:hAnsi="Times New Roman" w:cs="Times New Roman"/>
          <w:b/>
          <w:bCs/>
          <w:i/>
          <w:iCs/>
          <w:sz w:val="22"/>
          <w:szCs w:val="22"/>
        </w:rPr>
        <w:t xml:space="preserve"> </w:t>
      </w:r>
      <w:r w:rsidRPr="0069173E">
        <w:rPr>
          <w:rFonts w:ascii="Times New Roman" w:hAnsi="Times New Roman" w:cs="Times New Roman"/>
          <w:b/>
          <w:bCs/>
          <w:sz w:val="22"/>
          <w:szCs w:val="22"/>
        </w:rPr>
        <w:t>2021</w:t>
      </w:r>
      <w:r w:rsidRPr="0069173E">
        <w:rPr>
          <w:rFonts w:ascii="Times New Roman" w:hAnsi="Times New Roman" w:cs="Times New Roman"/>
          <w:sz w:val="22"/>
          <w:szCs w:val="22"/>
        </w:rPr>
        <w:t>;13(6):3827–</w:t>
      </w:r>
      <w:r w:rsidR="00535665" w:rsidRPr="0069173E">
        <w:rPr>
          <w:rFonts w:ascii="Times New Roman" w:hAnsi="Times New Roman" w:cs="Times New Roman"/>
          <w:sz w:val="22"/>
          <w:szCs w:val="22"/>
        </w:rPr>
        <w:t>38</w:t>
      </w:r>
      <w:r w:rsidRPr="0069173E">
        <w:rPr>
          <w:rFonts w:ascii="Times New Roman" w:hAnsi="Times New Roman" w:cs="Times New Roman"/>
          <w:sz w:val="22"/>
          <w:szCs w:val="22"/>
        </w:rPr>
        <w:t xml:space="preserve">43. </w:t>
      </w:r>
    </w:p>
    <w:p w14:paraId="0985812D" w14:textId="467190F0"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15. </w:t>
      </w:r>
      <w:r w:rsidRPr="0069173E">
        <w:rPr>
          <w:rFonts w:ascii="Times New Roman" w:hAnsi="Times New Roman" w:cs="Times New Roman"/>
          <w:sz w:val="22"/>
          <w:szCs w:val="22"/>
        </w:rPr>
        <w:tab/>
        <w:t>All</w:t>
      </w:r>
      <w:r w:rsidR="00616585">
        <w:rPr>
          <w:rFonts w:ascii="Times New Roman" w:hAnsi="Times New Roman" w:cs="Times New Roman"/>
          <w:sz w:val="22"/>
          <w:szCs w:val="22"/>
        </w:rPr>
        <w:t xml:space="preserve"> </w:t>
      </w:r>
      <w:r w:rsidRPr="0069173E">
        <w:rPr>
          <w:rFonts w:ascii="Times New Roman" w:hAnsi="Times New Roman" w:cs="Times New Roman"/>
          <w:sz w:val="22"/>
          <w:szCs w:val="22"/>
        </w:rPr>
        <w:t>Party Parliamentary Group on Breast Cancer. A mixed picture: an inquiry into geographical inequalities and breast cancer [</w:t>
      </w:r>
      <w:r w:rsidR="00535665" w:rsidRPr="0069173E">
        <w:rPr>
          <w:rFonts w:ascii="Times New Roman" w:hAnsi="Times New Roman" w:cs="Times New Roman"/>
          <w:sz w:val="22"/>
          <w:szCs w:val="22"/>
        </w:rPr>
        <w:t>cited 2023 Nov 29</w:t>
      </w:r>
      <w:r w:rsidRPr="0069173E">
        <w:rPr>
          <w:rFonts w:ascii="Times New Roman" w:hAnsi="Times New Roman" w:cs="Times New Roman"/>
          <w:sz w:val="22"/>
          <w:szCs w:val="22"/>
        </w:rPr>
        <w:t>]</w:t>
      </w:r>
      <w:r w:rsidR="00535665" w:rsidRPr="0069173E">
        <w:rPr>
          <w:rFonts w:ascii="Times New Roman" w:hAnsi="Times New Roman" w:cs="Times New Roman"/>
          <w:sz w:val="22"/>
          <w:szCs w:val="22"/>
        </w:rPr>
        <w:t>.</w:t>
      </w:r>
      <w:r w:rsidRPr="0069173E">
        <w:rPr>
          <w:rFonts w:ascii="Times New Roman" w:hAnsi="Times New Roman" w:cs="Times New Roman"/>
          <w:sz w:val="22"/>
          <w:szCs w:val="22"/>
        </w:rPr>
        <w:t xml:space="preserve"> Available from: https://breastcancernow.org/sites/default/files/appgbc_a_mixed_picture.pdf</w:t>
      </w:r>
      <w:r w:rsidR="00535665" w:rsidRPr="0069173E">
        <w:rPr>
          <w:rFonts w:ascii="Times New Roman" w:hAnsi="Times New Roman" w:cs="Times New Roman"/>
          <w:sz w:val="22"/>
          <w:szCs w:val="22"/>
        </w:rPr>
        <w:t>.</w:t>
      </w:r>
    </w:p>
    <w:p w14:paraId="61B942AF" w14:textId="2FD4D333"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lastRenderedPageBreak/>
        <w:t xml:space="preserve">16. </w:t>
      </w:r>
      <w:r w:rsidRPr="0069173E">
        <w:rPr>
          <w:rFonts w:ascii="Times New Roman" w:hAnsi="Times New Roman" w:cs="Times New Roman"/>
          <w:sz w:val="22"/>
          <w:szCs w:val="22"/>
        </w:rPr>
        <w:tab/>
        <w:t xml:space="preserve">Tuckson RV, Newcomer L, </w:t>
      </w:r>
      <w:r w:rsidR="00535665" w:rsidRPr="0069173E">
        <w:rPr>
          <w:rFonts w:ascii="Times New Roman" w:hAnsi="Times New Roman" w:cs="Times New Roman"/>
          <w:sz w:val="22"/>
          <w:szCs w:val="22"/>
        </w:rPr>
        <w:t>de S</w:t>
      </w:r>
      <w:r w:rsidRPr="0069173E">
        <w:rPr>
          <w:rFonts w:ascii="Times New Roman" w:hAnsi="Times New Roman" w:cs="Times New Roman"/>
          <w:sz w:val="22"/>
          <w:szCs w:val="22"/>
        </w:rPr>
        <w:t xml:space="preserve">a JM. Accessing </w:t>
      </w:r>
      <w:r w:rsidR="00535665" w:rsidRPr="0069173E">
        <w:rPr>
          <w:rFonts w:ascii="Times New Roman" w:hAnsi="Times New Roman" w:cs="Times New Roman"/>
          <w:sz w:val="22"/>
          <w:szCs w:val="22"/>
        </w:rPr>
        <w:t>g</w:t>
      </w:r>
      <w:r w:rsidRPr="0069173E">
        <w:rPr>
          <w:rFonts w:ascii="Times New Roman" w:hAnsi="Times New Roman" w:cs="Times New Roman"/>
          <w:sz w:val="22"/>
          <w:szCs w:val="22"/>
        </w:rPr>
        <w:t xml:space="preserve">enomic </w:t>
      </w:r>
      <w:r w:rsidR="00535665" w:rsidRPr="0069173E">
        <w:rPr>
          <w:rFonts w:ascii="Times New Roman" w:hAnsi="Times New Roman" w:cs="Times New Roman"/>
          <w:sz w:val="22"/>
          <w:szCs w:val="22"/>
        </w:rPr>
        <w:t>m</w:t>
      </w:r>
      <w:r w:rsidRPr="0069173E">
        <w:rPr>
          <w:rFonts w:ascii="Times New Roman" w:hAnsi="Times New Roman" w:cs="Times New Roman"/>
          <w:sz w:val="22"/>
          <w:szCs w:val="22"/>
        </w:rPr>
        <w:t xml:space="preserve">edicine: </w:t>
      </w:r>
      <w:r w:rsidR="00535665" w:rsidRPr="0069173E">
        <w:rPr>
          <w:rFonts w:ascii="Times New Roman" w:hAnsi="Times New Roman" w:cs="Times New Roman"/>
          <w:sz w:val="22"/>
          <w:szCs w:val="22"/>
        </w:rPr>
        <w:t>a</w:t>
      </w:r>
      <w:r w:rsidRPr="0069173E">
        <w:rPr>
          <w:rFonts w:ascii="Times New Roman" w:hAnsi="Times New Roman" w:cs="Times New Roman"/>
          <w:sz w:val="22"/>
          <w:szCs w:val="22"/>
        </w:rPr>
        <w:t xml:space="preserve">ffordability, </w:t>
      </w:r>
      <w:r w:rsidR="00535665" w:rsidRPr="0069173E">
        <w:rPr>
          <w:rFonts w:ascii="Times New Roman" w:hAnsi="Times New Roman" w:cs="Times New Roman"/>
          <w:sz w:val="22"/>
          <w:szCs w:val="22"/>
        </w:rPr>
        <w:t>d</w:t>
      </w:r>
      <w:r w:rsidRPr="0069173E">
        <w:rPr>
          <w:rFonts w:ascii="Times New Roman" w:hAnsi="Times New Roman" w:cs="Times New Roman"/>
          <w:sz w:val="22"/>
          <w:szCs w:val="22"/>
        </w:rPr>
        <w:t xml:space="preserve">iffusion, and </w:t>
      </w:r>
      <w:r w:rsidR="00535665" w:rsidRPr="0069173E">
        <w:rPr>
          <w:rFonts w:ascii="Times New Roman" w:hAnsi="Times New Roman" w:cs="Times New Roman"/>
          <w:sz w:val="22"/>
          <w:szCs w:val="22"/>
        </w:rPr>
        <w:t>d</w:t>
      </w:r>
      <w:r w:rsidRPr="0069173E">
        <w:rPr>
          <w:rFonts w:ascii="Times New Roman" w:hAnsi="Times New Roman" w:cs="Times New Roman"/>
          <w:sz w:val="22"/>
          <w:szCs w:val="22"/>
        </w:rPr>
        <w:t xml:space="preserve">isparities. </w:t>
      </w:r>
      <w:r w:rsidRPr="0069173E">
        <w:rPr>
          <w:rFonts w:ascii="Times New Roman" w:hAnsi="Times New Roman" w:cs="Times New Roman"/>
          <w:i/>
          <w:iCs/>
          <w:sz w:val="22"/>
          <w:szCs w:val="22"/>
        </w:rPr>
        <w:t>JAMA</w:t>
      </w:r>
      <w:r w:rsidRPr="0069173E">
        <w:rPr>
          <w:rFonts w:ascii="Times New Roman" w:hAnsi="Times New Roman" w:cs="Times New Roman"/>
          <w:sz w:val="22"/>
          <w:szCs w:val="22"/>
        </w:rPr>
        <w:t xml:space="preserve"> </w:t>
      </w:r>
      <w:r w:rsidRPr="0069173E">
        <w:rPr>
          <w:rFonts w:ascii="Times New Roman" w:hAnsi="Times New Roman" w:cs="Times New Roman"/>
          <w:b/>
          <w:bCs/>
          <w:sz w:val="22"/>
          <w:szCs w:val="22"/>
        </w:rPr>
        <w:t>2013</w:t>
      </w:r>
      <w:r w:rsidRPr="0069173E">
        <w:rPr>
          <w:rFonts w:ascii="Times New Roman" w:hAnsi="Times New Roman" w:cs="Times New Roman"/>
          <w:sz w:val="22"/>
          <w:szCs w:val="22"/>
        </w:rPr>
        <w:t>;309(14):1469–</w:t>
      </w:r>
      <w:r w:rsidR="00535665" w:rsidRPr="0069173E">
        <w:rPr>
          <w:rFonts w:ascii="Times New Roman" w:hAnsi="Times New Roman" w:cs="Times New Roman"/>
          <w:sz w:val="22"/>
          <w:szCs w:val="22"/>
        </w:rPr>
        <w:t>14</w:t>
      </w:r>
      <w:r w:rsidRPr="0069173E">
        <w:rPr>
          <w:rFonts w:ascii="Times New Roman" w:hAnsi="Times New Roman" w:cs="Times New Roman"/>
          <w:sz w:val="22"/>
          <w:szCs w:val="22"/>
        </w:rPr>
        <w:t>70.</w:t>
      </w:r>
    </w:p>
    <w:p w14:paraId="1B401B47" w14:textId="17F2B2C3"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17. </w:t>
      </w:r>
      <w:r w:rsidRPr="0069173E">
        <w:rPr>
          <w:rFonts w:ascii="Times New Roman" w:hAnsi="Times New Roman" w:cs="Times New Roman"/>
          <w:sz w:val="22"/>
          <w:szCs w:val="22"/>
        </w:rPr>
        <w:tab/>
        <w:t xml:space="preserve">Norris RP, Dew R, Sharp L, Greystoke A, Rice S, Johnell K, </w:t>
      </w:r>
      <w:r w:rsidRPr="0069173E">
        <w:rPr>
          <w:rFonts w:ascii="Times New Roman" w:hAnsi="Times New Roman" w:cs="Times New Roman"/>
          <w:i/>
          <w:iCs/>
          <w:sz w:val="22"/>
          <w:szCs w:val="22"/>
        </w:rPr>
        <w:t>et al.</w:t>
      </w:r>
      <w:r w:rsidRPr="0069173E">
        <w:rPr>
          <w:rFonts w:ascii="Times New Roman" w:hAnsi="Times New Roman" w:cs="Times New Roman"/>
          <w:sz w:val="22"/>
          <w:szCs w:val="22"/>
        </w:rPr>
        <w:t xml:space="preserve"> Are there socio-economic inequalities in utilization of predictive biomarker tests and biological and precision therapies for cancer? A systematic review and meta-analysis. </w:t>
      </w:r>
      <w:r w:rsidRPr="0069173E">
        <w:rPr>
          <w:rFonts w:ascii="Times New Roman" w:hAnsi="Times New Roman" w:cs="Times New Roman"/>
          <w:i/>
          <w:iCs/>
          <w:sz w:val="22"/>
          <w:szCs w:val="22"/>
        </w:rPr>
        <w:t>BMC Med</w:t>
      </w:r>
      <w:r w:rsidRPr="0069173E">
        <w:rPr>
          <w:rFonts w:ascii="Times New Roman" w:hAnsi="Times New Roman" w:cs="Times New Roman"/>
          <w:sz w:val="22"/>
          <w:szCs w:val="22"/>
        </w:rPr>
        <w:t xml:space="preserve"> </w:t>
      </w:r>
      <w:r w:rsidRPr="0069173E">
        <w:rPr>
          <w:rFonts w:ascii="Times New Roman" w:hAnsi="Times New Roman" w:cs="Times New Roman"/>
          <w:b/>
          <w:bCs/>
          <w:sz w:val="22"/>
          <w:szCs w:val="22"/>
        </w:rPr>
        <w:t>2020</w:t>
      </w:r>
      <w:r w:rsidRPr="0069173E">
        <w:rPr>
          <w:rFonts w:ascii="Times New Roman" w:hAnsi="Times New Roman" w:cs="Times New Roman"/>
          <w:sz w:val="22"/>
          <w:szCs w:val="22"/>
        </w:rPr>
        <w:t xml:space="preserve">;18(1):282. </w:t>
      </w:r>
    </w:p>
    <w:p w14:paraId="05633542" w14:textId="56F72DC9"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18. </w:t>
      </w:r>
      <w:r w:rsidRPr="0069173E">
        <w:rPr>
          <w:rFonts w:ascii="Times New Roman" w:hAnsi="Times New Roman" w:cs="Times New Roman"/>
          <w:sz w:val="22"/>
          <w:szCs w:val="22"/>
        </w:rPr>
        <w:tab/>
        <w:t xml:space="preserve">Kaufman PA, Hurvitz SA, O’Shaughnessy J, Mason G, Yardley DA, Brufsky AM, </w:t>
      </w:r>
      <w:r w:rsidRPr="0069173E">
        <w:rPr>
          <w:rFonts w:ascii="Times New Roman" w:hAnsi="Times New Roman" w:cs="Times New Roman"/>
          <w:i/>
          <w:iCs/>
          <w:sz w:val="22"/>
          <w:szCs w:val="22"/>
        </w:rPr>
        <w:t xml:space="preserve">et al. </w:t>
      </w:r>
      <w:r w:rsidRPr="0069173E">
        <w:rPr>
          <w:rFonts w:ascii="Times New Roman" w:hAnsi="Times New Roman" w:cs="Times New Roman"/>
          <w:sz w:val="22"/>
          <w:szCs w:val="22"/>
        </w:rPr>
        <w:t xml:space="preserve">Baseline characteristics and first-line treatment patterns in patients with HER2-positive metastatic breast cancer in the SystHERs registry. </w:t>
      </w:r>
      <w:r w:rsidRPr="0069173E">
        <w:rPr>
          <w:rFonts w:ascii="Times New Roman" w:hAnsi="Times New Roman" w:cs="Times New Roman"/>
          <w:i/>
          <w:iCs/>
          <w:sz w:val="22"/>
          <w:szCs w:val="22"/>
        </w:rPr>
        <w:t xml:space="preserve">Breast Cancer Res Treat </w:t>
      </w:r>
      <w:r w:rsidRPr="0069173E">
        <w:rPr>
          <w:rFonts w:ascii="Times New Roman" w:hAnsi="Times New Roman" w:cs="Times New Roman"/>
          <w:b/>
          <w:bCs/>
          <w:sz w:val="22"/>
          <w:szCs w:val="22"/>
        </w:rPr>
        <w:t>2021</w:t>
      </w:r>
      <w:r w:rsidRPr="0069173E">
        <w:rPr>
          <w:rFonts w:ascii="Times New Roman" w:hAnsi="Times New Roman" w:cs="Times New Roman"/>
          <w:sz w:val="22"/>
          <w:szCs w:val="22"/>
        </w:rPr>
        <w:t>;188(1):179–</w:t>
      </w:r>
      <w:r w:rsidR="00535665" w:rsidRPr="0069173E">
        <w:rPr>
          <w:rFonts w:ascii="Times New Roman" w:hAnsi="Times New Roman" w:cs="Times New Roman"/>
          <w:sz w:val="22"/>
          <w:szCs w:val="22"/>
        </w:rPr>
        <w:t>1</w:t>
      </w:r>
      <w:r w:rsidRPr="0069173E">
        <w:rPr>
          <w:rFonts w:ascii="Times New Roman" w:hAnsi="Times New Roman" w:cs="Times New Roman"/>
          <w:sz w:val="22"/>
          <w:szCs w:val="22"/>
        </w:rPr>
        <w:t xml:space="preserve">90. </w:t>
      </w:r>
    </w:p>
    <w:p w14:paraId="49FEDCDF" w14:textId="03796647"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19. </w:t>
      </w:r>
      <w:r w:rsidRPr="0069173E">
        <w:rPr>
          <w:rFonts w:ascii="Times New Roman" w:hAnsi="Times New Roman" w:cs="Times New Roman"/>
          <w:sz w:val="22"/>
          <w:szCs w:val="22"/>
        </w:rPr>
        <w:tab/>
        <w:t>Nguy S, Wu SP, Oh C, Gerber NK. Outcomes of HER2-positive non-metastatic breast cancer patients treated with anti-HER2 therapy without chemotherapy.</w:t>
      </w:r>
      <w:r w:rsidRPr="0069173E">
        <w:rPr>
          <w:rFonts w:ascii="Times New Roman" w:hAnsi="Times New Roman" w:cs="Times New Roman"/>
          <w:i/>
          <w:iCs/>
          <w:sz w:val="22"/>
          <w:szCs w:val="22"/>
        </w:rPr>
        <w:t xml:space="preserve"> Breast Cancer Res Treat </w:t>
      </w:r>
      <w:r w:rsidRPr="0069173E">
        <w:rPr>
          <w:rFonts w:ascii="Times New Roman" w:hAnsi="Times New Roman" w:cs="Times New Roman"/>
          <w:b/>
          <w:bCs/>
          <w:sz w:val="22"/>
          <w:szCs w:val="22"/>
        </w:rPr>
        <w:t>2021</w:t>
      </w:r>
      <w:r w:rsidRPr="0069173E">
        <w:rPr>
          <w:rFonts w:ascii="Times New Roman" w:hAnsi="Times New Roman" w:cs="Times New Roman"/>
          <w:sz w:val="22"/>
          <w:szCs w:val="22"/>
        </w:rPr>
        <w:t>;187(3):815–</w:t>
      </w:r>
      <w:r w:rsidR="00535665" w:rsidRPr="0069173E">
        <w:rPr>
          <w:rFonts w:ascii="Times New Roman" w:hAnsi="Times New Roman" w:cs="Times New Roman"/>
          <w:sz w:val="22"/>
          <w:szCs w:val="22"/>
        </w:rPr>
        <w:t>8</w:t>
      </w:r>
      <w:r w:rsidRPr="0069173E">
        <w:rPr>
          <w:rFonts w:ascii="Times New Roman" w:hAnsi="Times New Roman" w:cs="Times New Roman"/>
          <w:sz w:val="22"/>
          <w:szCs w:val="22"/>
        </w:rPr>
        <w:t xml:space="preserve">30. </w:t>
      </w:r>
    </w:p>
    <w:p w14:paraId="516C442E" w14:textId="53C1CFCA"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20. </w:t>
      </w:r>
      <w:r w:rsidRPr="0069173E">
        <w:rPr>
          <w:rFonts w:ascii="Times New Roman" w:hAnsi="Times New Roman" w:cs="Times New Roman"/>
          <w:sz w:val="22"/>
          <w:szCs w:val="22"/>
        </w:rPr>
        <w:tab/>
        <w:t xml:space="preserve">Martin AP, Downing J, Cochrane M, Collins B, Francis B, Haycox A, </w:t>
      </w:r>
      <w:r w:rsidRPr="0069173E">
        <w:rPr>
          <w:rFonts w:ascii="Times New Roman" w:hAnsi="Times New Roman" w:cs="Times New Roman"/>
          <w:i/>
          <w:iCs/>
          <w:sz w:val="22"/>
          <w:szCs w:val="22"/>
        </w:rPr>
        <w:t>et al.</w:t>
      </w:r>
      <w:r w:rsidRPr="0069173E">
        <w:rPr>
          <w:rFonts w:ascii="Times New Roman" w:hAnsi="Times New Roman" w:cs="Times New Roman"/>
          <w:sz w:val="22"/>
          <w:szCs w:val="22"/>
        </w:rPr>
        <w:t xml:space="preserve"> Trastuzumab uptake in HER2-positive breast cancer patients: a systematic review and meta-analysis of observational studies. </w:t>
      </w:r>
      <w:r w:rsidRPr="0069173E">
        <w:rPr>
          <w:rFonts w:ascii="Times New Roman" w:hAnsi="Times New Roman" w:cs="Times New Roman"/>
          <w:i/>
          <w:iCs/>
          <w:sz w:val="22"/>
          <w:szCs w:val="22"/>
        </w:rPr>
        <w:t xml:space="preserve">Crit Rev Oncol Hematol </w:t>
      </w:r>
      <w:r w:rsidRPr="0069173E">
        <w:rPr>
          <w:rFonts w:ascii="Times New Roman" w:hAnsi="Times New Roman" w:cs="Times New Roman"/>
          <w:b/>
          <w:bCs/>
          <w:sz w:val="22"/>
          <w:szCs w:val="22"/>
        </w:rPr>
        <w:t>2018</w:t>
      </w:r>
      <w:r w:rsidRPr="0069173E">
        <w:rPr>
          <w:rFonts w:ascii="Times New Roman" w:hAnsi="Times New Roman" w:cs="Times New Roman"/>
          <w:sz w:val="22"/>
          <w:szCs w:val="22"/>
        </w:rPr>
        <w:t xml:space="preserve">;130:92–107. </w:t>
      </w:r>
    </w:p>
    <w:p w14:paraId="41808B80" w14:textId="1DCC1A0D"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21. </w:t>
      </w:r>
      <w:r w:rsidRPr="0069173E">
        <w:rPr>
          <w:rFonts w:ascii="Times New Roman" w:hAnsi="Times New Roman" w:cs="Times New Roman"/>
          <w:sz w:val="22"/>
          <w:szCs w:val="22"/>
        </w:rPr>
        <w:tab/>
        <w:t xml:space="preserve">Diao Y, Lin M, Xu K, Huang J, Wu X, Li M, </w:t>
      </w:r>
      <w:r w:rsidRPr="0069173E">
        <w:rPr>
          <w:rFonts w:ascii="Times New Roman" w:hAnsi="Times New Roman" w:cs="Times New Roman"/>
          <w:i/>
          <w:iCs/>
          <w:sz w:val="22"/>
          <w:szCs w:val="22"/>
        </w:rPr>
        <w:t>et al.</w:t>
      </w:r>
      <w:r w:rsidRPr="0069173E">
        <w:rPr>
          <w:rFonts w:ascii="Times New Roman" w:hAnsi="Times New Roman" w:cs="Times New Roman"/>
          <w:sz w:val="22"/>
          <w:szCs w:val="22"/>
        </w:rPr>
        <w:t xml:space="preserve"> How government health insurance coverage of novel anti-cancer medicines benefited patients in China - a retrospective analysis of hospital clinical data. </w:t>
      </w:r>
      <w:r w:rsidRPr="0069173E">
        <w:rPr>
          <w:rFonts w:ascii="Times New Roman" w:hAnsi="Times New Roman" w:cs="Times New Roman"/>
          <w:i/>
          <w:iCs/>
          <w:sz w:val="22"/>
          <w:szCs w:val="22"/>
        </w:rPr>
        <w:t>BMC Health Serv Res</w:t>
      </w:r>
      <w:r w:rsidRPr="0069173E">
        <w:rPr>
          <w:rFonts w:ascii="Times New Roman" w:hAnsi="Times New Roman" w:cs="Times New Roman"/>
          <w:b/>
          <w:bCs/>
          <w:i/>
          <w:iCs/>
          <w:sz w:val="22"/>
          <w:szCs w:val="22"/>
        </w:rPr>
        <w:t xml:space="preserve"> </w:t>
      </w:r>
      <w:r w:rsidRPr="0069173E">
        <w:rPr>
          <w:rFonts w:ascii="Times New Roman" w:hAnsi="Times New Roman" w:cs="Times New Roman"/>
          <w:b/>
          <w:bCs/>
          <w:sz w:val="22"/>
          <w:szCs w:val="22"/>
        </w:rPr>
        <w:t>2021</w:t>
      </w:r>
      <w:r w:rsidRPr="0069173E">
        <w:rPr>
          <w:rFonts w:ascii="Times New Roman" w:hAnsi="Times New Roman" w:cs="Times New Roman"/>
          <w:sz w:val="22"/>
          <w:szCs w:val="22"/>
        </w:rPr>
        <w:t xml:space="preserve">;21(1):856. </w:t>
      </w:r>
    </w:p>
    <w:p w14:paraId="7B7491D3" w14:textId="3D34A9BF"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22. </w:t>
      </w:r>
      <w:r w:rsidRPr="0069173E">
        <w:rPr>
          <w:rFonts w:ascii="Times New Roman" w:hAnsi="Times New Roman" w:cs="Times New Roman"/>
          <w:sz w:val="22"/>
          <w:szCs w:val="22"/>
        </w:rPr>
        <w:tab/>
        <w:t xml:space="preserve">Shang L, Lin Y, Fang W, Liu Y, Bao Y, Li X, </w:t>
      </w:r>
      <w:r w:rsidRPr="0069173E">
        <w:rPr>
          <w:rFonts w:ascii="Times New Roman" w:hAnsi="Times New Roman" w:cs="Times New Roman"/>
          <w:i/>
          <w:iCs/>
          <w:sz w:val="22"/>
          <w:szCs w:val="22"/>
        </w:rPr>
        <w:t xml:space="preserve">et al. </w:t>
      </w:r>
      <w:r w:rsidRPr="0069173E">
        <w:rPr>
          <w:rFonts w:ascii="Times New Roman" w:hAnsi="Times New Roman" w:cs="Times New Roman"/>
          <w:sz w:val="22"/>
          <w:szCs w:val="22"/>
        </w:rPr>
        <w:t xml:space="preserve">How </w:t>
      </w:r>
      <w:r w:rsidR="00535665" w:rsidRPr="0069173E">
        <w:rPr>
          <w:rFonts w:ascii="Times New Roman" w:hAnsi="Times New Roman" w:cs="Times New Roman"/>
          <w:sz w:val="22"/>
          <w:szCs w:val="22"/>
        </w:rPr>
        <w:t>n</w:t>
      </w:r>
      <w:r w:rsidRPr="0069173E">
        <w:rPr>
          <w:rFonts w:ascii="Times New Roman" w:hAnsi="Times New Roman" w:cs="Times New Roman"/>
          <w:sz w:val="22"/>
          <w:szCs w:val="22"/>
        </w:rPr>
        <w:t xml:space="preserve">ational </w:t>
      </w:r>
      <w:r w:rsidR="00535665" w:rsidRPr="0069173E">
        <w:rPr>
          <w:rFonts w:ascii="Times New Roman" w:hAnsi="Times New Roman" w:cs="Times New Roman"/>
          <w:sz w:val="22"/>
          <w:szCs w:val="22"/>
        </w:rPr>
        <w:t>h</w:t>
      </w:r>
      <w:r w:rsidRPr="0069173E">
        <w:rPr>
          <w:rFonts w:ascii="Times New Roman" w:hAnsi="Times New Roman" w:cs="Times New Roman"/>
          <w:sz w:val="22"/>
          <w:szCs w:val="22"/>
        </w:rPr>
        <w:t xml:space="preserve">ealth </w:t>
      </w:r>
      <w:r w:rsidR="00535665" w:rsidRPr="0069173E">
        <w:rPr>
          <w:rFonts w:ascii="Times New Roman" w:hAnsi="Times New Roman" w:cs="Times New Roman"/>
          <w:sz w:val="22"/>
          <w:szCs w:val="22"/>
        </w:rPr>
        <w:t>i</w:t>
      </w:r>
      <w:r w:rsidRPr="0069173E">
        <w:rPr>
          <w:rFonts w:ascii="Times New Roman" w:hAnsi="Times New Roman" w:cs="Times New Roman"/>
          <w:sz w:val="22"/>
          <w:szCs w:val="22"/>
        </w:rPr>
        <w:t xml:space="preserve">nsurance </w:t>
      </w:r>
      <w:r w:rsidR="00535665" w:rsidRPr="0069173E">
        <w:rPr>
          <w:rFonts w:ascii="Times New Roman" w:hAnsi="Times New Roman" w:cs="Times New Roman"/>
          <w:sz w:val="22"/>
          <w:szCs w:val="22"/>
        </w:rPr>
        <w:t>c</w:t>
      </w:r>
      <w:r w:rsidRPr="0069173E">
        <w:rPr>
          <w:rFonts w:ascii="Times New Roman" w:hAnsi="Times New Roman" w:cs="Times New Roman"/>
          <w:sz w:val="22"/>
          <w:szCs w:val="22"/>
        </w:rPr>
        <w:t xml:space="preserve">overage </w:t>
      </w:r>
      <w:r w:rsidR="00535665" w:rsidRPr="0069173E">
        <w:rPr>
          <w:rFonts w:ascii="Times New Roman" w:hAnsi="Times New Roman" w:cs="Times New Roman"/>
          <w:sz w:val="22"/>
          <w:szCs w:val="22"/>
        </w:rPr>
        <w:t>p</w:t>
      </w:r>
      <w:r w:rsidRPr="0069173E">
        <w:rPr>
          <w:rFonts w:ascii="Times New Roman" w:hAnsi="Times New Roman" w:cs="Times New Roman"/>
          <w:sz w:val="22"/>
          <w:szCs w:val="22"/>
        </w:rPr>
        <w:t xml:space="preserve">olicy </w:t>
      </w:r>
      <w:r w:rsidR="00535665" w:rsidRPr="0069173E">
        <w:rPr>
          <w:rFonts w:ascii="Times New Roman" w:hAnsi="Times New Roman" w:cs="Times New Roman"/>
          <w:sz w:val="22"/>
          <w:szCs w:val="22"/>
        </w:rPr>
        <w:t>a</w:t>
      </w:r>
      <w:r w:rsidRPr="0069173E">
        <w:rPr>
          <w:rFonts w:ascii="Times New Roman" w:hAnsi="Times New Roman" w:cs="Times New Roman"/>
          <w:sz w:val="22"/>
          <w:szCs w:val="22"/>
        </w:rPr>
        <w:t xml:space="preserve">ffected the </w:t>
      </w:r>
      <w:r w:rsidR="00535665" w:rsidRPr="0069173E">
        <w:rPr>
          <w:rFonts w:ascii="Times New Roman" w:hAnsi="Times New Roman" w:cs="Times New Roman"/>
          <w:sz w:val="22"/>
          <w:szCs w:val="22"/>
        </w:rPr>
        <w:t>u</w:t>
      </w:r>
      <w:r w:rsidRPr="0069173E">
        <w:rPr>
          <w:rFonts w:ascii="Times New Roman" w:hAnsi="Times New Roman" w:cs="Times New Roman"/>
          <w:sz w:val="22"/>
          <w:szCs w:val="22"/>
        </w:rPr>
        <w:t xml:space="preserve">se of </w:t>
      </w:r>
      <w:r w:rsidR="00535665" w:rsidRPr="0069173E">
        <w:rPr>
          <w:rFonts w:ascii="Times New Roman" w:hAnsi="Times New Roman" w:cs="Times New Roman"/>
          <w:sz w:val="22"/>
          <w:szCs w:val="22"/>
        </w:rPr>
        <w:t>t</w:t>
      </w:r>
      <w:r w:rsidRPr="0069173E">
        <w:rPr>
          <w:rFonts w:ascii="Times New Roman" w:hAnsi="Times New Roman" w:cs="Times New Roman"/>
          <w:sz w:val="22"/>
          <w:szCs w:val="22"/>
        </w:rPr>
        <w:t xml:space="preserve">rastuzumab and </w:t>
      </w:r>
      <w:r w:rsidR="00535665" w:rsidRPr="0069173E">
        <w:rPr>
          <w:rFonts w:ascii="Times New Roman" w:hAnsi="Times New Roman" w:cs="Times New Roman"/>
          <w:sz w:val="22"/>
          <w:szCs w:val="22"/>
        </w:rPr>
        <w:t>r</w:t>
      </w:r>
      <w:r w:rsidRPr="0069173E">
        <w:rPr>
          <w:rFonts w:ascii="Times New Roman" w:hAnsi="Times New Roman" w:cs="Times New Roman"/>
          <w:sz w:val="22"/>
          <w:szCs w:val="22"/>
        </w:rPr>
        <w:t xml:space="preserve">ituximab in China: </w:t>
      </w:r>
      <w:r w:rsidR="00535665" w:rsidRPr="0069173E">
        <w:rPr>
          <w:rFonts w:ascii="Times New Roman" w:hAnsi="Times New Roman" w:cs="Times New Roman"/>
          <w:sz w:val="22"/>
          <w:szCs w:val="22"/>
        </w:rPr>
        <w:t>a</w:t>
      </w:r>
      <w:r w:rsidRPr="0069173E">
        <w:rPr>
          <w:rFonts w:ascii="Times New Roman" w:hAnsi="Times New Roman" w:cs="Times New Roman"/>
          <w:sz w:val="22"/>
          <w:szCs w:val="22"/>
        </w:rPr>
        <w:t xml:space="preserve"> </w:t>
      </w:r>
      <w:r w:rsidR="00593FDF" w:rsidRPr="0069173E">
        <w:rPr>
          <w:rFonts w:ascii="Times New Roman" w:hAnsi="Times New Roman" w:cs="Times New Roman"/>
          <w:sz w:val="22"/>
          <w:szCs w:val="22"/>
        </w:rPr>
        <w:t>b</w:t>
      </w:r>
      <w:r w:rsidRPr="0069173E">
        <w:rPr>
          <w:rFonts w:ascii="Times New Roman" w:hAnsi="Times New Roman" w:cs="Times New Roman"/>
          <w:sz w:val="22"/>
          <w:szCs w:val="22"/>
        </w:rPr>
        <w:t xml:space="preserve">icentric </w:t>
      </w:r>
      <w:r w:rsidR="00593FDF" w:rsidRPr="0069173E">
        <w:rPr>
          <w:rFonts w:ascii="Times New Roman" w:hAnsi="Times New Roman" w:cs="Times New Roman"/>
          <w:sz w:val="22"/>
          <w:szCs w:val="22"/>
        </w:rPr>
        <w:t>r</w:t>
      </w:r>
      <w:r w:rsidRPr="0069173E">
        <w:rPr>
          <w:rFonts w:ascii="Times New Roman" w:hAnsi="Times New Roman" w:cs="Times New Roman"/>
          <w:sz w:val="22"/>
          <w:szCs w:val="22"/>
        </w:rPr>
        <w:t xml:space="preserve">etrospective </w:t>
      </w:r>
      <w:r w:rsidR="00593FDF" w:rsidRPr="0069173E">
        <w:rPr>
          <w:rFonts w:ascii="Times New Roman" w:hAnsi="Times New Roman" w:cs="Times New Roman"/>
          <w:sz w:val="22"/>
          <w:szCs w:val="22"/>
        </w:rPr>
        <w:t>s</w:t>
      </w:r>
      <w:r w:rsidRPr="0069173E">
        <w:rPr>
          <w:rFonts w:ascii="Times New Roman" w:hAnsi="Times New Roman" w:cs="Times New Roman"/>
          <w:sz w:val="22"/>
          <w:szCs w:val="22"/>
        </w:rPr>
        <w:t xml:space="preserve">tudy. </w:t>
      </w:r>
      <w:r w:rsidRPr="0069173E">
        <w:rPr>
          <w:rFonts w:ascii="Times New Roman" w:hAnsi="Times New Roman" w:cs="Times New Roman"/>
          <w:i/>
          <w:iCs/>
          <w:sz w:val="22"/>
          <w:szCs w:val="22"/>
        </w:rPr>
        <w:t>Risk Manag Health Policy</w:t>
      </w:r>
      <w:r w:rsidR="00593FDF" w:rsidRPr="0069173E">
        <w:rPr>
          <w:rFonts w:ascii="Times New Roman" w:hAnsi="Times New Roman" w:cs="Times New Roman"/>
          <w:sz w:val="22"/>
          <w:szCs w:val="22"/>
        </w:rPr>
        <w:t xml:space="preserve"> </w:t>
      </w:r>
      <w:r w:rsidRPr="0069173E">
        <w:rPr>
          <w:rFonts w:ascii="Times New Roman" w:hAnsi="Times New Roman" w:cs="Times New Roman"/>
          <w:b/>
          <w:bCs/>
          <w:sz w:val="22"/>
          <w:szCs w:val="22"/>
        </w:rPr>
        <w:t>2023</w:t>
      </w:r>
      <w:r w:rsidRPr="0069173E">
        <w:rPr>
          <w:rFonts w:ascii="Times New Roman" w:hAnsi="Times New Roman" w:cs="Times New Roman"/>
          <w:sz w:val="22"/>
          <w:szCs w:val="22"/>
        </w:rPr>
        <w:t>;16:1739–</w:t>
      </w:r>
      <w:r w:rsidR="00593FDF" w:rsidRPr="0069173E">
        <w:rPr>
          <w:rFonts w:ascii="Times New Roman" w:hAnsi="Times New Roman" w:cs="Times New Roman"/>
          <w:sz w:val="22"/>
          <w:szCs w:val="22"/>
        </w:rPr>
        <w:t>17</w:t>
      </w:r>
      <w:r w:rsidRPr="0069173E">
        <w:rPr>
          <w:rFonts w:ascii="Times New Roman" w:hAnsi="Times New Roman" w:cs="Times New Roman"/>
          <w:sz w:val="22"/>
          <w:szCs w:val="22"/>
        </w:rPr>
        <w:t xml:space="preserve">53. </w:t>
      </w:r>
    </w:p>
    <w:p w14:paraId="420B542C" w14:textId="164C2D41"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23. </w:t>
      </w:r>
      <w:r w:rsidRPr="0069173E">
        <w:rPr>
          <w:rFonts w:ascii="Times New Roman" w:hAnsi="Times New Roman" w:cs="Times New Roman"/>
          <w:sz w:val="22"/>
          <w:szCs w:val="22"/>
        </w:rPr>
        <w:tab/>
        <w:t xml:space="preserve">Singh P, Pasricha R, Pandey L, Joseph D, Ibrahim A, Bhadoria AS, </w:t>
      </w:r>
      <w:r w:rsidRPr="0069173E">
        <w:rPr>
          <w:rFonts w:ascii="Times New Roman" w:hAnsi="Times New Roman" w:cs="Times New Roman"/>
          <w:i/>
          <w:iCs/>
          <w:sz w:val="22"/>
          <w:szCs w:val="22"/>
        </w:rPr>
        <w:t xml:space="preserve">et al. </w:t>
      </w:r>
      <w:r w:rsidRPr="0069173E">
        <w:rPr>
          <w:rFonts w:ascii="Times New Roman" w:hAnsi="Times New Roman" w:cs="Times New Roman"/>
          <w:sz w:val="22"/>
          <w:szCs w:val="22"/>
        </w:rPr>
        <w:t xml:space="preserve">Socioeconomic factors affecting trastuzumab usage in patients with breast cancer in a resource constrained setting in </w:t>
      </w:r>
      <w:r w:rsidR="00593FDF" w:rsidRPr="0069173E">
        <w:rPr>
          <w:rFonts w:ascii="Times New Roman" w:hAnsi="Times New Roman" w:cs="Times New Roman"/>
          <w:sz w:val="22"/>
          <w:szCs w:val="22"/>
        </w:rPr>
        <w:t>n</w:t>
      </w:r>
      <w:r w:rsidRPr="0069173E">
        <w:rPr>
          <w:rFonts w:ascii="Times New Roman" w:hAnsi="Times New Roman" w:cs="Times New Roman"/>
          <w:sz w:val="22"/>
          <w:szCs w:val="22"/>
        </w:rPr>
        <w:t xml:space="preserve">orth India. </w:t>
      </w:r>
      <w:r w:rsidRPr="0069173E">
        <w:rPr>
          <w:rFonts w:ascii="Times New Roman" w:hAnsi="Times New Roman" w:cs="Times New Roman"/>
          <w:i/>
          <w:iCs/>
          <w:sz w:val="22"/>
          <w:szCs w:val="22"/>
        </w:rPr>
        <w:t>Int J Community Med Public Health</w:t>
      </w:r>
      <w:r w:rsidRPr="0069173E">
        <w:rPr>
          <w:rFonts w:ascii="Times New Roman" w:hAnsi="Times New Roman" w:cs="Times New Roman"/>
          <w:b/>
          <w:bCs/>
          <w:i/>
          <w:iCs/>
          <w:sz w:val="22"/>
          <w:szCs w:val="22"/>
        </w:rPr>
        <w:t xml:space="preserve"> </w:t>
      </w:r>
      <w:r w:rsidRPr="0069173E">
        <w:rPr>
          <w:rFonts w:ascii="Times New Roman" w:hAnsi="Times New Roman" w:cs="Times New Roman"/>
          <w:b/>
          <w:bCs/>
          <w:sz w:val="22"/>
          <w:szCs w:val="22"/>
        </w:rPr>
        <w:t>2021</w:t>
      </w:r>
      <w:r w:rsidRPr="0069173E">
        <w:rPr>
          <w:rFonts w:ascii="Times New Roman" w:hAnsi="Times New Roman" w:cs="Times New Roman"/>
          <w:sz w:val="22"/>
          <w:szCs w:val="22"/>
        </w:rPr>
        <w:t>;8(1):279–</w:t>
      </w:r>
      <w:r w:rsidR="00593FDF" w:rsidRPr="0069173E">
        <w:rPr>
          <w:rFonts w:ascii="Times New Roman" w:hAnsi="Times New Roman" w:cs="Times New Roman"/>
          <w:sz w:val="22"/>
          <w:szCs w:val="22"/>
        </w:rPr>
        <w:t>2</w:t>
      </w:r>
      <w:r w:rsidRPr="0069173E">
        <w:rPr>
          <w:rFonts w:ascii="Times New Roman" w:hAnsi="Times New Roman" w:cs="Times New Roman"/>
          <w:sz w:val="22"/>
          <w:szCs w:val="22"/>
        </w:rPr>
        <w:t xml:space="preserve">85. </w:t>
      </w:r>
    </w:p>
    <w:p w14:paraId="47A8F3E0" w14:textId="48FCAA2E"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24. </w:t>
      </w:r>
      <w:r w:rsidRPr="0069173E">
        <w:rPr>
          <w:rFonts w:ascii="Times New Roman" w:hAnsi="Times New Roman" w:cs="Times New Roman"/>
          <w:sz w:val="22"/>
          <w:szCs w:val="22"/>
        </w:rPr>
        <w:tab/>
        <w:t xml:space="preserve">Kumachev A, Trudeau ME, Chan KKW. Associations among socioeconomic status, patterns of care and outcomes in breast cancer patients in a universal health care system: Ontario’s experience. </w:t>
      </w:r>
      <w:r w:rsidRPr="0069173E">
        <w:rPr>
          <w:rFonts w:ascii="Times New Roman" w:hAnsi="Times New Roman" w:cs="Times New Roman"/>
          <w:i/>
          <w:iCs/>
          <w:sz w:val="22"/>
          <w:szCs w:val="22"/>
        </w:rPr>
        <w:t xml:space="preserve">Cancer </w:t>
      </w:r>
      <w:r w:rsidRPr="0069173E">
        <w:rPr>
          <w:rFonts w:ascii="Times New Roman" w:hAnsi="Times New Roman" w:cs="Times New Roman"/>
          <w:b/>
          <w:bCs/>
          <w:sz w:val="22"/>
          <w:szCs w:val="22"/>
        </w:rPr>
        <w:t>2016</w:t>
      </w:r>
      <w:r w:rsidRPr="0069173E">
        <w:rPr>
          <w:rFonts w:ascii="Times New Roman" w:hAnsi="Times New Roman" w:cs="Times New Roman"/>
          <w:sz w:val="22"/>
          <w:szCs w:val="22"/>
        </w:rPr>
        <w:t>;122(6):893–</w:t>
      </w:r>
      <w:r w:rsidR="00C73CCE" w:rsidRPr="0069173E">
        <w:rPr>
          <w:rFonts w:ascii="Times New Roman" w:hAnsi="Times New Roman" w:cs="Times New Roman"/>
          <w:sz w:val="22"/>
          <w:szCs w:val="22"/>
        </w:rPr>
        <w:t>89</w:t>
      </w:r>
      <w:r w:rsidRPr="0069173E">
        <w:rPr>
          <w:rFonts w:ascii="Times New Roman" w:hAnsi="Times New Roman" w:cs="Times New Roman"/>
          <w:sz w:val="22"/>
          <w:szCs w:val="22"/>
        </w:rPr>
        <w:t xml:space="preserve">8. </w:t>
      </w:r>
    </w:p>
    <w:p w14:paraId="37A0B4B0" w14:textId="34E65AF0"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25. </w:t>
      </w:r>
      <w:r w:rsidRPr="0069173E">
        <w:rPr>
          <w:rFonts w:ascii="Times New Roman" w:hAnsi="Times New Roman" w:cs="Times New Roman"/>
          <w:sz w:val="22"/>
          <w:szCs w:val="22"/>
        </w:rPr>
        <w:tab/>
        <w:t xml:space="preserve">Goldhar HA, Yan AT, Ko DT, Earle CC, Tomlinson GA, Trudeau ME, </w:t>
      </w:r>
      <w:r w:rsidRPr="0069173E">
        <w:rPr>
          <w:rFonts w:ascii="Times New Roman" w:hAnsi="Times New Roman" w:cs="Times New Roman"/>
          <w:i/>
          <w:iCs/>
          <w:sz w:val="22"/>
          <w:szCs w:val="22"/>
        </w:rPr>
        <w:t>et al.</w:t>
      </w:r>
      <w:r w:rsidRPr="0069173E">
        <w:rPr>
          <w:rFonts w:ascii="Times New Roman" w:hAnsi="Times New Roman" w:cs="Times New Roman"/>
          <w:sz w:val="22"/>
          <w:szCs w:val="22"/>
        </w:rPr>
        <w:t xml:space="preserve"> The </w:t>
      </w:r>
      <w:r w:rsidR="00C73CCE" w:rsidRPr="0069173E">
        <w:rPr>
          <w:rFonts w:ascii="Times New Roman" w:hAnsi="Times New Roman" w:cs="Times New Roman"/>
          <w:sz w:val="22"/>
          <w:szCs w:val="22"/>
        </w:rPr>
        <w:t>t</w:t>
      </w:r>
      <w:r w:rsidRPr="0069173E">
        <w:rPr>
          <w:rFonts w:ascii="Times New Roman" w:hAnsi="Times New Roman" w:cs="Times New Roman"/>
          <w:sz w:val="22"/>
          <w:szCs w:val="22"/>
        </w:rPr>
        <w:t xml:space="preserve">emporal </w:t>
      </w:r>
      <w:r w:rsidR="00C73CCE" w:rsidRPr="0069173E">
        <w:rPr>
          <w:rFonts w:ascii="Times New Roman" w:hAnsi="Times New Roman" w:cs="Times New Roman"/>
          <w:sz w:val="22"/>
          <w:szCs w:val="22"/>
        </w:rPr>
        <w:t>r</w:t>
      </w:r>
      <w:r w:rsidRPr="0069173E">
        <w:rPr>
          <w:rFonts w:ascii="Times New Roman" w:hAnsi="Times New Roman" w:cs="Times New Roman"/>
          <w:sz w:val="22"/>
          <w:szCs w:val="22"/>
        </w:rPr>
        <w:t xml:space="preserve">isk of </w:t>
      </w:r>
      <w:r w:rsidR="00C73CCE" w:rsidRPr="0069173E">
        <w:rPr>
          <w:rFonts w:ascii="Times New Roman" w:hAnsi="Times New Roman" w:cs="Times New Roman"/>
          <w:sz w:val="22"/>
          <w:szCs w:val="22"/>
        </w:rPr>
        <w:t>h</w:t>
      </w:r>
      <w:r w:rsidRPr="0069173E">
        <w:rPr>
          <w:rFonts w:ascii="Times New Roman" w:hAnsi="Times New Roman" w:cs="Times New Roman"/>
          <w:sz w:val="22"/>
          <w:szCs w:val="22"/>
        </w:rPr>
        <w:t xml:space="preserve">eart </w:t>
      </w:r>
      <w:r w:rsidR="00C73CCE" w:rsidRPr="0069173E">
        <w:rPr>
          <w:rFonts w:ascii="Times New Roman" w:hAnsi="Times New Roman" w:cs="Times New Roman"/>
          <w:sz w:val="22"/>
          <w:szCs w:val="22"/>
        </w:rPr>
        <w:t>f</w:t>
      </w:r>
      <w:r w:rsidRPr="0069173E">
        <w:rPr>
          <w:rFonts w:ascii="Times New Roman" w:hAnsi="Times New Roman" w:cs="Times New Roman"/>
          <w:sz w:val="22"/>
          <w:szCs w:val="22"/>
        </w:rPr>
        <w:t xml:space="preserve">ailure </w:t>
      </w:r>
      <w:r w:rsidR="00C73CCE" w:rsidRPr="0069173E">
        <w:rPr>
          <w:rFonts w:ascii="Times New Roman" w:hAnsi="Times New Roman" w:cs="Times New Roman"/>
          <w:sz w:val="22"/>
          <w:szCs w:val="22"/>
        </w:rPr>
        <w:t>a</w:t>
      </w:r>
      <w:r w:rsidRPr="0069173E">
        <w:rPr>
          <w:rFonts w:ascii="Times New Roman" w:hAnsi="Times New Roman" w:cs="Times New Roman"/>
          <w:sz w:val="22"/>
          <w:szCs w:val="22"/>
        </w:rPr>
        <w:t xml:space="preserve">ssociated </w:t>
      </w:r>
      <w:r w:rsidR="00C73CCE" w:rsidRPr="0069173E">
        <w:rPr>
          <w:rFonts w:ascii="Times New Roman" w:hAnsi="Times New Roman" w:cs="Times New Roman"/>
          <w:sz w:val="22"/>
          <w:szCs w:val="22"/>
        </w:rPr>
        <w:t>w</w:t>
      </w:r>
      <w:r w:rsidRPr="0069173E">
        <w:rPr>
          <w:rFonts w:ascii="Times New Roman" w:hAnsi="Times New Roman" w:cs="Times New Roman"/>
          <w:sz w:val="22"/>
          <w:szCs w:val="22"/>
        </w:rPr>
        <w:t xml:space="preserve">ith </w:t>
      </w:r>
      <w:r w:rsidR="00C73CCE" w:rsidRPr="0069173E">
        <w:rPr>
          <w:rFonts w:ascii="Times New Roman" w:hAnsi="Times New Roman" w:cs="Times New Roman"/>
          <w:sz w:val="22"/>
          <w:szCs w:val="22"/>
        </w:rPr>
        <w:t>a</w:t>
      </w:r>
      <w:r w:rsidRPr="0069173E">
        <w:rPr>
          <w:rFonts w:ascii="Times New Roman" w:hAnsi="Times New Roman" w:cs="Times New Roman"/>
          <w:sz w:val="22"/>
          <w:szCs w:val="22"/>
        </w:rPr>
        <w:t xml:space="preserve">djuvant </w:t>
      </w:r>
      <w:r w:rsidR="00C73CCE" w:rsidRPr="0069173E">
        <w:rPr>
          <w:rFonts w:ascii="Times New Roman" w:hAnsi="Times New Roman" w:cs="Times New Roman"/>
          <w:sz w:val="22"/>
          <w:szCs w:val="22"/>
        </w:rPr>
        <w:t>t</w:t>
      </w:r>
      <w:r w:rsidRPr="0069173E">
        <w:rPr>
          <w:rFonts w:ascii="Times New Roman" w:hAnsi="Times New Roman" w:cs="Times New Roman"/>
          <w:sz w:val="22"/>
          <w:szCs w:val="22"/>
        </w:rPr>
        <w:t xml:space="preserve">rastuzumab in </w:t>
      </w:r>
      <w:r w:rsidR="00C73CCE" w:rsidRPr="0069173E">
        <w:rPr>
          <w:rFonts w:ascii="Times New Roman" w:hAnsi="Times New Roman" w:cs="Times New Roman"/>
          <w:sz w:val="22"/>
          <w:szCs w:val="22"/>
        </w:rPr>
        <w:t>b</w:t>
      </w:r>
      <w:r w:rsidRPr="0069173E">
        <w:rPr>
          <w:rFonts w:ascii="Times New Roman" w:hAnsi="Times New Roman" w:cs="Times New Roman"/>
          <w:sz w:val="22"/>
          <w:szCs w:val="22"/>
        </w:rPr>
        <w:t xml:space="preserve">reast </w:t>
      </w:r>
      <w:r w:rsidR="00C73CCE" w:rsidRPr="0069173E">
        <w:rPr>
          <w:rFonts w:ascii="Times New Roman" w:hAnsi="Times New Roman" w:cs="Times New Roman"/>
          <w:sz w:val="22"/>
          <w:szCs w:val="22"/>
        </w:rPr>
        <w:t>c</w:t>
      </w:r>
      <w:r w:rsidRPr="0069173E">
        <w:rPr>
          <w:rFonts w:ascii="Times New Roman" w:hAnsi="Times New Roman" w:cs="Times New Roman"/>
          <w:sz w:val="22"/>
          <w:szCs w:val="22"/>
        </w:rPr>
        <w:t xml:space="preserve">ancer </w:t>
      </w:r>
      <w:r w:rsidR="00C73CCE" w:rsidRPr="0069173E">
        <w:rPr>
          <w:rFonts w:ascii="Times New Roman" w:hAnsi="Times New Roman" w:cs="Times New Roman"/>
          <w:sz w:val="22"/>
          <w:szCs w:val="22"/>
        </w:rPr>
        <w:t>p</w:t>
      </w:r>
      <w:r w:rsidRPr="0069173E">
        <w:rPr>
          <w:rFonts w:ascii="Times New Roman" w:hAnsi="Times New Roman" w:cs="Times New Roman"/>
          <w:sz w:val="22"/>
          <w:szCs w:val="22"/>
        </w:rPr>
        <w:t xml:space="preserve">atients: </w:t>
      </w:r>
      <w:r w:rsidR="00C73CCE" w:rsidRPr="0069173E">
        <w:rPr>
          <w:rFonts w:ascii="Times New Roman" w:hAnsi="Times New Roman" w:cs="Times New Roman"/>
          <w:sz w:val="22"/>
          <w:szCs w:val="22"/>
        </w:rPr>
        <w:t>a</w:t>
      </w:r>
      <w:r w:rsidRPr="0069173E">
        <w:rPr>
          <w:rFonts w:ascii="Times New Roman" w:hAnsi="Times New Roman" w:cs="Times New Roman"/>
          <w:sz w:val="22"/>
          <w:szCs w:val="22"/>
        </w:rPr>
        <w:t xml:space="preserve"> </w:t>
      </w:r>
      <w:r w:rsidR="00C73CCE" w:rsidRPr="0069173E">
        <w:rPr>
          <w:rFonts w:ascii="Times New Roman" w:hAnsi="Times New Roman" w:cs="Times New Roman"/>
          <w:sz w:val="22"/>
          <w:szCs w:val="22"/>
        </w:rPr>
        <w:t>p</w:t>
      </w:r>
      <w:r w:rsidRPr="0069173E">
        <w:rPr>
          <w:rFonts w:ascii="Times New Roman" w:hAnsi="Times New Roman" w:cs="Times New Roman"/>
          <w:sz w:val="22"/>
          <w:szCs w:val="22"/>
        </w:rPr>
        <w:t xml:space="preserve">opulation </w:t>
      </w:r>
      <w:r w:rsidR="00C73CCE" w:rsidRPr="0069173E">
        <w:rPr>
          <w:rFonts w:ascii="Times New Roman" w:hAnsi="Times New Roman" w:cs="Times New Roman"/>
          <w:sz w:val="22"/>
          <w:szCs w:val="22"/>
        </w:rPr>
        <w:t>s</w:t>
      </w:r>
      <w:r w:rsidRPr="0069173E">
        <w:rPr>
          <w:rFonts w:ascii="Times New Roman" w:hAnsi="Times New Roman" w:cs="Times New Roman"/>
          <w:sz w:val="22"/>
          <w:szCs w:val="22"/>
        </w:rPr>
        <w:t>tudy.</w:t>
      </w:r>
      <w:r w:rsidRPr="0069173E">
        <w:rPr>
          <w:rFonts w:ascii="Times New Roman" w:hAnsi="Times New Roman" w:cs="Times New Roman"/>
          <w:i/>
          <w:iCs/>
          <w:sz w:val="22"/>
          <w:szCs w:val="22"/>
        </w:rPr>
        <w:t xml:space="preserve"> JNCI</w:t>
      </w:r>
      <w:r w:rsidRPr="0069173E">
        <w:rPr>
          <w:rFonts w:ascii="Times New Roman" w:hAnsi="Times New Roman" w:cs="Times New Roman"/>
          <w:b/>
          <w:bCs/>
          <w:i/>
          <w:iCs/>
          <w:sz w:val="22"/>
          <w:szCs w:val="22"/>
        </w:rPr>
        <w:t xml:space="preserve"> </w:t>
      </w:r>
      <w:r w:rsidRPr="0069173E">
        <w:rPr>
          <w:rFonts w:ascii="Times New Roman" w:hAnsi="Times New Roman" w:cs="Times New Roman"/>
          <w:b/>
          <w:bCs/>
          <w:sz w:val="22"/>
          <w:szCs w:val="22"/>
        </w:rPr>
        <w:t>2016</w:t>
      </w:r>
      <w:r w:rsidRPr="0069173E">
        <w:rPr>
          <w:rFonts w:ascii="Times New Roman" w:hAnsi="Times New Roman" w:cs="Times New Roman"/>
          <w:sz w:val="22"/>
          <w:szCs w:val="22"/>
        </w:rPr>
        <w:t>;108(1)</w:t>
      </w:r>
      <w:r w:rsidR="00616585">
        <w:rPr>
          <w:rStyle w:val="citation-doi"/>
          <w:rFonts w:ascii="Times New Roman" w:hAnsi="Times New Roman" w:cs="Times New Roman"/>
          <w:color w:val="000000" w:themeColor="text1"/>
          <w:sz w:val="22"/>
          <w:szCs w:val="22"/>
        </w:rPr>
        <w:t>:</w:t>
      </w:r>
      <w:r w:rsidR="00C73CCE" w:rsidRPr="0069173E">
        <w:rPr>
          <w:rStyle w:val="citation-doi"/>
          <w:rFonts w:ascii="Times New Roman" w:hAnsi="Times New Roman" w:cs="Times New Roman"/>
          <w:color w:val="000000" w:themeColor="text1"/>
          <w:sz w:val="22"/>
          <w:szCs w:val="22"/>
        </w:rPr>
        <w:t>djv30.</w:t>
      </w:r>
    </w:p>
    <w:p w14:paraId="2B409563" w14:textId="6424A680"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26. </w:t>
      </w:r>
      <w:r w:rsidRPr="0069173E">
        <w:rPr>
          <w:rFonts w:ascii="Times New Roman" w:hAnsi="Times New Roman" w:cs="Times New Roman"/>
          <w:sz w:val="22"/>
          <w:szCs w:val="22"/>
        </w:rPr>
        <w:tab/>
        <w:t xml:space="preserve">Thavendiranathan P, Abdel-Qadir H, Fischer HD, Camacho X, Amir E, Austin PC, </w:t>
      </w:r>
      <w:r w:rsidRPr="0069173E">
        <w:rPr>
          <w:rFonts w:ascii="Times New Roman" w:hAnsi="Times New Roman" w:cs="Times New Roman"/>
          <w:i/>
          <w:iCs/>
          <w:sz w:val="22"/>
          <w:szCs w:val="22"/>
        </w:rPr>
        <w:t>et al.</w:t>
      </w:r>
      <w:r w:rsidRPr="0069173E">
        <w:rPr>
          <w:rFonts w:ascii="Times New Roman" w:hAnsi="Times New Roman" w:cs="Times New Roman"/>
          <w:sz w:val="22"/>
          <w:szCs w:val="22"/>
        </w:rPr>
        <w:t xml:space="preserve"> Breast </w:t>
      </w:r>
      <w:r w:rsidR="00C73CCE" w:rsidRPr="0069173E">
        <w:rPr>
          <w:rFonts w:ascii="Times New Roman" w:hAnsi="Times New Roman" w:cs="Times New Roman"/>
          <w:sz w:val="22"/>
          <w:szCs w:val="22"/>
        </w:rPr>
        <w:t>c</w:t>
      </w:r>
      <w:r w:rsidRPr="0069173E">
        <w:rPr>
          <w:rFonts w:ascii="Times New Roman" w:hAnsi="Times New Roman" w:cs="Times New Roman"/>
          <w:sz w:val="22"/>
          <w:szCs w:val="22"/>
        </w:rPr>
        <w:t xml:space="preserve">ancer </w:t>
      </w:r>
      <w:r w:rsidR="00C73CCE" w:rsidRPr="0069173E">
        <w:rPr>
          <w:rFonts w:ascii="Times New Roman" w:hAnsi="Times New Roman" w:cs="Times New Roman"/>
          <w:sz w:val="22"/>
          <w:szCs w:val="22"/>
        </w:rPr>
        <w:t>t</w:t>
      </w:r>
      <w:r w:rsidRPr="0069173E">
        <w:rPr>
          <w:rFonts w:ascii="Times New Roman" w:hAnsi="Times New Roman" w:cs="Times New Roman"/>
          <w:sz w:val="22"/>
          <w:szCs w:val="22"/>
        </w:rPr>
        <w:t>herapy-</w:t>
      </w:r>
      <w:r w:rsidR="00C73CCE" w:rsidRPr="0069173E">
        <w:rPr>
          <w:rFonts w:ascii="Times New Roman" w:hAnsi="Times New Roman" w:cs="Times New Roman"/>
          <w:sz w:val="22"/>
          <w:szCs w:val="22"/>
        </w:rPr>
        <w:t>r</w:t>
      </w:r>
      <w:r w:rsidRPr="0069173E">
        <w:rPr>
          <w:rFonts w:ascii="Times New Roman" w:hAnsi="Times New Roman" w:cs="Times New Roman"/>
          <w:sz w:val="22"/>
          <w:szCs w:val="22"/>
        </w:rPr>
        <w:t xml:space="preserve">elated </w:t>
      </w:r>
      <w:r w:rsidR="00C73CCE" w:rsidRPr="0069173E">
        <w:rPr>
          <w:rFonts w:ascii="Times New Roman" w:hAnsi="Times New Roman" w:cs="Times New Roman"/>
          <w:sz w:val="22"/>
          <w:szCs w:val="22"/>
        </w:rPr>
        <w:t>c</w:t>
      </w:r>
      <w:r w:rsidRPr="0069173E">
        <w:rPr>
          <w:rFonts w:ascii="Times New Roman" w:hAnsi="Times New Roman" w:cs="Times New Roman"/>
          <w:sz w:val="22"/>
          <w:szCs w:val="22"/>
        </w:rPr>
        <w:t xml:space="preserve">ardiac </w:t>
      </w:r>
      <w:r w:rsidR="00C73CCE" w:rsidRPr="0069173E">
        <w:rPr>
          <w:rFonts w:ascii="Times New Roman" w:hAnsi="Times New Roman" w:cs="Times New Roman"/>
          <w:sz w:val="22"/>
          <w:szCs w:val="22"/>
        </w:rPr>
        <w:t>d</w:t>
      </w:r>
      <w:r w:rsidRPr="0069173E">
        <w:rPr>
          <w:rFonts w:ascii="Times New Roman" w:hAnsi="Times New Roman" w:cs="Times New Roman"/>
          <w:sz w:val="22"/>
          <w:szCs w:val="22"/>
        </w:rPr>
        <w:t xml:space="preserve">ysfunction in </w:t>
      </w:r>
      <w:r w:rsidR="00C73CCE" w:rsidRPr="0069173E">
        <w:rPr>
          <w:rFonts w:ascii="Times New Roman" w:hAnsi="Times New Roman" w:cs="Times New Roman"/>
          <w:sz w:val="22"/>
          <w:szCs w:val="22"/>
        </w:rPr>
        <w:t>a</w:t>
      </w:r>
      <w:r w:rsidRPr="0069173E">
        <w:rPr>
          <w:rFonts w:ascii="Times New Roman" w:hAnsi="Times New Roman" w:cs="Times New Roman"/>
          <w:sz w:val="22"/>
          <w:szCs w:val="22"/>
        </w:rPr>
        <w:t xml:space="preserve">dult </w:t>
      </w:r>
      <w:r w:rsidR="00C73CCE" w:rsidRPr="0069173E">
        <w:rPr>
          <w:rFonts w:ascii="Times New Roman" w:hAnsi="Times New Roman" w:cs="Times New Roman"/>
          <w:sz w:val="22"/>
          <w:szCs w:val="22"/>
        </w:rPr>
        <w:t>w</w:t>
      </w:r>
      <w:r w:rsidRPr="0069173E">
        <w:rPr>
          <w:rFonts w:ascii="Times New Roman" w:hAnsi="Times New Roman" w:cs="Times New Roman"/>
          <w:sz w:val="22"/>
          <w:szCs w:val="22"/>
        </w:rPr>
        <w:t xml:space="preserve">omen </w:t>
      </w:r>
      <w:r w:rsidR="00C73CCE" w:rsidRPr="0069173E">
        <w:rPr>
          <w:rFonts w:ascii="Times New Roman" w:hAnsi="Times New Roman" w:cs="Times New Roman"/>
          <w:sz w:val="22"/>
          <w:szCs w:val="22"/>
        </w:rPr>
        <w:t>t</w:t>
      </w:r>
      <w:r w:rsidRPr="0069173E">
        <w:rPr>
          <w:rFonts w:ascii="Times New Roman" w:hAnsi="Times New Roman" w:cs="Times New Roman"/>
          <w:sz w:val="22"/>
          <w:szCs w:val="22"/>
        </w:rPr>
        <w:t xml:space="preserve">reated in </w:t>
      </w:r>
      <w:r w:rsidR="00C73CCE" w:rsidRPr="0069173E">
        <w:rPr>
          <w:rFonts w:ascii="Times New Roman" w:hAnsi="Times New Roman" w:cs="Times New Roman"/>
          <w:sz w:val="22"/>
          <w:szCs w:val="22"/>
        </w:rPr>
        <w:t>r</w:t>
      </w:r>
      <w:r w:rsidRPr="0069173E">
        <w:rPr>
          <w:rFonts w:ascii="Times New Roman" w:hAnsi="Times New Roman" w:cs="Times New Roman"/>
          <w:sz w:val="22"/>
          <w:szCs w:val="22"/>
        </w:rPr>
        <w:t xml:space="preserve">outine </w:t>
      </w:r>
      <w:r w:rsidR="00C73CCE" w:rsidRPr="0069173E">
        <w:rPr>
          <w:rFonts w:ascii="Times New Roman" w:hAnsi="Times New Roman" w:cs="Times New Roman"/>
          <w:sz w:val="22"/>
          <w:szCs w:val="22"/>
        </w:rPr>
        <w:t>c</w:t>
      </w:r>
      <w:r w:rsidRPr="0069173E">
        <w:rPr>
          <w:rFonts w:ascii="Times New Roman" w:hAnsi="Times New Roman" w:cs="Times New Roman"/>
          <w:sz w:val="22"/>
          <w:szCs w:val="22"/>
        </w:rPr>
        <w:t xml:space="preserve">linical </w:t>
      </w:r>
      <w:r w:rsidR="00C73CCE" w:rsidRPr="0069173E">
        <w:rPr>
          <w:rFonts w:ascii="Times New Roman" w:hAnsi="Times New Roman" w:cs="Times New Roman"/>
          <w:sz w:val="22"/>
          <w:szCs w:val="22"/>
        </w:rPr>
        <w:t>p</w:t>
      </w:r>
      <w:r w:rsidRPr="0069173E">
        <w:rPr>
          <w:rFonts w:ascii="Times New Roman" w:hAnsi="Times New Roman" w:cs="Times New Roman"/>
          <w:sz w:val="22"/>
          <w:szCs w:val="22"/>
        </w:rPr>
        <w:t xml:space="preserve">ractice: </w:t>
      </w:r>
      <w:r w:rsidR="00C73CCE" w:rsidRPr="0069173E">
        <w:rPr>
          <w:rFonts w:ascii="Times New Roman" w:hAnsi="Times New Roman" w:cs="Times New Roman"/>
          <w:sz w:val="22"/>
          <w:szCs w:val="22"/>
        </w:rPr>
        <w:t>a</w:t>
      </w:r>
      <w:r w:rsidRPr="0069173E">
        <w:rPr>
          <w:rFonts w:ascii="Times New Roman" w:hAnsi="Times New Roman" w:cs="Times New Roman"/>
          <w:sz w:val="22"/>
          <w:szCs w:val="22"/>
        </w:rPr>
        <w:t xml:space="preserve"> </w:t>
      </w:r>
      <w:r w:rsidR="00C73CCE" w:rsidRPr="0069173E">
        <w:rPr>
          <w:rFonts w:ascii="Times New Roman" w:hAnsi="Times New Roman" w:cs="Times New Roman"/>
          <w:sz w:val="22"/>
          <w:szCs w:val="22"/>
        </w:rPr>
        <w:t>p</w:t>
      </w:r>
      <w:r w:rsidRPr="0069173E">
        <w:rPr>
          <w:rFonts w:ascii="Times New Roman" w:hAnsi="Times New Roman" w:cs="Times New Roman"/>
          <w:sz w:val="22"/>
          <w:szCs w:val="22"/>
        </w:rPr>
        <w:t>opulation-</w:t>
      </w:r>
      <w:r w:rsidR="00C73CCE" w:rsidRPr="0069173E">
        <w:rPr>
          <w:rFonts w:ascii="Times New Roman" w:hAnsi="Times New Roman" w:cs="Times New Roman"/>
          <w:sz w:val="22"/>
          <w:szCs w:val="22"/>
        </w:rPr>
        <w:t>b</w:t>
      </w:r>
      <w:r w:rsidRPr="0069173E">
        <w:rPr>
          <w:rFonts w:ascii="Times New Roman" w:hAnsi="Times New Roman" w:cs="Times New Roman"/>
          <w:sz w:val="22"/>
          <w:szCs w:val="22"/>
        </w:rPr>
        <w:t xml:space="preserve">ased </w:t>
      </w:r>
      <w:r w:rsidR="00C73CCE" w:rsidRPr="0069173E">
        <w:rPr>
          <w:rFonts w:ascii="Times New Roman" w:hAnsi="Times New Roman" w:cs="Times New Roman"/>
          <w:sz w:val="22"/>
          <w:szCs w:val="22"/>
        </w:rPr>
        <w:t>c</w:t>
      </w:r>
      <w:r w:rsidRPr="0069173E">
        <w:rPr>
          <w:rFonts w:ascii="Times New Roman" w:hAnsi="Times New Roman" w:cs="Times New Roman"/>
          <w:sz w:val="22"/>
          <w:szCs w:val="22"/>
        </w:rPr>
        <w:t xml:space="preserve">ohort </w:t>
      </w:r>
      <w:r w:rsidR="00C73CCE" w:rsidRPr="0069173E">
        <w:rPr>
          <w:rFonts w:ascii="Times New Roman" w:hAnsi="Times New Roman" w:cs="Times New Roman"/>
          <w:sz w:val="22"/>
          <w:szCs w:val="22"/>
        </w:rPr>
        <w:t>s</w:t>
      </w:r>
      <w:r w:rsidRPr="0069173E">
        <w:rPr>
          <w:rFonts w:ascii="Times New Roman" w:hAnsi="Times New Roman" w:cs="Times New Roman"/>
          <w:sz w:val="22"/>
          <w:szCs w:val="22"/>
        </w:rPr>
        <w:t>tudy.</w:t>
      </w:r>
      <w:r w:rsidRPr="0069173E">
        <w:rPr>
          <w:rFonts w:ascii="Times New Roman" w:hAnsi="Times New Roman" w:cs="Times New Roman"/>
          <w:i/>
          <w:iCs/>
          <w:sz w:val="22"/>
          <w:szCs w:val="22"/>
        </w:rPr>
        <w:t xml:space="preserve"> J Clin Oncol</w:t>
      </w:r>
      <w:r w:rsidRPr="0069173E">
        <w:rPr>
          <w:rFonts w:ascii="Times New Roman" w:hAnsi="Times New Roman" w:cs="Times New Roman"/>
          <w:sz w:val="22"/>
          <w:szCs w:val="22"/>
        </w:rPr>
        <w:t xml:space="preserve"> </w:t>
      </w:r>
      <w:r w:rsidRPr="0069173E">
        <w:rPr>
          <w:rFonts w:ascii="Times New Roman" w:hAnsi="Times New Roman" w:cs="Times New Roman"/>
          <w:b/>
          <w:bCs/>
          <w:sz w:val="22"/>
          <w:szCs w:val="22"/>
        </w:rPr>
        <w:t>2016</w:t>
      </w:r>
      <w:r w:rsidRPr="0069173E">
        <w:rPr>
          <w:rFonts w:ascii="Times New Roman" w:hAnsi="Times New Roman" w:cs="Times New Roman"/>
          <w:sz w:val="22"/>
          <w:szCs w:val="22"/>
        </w:rPr>
        <w:t>;34(19):2239–</w:t>
      </w:r>
      <w:r w:rsidR="00C73CCE" w:rsidRPr="0069173E">
        <w:rPr>
          <w:rFonts w:ascii="Times New Roman" w:hAnsi="Times New Roman" w:cs="Times New Roman"/>
          <w:sz w:val="22"/>
          <w:szCs w:val="22"/>
        </w:rPr>
        <w:t>22</w:t>
      </w:r>
      <w:r w:rsidRPr="0069173E">
        <w:rPr>
          <w:rFonts w:ascii="Times New Roman" w:hAnsi="Times New Roman" w:cs="Times New Roman"/>
          <w:sz w:val="22"/>
          <w:szCs w:val="22"/>
        </w:rPr>
        <w:t xml:space="preserve">46. </w:t>
      </w:r>
    </w:p>
    <w:p w14:paraId="67AFBB72" w14:textId="3262F2D1"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27. </w:t>
      </w:r>
      <w:r w:rsidRPr="0069173E">
        <w:rPr>
          <w:rFonts w:ascii="Times New Roman" w:hAnsi="Times New Roman" w:cs="Times New Roman"/>
          <w:sz w:val="22"/>
          <w:szCs w:val="22"/>
        </w:rPr>
        <w:tab/>
        <w:t>Lu CY, Srasuebkul P, Drew AK, Chen K, Ward RL, Pearson SA. Trastuzumab therapy in Australia: which patients with HER2+ metastatic breast cancer are assessed for cardiac function?</w:t>
      </w:r>
      <w:r w:rsidRPr="0069173E">
        <w:rPr>
          <w:rFonts w:ascii="Times New Roman" w:hAnsi="Times New Roman" w:cs="Times New Roman"/>
          <w:i/>
          <w:iCs/>
          <w:sz w:val="22"/>
          <w:szCs w:val="22"/>
        </w:rPr>
        <w:t xml:space="preserve"> Breast</w:t>
      </w:r>
      <w:r w:rsidRPr="0069173E">
        <w:rPr>
          <w:rFonts w:ascii="Times New Roman" w:hAnsi="Times New Roman" w:cs="Times New Roman"/>
          <w:sz w:val="22"/>
          <w:szCs w:val="22"/>
        </w:rPr>
        <w:t xml:space="preserve"> </w:t>
      </w:r>
      <w:r w:rsidRPr="0069173E">
        <w:rPr>
          <w:rFonts w:ascii="Times New Roman" w:hAnsi="Times New Roman" w:cs="Times New Roman"/>
          <w:b/>
          <w:bCs/>
          <w:sz w:val="22"/>
          <w:szCs w:val="22"/>
        </w:rPr>
        <w:t>2013</w:t>
      </w:r>
      <w:r w:rsidRPr="0069173E">
        <w:rPr>
          <w:rFonts w:ascii="Times New Roman" w:hAnsi="Times New Roman" w:cs="Times New Roman"/>
          <w:sz w:val="22"/>
          <w:szCs w:val="22"/>
        </w:rPr>
        <w:t>;22(4):482–</w:t>
      </w:r>
      <w:r w:rsidR="00C73CCE" w:rsidRPr="0069173E">
        <w:rPr>
          <w:rFonts w:ascii="Times New Roman" w:hAnsi="Times New Roman" w:cs="Times New Roman"/>
          <w:sz w:val="22"/>
          <w:szCs w:val="22"/>
        </w:rPr>
        <w:t>48</w:t>
      </w:r>
      <w:r w:rsidRPr="0069173E">
        <w:rPr>
          <w:rFonts w:ascii="Times New Roman" w:hAnsi="Times New Roman" w:cs="Times New Roman"/>
          <w:sz w:val="22"/>
          <w:szCs w:val="22"/>
        </w:rPr>
        <w:t xml:space="preserve">7. </w:t>
      </w:r>
    </w:p>
    <w:p w14:paraId="5BB7055D" w14:textId="0D932068"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28. </w:t>
      </w:r>
      <w:r w:rsidRPr="0069173E">
        <w:rPr>
          <w:rFonts w:ascii="Times New Roman" w:hAnsi="Times New Roman" w:cs="Times New Roman"/>
          <w:sz w:val="22"/>
          <w:szCs w:val="22"/>
        </w:rPr>
        <w:tab/>
        <w:t xml:space="preserve">Tang M, Schaffer AL, Kiely BE, Daniels B, Lee CK, Simes RJ, </w:t>
      </w:r>
      <w:r w:rsidRPr="0069173E">
        <w:rPr>
          <w:rFonts w:ascii="Times New Roman" w:hAnsi="Times New Roman" w:cs="Times New Roman"/>
          <w:i/>
          <w:iCs/>
          <w:sz w:val="22"/>
          <w:szCs w:val="22"/>
        </w:rPr>
        <w:t xml:space="preserve">et al. </w:t>
      </w:r>
      <w:r w:rsidRPr="0069173E">
        <w:rPr>
          <w:rFonts w:ascii="Times New Roman" w:hAnsi="Times New Roman" w:cs="Times New Roman"/>
          <w:sz w:val="22"/>
          <w:szCs w:val="22"/>
        </w:rPr>
        <w:t xml:space="preserve">Cardiac assessment in Australian patients receiving (neo)adjuvant trastuzumab for HER2-positive early breast cancer: a population-based study. </w:t>
      </w:r>
      <w:r w:rsidRPr="0069173E">
        <w:rPr>
          <w:rFonts w:ascii="Times New Roman" w:hAnsi="Times New Roman" w:cs="Times New Roman"/>
          <w:i/>
          <w:iCs/>
          <w:sz w:val="22"/>
          <w:szCs w:val="22"/>
        </w:rPr>
        <w:t xml:space="preserve">Breast Cancer Res Treat </w:t>
      </w:r>
      <w:r w:rsidRPr="0069173E">
        <w:rPr>
          <w:rFonts w:ascii="Times New Roman" w:hAnsi="Times New Roman" w:cs="Times New Roman"/>
          <w:b/>
          <w:bCs/>
          <w:sz w:val="22"/>
          <w:szCs w:val="22"/>
        </w:rPr>
        <w:t>2021</w:t>
      </w:r>
      <w:r w:rsidRPr="0069173E">
        <w:rPr>
          <w:rFonts w:ascii="Times New Roman" w:hAnsi="Times New Roman" w:cs="Times New Roman"/>
          <w:sz w:val="22"/>
          <w:szCs w:val="22"/>
        </w:rPr>
        <w:t xml:space="preserve">;187:893–902. </w:t>
      </w:r>
    </w:p>
    <w:p w14:paraId="1755B1C8" w14:textId="65FDFEF2"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29. </w:t>
      </w:r>
      <w:r w:rsidRPr="0069173E">
        <w:rPr>
          <w:rFonts w:ascii="Times New Roman" w:hAnsi="Times New Roman" w:cs="Times New Roman"/>
          <w:sz w:val="22"/>
          <w:szCs w:val="22"/>
        </w:rPr>
        <w:tab/>
        <w:t xml:space="preserve">Tang M, Schaffer A, Kiely BE, Daniels B, Simes RJ, Lee CK, </w:t>
      </w:r>
      <w:r w:rsidRPr="0069173E">
        <w:rPr>
          <w:rFonts w:ascii="Times New Roman" w:hAnsi="Times New Roman" w:cs="Times New Roman"/>
          <w:i/>
          <w:iCs/>
          <w:sz w:val="22"/>
          <w:szCs w:val="22"/>
        </w:rPr>
        <w:t>et al.</w:t>
      </w:r>
      <w:r w:rsidRPr="0069173E">
        <w:rPr>
          <w:rFonts w:ascii="Times New Roman" w:hAnsi="Times New Roman" w:cs="Times New Roman"/>
          <w:sz w:val="22"/>
          <w:szCs w:val="22"/>
        </w:rPr>
        <w:t xml:space="preserve"> Treatment patterns and survival in HER2-positive early breast cancer: a whole-of-population Australian cohort study (2007–2016). </w:t>
      </w:r>
      <w:r w:rsidRPr="0069173E">
        <w:rPr>
          <w:rFonts w:ascii="Times New Roman" w:hAnsi="Times New Roman" w:cs="Times New Roman"/>
          <w:i/>
          <w:iCs/>
          <w:sz w:val="22"/>
          <w:szCs w:val="22"/>
        </w:rPr>
        <w:t xml:space="preserve">Br J Cancer </w:t>
      </w:r>
      <w:r w:rsidRPr="0069173E">
        <w:rPr>
          <w:rFonts w:ascii="Times New Roman" w:hAnsi="Times New Roman" w:cs="Times New Roman"/>
          <w:b/>
          <w:bCs/>
          <w:sz w:val="22"/>
          <w:szCs w:val="22"/>
        </w:rPr>
        <w:t>2019</w:t>
      </w:r>
      <w:r w:rsidRPr="0069173E">
        <w:rPr>
          <w:rFonts w:ascii="Times New Roman" w:hAnsi="Times New Roman" w:cs="Times New Roman"/>
          <w:sz w:val="22"/>
          <w:szCs w:val="22"/>
        </w:rPr>
        <w:t>;121(11):904–</w:t>
      </w:r>
      <w:r w:rsidR="00C73CCE" w:rsidRPr="0069173E">
        <w:rPr>
          <w:rFonts w:ascii="Times New Roman" w:hAnsi="Times New Roman" w:cs="Times New Roman"/>
          <w:sz w:val="22"/>
          <w:szCs w:val="22"/>
        </w:rPr>
        <w:t>9</w:t>
      </w:r>
      <w:r w:rsidRPr="0069173E">
        <w:rPr>
          <w:rFonts w:ascii="Times New Roman" w:hAnsi="Times New Roman" w:cs="Times New Roman"/>
          <w:sz w:val="22"/>
          <w:szCs w:val="22"/>
        </w:rPr>
        <w:t xml:space="preserve">11. </w:t>
      </w:r>
    </w:p>
    <w:p w14:paraId="4D91F5D6" w14:textId="2B42ECD2"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lastRenderedPageBreak/>
        <w:t xml:space="preserve">30. </w:t>
      </w:r>
      <w:r w:rsidRPr="0069173E">
        <w:rPr>
          <w:rFonts w:ascii="Times New Roman" w:hAnsi="Times New Roman" w:cs="Times New Roman"/>
          <w:sz w:val="22"/>
          <w:szCs w:val="22"/>
        </w:rPr>
        <w:tab/>
        <w:t xml:space="preserve">Gannon MR, Dodwell D, Jauhari Y, Horgan K, Clements K, Medina J, </w:t>
      </w:r>
      <w:r w:rsidRPr="0069173E">
        <w:rPr>
          <w:rFonts w:ascii="Times New Roman" w:hAnsi="Times New Roman" w:cs="Times New Roman"/>
          <w:i/>
          <w:iCs/>
          <w:sz w:val="22"/>
          <w:szCs w:val="22"/>
        </w:rPr>
        <w:t>et al.</w:t>
      </w:r>
      <w:r w:rsidRPr="0069173E">
        <w:rPr>
          <w:rFonts w:ascii="Times New Roman" w:hAnsi="Times New Roman" w:cs="Times New Roman"/>
          <w:sz w:val="22"/>
          <w:szCs w:val="22"/>
        </w:rPr>
        <w:t xml:space="preserve"> Initiation of adjuvant chemotherapy and trastuzumab for human epidermal growth receptor 2-positive early invasive breast cancer in a population-based cohort study of older women in England. </w:t>
      </w:r>
      <w:r w:rsidRPr="0069173E">
        <w:rPr>
          <w:rFonts w:ascii="Times New Roman" w:hAnsi="Times New Roman" w:cs="Times New Roman"/>
          <w:i/>
          <w:iCs/>
          <w:sz w:val="22"/>
          <w:szCs w:val="22"/>
        </w:rPr>
        <w:t>J Geriatr Oncol</w:t>
      </w:r>
      <w:r w:rsidRPr="0069173E">
        <w:rPr>
          <w:rFonts w:ascii="Times New Roman" w:hAnsi="Times New Roman" w:cs="Times New Roman"/>
          <w:b/>
          <w:bCs/>
          <w:i/>
          <w:iCs/>
          <w:sz w:val="22"/>
          <w:szCs w:val="22"/>
        </w:rPr>
        <w:t xml:space="preserve"> </w:t>
      </w:r>
      <w:r w:rsidRPr="0069173E">
        <w:rPr>
          <w:rFonts w:ascii="Times New Roman" w:hAnsi="Times New Roman" w:cs="Times New Roman"/>
          <w:b/>
          <w:bCs/>
          <w:sz w:val="22"/>
          <w:szCs w:val="22"/>
        </w:rPr>
        <w:t>2020</w:t>
      </w:r>
      <w:r w:rsidRPr="0069173E">
        <w:rPr>
          <w:rFonts w:ascii="Times New Roman" w:hAnsi="Times New Roman" w:cs="Times New Roman"/>
          <w:sz w:val="22"/>
          <w:szCs w:val="22"/>
        </w:rPr>
        <w:t>;11(5):836–</w:t>
      </w:r>
      <w:r w:rsidR="00C73CCE" w:rsidRPr="0069173E">
        <w:rPr>
          <w:rFonts w:ascii="Times New Roman" w:hAnsi="Times New Roman" w:cs="Times New Roman"/>
          <w:sz w:val="22"/>
          <w:szCs w:val="22"/>
        </w:rPr>
        <w:t>8</w:t>
      </w:r>
      <w:r w:rsidRPr="0069173E">
        <w:rPr>
          <w:rFonts w:ascii="Times New Roman" w:hAnsi="Times New Roman" w:cs="Times New Roman"/>
          <w:sz w:val="22"/>
          <w:szCs w:val="22"/>
        </w:rPr>
        <w:t xml:space="preserve">42. </w:t>
      </w:r>
    </w:p>
    <w:p w14:paraId="7390E4B6" w14:textId="78F647E7"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31. </w:t>
      </w:r>
      <w:r w:rsidRPr="0069173E">
        <w:rPr>
          <w:rFonts w:ascii="Times New Roman" w:hAnsi="Times New Roman" w:cs="Times New Roman"/>
          <w:sz w:val="22"/>
          <w:szCs w:val="22"/>
        </w:rPr>
        <w:tab/>
        <w:t xml:space="preserve">von Elm E, Altman DG, Egger M, Pocock SJ, Gøtzsche PC, Vandenbroucke JP, </w:t>
      </w:r>
      <w:r w:rsidRPr="0069173E">
        <w:rPr>
          <w:rFonts w:ascii="Times New Roman" w:hAnsi="Times New Roman" w:cs="Times New Roman"/>
          <w:i/>
          <w:iCs/>
          <w:sz w:val="22"/>
          <w:szCs w:val="22"/>
        </w:rPr>
        <w:t>et al.</w:t>
      </w:r>
      <w:r w:rsidRPr="0069173E">
        <w:rPr>
          <w:rFonts w:ascii="Times New Roman" w:hAnsi="Times New Roman" w:cs="Times New Roman"/>
          <w:sz w:val="22"/>
          <w:szCs w:val="22"/>
        </w:rPr>
        <w:t xml:space="preserve"> The </w:t>
      </w:r>
      <w:r w:rsidR="00C73CCE" w:rsidRPr="0069173E">
        <w:rPr>
          <w:rFonts w:ascii="Times New Roman" w:hAnsi="Times New Roman" w:cs="Times New Roman"/>
          <w:sz w:val="22"/>
          <w:szCs w:val="22"/>
        </w:rPr>
        <w:t>s</w:t>
      </w:r>
      <w:r w:rsidRPr="0069173E">
        <w:rPr>
          <w:rFonts w:ascii="Times New Roman" w:hAnsi="Times New Roman" w:cs="Times New Roman"/>
          <w:sz w:val="22"/>
          <w:szCs w:val="22"/>
        </w:rPr>
        <w:t xml:space="preserve">trengthening the </w:t>
      </w:r>
      <w:r w:rsidR="00C73CCE" w:rsidRPr="0069173E">
        <w:rPr>
          <w:rFonts w:ascii="Times New Roman" w:hAnsi="Times New Roman" w:cs="Times New Roman"/>
          <w:sz w:val="22"/>
          <w:szCs w:val="22"/>
        </w:rPr>
        <w:t>r</w:t>
      </w:r>
      <w:r w:rsidRPr="0069173E">
        <w:rPr>
          <w:rFonts w:ascii="Times New Roman" w:hAnsi="Times New Roman" w:cs="Times New Roman"/>
          <w:sz w:val="22"/>
          <w:szCs w:val="22"/>
        </w:rPr>
        <w:t xml:space="preserve">eporting of </w:t>
      </w:r>
      <w:r w:rsidR="00C73CCE" w:rsidRPr="0069173E">
        <w:rPr>
          <w:rFonts w:ascii="Times New Roman" w:hAnsi="Times New Roman" w:cs="Times New Roman"/>
          <w:sz w:val="22"/>
          <w:szCs w:val="22"/>
        </w:rPr>
        <w:t>o</w:t>
      </w:r>
      <w:r w:rsidRPr="0069173E">
        <w:rPr>
          <w:rFonts w:ascii="Times New Roman" w:hAnsi="Times New Roman" w:cs="Times New Roman"/>
          <w:sz w:val="22"/>
          <w:szCs w:val="22"/>
        </w:rPr>
        <w:t xml:space="preserve">bservational </w:t>
      </w:r>
      <w:r w:rsidR="00C73CCE" w:rsidRPr="0069173E">
        <w:rPr>
          <w:rFonts w:ascii="Times New Roman" w:hAnsi="Times New Roman" w:cs="Times New Roman"/>
          <w:sz w:val="22"/>
          <w:szCs w:val="22"/>
        </w:rPr>
        <w:t>s</w:t>
      </w:r>
      <w:r w:rsidRPr="0069173E">
        <w:rPr>
          <w:rFonts w:ascii="Times New Roman" w:hAnsi="Times New Roman" w:cs="Times New Roman"/>
          <w:sz w:val="22"/>
          <w:szCs w:val="22"/>
        </w:rPr>
        <w:t xml:space="preserve">tudies in </w:t>
      </w:r>
      <w:r w:rsidR="00C73CCE" w:rsidRPr="0069173E">
        <w:rPr>
          <w:rFonts w:ascii="Times New Roman" w:hAnsi="Times New Roman" w:cs="Times New Roman"/>
          <w:sz w:val="22"/>
          <w:szCs w:val="22"/>
        </w:rPr>
        <w:t>e</w:t>
      </w:r>
      <w:r w:rsidRPr="0069173E">
        <w:rPr>
          <w:rFonts w:ascii="Times New Roman" w:hAnsi="Times New Roman" w:cs="Times New Roman"/>
          <w:sz w:val="22"/>
          <w:szCs w:val="22"/>
        </w:rPr>
        <w:t xml:space="preserve">pidemiology (STROBE) statement: guidelines for reporting observational studies. </w:t>
      </w:r>
      <w:r w:rsidRPr="0069173E">
        <w:rPr>
          <w:rFonts w:ascii="Times New Roman" w:hAnsi="Times New Roman" w:cs="Times New Roman"/>
          <w:i/>
          <w:iCs/>
          <w:sz w:val="22"/>
          <w:szCs w:val="22"/>
        </w:rPr>
        <w:t>Ann Intern Med</w:t>
      </w:r>
      <w:r w:rsidR="00C73CCE" w:rsidRPr="0069173E">
        <w:rPr>
          <w:rFonts w:ascii="Times New Roman" w:hAnsi="Times New Roman" w:cs="Times New Roman"/>
          <w:i/>
          <w:iCs/>
          <w:sz w:val="22"/>
          <w:szCs w:val="22"/>
        </w:rPr>
        <w:t xml:space="preserve"> </w:t>
      </w:r>
      <w:r w:rsidRPr="0069173E">
        <w:rPr>
          <w:rFonts w:ascii="Times New Roman" w:hAnsi="Times New Roman" w:cs="Times New Roman"/>
          <w:b/>
          <w:bCs/>
          <w:sz w:val="22"/>
          <w:szCs w:val="22"/>
        </w:rPr>
        <w:t>2007</w:t>
      </w:r>
      <w:r w:rsidRPr="0069173E">
        <w:rPr>
          <w:rFonts w:ascii="Times New Roman" w:hAnsi="Times New Roman" w:cs="Times New Roman"/>
          <w:sz w:val="22"/>
          <w:szCs w:val="22"/>
        </w:rPr>
        <w:t>;147(8):573–</w:t>
      </w:r>
      <w:r w:rsidR="00C73CCE" w:rsidRPr="0069173E">
        <w:rPr>
          <w:rFonts w:ascii="Times New Roman" w:hAnsi="Times New Roman" w:cs="Times New Roman"/>
          <w:sz w:val="22"/>
          <w:szCs w:val="22"/>
        </w:rPr>
        <w:t>57</w:t>
      </w:r>
      <w:r w:rsidRPr="0069173E">
        <w:rPr>
          <w:rFonts w:ascii="Times New Roman" w:hAnsi="Times New Roman" w:cs="Times New Roman"/>
          <w:sz w:val="22"/>
          <w:szCs w:val="22"/>
        </w:rPr>
        <w:t xml:space="preserve">7. </w:t>
      </w:r>
    </w:p>
    <w:p w14:paraId="18A30F62" w14:textId="2BF36758"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32. </w:t>
      </w:r>
      <w:r w:rsidRPr="0069173E">
        <w:rPr>
          <w:rFonts w:ascii="Times New Roman" w:hAnsi="Times New Roman" w:cs="Times New Roman"/>
          <w:sz w:val="22"/>
          <w:szCs w:val="22"/>
        </w:rPr>
        <w:tab/>
        <w:t xml:space="preserve">Henson KE, Elliss-Brookes L, Coupland VH, Payne E, Vernon S, Rous B, </w:t>
      </w:r>
      <w:r w:rsidRPr="0069173E">
        <w:rPr>
          <w:rFonts w:ascii="Times New Roman" w:hAnsi="Times New Roman" w:cs="Times New Roman"/>
          <w:i/>
          <w:iCs/>
          <w:sz w:val="22"/>
          <w:szCs w:val="22"/>
        </w:rPr>
        <w:t>et al.</w:t>
      </w:r>
      <w:r w:rsidRPr="0069173E">
        <w:rPr>
          <w:rFonts w:ascii="Times New Roman" w:hAnsi="Times New Roman" w:cs="Times New Roman"/>
          <w:sz w:val="22"/>
          <w:szCs w:val="22"/>
        </w:rPr>
        <w:t xml:space="preserve"> Data </w:t>
      </w:r>
      <w:r w:rsidR="00C73CCE" w:rsidRPr="0069173E">
        <w:rPr>
          <w:rFonts w:ascii="Times New Roman" w:hAnsi="Times New Roman" w:cs="Times New Roman"/>
          <w:sz w:val="22"/>
          <w:szCs w:val="22"/>
        </w:rPr>
        <w:t>r</w:t>
      </w:r>
      <w:r w:rsidRPr="0069173E">
        <w:rPr>
          <w:rFonts w:ascii="Times New Roman" w:hAnsi="Times New Roman" w:cs="Times New Roman"/>
          <w:sz w:val="22"/>
          <w:szCs w:val="22"/>
        </w:rPr>
        <w:t xml:space="preserve">esource </w:t>
      </w:r>
      <w:r w:rsidR="00C73CCE" w:rsidRPr="0069173E">
        <w:rPr>
          <w:rFonts w:ascii="Times New Roman" w:hAnsi="Times New Roman" w:cs="Times New Roman"/>
          <w:sz w:val="22"/>
          <w:szCs w:val="22"/>
        </w:rPr>
        <w:t>p</w:t>
      </w:r>
      <w:r w:rsidRPr="0069173E">
        <w:rPr>
          <w:rFonts w:ascii="Times New Roman" w:hAnsi="Times New Roman" w:cs="Times New Roman"/>
          <w:sz w:val="22"/>
          <w:szCs w:val="22"/>
        </w:rPr>
        <w:t xml:space="preserve">rofile: </w:t>
      </w:r>
      <w:r w:rsidR="00C73CCE" w:rsidRPr="0069173E">
        <w:rPr>
          <w:rFonts w:ascii="Times New Roman" w:hAnsi="Times New Roman" w:cs="Times New Roman"/>
          <w:sz w:val="22"/>
          <w:szCs w:val="22"/>
        </w:rPr>
        <w:t>n</w:t>
      </w:r>
      <w:r w:rsidRPr="0069173E">
        <w:rPr>
          <w:rFonts w:ascii="Times New Roman" w:hAnsi="Times New Roman" w:cs="Times New Roman"/>
          <w:sz w:val="22"/>
          <w:szCs w:val="22"/>
        </w:rPr>
        <w:t xml:space="preserve">ational </w:t>
      </w:r>
      <w:r w:rsidR="00C73CCE" w:rsidRPr="0069173E">
        <w:rPr>
          <w:rFonts w:ascii="Times New Roman" w:hAnsi="Times New Roman" w:cs="Times New Roman"/>
          <w:sz w:val="22"/>
          <w:szCs w:val="22"/>
        </w:rPr>
        <w:t>c</w:t>
      </w:r>
      <w:r w:rsidRPr="0069173E">
        <w:rPr>
          <w:rFonts w:ascii="Times New Roman" w:hAnsi="Times New Roman" w:cs="Times New Roman"/>
          <w:sz w:val="22"/>
          <w:szCs w:val="22"/>
        </w:rPr>
        <w:t xml:space="preserve">ancer </w:t>
      </w:r>
      <w:r w:rsidR="00C73CCE" w:rsidRPr="0069173E">
        <w:rPr>
          <w:rFonts w:ascii="Times New Roman" w:hAnsi="Times New Roman" w:cs="Times New Roman"/>
          <w:sz w:val="22"/>
          <w:szCs w:val="22"/>
        </w:rPr>
        <w:t>r</w:t>
      </w:r>
      <w:r w:rsidRPr="0069173E">
        <w:rPr>
          <w:rFonts w:ascii="Times New Roman" w:hAnsi="Times New Roman" w:cs="Times New Roman"/>
          <w:sz w:val="22"/>
          <w:szCs w:val="22"/>
        </w:rPr>
        <w:t xml:space="preserve">egistration </w:t>
      </w:r>
      <w:r w:rsidR="00C73CCE" w:rsidRPr="0069173E">
        <w:rPr>
          <w:rFonts w:ascii="Times New Roman" w:hAnsi="Times New Roman" w:cs="Times New Roman"/>
          <w:sz w:val="22"/>
          <w:szCs w:val="22"/>
        </w:rPr>
        <w:t>d</w:t>
      </w:r>
      <w:r w:rsidRPr="0069173E">
        <w:rPr>
          <w:rFonts w:ascii="Times New Roman" w:hAnsi="Times New Roman" w:cs="Times New Roman"/>
          <w:sz w:val="22"/>
          <w:szCs w:val="22"/>
        </w:rPr>
        <w:t xml:space="preserve">ataset in England. </w:t>
      </w:r>
      <w:r w:rsidRPr="0069173E">
        <w:rPr>
          <w:rFonts w:ascii="Times New Roman" w:hAnsi="Times New Roman" w:cs="Times New Roman"/>
          <w:i/>
          <w:iCs/>
          <w:sz w:val="22"/>
          <w:szCs w:val="22"/>
        </w:rPr>
        <w:t xml:space="preserve">Int J Epidemiol </w:t>
      </w:r>
      <w:r w:rsidRPr="0069173E">
        <w:rPr>
          <w:rFonts w:ascii="Times New Roman" w:hAnsi="Times New Roman" w:cs="Times New Roman"/>
          <w:b/>
          <w:bCs/>
          <w:sz w:val="22"/>
          <w:szCs w:val="22"/>
        </w:rPr>
        <w:t>2020</w:t>
      </w:r>
      <w:r w:rsidRPr="0069173E">
        <w:rPr>
          <w:rFonts w:ascii="Times New Roman" w:hAnsi="Times New Roman" w:cs="Times New Roman"/>
          <w:sz w:val="22"/>
          <w:szCs w:val="22"/>
        </w:rPr>
        <w:t xml:space="preserve">;49(1):16–16h. </w:t>
      </w:r>
    </w:p>
    <w:p w14:paraId="4291E06B" w14:textId="1B53A013"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33. </w:t>
      </w:r>
      <w:r w:rsidRPr="0069173E">
        <w:rPr>
          <w:rFonts w:ascii="Times New Roman" w:hAnsi="Times New Roman" w:cs="Times New Roman"/>
          <w:sz w:val="22"/>
          <w:szCs w:val="22"/>
        </w:rPr>
        <w:tab/>
        <w:t>O</w:t>
      </w:r>
      <w:r w:rsidR="00C73CCE" w:rsidRPr="0069173E">
        <w:rPr>
          <w:rFonts w:ascii="Times New Roman" w:hAnsi="Times New Roman" w:cs="Times New Roman"/>
          <w:sz w:val="22"/>
          <w:szCs w:val="22"/>
        </w:rPr>
        <w:t xml:space="preserve">ffice for National </w:t>
      </w:r>
      <w:r w:rsidRPr="0069173E">
        <w:rPr>
          <w:rFonts w:ascii="Times New Roman" w:hAnsi="Times New Roman" w:cs="Times New Roman"/>
          <w:sz w:val="22"/>
          <w:szCs w:val="22"/>
        </w:rPr>
        <w:t>S</w:t>
      </w:r>
      <w:r w:rsidR="00C73CCE" w:rsidRPr="0069173E">
        <w:rPr>
          <w:rFonts w:ascii="Times New Roman" w:hAnsi="Times New Roman" w:cs="Times New Roman"/>
          <w:sz w:val="22"/>
          <w:szCs w:val="22"/>
        </w:rPr>
        <w:t>tatistics</w:t>
      </w:r>
      <w:r w:rsidRPr="0069173E">
        <w:rPr>
          <w:rFonts w:ascii="Times New Roman" w:hAnsi="Times New Roman" w:cs="Times New Roman"/>
          <w:sz w:val="22"/>
          <w:szCs w:val="22"/>
        </w:rPr>
        <w:t xml:space="preserve">. England: </w:t>
      </w:r>
      <w:r w:rsidR="00C73CCE" w:rsidRPr="0069173E">
        <w:rPr>
          <w:rFonts w:ascii="Times New Roman" w:hAnsi="Times New Roman" w:cs="Times New Roman"/>
          <w:sz w:val="22"/>
          <w:szCs w:val="22"/>
        </w:rPr>
        <w:t>d</w:t>
      </w:r>
      <w:r w:rsidRPr="0069173E">
        <w:rPr>
          <w:rFonts w:ascii="Times New Roman" w:hAnsi="Times New Roman" w:cs="Times New Roman"/>
          <w:sz w:val="22"/>
          <w:szCs w:val="22"/>
        </w:rPr>
        <w:t>etailed information on the administrative structure within England</w:t>
      </w:r>
      <w:r w:rsidR="00C73CCE" w:rsidRPr="0069173E">
        <w:rPr>
          <w:rFonts w:ascii="Times New Roman" w:hAnsi="Times New Roman" w:cs="Times New Roman"/>
          <w:sz w:val="22"/>
          <w:szCs w:val="22"/>
        </w:rPr>
        <w:t>.</w:t>
      </w:r>
      <w:r w:rsidRPr="0069173E">
        <w:rPr>
          <w:rFonts w:ascii="Times New Roman" w:hAnsi="Times New Roman" w:cs="Times New Roman"/>
          <w:sz w:val="22"/>
          <w:szCs w:val="22"/>
        </w:rPr>
        <w:t xml:space="preserve"> [cited 2021 Aug 30]. Available from: https://www.ons.gov.uk/methodology/geography/ukgeographies/administrativegeography/england</w:t>
      </w:r>
      <w:r w:rsidR="00C73CCE" w:rsidRPr="0069173E">
        <w:rPr>
          <w:rFonts w:ascii="Times New Roman" w:hAnsi="Times New Roman" w:cs="Times New Roman"/>
          <w:sz w:val="22"/>
          <w:szCs w:val="22"/>
        </w:rPr>
        <w:t>.</w:t>
      </w:r>
    </w:p>
    <w:p w14:paraId="715B3D16" w14:textId="4560C0DA"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34. </w:t>
      </w:r>
      <w:r w:rsidRPr="0069173E">
        <w:rPr>
          <w:rFonts w:ascii="Times New Roman" w:hAnsi="Times New Roman" w:cs="Times New Roman"/>
          <w:sz w:val="22"/>
          <w:szCs w:val="22"/>
        </w:rPr>
        <w:tab/>
        <w:t xml:space="preserve">Union for International Cancer Control. TNM: </w:t>
      </w:r>
      <w:r w:rsidR="00C73CCE" w:rsidRPr="0069173E">
        <w:rPr>
          <w:rFonts w:ascii="Times New Roman" w:hAnsi="Times New Roman" w:cs="Times New Roman"/>
          <w:sz w:val="22"/>
          <w:szCs w:val="22"/>
        </w:rPr>
        <w:t>c</w:t>
      </w:r>
      <w:r w:rsidRPr="0069173E">
        <w:rPr>
          <w:rFonts w:ascii="Times New Roman" w:hAnsi="Times New Roman" w:cs="Times New Roman"/>
          <w:sz w:val="22"/>
          <w:szCs w:val="22"/>
        </w:rPr>
        <w:t xml:space="preserve">lassification of </w:t>
      </w:r>
      <w:r w:rsidR="00C73CCE" w:rsidRPr="0069173E">
        <w:rPr>
          <w:rFonts w:ascii="Times New Roman" w:hAnsi="Times New Roman" w:cs="Times New Roman"/>
          <w:sz w:val="22"/>
          <w:szCs w:val="22"/>
        </w:rPr>
        <w:t>m</w:t>
      </w:r>
      <w:r w:rsidRPr="0069173E">
        <w:rPr>
          <w:rFonts w:ascii="Times New Roman" w:hAnsi="Times New Roman" w:cs="Times New Roman"/>
          <w:sz w:val="22"/>
          <w:szCs w:val="22"/>
        </w:rPr>
        <w:t xml:space="preserve">alignant </w:t>
      </w:r>
      <w:r w:rsidR="00C73CCE" w:rsidRPr="0069173E">
        <w:rPr>
          <w:rFonts w:ascii="Times New Roman" w:hAnsi="Times New Roman" w:cs="Times New Roman"/>
          <w:sz w:val="22"/>
          <w:szCs w:val="22"/>
        </w:rPr>
        <w:t>t</w:t>
      </w:r>
      <w:r w:rsidRPr="0069173E">
        <w:rPr>
          <w:rFonts w:ascii="Times New Roman" w:hAnsi="Times New Roman" w:cs="Times New Roman"/>
          <w:sz w:val="22"/>
          <w:szCs w:val="22"/>
        </w:rPr>
        <w:t xml:space="preserve">umours. </w:t>
      </w:r>
      <w:r w:rsidR="00C73CCE" w:rsidRPr="0069173E">
        <w:rPr>
          <w:rFonts w:ascii="Times New Roman" w:hAnsi="Times New Roman" w:cs="Times New Roman"/>
          <w:sz w:val="22"/>
          <w:szCs w:val="22"/>
        </w:rPr>
        <w:t>New York:</w:t>
      </w:r>
      <w:r w:rsidRPr="0069173E">
        <w:rPr>
          <w:rFonts w:ascii="Times New Roman" w:hAnsi="Times New Roman" w:cs="Times New Roman"/>
          <w:sz w:val="22"/>
          <w:szCs w:val="22"/>
        </w:rPr>
        <w:t xml:space="preserve"> </w:t>
      </w:r>
      <w:r w:rsidR="00C73CCE" w:rsidRPr="0069173E">
        <w:rPr>
          <w:rFonts w:ascii="Times New Roman" w:hAnsi="Times New Roman" w:cs="Times New Roman"/>
          <w:sz w:val="22"/>
          <w:szCs w:val="22"/>
        </w:rPr>
        <w:t>Wiley;</w:t>
      </w:r>
      <w:r w:rsidRPr="0069173E">
        <w:rPr>
          <w:rFonts w:ascii="Times New Roman" w:hAnsi="Times New Roman" w:cs="Times New Roman"/>
          <w:sz w:val="22"/>
          <w:szCs w:val="22"/>
        </w:rPr>
        <w:t xml:space="preserve"> </w:t>
      </w:r>
      <w:r w:rsidRPr="0069173E">
        <w:rPr>
          <w:rFonts w:ascii="Times New Roman" w:hAnsi="Times New Roman" w:cs="Times New Roman"/>
          <w:b/>
          <w:bCs/>
          <w:sz w:val="22"/>
          <w:szCs w:val="22"/>
        </w:rPr>
        <w:t>2016</w:t>
      </w:r>
      <w:r w:rsidRPr="0069173E">
        <w:rPr>
          <w:rFonts w:ascii="Times New Roman" w:hAnsi="Times New Roman" w:cs="Times New Roman"/>
          <w:sz w:val="22"/>
          <w:szCs w:val="22"/>
        </w:rPr>
        <w:t xml:space="preserve">. </w:t>
      </w:r>
      <w:r w:rsidR="00C73CCE" w:rsidRPr="0069173E">
        <w:rPr>
          <w:rFonts w:ascii="Times New Roman" w:hAnsi="Times New Roman" w:cs="Times New Roman"/>
          <w:sz w:val="22"/>
          <w:szCs w:val="22"/>
        </w:rPr>
        <w:t>8</w:t>
      </w:r>
      <w:r w:rsidR="00C73CCE" w:rsidRPr="0069173E">
        <w:rPr>
          <w:rFonts w:ascii="Times New Roman" w:hAnsi="Times New Roman" w:cs="Times New Roman"/>
          <w:sz w:val="22"/>
          <w:szCs w:val="22"/>
          <w:vertAlign w:val="superscript"/>
        </w:rPr>
        <w:t>th</w:t>
      </w:r>
      <w:r w:rsidR="00C73CCE" w:rsidRPr="0069173E">
        <w:rPr>
          <w:rFonts w:ascii="Times New Roman" w:hAnsi="Times New Roman" w:cs="Times New Roman"/>
          <w:sz w:val="22"/>
          <w:szCs w:val="22"/>
        </w:rPr>
        <w:t xml:space="preserve"> Ed</w:t>
      </w:r>
      <w:r w:rsidR="00160472">
        <w:rPr>
          <w:rFonts w:ascii="Times New Roman" w:hAnsi="Times New Roman" w:cs="Times New Roman"/>
          <w:sz w:val="22"/>
          <w:szCs w:val="22"/>
        </w:rPr>
        <w:t>ito</w:t>
      </w:r>
      <w:r w:rsidR="00C73CCE" w:rsidRPr="0069173E">
        <w:rPr>
          <w:rFonts w:ascii="Times New Roman" w:hAnsi="Times New Roman" w:cs="Times New Roman"/>
          <w:sz w:val="22"/>
          <w:szCs w:val="22"/>
        </w:rPr>
        <w:t>n.</w:t>
      </w:r>
    </w:p>
    <w:p w14:paraId="54437B7D" w14:textId="0FEAA997"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35. </w:t>
      </w:r>
      <w:r w:rsidRPr="0069173E">
        <w:rPr>
          <w:rFonts w:ascii="Times New Roman" w:hAnsi="Times New Roman" w:cs="Times New Roman"/>
          <w:sz w:val="22"/>
          <w:szCs w:val="22"/>
        </w:rPr>
        <w:tab/>
        <w:t xml:space="preserve">Bright CJ, Lawton S, Benson S, Bomb M, Dodwell D, Henson KE, </w:t>
      </w:r>
      <w:r w:rsidRPr="0069173E">
        <w:rPr>
          <w:rFonts w:ascii="Times New Roman" w:hAnsi="Times New Roman" w:cs="Times New Roman"/>
          <w:i/>
          <w:iCs/>
          <w:sz w:val="22"/>
          <w:szCs w:val="22"/>
        </w:rPr>
        <w:t xml:space="preserve">et al. </w:t>
      </w:r>
      <w:r w:rsidRPr="0069173E">
        <w:rPr>
          <w:rFonts w:ascii="Times New Roman" w:hAnsi="Times New Roman" w:cs="Times New Roman"/>
          <w:sz w:val="22"/>
          <w:szCs w:val="22"/>
        </w:rPr>
        <w:t xml:space="preserve">Data </w:t>
      </w:r>
      <w:r w:rsidR="008B5FC7" w:rsidRPr="0069173E">
        <w:rPr>
          <w:rFonts w:ascii="Times New Roman" w:hAnsi="Times New Roman" w:cs="Times New Roman"/>
          <w:sz w:val="22"/>
          <w:szCs w:val="22"/>
        </w:rPr>
        <w:t>r</w:t>
      </w:r>
      <w:r w:rsidRPr="0069173E">
        <w:rPr>
          <w:rFonts w:ascii="Times New Roman" w:hAnsi="Times New Roman" w:cs="Times New Roman"/>
          <w:sz w:val="22"/>
          <w:szCs w:val="22"/>
        </w:rPr>
        <w:t xml:space="preserve">esource </w:t>
      </w:r>
      <w:r w:rsidR="008B5FC7" w:rsidRPr="0069173E">
        <w:rPr>
          <w:rFonts w:ascii="Times New Roman" w:hAnsi="Times New Roman" w:cs="Times New Roman"/>
          <w:sz w:val="22"/>
          <w:szCs w:val="22"/>
        </w:rPr>
        <w:t>p</w:t>
      </w:r>
      <w:r w:rsidRPr="0069173E">
        <w:rPr>
          <w:rFonts w:ascii="Times New Roman" w:hAnsi="Times New Roman" w:cs="Times New Roman"/>
          <w:sz w:val="22"/>
          <w:szCs w:val="22"/>
        </w:rPr>
        <w:t xml:space="preserve">rofile: </w:t>
      </w:r>
      <w:r w:rsidR="008B5FC7" w:rsidRPr="0069173E">
        <w:rPr>
          <w:rFonts w:ascii="Times New Roman" w:hAnsi="Times New Roman" w:cs="Times New Roman"/>
          <w:sz w:val="22"/>
          <w:szCs w:val="22"/>
        </w:rPr>
        <w:t>t</w:t>
      </w:r>
      <w:r w:rsidRPr="0069173E">
        <w:rPr>
          <w:rFonts w:ascii="Times New Roman" w:hAnsi="Times New Roman" w:cs="Times New Roman"/>
          <w:sz w:val="22"/>
          <w:szCs w:val="22"/>
        </w:rPr>
        <w:t xml:space="preserve">he </w:t>
      </w:r>
      <w:r w:rsidR="008B5FC7" w:rsidRPr="0069173E">
        <w:rPr>
          <w:rFonts w:ascii="Times New Roman" w:hAnsi="Times New Roman" w:cs="Times New Roman"/>
          <w:sz w:val="22"/>
          <w:szCs w:val="22"/>
        </w:rPr>
        <w:t>s</w:t>
      </w:r>
      <w:r w:rsidRPr="0069173E">
        <w:rPr>
          <w:rFonts w:ascii="Times New Roman" w:hAnsi="Times New Roman" w:cs="Times New Roman"/>
          <w:sz w:val="22"/>
          <w:szCs w:val="22"/>
        </w:rPr>
        <w:t xml:space="preserve">ystemic </w:t>
      </w:r>
      <w:r w:rsidR="008B5FC7" w:rsidRPr="0069173E">
        <w:rPr>
          <w:rFonts w:ascii="Times New Roman" w:hAnsi="Times New Roman" w:cs="Times New Roman"/>
          <w:sz w:val="22"/>
          <w:szCs w:val="22"/>
        </w:rPr>
        <w:t>a</w:t>
      </w:r>
      <w:r w:rsidRPr="0069173E">
        <w:rPr>
          <w:rFonts w:ascii="Times New Roman" w:hAnsi="Times New Roman" w:cs="Times New Roman"/>
          <w:sz w:val="22"/>
          <w:szCs w:val="22"/>
        </w:rPr>
        <w:t>nti-</w:t>
      </w:r>
      <w:r w:rsidR="008B5FC7" w:rsidRPr="0069173E">
        <w:rPr>
          <w:rFonts w:ascii="Times New Roman" w:hAnsi="Times New Roman" w:cs="Times New Roman"/>
          <w:sz w:val="22"/>
          <w:szCs w:val="22"/>
        </w:rPr>
        <w:t>c</w:t>
      </w:r>
      <w:r w:rsidRPr="0069173E">
        <w:rPr>
          <w:rFonts w:ascii="Times New Roman" w:hAnsi="Times New Roman" w:cs="Times New Roman"/>
          <w:sz w:val="22"/>
          <w:szCs w:val="22"/>
        </w:rPr>
        <w:t xml:space="preserve">ancer </w:t>
      </w:r>
      <w:r w:rsidR="008B5FC7" w:rsidRPr="0069173E">
        <w:rPr>
          <w:rFonts w:ascii="Times New Roman" w:hAnsi="Times New Roman" w:cs="Times New Roman"/>
          <w:sz w:val="22"/>
          <w:szCs w:val="22"/>
        </w:rPr>
        <w:t>t</w:t>
      </w:r>
      <w:r w:rsidRPr="0069173E">
        <w:rPr>
          <w:rFonts w:ascii="Times New Roman" w:hAnsi="Times New Roman" w:cs="Times New Roman"/>
          <w:sz w:val="22"/>
          <w:szCs w:val="22"/>
        </w:rPr>
        <w:t xml:space="preserve">herapy (SACT) dataset. </w:t>
      </w:r>
      <w:r w:rsidRPr="0069173E">
        <w:rPr>
          <w:rFonts w:ascii="Times New Roman" w:hAnsi="Times New Roman" w:cs="Times New Roman"/>
          <w:i/>
          <w:iCs/>
          <w:sz w:val="22"/>
          <w:szCs w:val="22"/>
        </w:rPr>
        <w:t xml:space="preserve">Int J Epidemiol </w:t>
      </w:r>
      <w:r w:rsidRPr="0069173E">
        <w:rPr>
          <w:rFonts w:ascii="Times New Roman" w:hAnsi="Times New Roman" w:cs="Times New Roman"/>
          <w:b/>
          <w:bCs/>
          <w:sz w:val="22"/>
          <w:szCs w:val="22"/>
        </w:rPr>
        <w:t>2020</w:t>
      </w:r>
      <w:r w:rsidRPr="0069173E">
        <w:rPr>
          <w:rFonts w:ascii="Times New Roman" w:hAnsi="Times New Roman" w:cs="Times New Roman"/>
          <w:sz w:val="22"/>
          <w:szCs w:val="22"/>
        </w:rPr>
        <w:t xml:space="preserve">;49(1):15–15l. </w:t>
      </w:r>
    </w:p>
    <w:p w14:paraId="3BE5460C" w14:textId="3322461F"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36. </w:t>
      </w:r>
      <w:r w:rsidRPr="0069173E">
        <w:rPr>
          <w:rFonts w:ascii="Times New Roman" w:hAnsi="Times New Roman" w:cs="Times New Roman"/>
          <w:sz w:val="22"/>
          <w:szCs w:val="22"/>
        </w:rPr>
        <w:tab/>
        <w:t xml:space="preserve">Fraser J, Wills L, Fardus-Reid F, Irvine L, Elliss-Brookes L, Fern L, </w:t>
      </w:r>
      <w:r w:rsidRPr="0069173E">
        <w:rPr>
          <w:rFonts w:ascii="Times New Roman" w:hAnsi="Times New Roman" w:cs="Times New Roman"/>
          <w:i/>
          <w:iCs/>
          <w:sz w:val="22"/>
          <w:szCs w:val="22"/>
        </w:rPr>
        <w:t>et al.</w:t>
      </w:r>
      <w:r w:rsidRPr="0069173E">
        <w:rPr>
          <w:rFonts w:ascii="Times New Roman" w:hAnsi="Times New Roman" w:cs="Times New Roman"/>
          <w:sz w:val="22"/>
          <w:szCs w:val="22"/>
        </w:rPr>
        <w:t xml:space="preserve"> Oral etoposide as a single agent in childhood and young adult cancer in England: </w:t>
      </w:r>
      <w:r w:rsidR="008B5FC7" w:rsidRPr="0069173E">
        <w:rPr>
          <w:rFonts w:ascii="Times New Roman" w:hAnsi="Times New Roman" w:cs="Times New Roman"/>
          <w:sz w:val="22"/>
          <w:szCs w:val="22"/>
        </w:rPr>
        <w:t>s</w:t>
      </w:r>
      <w:r w:rsidRPr="0069173E">
        <w:rPr>
          <w:rFonts w:ascii="Times New Roman" w:hAnsi="Times New Roman" w:cs="Times New Roman"/>
          <w:sz w:val="22"/>
          <w:szCs w:val="22"/>
        </w:rPr>
        <w:t xml:space="preserve">till a poorly evaluated palliative treatment. </w:t>
      </w:r>
      <w:r w:rsidRPr="0069173E">
        <w:rPr>
          <w:rFonts w:ascii="Times New Roman" w:hAnsi="Times New Roman" w:cs="Times New Roman"/>
          <w:i/>
          <w:iCs/>
          <w:sz w:val="22"/>
          <w:szCs w:val="22"/>
        </w:rPr>
        <w:t>Pediatr Blood Cancer</w:t>
      </w:r>
      <w:r w:rsidRPr="0069173E">
        <w:rPr>
          <w:rFonts w:ascii="Times New Roman" w:hAnsi="Times New Roman" w:cs="Times New Roman"/>
          <w:b/>
          <w:bCs/>
          <w:i/>
          <w:iCs/>
          <w:sz w:val="22"/>
          <w:szCs w:val="22"/>
        </w:rPr>
        <w:t xml:space="preserve"> </w:t>
      </w:r>
      <w:r w:rsidRPr="0069173E">
        <w:rPr>
          <w:rFonts w:ascii="Times New Roman" w:hAnsi="Times New Roman" w:cs="Times New Roman"/>
          <w:b/>
          <w:bCs/>
          <w:sz w:val="22"/>
          <w:szCs w:val="22"/>
        </w:rPr>
        <w:t>2021</w:t>
      </w:r>
      <w:r w:rsidRPr="0069173E">
        <w:rPr>
          <w:rFonts w:ascii="Times New Roman" w:hAnsi="Times New Roman" w:cs="Times New Roman"/>
          <w:sz w:val="22"/>
          <w:szCs w:val="22"/>
        </w:rPr>
        <w:t xml:space="preserve">; </w:t>
      </w:r>
      <w:r w:rsidR="008B5FC7" w:rsidRPr="0069173E">
        <w:rPr>
          <w:rFonts w:ascii="Times New Roman" w:hAnsi="Times New Roman" w:cs="Times New Roman"/>
          <w:sz w:val="22"/>
          <w:szCs w:val="22"/>
        </w:rPr>
        <w:t>68(1</w:t>
      </w:r>
      <w:r w:rsidR="004718CF">
        <w:rPr>
          <w:rFonts w:ascii="Times New Roman" w:hAnsi="Times New Roman" w:cs="Times New Roman"/>
          <w:sz w:val="22"/>
          <w:szCs w:val="22"/>
        </w:rPr>
        <w:t>1</w:t>
      </w:r>
      <w:r w:rsidR="008B5FC7" w:rsidRPr="0069173E">
        <w:rPr>
          <w:rFonts w:ascii="Times New Roman" w:hAnsi="Times New Roman" w:cs="Times New Roman"/>
          <w:sz w:val="22"/>
          <w:szCs w:val="22"/>
        </w:rPr>
        <w:t>)</w:t>
      </w:r>
      <w:r w:rsidR="004718CF">
        <w:rPr>
          <w:rFonts w:ascii="Times New Roman" w:hAnsi="Times New Roman" w:cs="Times New Roman"/>
          <w:sz w:val="22"/>
          <w:szCs w:val="22"/>
        </w:rPr>
        <w:t>:e29204.</w:t>
      </w:r>
    </w:p>
    <w:p w14:paraId="65BD19D1" w14:textId="049D0BBB"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37. </w:t>
      </w:r>
      <w:r w:rsidRPr="0069173E">
        <w:rPr>
          <w:rFonts w:ascii="Times New Roman" w:hAnsi="Times New Roman" w:cs="Times New Roman"/>
          <w:sz w:val="22"/>
          <w:szCs w:val="22"/>
        </w:rPr>
        <w:tab/>
        <w:t xml:space="preserve">Wallington M, Saxon EB, Bomb M, Smittenaar R, Wickenden M, McPhail S, </w:t>
      </w:r>
      <w:r w:rsidRPr="0069173E">
        <w:rPr>
          <w:rFonts w:ascii="Times New Roman" w:hAnsi="Times New Roman" w:cs="Times New Roman"/>
          <w:i/>
          <w:iCs/>
          <w:sz w:val="22"/>
          <w:szCs w:val="22"/>
        </w:rPr>
        <w:t>et al.</w:t>
      </w:r>
      <w:r w:rsidRPr="0069173E">
        <w:rPr>
          <w:rFonts w:ascii="Times New Roman" w:hAnsi="Times New Roman" w:cs="Times New Roman"/>
          <w:sz w:val="22"/>
          <w:szCs w:val="22"/>
        </w:rPr>
        <w:t xml:space="preserve"> 30-day mortality after systemic anticancer treatment for breast and lung cancer in England: a population-based, observational study. </w:t>
      </w:r>
      <w:r w:rsidRPr="0069173E">
        <w:rPr>
          <w:rFonts w:ascii="Times New Roman" w:hAnsi="Times New Roman" w:cs="Times New Roman"/>
          <w:i/>
          <w:iCs/>
          <w:sz w:val="22"/>
          <w:szCs w:val="22"/>
        </w:rPr>
        <w:t>Lancet Oncol</w:t>
      </w:r>
      <w:r w:rsidR="008B5FC7" w:rsidRPr="0069173E">
        <w:rPr>
          <w:rFonts w:ascii="Times New Roman" w:hAnsi="Times New Roman" w:cs="Times New Roman"/>
          <w:b/>
          <w:bCs/>
          <w:i/>
          <w:iCs/>
          <w:sz w:val="22"/>
          <w:szCs w:val="22"/>
        </w:rPr>
        <w:t xml:space="preserve"> </w:t>
      </w:r>
      <w:r w:rsidRPr="0069173E">
        <w:rPr>
          <w:rFonts w:ascii="Times New Roman" w:hAnsi="Times New Roman" w:cs="Times New Roman"/>
          <w:b/>
          <w:bCs/>
          <w:sz w:val="22"/>
          <w:szCs w:val="22"/>
        </w:rPr>
        <w:t>2016</w:t>
      </w:r>
      <w:r w:rsidRPr="0069173E">
        <w:rPr>
          <w:rFonts w:ascii="Times New Roman" w:hAnsi="Times New Roman" w:cs="Times New Roman"/>
          <w:sz w:val="22"/>
          <w:szCs w:val="22"/>
        </w:rPr>
        <w:t>;17(9):1203–</w:t>
      </w:r>
      <w:r w:rsidR="008B5FC7" w:rsidRPr="0069173E">
        <w:rPr>
          <w:rFonts w:ascii="Times New Roman" w:hAnsi="Times New Roman" w:cs="Times New Roman"/>
          <w:sz w:val="22"/>
          <w:szCs w:val="22"/>
        </w:rPr>
        <w:t>12</w:t>
      </w:r>
      <w:r w:rsidRPr="0069173E">
        <w:rPr>
          <w:rFonts w:ascii="Times New Roman" w:hAnsi="Times New Roman" w:cs="Times New Roman"/>
          <w:sz w:val="22"/>
          <w:szCs w:val="22"/>
        </w:rPr>
        <w:t xml:space="preserve">16. </w:t>
      </w:r>
    </w:p>
    <w:p w14:paraId="22945080" w14:textId="002188BB"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38. </w:t>
      </w:r>
      <w:r w:rsidRPr="0069173E">
        <w:rPr>
          <w:rFonts w:ascii="Times New Roman" w:hAnsi="Times New Roman" w:cs="Times New Roman"/>
          <w:sz w:val="22"/>
          <w:szCs w:val="22"/>
        </w:rPr>
        <w:tab/>
        <w:t>All.Can. Systemic anti-cancer therapy (SACT) data set: collecting and using real-world data to improve cancer care</w:t>
      </w:r>
      <w:r w:rsidR="008B5FC7" w:rsidRPr="0069173E">
        <w:rPr>
          <w:rFonts w:ascii="Times New Roman" w:hAnsi="Times New Roman" w:cs="Times New Roman"/>
          <w:sz w:val="22"/>
          <w:szCs w:val="22"/>
        </w:rPr>
        <w:t xml:space="preserve">. </w:t>
      </w:r>
      <w:r w:rsidRPr="0069173E">
        <w:rPr>
          <w:rFonts w:ascii="Times New Roman" w:hAnsi="Times New Roman" w:cs="Times New Roman"/>
          <w:sz w:val="22"/>
          <w:szCs w:val="22"/>
        </w:rPr>
        <w:t>[cited 2022 Nov 12]. Available from: https://www.all-can.org/efficiency-hub/systemic-anti-cancer-therapy-sact-data-set-collecting-and-using-real-world-data-to-improve-cancer-care/</w:t>
      </w:r>
      <w:r w:rsidR="008B5FC7" w:rsidRPr="0069173E">
        <w:rPr>
          <w:rFonts w:ascii="Times New Roman" w:hAnsi="Times New Roman" w:cs="Times New Roman"/>
          <w:sz w:val="22"/>
          <w:szCs w:val="22"/>
        </w:rPr>
        <w:t>.</w:t>
      </w:r>
    </w:p>
    <w:p w14:paraId="2EE115B8" w14:textId="6C13E67C"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39. </w:t>
      </w:r>
      <w:r w:rsidRPr="0069173E">
        <w:rPr>
          <w:rFonts w:ascii="Times New Roman" w:hAnsi="Times New Roman" w:cs="Times New Roman"/>
          <w:sz w:val="22"/>
          <w:szCs w:val="22"/>
        </w:rPr>
        <w:tab/>
        <w:t xml:space="preserve">Department for Communities and Local Government. The English </w:t>
      </w:r>
      <w:r w:rsidR="008B5FC7" w:rsidRPr="0069173E">
        <w:rPr>
          <w:rFonts w:ascii="Times New Roman" w:hAnsi="Times New Roman" w:cs="Times New Roman"/>
          <w:sz w:val="22"/>
          <w:szCs w:val="22"/>
        </w:rPr>
        <w:t>i</w:t>
      </w:r>
      <w:r w:rsidRPr="0069173E">
        <w:rPr>
          <w:rFonts w:ascii="Times New Roman" w:hAnsi="Times New Roman" w:cs="Times New Roman"/>
          <w:sz w:val="22"/>
          <w:szCs w:val="22"/>
        </w:rPr>
        <w:t xml:space="preserve">ndex of </w:t>
      </w:r>
      <w:r w:rsidR="008B5FC7" w:rsidRPr="0069173E">
        <w:rPr>
          <w:rFonts w:ascii="Times New Roman" w:hAnsi="Times New Roman" w:cs="Times New Roman"/>
          <w:sz w:val="22"/>
          <w:szCs w:val="22"/>
        </w:rPr>
        <w:t>m</w:t>
      </w:r>
      <w:r w:rsidRPr="0069173E">
        <w:rPr>
          <w:rFonts w:ascii="Times New Roman" w:hAnsi="Times New Roman" w:cs="Times New Roman"/>
          <w:sz w:val="22"/>
          <w:szCs w:val="22"/>
        </w:rPr>
        <w:t xml:space="preserve">ultiple </w:t>
      </w:r>
      <w:r w:rsidR="008B5FC7" w:rsidRPr="0069173E">
        <w:rPr>
          <w:rFonts w:ascii="Times New Roman" w:hAnsi="Times New Roman" w:cs="Times New Roman"/>
          <w:sz w:val="22"/>
          <w:szCs w:val="22"/>
        </w:rPr>
        <w:t>d</w:t>
      </w:r>
      <w:r w:rsidRPr="0069173E">
        <w:rPr>
          <w:rFonts w:ascii="Times New Roman" w:hAnsi="Times New Roman" w:cs="Times New Roman"/>
          <w:sz w:val="22"/>
          <w:szCs w:val="22"/>
        </w:rPr>
        <w:t>eprivation (IMD) 2015</w:t>
      </w:r>
      <w:r w:rsidR="008B5FC7" w:rsidRPr="0069173E">
        <w:rPr>
          <w:rFonts w:ascii="Times New Roman" w:hAnsi="Times New Roman" w:cs="Times New Roman"/>
          <w:sz w:val="22"/>
          <w:szCs w:val="22"/>
        </w:rPr>
        <w:t>.</w:t>
      </w:r>
      <w:r w:rsidRPr="0069173E">
        <w:rPr>
          <w:rFonts w:ascii="Times New Roman" w:hAnsi="Times New Roman" w:cs="Times New Roman"/>
          <w:sz w:val="22"/>
          <w:szCs w:val="22"/>
        </w:rPr>
        <w:t xml:space="preserve"> [cited 2021 Aug 28]. Available from: https://assets.publishing.service.gov.uk/government/uploads/system/uploads/attachment_data/file/464430/English_Index_of_Multiple_Deprivation_2015_-_Guidance.pdf</w:t>
      </w:r>
      <w:r w:rsidR="008B5FC7" w:rsidRPr="0069173E">
        <w:rPr>
          <w:rFonts w:ascii="Times New Roman" w:hAnsi="Times New Roman" w:cs="Times New Roman"/>
          <w:sz w:val="22"/>
          <w:szCs w:val="22"/>
        </w:rPr>
        <w:t>.</w:t>
      </w:r>
    </w:p>
    <w:p w14:paraId="0C0AF7CF" w14:textId="79F52192"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40. </w:t>
      </w:r>
      <w:r w:rsidRPr="0069173E">
        <w:rPr>
          <w:rFonts w:ascii="Times New Roman" w:hAnsi="Times New Roman" w:cs="Times New Roman"/>
          <w:sz w:val="22"/>
          <w:szCs w:val="22"/>
        </w:rPr>
        <w:tab/>
        <w:t xml:space="preserve">Jerrim J. Measuring parental income using administrative data. What is the best proxy available? </w:t>
      </w:r>
      <w:r w:rsidRPr="0069173E">
        <w:rPr>
          <w:rFonts w:ascii="Times New Roman" w:hAnsi="Times New Roman" w:cs="Times New Roman"/>
          <w:i/>
          <w:iCs/>
          <w:sz w:val="22"/>
          <w:szCs w:val="22"/>
        </w:rPr>
        <w:t xml:space="preserve">Res Pap Educ </w:t>
      </w:r>
      <w:r w:rsidRPr="0069173E">
        <w:rPr>
          <w:rFonts w:ascii="Times New Roman" w:hAnsi="Times New Roman" w:cs="Times New Roman"/>
          <w:b/>
          <w:bCs/>
          <w:sz w:val="22"/>
          <w:szCs w:val="22"/>
        </w:rPr>
        <w:t>2023</w:t>
      </w:r>
      <w:r w:rsidRPr="0069173E">
        <w:rPr>
          <w:rFonts w:ascii="Times New Roman" w:hAnsi="Times New Roman" w:cs="Times New Roman"/>
          <w:sz w:val="22"/>
          <w:szCs w:val="22"/>
        </w:rPr>
        <w:t xml:space="preserve">;0(0):1–25. </w:t>
      </w:r>
    </w:p>
    <w:p w14:paraId="1BD16A03" w14:textId="4B2191F4"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41. </w:t>
      </w:r>
      <w:r w:rsidRPr="0069173E">
        <w:rPr>
          <w:rFonts w:ascii="Times New Roman" w:hAnsi="Times New Roman" w:cs="Times New Roman"/>
          <w:sz w:val="22"/>
          <w:szCs w:val="22"/>
        </w:rPr>
        <w:tab/>
        <w:t>N</w:t>
      </w:r>
      <w:r w:rsidR="008B5FC7" w:rsidRPr="0069173E">
        <w:rPr>
          <w:rFonts w:ascii="Times New Roman" w:hAnsi="Times New Roman" w:cs="Times New Roman"/>
          <w:sz w:val="22"/>
          <w:szCs w:val="22"/>
        </w:rPr>
        <w:t xml:space="preserve">ational </w:t>
      </w:r>
      <w:r w:rsidRPr="0069173E">
        <w:rPr>
          <w:rFonts w:ascii="Times New Roman" w:hAnsi="Times New Roman" w:cs="Times New Roman"/>
          <w:sz w:val="22"/>
          <w:szCs w:val="22"/>
        </w:rPr>
        <w:t>C</w:t>
      </w:r>
      <w:r w:rsidR="008B5FC7" w:rsidRPr="0069173E">
        <w:rPr>
          <w:rFonts w:ascii="Times New Roman" w:hAnsi="Times New Roman" w:cs="Times New Roman"/>
          <w:sz w:val="22"/>
          <w:szCs w:val="22"/>
        </w:rPr>
        <w:t xml:space="preserve">ancer </w:t>
      </w:r>
      <w:r w:rsidRPr="0069173E">
        <w:rPr>
          <w:rFonts w:ascii="Times New Roman" w:hAnsi="Times New Roman" w:cs="Times New Roman"/>
          <w:sz w:val="22"/>
          <w:szCs w:val="22"/>
        </w:rPr>
        <w:t>R</w:t>
      </w:r>
      <w:r w:rsidR="008B5FC7" w:rsidRPr="0069173E">
        <w:rPr>
          <w:rFonts w:ascii="Times New Roman" w:hAnsi="Times New Roman" w:cs="Times New Roman"/>
          <w:sz w:val="22"/>
          <w:szCs w:val="22"/>
        </w:rPr>
        <w:t xml:space="preserve">egistration </w:t>
      </w:r>
      <w:r w:rsidRPr="0069173E">
        <w:rPr>
          <w:rFonts w:ascii="Times New Roman" w:hAnsi="Times New Roman" w:cs="Times New Roman"/>
          <w:sz w:val="22"/>
          <w:szCs w:val="22"/>
        </w:rPr>
        <w:t>A</w:t>
      </w:r>
      <w:r w:rsidR="008B5FC7" w:rsidRPr="0069173E">
        <w:rPr>
          <w:rFonts w:ascii="Times New Roman" w:hAnsi="Times New Roman" w:cs="Times New Roman"/>
          <w:sz w:val="22"/>
          <w:szCs w:val="22"/>
        </w:rPr>
        <w:t xml:space="preserve">nalysis </w:t>
      </w:r>
      <w:r w:rsidRPr="0069173E">
        <w:rPr>
          <w:rFonts w:ascii="Times New Roman" w:hAnsi="Times New Roman" w:cs="Times New Roman"/>
          <w:sz w:val="22"/>
          <w:szCs w:val="22"/>
        </w:rPr>
        <w:t>S</w:t>
      </w:r>
      <w:r w:rsidR="008B5FC7" w:rsidRPr="0069173E">
        <w:rPr>
          <w:rFonts w:ascii="Times New Roman" w:hAnsi="Times New Roman" w:cs="Times New Roman"/>
          <w:sz w:val="22"/>
          <w:szCs w:val="22"/>
        </w:rPr>
        <w:t>ervice</w:t>
      </w:r>
      <w:r w:rsidRPr="0069173E">
        <w:rPr>
          <w:rFonts w:ascii="Times New Roman" w:hAnsi="Times New Roman" w:cs="Times New Roman"/>
          <w:sz w:val="22"/>
          <w:szCs w:val="22"/>
        </w:rPr>
        <w:t xml:space="preserve">. Collecting and </w:t>
      </w:r>
      <w:r w:rsidR="008B5FC7" w:rsidRPr="0069173E">
        <w:rPr>
          <w:rFonts w:ascii="Times New Roman" w:hAnsi="Times New Roman" w:cs="Times New Roman"/>
          <w:sz w:val="22"/>
          <w:szCs w:val="22"/>
        </w:rPr>
        <w:t>u</w:t>
      </w:r>
      <w:r w:rsidRPr="0069173E">
        <w:rPr>
          <w:rFonts w:ascii="Times New Roman" w:hAnsi="Times New Roman" w:cs="Times New Roman"/>
          <w:sz w:val="22"/>
          <w:szCs w:val="22"/>
        </w:rPr>
        <w:t xml:space="preserve">sing </w:t>
      </w:r>
      <w:r w:rsidR="008B5FC7" w:rsidRPr="0069173E">
        <w:rPr>
          <w:rFonts w:ascii="Times New Roman" w:hAnsi="Times New Roman" w:cs="Times New Roman"/>
          <w:sz w:val="22"/>
          <w:szCs w:val="22"/>
        </w:rPr>
        <w:t>d</w:t>
      </w:r>
      <w:r w:rsidRPr="0069173E">
        <w:rPr>
          <w:rFonts w:ascii="Times New Roman" w:hAnsi="Times New Roman" w:cs="Times New Roman"/>
          <w:sz w:val="22"/>
          <w:szCs w:val="22"/>
        </w:rPr>
        <w:t>ata</w:t>
      </w:r>
      <w:r w:rsidR="008B5FC7" w:rsidRPr="0069173E">
        <w:rPr>
          <w:rFonts w:ascii="Times New Roman" w:hAnsi="Times New Roman" w:cs="Times New Roman"/>
          <w:sz w:val="22"/>
          <w:szCs w:val="22"/>
        </w:rPr>
        <w:t xml:space="preserve">. </w:t>
      </w:r>
      <w:r w:rsidRPr="0069173E">
        <w:rPr>
          <w:rFonts w:ascii="Times New Roman" w:hAnsi="Times New Roman" w:cs="Times New Roman"/>
          <w:sz w:val="22"/>
          <w:szCs w:val="22"/>
        </w:rPr>
        <w:t>[cited 2024 Apr 8]. Available from: http://ncin.org.uk/collecting_and_using_data/</w:t>
      </w:r>
      <w:r w:rsidR="008B5FC7" w:rsidRPr="0069173E">
        <w:rPr>
          <w:rFonts w:ascii="Times New Roman" w:hAnsi="Times New Roman" w:cs="Times New Roman"/>
          <w:sz w:val="22"/>
          <w:szCs w:val="22"/>
        </w:rPr>
        <w:t>.</w:t>
      </w:r>
    </w:p>
    <w:p w14:paraId="4BDCB634" w14:textId="63BED156"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42. </w:t>
      </w:r>
      <w:r w:rsidRPr="0069173E">
        <w:rPr>
          <w:rFonts w:ascii="Times New Roman" w:hAnsi="Times New Roman" w:cs="Times New Roman"/>
          <w:sz w:val="22"/>
          <w:szCs w:val="22"/>
        </w:rPr>
        <w:tab/>
        <w:t xml:space="preserve">Bibby P, Brindley P. The 2011 </w:t>
      </w:r>
      <w:r w:rsidR="008B5FC7" w:rsidRPr="0069173E">
        <w:rPr>
          <w:rFonts w:ascii="Times New Roman" w:hAnsi="Times New Roman" w:cs="Times New Roman"/>
          <w:sz w:val="22"/>
          <w:szCs w:val="22"/>
        </w:rPr>
        <w:t>r</w:t>
      </w:r>
      <w:r w:rsidRPr="0069173E">
        <w:rPr>
          <w:rFonts w:ascii="Times New Roman" w:hAnsi="Times New Roman" w:cs="Times New Roman"/>
          <w:sz w:val="22"/>
          <w:szCs w:val="22"/>
        </w:rPr>
        <w:t>ural-</w:t>
      </w:r>
      <w:r w:rsidR="008B5FC7" w:rsidRPr="0069173E">
        <w:rPr>
          <w:rFonts w:ascii="Times New Roman" w:hAnsi="Times New Roman" w:cs="Times New Roman"/>
          <w:sz w:val="22"/>
          <w:szCs w:val="22"/>
        </w:rPr>
        <w:t>u</w:t>
      </w:r>
      <w:r w:rsidRPr="0069173E">
        <w:rPr>
          <w:rFonts w:ascii="Times New Roman" w:hAnsi="Times New Roman" w:cs="Times New Roman"/>
          <w:sz w:val="22"/>
          <w:szCs w:val="22"/>
        </w:rPr>
        <w:t xml:space="preserve">rban </w:t>
      </w:r>
      <w:r w:rsidR="008B5FC7" w:rsidRPr="0069173E">
        <w:rPr>
          <w:rFonts w:ascii="Times New Roman" w:hAnsi="Times New Roman" w:cs="Times New Roman"/>
          <w:sz w:val="22"/>
          <w:szCs w:val="22"/>
        </w:rPr>
        <w:t>cl</w:t>
      </w:r>
      <w:r w:rsidRPr="0069173E">
        <w:rPr>
          <w:rFonts w:ascii="Times New Roman" w:hAnsi="Times New Roman" w:cs="Times New Roman"/>
          <w:sz w:val="22"/>
          <w:szCs w:val="22"/>
        </w:rPr>
        <w:t xml:space="preserve">assification </w:t>
      </w:r>
      <w:r w:rsidR="008B5FC7" w:rsidRPr="0069173E">
        <w:rPr>
          <w:rFonts w:ascii="Times New Roman" w:hAnsi="Times New Roman" w:cs="Times New Roman"/>
          <w:sz w:val="22"/>
          <w:szCs w:val="22"/>
        </w:rPr>
        <w:t>f</w:t>
      </w:r>
      <w:r w:rsidRPr="0069173E">
        <w:rPr>
          <w:rFonts w:ascii="Times New Roman" w:hAnsi="Times New Roman" w:cs="Times New Roman"/>
          <w:sz w:val="22"/>
          <w:szCs w:val="22"/>
        </w:rPr>
        <w:t xml:space="preserve">or </w:t>
      </w:r>
      <w:r w:rsidR="008B5FC7" w:rsidRPr="0069173E">
        <w:rPr>
          <w:rFonts w:ascii="Times New Roman" w:hAnsi="Times New Roman" w:cs="Times New Roman"/>
          <w:sz w:val="22"/>
          <w:szCs w:val="22"/>
        </w:rPr>
        <w:t>s</w:t>
      </w:r>
      <w:r w:rsidRPr="0069173E">
        <w:rPr>
          <w:rFonts w:ascii="Times New Roman" w:hAnsi="Times New Roman" w:cs="Times New Roman"/>
          <w:sz w:val="22"/>
          <w:szCs w:val="22"/>
        </w:rPr>
        <w:t xml:space="preserve">mall </w:t>
      </w:r>
      <w:r w:rsidR="008B5FC7" w:rsidRPr="0069173E">
        <w:rPr>
          <w:rFonts w:ascii="Times New Roman" w:hAnsi="Times New Roman" w:cs="Times New Roman"/>
          <w:sz w:val="22"/>
          <w:szCs w:val="22"/>
        </w:rPr>
        <w:t>a</w:t>
      </w:r>
      <w:r w:rsidRPr="0069173E">
        <w:rPr>
          <w:rFonts w:ascii="Times New Roman" w:hAnsi="Times New Roman" w:cs="Times New Roman"/>
          <w:sz w:val="22"/>
          <w:szCs w:val="22"/>
        </w:rPr>
        <w:t xml:space="preserve">rea </w:t>
      </w:r>
      <w:r w:rsidR="008B5FC7" w:rsidRPr="0069173E">
        <w:rPr>
          <w:rFonts w:ascii="Times New Roman" w:hAnsi="Times New Roman" w:cs="Times New Roman"/>
          <w:sz w:val="22"/>
          <w:szCs w:val="22"/>
        </w:rPr>
        <w:t>g</w:t>
      </w:r>
      <w:r w:rsidRPr="0069173E">
        <w:rPr>
          <w:rFonts w:ascii="Times New Roman" w:hAnsi="Times New Roman" w:cs="Times New Roman"/>
          <w:sz w:val="22"/>
          <w:szCs w:val="22"/>
        </w:rPr>
        <w:t xml:space="preserve">eographies: </w:t>
      </w:r>
      <w:r w:rsidR="008B5FC7" w:rsidRPr="0069173E">
        <w:rPr>
          <w:rFonts w:ascii="Times New Roman" w:hAnsi="Times New Roman" w:cs="Times New Roman"/>
          <w:sz w:val="22"/>
          <w:szCs w:val="22"/>
        </w:rPr>
        <w:t>a</w:t>
      </w:r>
      <w:r w:rsidRPr="0069173E">
        <w:rPr>
          <w:rFonts w:ascii="Times New Roman" w:hAnsi="Times New Roman" w:cs="Times New Roman"/>
          <w:sz w:val="22"/>
          <w:szCs w:val="22"/>
        </w:rPr>
        <w:t xml:space="preserve"> </w:t>
      </w:r>
      <w:r w:rsidR="008B5FC7" w:rsidRPr="0069173E">
        <w:rPr>
          <w:rFonts w:ascii="Times New Roman" w:hAnsi="Times New Roman" w:cs="Times New Roman"/>
          <w:sz w:val="22"/>
          <w:szCs w:val="22"/>
        </w:rPr>
        <w:t>u</w:t>
      </w:r>
      <w:r w:rsidRPr="0069173E">
        <w:rPr>
          <w:rFonts w:ascii="Times New Roman" w:hAnsi="Times New Roman" w:cs="Times New Roman"/>
          <w:sz w:val="22"/>
          <w:szCs w:val="22"/>
        </w:rPr>
        <w:t xml:space="preserve">ser </w:t>
      </w:r>
      <w:r w:rsidR="008B5FC7" w:rsidRPr="0069173E">
        <w:rPr>
          <w:rFonts w:ascii="Times New Roman" w:hAnsi="Times New Roman" w:cs="Times New Roman"/>
          <w:sz w:val="22"/>
          <w:szCs w:val="22"/>
        </w:rPr>
        <w:t>g</w:t>
      </w:r>
      <w:r w:rsidRPr="0069173E">
        <w:rPr>
          <w:rFonts w:ascii="Times New Roman" w:hAnsi="Times New Roman" w:cs="Times New Roman"/>
          <w:sz w:val="22"/>
          <w:szCs w:val="22"/>
        </w:rPr>
        <w:t xml:space="preserve">uide and </w:t>
      </w:r>
      <w:r w:rsidR="008B5FC7" w:rsidRPr="0069173E">
        <w:rPr>
          <w:rFonts w:ascii="Times New Roman" w:hAnsi="Times New Roman" w:cs="Times New Roman"/>
          <w:sz w:val="22"/>
          <w:szCs w:val="22"/>
        </w:rPr>
        <w:t>f</w:t>
      </w:r>
      <w:r w:rsidRPr="0069173E">
        <w:rPr>
          <w:rFonts w:ascii="Times New Roman" w:hAnsi="Times New Roman" w:cs="Times New Roman"/>
          <w:sz w:val="22"/>
          <w:szCs w:val="22"/>
        </w:rPr>
        <w:t xml:space="preserve">requently </w:t>
      </w:r>
      <w:r w:rsidR="008B5FC7" w:rsidRPr="0069173E">
        <w:rPr>
          <w:rFonts w:ascii="Times New Roman" w:hAnsi="Times New Roman" w:cs="Times New Roman"/>
          <w:sz w:val="22"/>
          <w:szCs w:val="22"/>
        </w:rPr>
        <w:t>a</w:t>
      </w:r>
      <w:r w:rsidRPr="0069173E">
        <w:rPr>
          <w:rFonts w:ascii="Times New Roman" w:hAnsi="Times New Roman" w:cs="Times New Roman"/>
          <w:sz w:val="22"/>
          <w:szCs w:val="22"/>
        </w:rPr>
        <w:t xml:space="preserve">sked </w:t>
      </w:r>
      <w:r w:rsidR="008B5FC7" w:rsidRPr="0069173E">
        <w:rPr>
          <w:rFonts w:ascii="Times New Roman" w:hAnsi="Times New Roman" w:cs="Times New Roman"/>
          <w:sz w:val="22"/>
          <w:szCs w:val="22"/>
        </w:rPr>
        <w:t>q</w:t>
      </w:r>
      <w:r w:rsidRPr="0069173E">
        <w:rPr>
          <w:rFonts w:ascii="Times New Roman" w:hAnsi="Times New Roman" w:cs="Times New Roman"/>
          <w:sz w:val="22"/>
          <w:szCs w:val="22"/>
        </w:rPr>
        <w:t>uestions (v1.0)</w:t>
      </w:r>
      <w:r w:rsidR="008B5FC7" w:rsidRPr="0069173E">
        <w:rPr>
          <w:rFonts w:ascii="Times New Roman" w:hAnsi="Times New Roman" w:cs="Times New Roman"/>
          <w:sz w:val="22"/>
          <w:szCs w:val="22"/>
        </w:rPr>
        <w:t xml:space="preserve">. </w:t>
      </w:r>
      <w:r w:rsidRPr="0069173E">
        <w:rPr>
          <w:rFonts w:ascii="Times New Roman" w:hAnsi="Times New Roman" w:cs="Times New Roman"/>
          <w:sz w:val="22"/>
          <w:szCs w:val="22"/>
        </w:rPr>
        <w:t>[cited 2022 May 19]. Available from: https://assets.publishing.service.gov.uk/government/uploads/system/uploads/attachment_data/file/239478/RUC11user_guide_28_Aug.pdf</w:t>
      </w:r>
      <w:r w:rsidR="008B5FC7" w:rsidRPr="0069173E">
        <w:rPr>
          <w:rFonts w:ascii="Times New Roman" w:hAnsi="Times New Roman" w:cs="Times New Roman"/>
          <w:sz w:val="22"/>
          <w:szCs w:val="22"/>
        </w:rPr>
        <w:t>.</w:t>
      </w:r>
    </w:p>
    <w:p w14:paraId="6D46BCCF" w14:textId="5BEF13EC"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43. </w:t>
      </w:r>
      <w:r w:rsidRPr="0069173E">
        <w:rPr>
          <w:rFonts w:ascii="Times New Roman" w:hAnsi="Times New Roman" w:cs="Times New Roman"/>
          <w:sz w:val="22"/>
          <w:szCs w:val="22"/>
        </w:rPr>
        <w:tab/>
        <w:t xml:space="preserve">Charlson ME, Pompei P, Ales KL, MacKenzie CR. A new method of classifying prognostic comorbidity in longitudinal studies: development and validation. </w:t>
      </w:r>
      <w:r w:rsidRPr="0069173E">
        <w:rPr>
          <w:rFonts w:ascii="Times New Roman" w:hAnsi="Times New Roman" w:cs="Times New Roman"/>
          <w:i/>
          <w:iCs/>
          <w:sz w:val="22"/>
          <w:szCs w:val="22"/>
        </w:rPr>
        <w:t>J Chronic Dis</w:t>
      </w:r>
      <w:r w:rsidR="008B5FC7" w:rsidRPr="0069173E">
        <w:rPr>
          <w:rFonts w:ascii="Times New Roman" w:hAnsi="Times New Roman" w:cs="Times New Roman"/>
          <w:i/>
          <w:iCs/>
          <w:sz w:val="22"/>
          <w:szCs w:val="22"/>
        </w:rPr>
        <w:t xml:space="preserve"> </w:t>
      </w:r>
      <w:r w:rsidRPr="0069173E">
        <w:rPr>
          <w:rFonts w:ascii="Times New Roman" w:hAnsi="Times New Roman" w:cs="Times New Roman"/>
          <w:b/>
          <w:bCs/>
          <w:sz w:val="22"/>
          <w:szCs w:val="22"/>
        </w:rPr>
        <w:t>1987</w:t>
      </w:r>
      <w:r w:rsidRPr="0069173E">
        <w:rPr>
          <w:rFonts w:ascii="Times New Roman" w:hAnsi="Times New Roman" w:cs="Times New Roman"/>
          <w:sz w:val="22"/>
          <w:szCs w:val="22"/>
        </w:rPr>
        <w:t>;40(5):373–</w:t>
      </w:r>
      <w:r w:rsidR="00766021">
        <w:rPr>
          <w:rFonts w:ascii="Times New Roman" w:hAnsi="Times New Roman" w:cs="Times New Roman"/>
          <w:sz w:val="22"/>
          <w:szCs w:val="22"/>
        </w:rPr>
        <w:t>3</w:t>
      </w:r>
      <w:r w:rsidRPr="0069173E">
        <w:rPr>
          <w:rFonts w:ascii="Times New Roman" w:hAnsi="Times New Roman" w:cs="Times New Roman"/>
          <w:sz w:val="22"/>
          <w:szCs w:val="22"/>
        </w:rPr>
        <w:t xml:space="preserve">83. </w:t>
      </w:r>
    </w:p>
    <w:p w14:paraId="4DC63BD2" w14:textId="360AB65F"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lastRenderedPageBreak/>
        <w:t xml:space="preserve">44. </w:t>
      </w:r>
      <w:r w:rsidRPr="0069173E">
        <w:rPr>
          <w:rFonts w:ascii="Times New Roman" w:hAnsi="Times New Roman" w:cs="Times New Roman"/>
          <w:sz w:val="22"/>
          <w:szCs w:val="22"/>
        </w:rPr>
        <w:tab/>
        <w:t xml:space="preserve">Du XL, Xia R, Burau K, Liu CC. Cardiac risk associated with the receipt of anthracycline and trastuzumab in a large nationwide cohort of older women with breast cancer, 1998–2005. </w:t>
      </w:r>
      <w:r w:rsidRPr="0069173E">
        <w:rPr>
          <w:rFonts w:ascii="Times New Roman" w:hAnsi="Times New Roman" w:cs="Times New Roman"/>
          <w:i/>
          <w:iCs/>
          <w:sz w:val="22"/>
          <w:szCs w:val="22"/>
        </w:rPr>
        <w:t>Med Oncol</w:t>
      </w:r>
      <w:r w:rsidR="008B5FC7" w:rsidRPr="0069173E">
        <w:rPr>
          <w:rFonts w:ascii="Times New Roman" w:hAnsi="Times New Roman" w:cs="Times New Roman"/>
          <w:sz w:val="22"/>
          <w:szCs w:val="22"/>
        </w:rPr>
        <w:t xml:space="preserve"> </w:t>
      </w:r>
      <w:r w:rsidRPr="0069173E">
        <w:rPr>
          <w:rFonts w:ascii="Times New Roman" w:hAnsi="Times New Roman" w:cs="Times New Roman"/>
          <w:b/>
          <w:bCs/>
          <w:sz w:val="22"/>
          <w:szCs w:val="22"/>
        </w:rPr>
        <w:t>2011</w:t>
      </w:r>
      <w:r w:rsidRPr="0069173E">
        <w:rPr>
          <w:rFonts w:ascii="Times New Roman" w:hAnsi="Times New Roman" w:cs="Times New Roman"/>
          <w:sz w:val="22"/>
          <w:szCs w:val="22"/>
        </w:rPr>
        <w:t xml:space="preserve">;28(1):80–90. </w:t>
      </w:r>
    </w:p>
    <w:p w14:paraId="48F1D369" w14:textId="422A431C"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45. </w:t>
      </w:r>
      <w:r w:rsidRPr="0069173E">
        <w:rPr>
          <w:rFonts w:ascii="Times New Roman" w:hAnsi="Times New Roman" w:cs="Times New Roman"/>
          <w:sz w:val="22"/>
          <w:szCs w:val="22"/>
        </w:rPr>
        <w:tab/>
        <w:t xml:space="preserve">Norris RP, Dew R, Greystoke A, Todd A, Sharp L. Socio-economic inequalities in novel NSCLC treatments during the era of tumor biomarker guided therapy: a population-based cohort study in a publicly funded healthcare system. </w:t>
      </w:r>
      <w:r w:rsidRPr="0069173E">
        <w:rPr>
          <w:rFonts w:ascii="Times New Roman" w:hAnsi="Times New Roman" w:cs="Times New Roman"/>
          <w:i/>
          <w:iCs/>
          <w:sz w:val="22"/>
          <w:szCs w:val="22"/>
        </w:rPr>
        <w:t>J Thorac Oncol</w:t>
      </w:r>
      <w:r w:rsidRPr="0069173E">
        <w:rPr>
          <w:rFonts w:ascii="Times New Roman" w:hAnsi="Times New Roman" w:cs="Times New Roman"/>
          <w:b/>
          <w:bCs/>
          <w:i/>
          <w:iCs/>
          <w:sz w:val="22"/>
          <w:szCs w:val="22"/>
        </w:rPr>
        <w:t xml:space="preserve"> </w:t>
      </w:r>
      <w:r w:rsidRPr="0069173E">
        <w:rPr>
          <w:rFonts w:ascii="Times New Roman" w:hAnsi="Times New Roman" w:cs="Times New Roman"/>
          <w:b/>
          <w:bCs/>
          <w:sz w:val="22"/>
          <w:szCs w:val="22"/>
        </w:rPr>
        <w:t>2023</w:t>
      </w:r>
      <w:r w:rsidRPr="0069173E">
        <w:rPr>
          <w:rFonts w:ascii="Times New Roman" w:hAnsi="Times New Roman" w:cs="Times New Roman"/>
          <w:sz w:val="22"/>
          <w:szCs w:val="22"/>
        </w:rPr>
        <w:t>;</w:t>
      </w:r>
      <w:r w:rsidR="008B5FC7" w:rsidRPr="0069173E">
        <w:rPr>
          <w:rFonts w:ascii="Times New Roman" w:hAnsi="Times New Roman" w:cs="Times New Roman"/>
          <w:sz w:val="22"/>
          <w:szCs w:val="22"/>
        </w:rPr>
        <w:t xml:space="preserve"> 18(8), 990-1002.</w:t>
      </w:r>
    </w:p>
    <w:p w14:paraId="0048411C" w14:textId="69FB35A2"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46. </w:t>
      </w:r>
      <w:r w:rsidRPr="0069173E">
        <w:rPr>
          <w:rFonts w:ascii="Times New Roman" w:hAnsi="Times New Roman" w:cs="Times New Roman"/>
          <w:sz w:val="22"/>
          <w:szCs w:val="22"/>
        </w:rPr>
        <w:tab/>
        <w:t xml:space="preserve">Woods LM, Rachet B, Morris M, Bhaskaran K, Coleman MP. Are socio-economic inequalities in breast cancer survival explained by peri-diagnostic factors? </w:t>
      </w:r>
      <w:r w:rsidRPr="0069173E">
        <w:rPr>
          <w:rFonts w:ascii="Times New Roman" w:hAnsi="Times New Roman" w:cs="Times New Roman"/>
          <w:i/>
          <w:iCs/>
          <w:sz w:val="22"/>
          <w:szCs w:val="22"/>
        </w:rPr>
        <w:t xml:space="preserve">BMC Cancer </w:t>
      </w:r>
      <w:r w:rsidRPr="0069173E">
        <w:rPr>
          <w:rFonts w:ascii="Times New Roman" w:hAnsi="Times New Roman" w:cs="Times New Roman"/>
          <w:b/>
          <w:bCs/>
          <w:sz w:val="22"/>
          <w:szCs w:val="22"/>
        </w:rPr>
        <w:t>2021;</w:t>
      </w:r>
      <w:r w:rsidRPr="0069173E">
        <w:rPr>
          <w:rFonts w:ascii="Times New Roman" w:hAnsi="Times New Roman" w:cs="Times New Roman"/>
          <w:sz w:val="22"/>
          <w:szCs w:val="22"/>
        </w:rPr>
        <w:t xml:space="preserve">21(1):485. </w:t>
      </w:r>
    </w:p>
    <w:p w14:paraId="6EF67A1A" w14:textId="12B1A366"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47. </w:t>
      </w:r>
      <w:r w:rsidRPr="0069173E">
        <w:rPr>
          <w:rFonts w:ascii="Times New Roman" w:hAnsi="Times New Roman" w:cs="Times New Roman"/>
          <w:sz w:val="22"/>
          <w:szCs w:val="22"/>
        </w:rPr>
        <w:tab/>
        <w:t xml:space="preserve">Benitez Majano S, Di Girolamo C, Rachet B, Maringe C, Guren MG, Glimelius B, </w:t>
      </w:r>
      <w:r w:rsidRPr="0069173E">
        <w:rPr>
          <w:rFonts w:ascii="Times New Roman" w:hAnsi="Times New Roman" w:cs="Times New Roman"/>
          <w:i/>
          <w:iCs/>
          <w:sz w:val="22"/>
          <w:szCs w:val="22"/>
        </w:rPr>
        <w:t>et al.</w:t>
      </w:r>
      <w:r w:rsidRPr="0069173E">
        <w:rPr>
          <w:rFonts w:ascii="Times New Roman" w:hAnsi="Times New Roman" w:cs="Times New Roman"/>
          <w:sz w:val="22"/>
          <w:szCs w:val="22"/>
        </w:rPr>
        <w:t xml:space="preserve"> Surgical treatment and survival from colorectal cancer in Denmark, England, Norway, and Sweden: a population-based study. </w:t>
      </w:r>
      <w:r w:rsidRPr="0069173E">
        <w:rPr>
          <w:rFonts w:ascii="Times New Roman" w:hAnsi="Times New Roman" w:cs="Times New Roman"/>
          <w:i/>
          <w:iCs/>
          <w:sz w:val="22"/>
          <w:szCs w:val="22"/>
        </w:rPr>
        <w:t>Lancet Oncol</w:t>
      </w:r>
      <w:r w:rsidR="008E0956" w:rsidRPr="0069173E">
        <w:rPr>
          <w:rFonts w:ascii="Times New Roman" w:hAnsi="Times New Roman" w:cs="Times New Roman"/>
          <w:sz w:val="22"/>
          <w:szCs w:val="22"/>
        </w:rPr>
        <w:t xml:space="preserve"> </w:t>
      </w:r>
      <w:r w:rsidRPr="0069173E">
        <w:rPr>
          <w:rFonts w:ascii="Times New Roman" w:hAnsi="Times New Roman" w:cs="Times New Roman"/>
          <w:b/>
          <w:bCs/>
          <w:sz w:val="22"/>
          <w:szCs w:val="22"/>
        </w:rPr>
        <w:t>2019</w:t>
      </w:r>
      <w:r w:rsidRPr="0069173E">
        <w:rPr>
          <w:rFonts w:ascii="Times New Roman" w:hAnsi="Times New Roman" w:cs="Times New Roman"/>
          <w:sz w:val="22"/>
          <w:szCs w:val="22"/>
        </w:rPr>
        <w:t xml:space="preserve">;20(1):74–87. </w:t>
      </w:r>
    </w:p>
    <w:p w14:paraId="00B73ABA" w14:textId="4AD27863"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48. </w:t>
      </w:r>
      <w:r w:rsidRPr="0069173E">
        <w:rPr>
          <w:rFonts w:ascii="Times New Roman" w:hAnsi="Times New Roman" w:cs="Times New Roman"/>
          <w:sz w:val="22"/>
          <w:szCs w:val="22"/>
        </w:rPr>
        <w:tab/>
        <w:t xml:space="preserve">Li R, Daniel R, Rachet B. How much do tumor stage and treatment explain socioeconomic inequalities in breast cancer survival? Applying causal mediation analysis to population-based data. </w:t>
      </w:r>
      <w:r w:rsidRPr="0069173E">
        <w:rPr>
          <w:rFonts w:ascii="Times New Roman" w:hAnsi="Times New Roman" w:cs="Times New Roman"/>
          <w:i/>
          <w:iCs/>
          <w:sz w:val="22"/>
          <w:szCs w:val="22"/>
        </w:rPr>
        <w:t>Eur J Epidemiol</w:t>
      </w:r>
      <w:r w:rsidR="008E0956" w:rsidRPr="0069173E">
        <w:rPr>
          <w:rFonts w:ascii="Times New Roman" w:hAnsi="Times New Roman" w:cs="Times New Roman"/>
          <w:sz w:val="22"/>
          <w:szCs w:val="22"/>
        </w:rPr>
        <w:t xml:space="preserve"> </w:t>
      </w:r>
      <w:r w:rsidRPr="0069173E">
        <w:rPr>
          <w:rFonts w:ascii="Times New Roman" w:hAnsi="Times New Roman" w:cs="Times New Roman"/>
          <w:b/>
          <w:bCs/>
          <w:sz w:val="22"/>
          <w:szCs w:val="22"/>
        </w:rPr>
        <w:t>2016</w:t>
      </w:r>
      <w:r w:rsidRPr="0069173E">
        <w:rPr>
          <w:rFonts w:ascii="Times New Roman" w:hAnsi="Times New Roman" w:cs="Times New Roman"/>
          <w:sz w:val="22"/>
          <w:szCs w:val="22"/>
        </w:rPr>
        <w:t>;31:603–</w:t>
      </w:r>
      <w:r w:rsidR="008E0956" w:rsidRPr="0069173E">
        <w:rPr>
          <w:rFonts w:ascii="Times New Roman" w:hAnsi="Times New Roman" w:cs="Times New Roman"/>
          <w:sz w:val="22"/>
          <w:szCs w:val="22"/>
        </w:rPr>
        <w:t>6</w:t>
      </w:r>
      <w:r w:rsidRPr="0069173E">
        <w:rPr>
          <w:rFonts w:ascii="Times New Roman" w:hAnsi="Times New Roman" w:cs="Times New Roman"/>
          <w:sz w:val="22"/>
          <w:szCs w:val="22"/>
        </w:rPr>
        <w:t xml:space="preserve">11. </w:t>
      </w:r>
    </w:p>
    <w:p w14:paraId="10549610" w14:textId="43785422"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49. </w:t>
      </w:r>
      <w:r w:rsidRPr="0069173E">
        <w:rPr>
          <w:rFonts w:ascii="Times New Roman" w:hAnsi="Times New Roman" w:cs="Times New Roman"/>
          <w:sz w:val="22"/>
          <w:szCs w:val="22"/>
        </w:rPr>
        <w:tab/>
        <w:t xml:space="preserve">McKeage K, Perry CM. Trastuzumab: a review of its use in the treatment of metastatic breast cancer overexpressing HER2. </w:t>
      </w:r>
      <w:r w:rsidRPr="0069173E">
        <w:rPr>
          <w:rFonts w:ascii="Times New Roman" w:hAnsi="Times New Roman" w:cs="Times New Roman"/>
          <w:i/>
          <w:iCs/>
          <w:sz w:val="22"/>
          <w:szCs w:val="22"/>
        </w:rPr>
        <w:t xml:space="preserve">Drugs </w:t>
      </w:r>
      <w:r w:rsidRPr="0069173E">
        <w:rPr>
          <w:rFonts w:ascii="Times New Roman" w:hAnsi="Times New Roman" w:cs="Times New Roman"/>
          <w:b/>
          <w:bCs/>
          <w:sz w:val="22"/>
          <w:szCs w:val="22"/>
        </w:rPr>
        <w:t>2002</w:t>
      </w:r>
      <w:r w:rsidRPr="0069173E">
        <w:rPr>
          <w:rFonts w:ascii="Times New Roman" w:hAnsi="Times New Roman" w:cs="Times New Roman"/>
          <w:sz w:val="22"/>
          <w:szCs w:val="22"/>
        </w:rPr>
        <w:t>;62(1):209–</w:t>
      </w:r>
      <w:r w:rsidR="008E0956" w:rsidRPr="0069173E">
        <w:rPr>
          <w:rFonts w:ascii="Times New Roman" w:hAnsi="Times New Roman" w:cs="Times New Roman"/>
          <w:sz w:val="22"/>
          <w:szCs w:val="22"/>
        </w:rPr>
        <w:t>2</w:t>
      </w:r>
      <w:r w:rsidRPr="0069173E">
        <w:rPr>
          <w:rFonts w:ascii="Times New Roman" w:hAnsi="Times New Roman" w:cs="Times New Roman"/>
          <w:sz w:val="22"/>
          <w:szCs w:val="22"/>
        </w:rPr>
        <w:t xml:space="preserve">43. </w:t>
      </w:r>
    </w:p>
    <w:p w14:paraId="180DA8E6" w14:textId="2D73D2A5"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50. </w:t>
      </w:r>
      <w:r w:rsidRPr="0069173E">
        <w:rPr>
          <w:rFonts w:ascii="Times New Roman" w:hAnsi="Times New Roman" w:cs="Times New Roman"/>
          <w:sz w:val="22"/>
          <w:szCs w:val="22"/>
        </w:rPr>
        <w:tab/>
        <w:t>N</w:t>
      </w:r>
      <w:r w:rsidR="008E0956" w:rsidRPr="0069173E">
        <w:rPr>
          <w:rFonts w:ascii="Times New Roman" w:hAnsi="Times New Roman" w:cs="Times New Roman"/>
          <w:sz w:val="22"/>
          <w:szCs w:val="22"/>
        </w:rPr>
        <w:t xml:space="preserve">ational </w:t>
      </w:r>
      <w:r w:rsidRPr="0069173E">
        <w:rPr>
          <w:rFonts w:ascii="Times New Roman" w:hAnsi="Times New Roman" w:cs="Times New Roman"/>
          <w:sz w:val="22"/>
          <w:szCs w:val="22"/>
        </w:rPr>
        <w:t>I</w:t>
      </w:r>
      <w:r w:rsidR="008E0956" w:rsidRPr="0069173E">
        <w:rPr>
          <w:rFonts w:ascii="Times New Roman" w:hAnsi="Times New Roman" w:cs="Times New Roman"/>
          <w:sz w:val="22"/>
          <w:szCs w:val="22"/>
        </w:rPr>
        <w:t xml:space="preserve">nstitute for Health and </w:t>
      </w:r>
      <w:r w:rsidRPr="0069173E">
        <w:rPr>
          <w:rFonts w:ascii="Times New Roman" w:hAnsi="Times New Roman" w:cs="Times New Roman"/>
          <w:sz w:val="22"/>
          <w:szCs w:val="22"/>
        </w:rPr>
        <w:t>C</w:t>
      </w:r>
      <w:r w:rsidR="008E0956" w:rsidRPr="0069173E">
        <w:rPr>
          <w:rFonts w:ascii="Times New Roman" w:hAnsi="Times New Roman" w:cs="Times New Roman"/>
          <w:sz w:val="22"/>
          <w:szCs w:val="22"/>
        </w:rPr>
        <w:t xml:space="preserve">are </w:t>
      </w:r>
      <w:r w:rsidRPr="0069173E">
        <w:rPr>
          <w:rFonts w:ascii="Times New Roman" w:hAnsi="Times New Roman" w:cs="Times New Roman"/>
          <w:sz w:val="22"/>
          <w:szCs w:val="22"/>
        </w:rPr>
        <w:t>E</w:t>
      </w:r>
      <w:r w:rsidR="008E0956" w:rsidRPr="0069173E">
        <w:rPr>
          <w:rFonts w:ascii="Times New Roman" w:hAnsi="Times New Roman" w:cs="Times New Roman"/>
          <w:sz w:val="22"/>
          <w:szCs w:val="22"/>
        </w:rPr>
        <w:t>xcellence</w:t>
      </w:r>
      <w:r w:rsidRPr="0069173E">
        <w:rPr>
          <w:rFonts w:ascii="Times New Roman" w:hAnsi="Times New Roman" w:cs="Times New Roman"/>
          <w:sz w:val="22"/>
          <w:szCs w:val="22"/>
        </w:rPr>
        <w:t>. Recommendations, early and locally advanced breast cancer: diagnosis and management guidance</w:t>
      </w:r>
      <w:r w:rsidR="008E0956" w:rsidRPr="0069173E">
        <w:rPr>
          <w:rFonts w:ascii="Times New Roman" w:hAnsi="Times New Roman" w:cs="Times New Roman"/>
          <w:sz w:val="22"/>
          <w:szCs w:val="22"/>
        </w:rPr>
        <w:t>.</w:t>
      </w:r>
      <w:r w:rsidRPr="0069173E">
        <w:rPr>
          <w:rFonts w:ascii="Times New Roman" w:hAnsi="Times New Roman" w:cs="Times New Roman"/>
          <w:sz w:val="22"/>
          <w:szCs w:val="22"/>
        </w:rPr>
        <w:t xml:space="preserve"> [cited 2022 Mar 30]. Available from: https://www.nice.org.uk/guidance/ng101/chapter/Recommendations#surgery-to-the-breast</w:t>
      </w:r>
      <w:r w:rsidR="008E0956" w:rsidRPr="0069173E">
        <w:rPr>
          <w:rFonts w:ascii="Times New Roman" w:hAnsi="Times New Roman" w:cs="Times New Roman"/>
          <w:sz w:val="22"/>
          <w:szCs w:val="22"/>
        </w:rPr>
        <w:t>.</w:t>
      </w:r>
    </w:p>
    <w:p w14:paraId="5F1550AA" w14:textId="5A45C088"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51. </w:t>
      </w:r>
      <w:r w:rsidRPr="0069173E">
        <w:rPr>
          <w:rFonts w:ascii="Times New Roman" w:hAnsi="Times New Roman" w:cs="Times New Roman"/>
          <w:sz w:val="22"/>
          <w:szCs w:val="22"/>
        </w:rPr>
        <w:tab/>
        <w:t xml:space="preserve">Link BG, Phelan J. Social </w:t>
      </w:r>
      <w:r w:rsidR="008E0956" w:rsidRPr="0069173E">
        <w:rPr>
          <w:rFonts w:ascii="Times New Roman" w:hAnsi="Times New Roman" w:cs="Times New Roman"/>
          <w:sz w:val="22"/>
          <w:szCs w:val="22"/>
        </w:rPr>
        <w:t>c</w:t>
      </w:r>
      <w:r w:rsidRPr="0069173E">
        <w:rPr>
          <w:rFonts w:ascii="Times New Roman" w:hAnsi="Times New Roman" w:cs="Times New Roman"/>
          <w:sz w:val="22"/>
          <w:szCs w:val="22"/>
        </w:rPr>
        <w:t xml:space="preserve">onditions </w:t>
      </w:r>
      <w:r w:rsidR="008E0956" w:rsidRPr="0069173E">
        <w:rPr>
          <w:rFonts w:ascii="Times New Roman" w:hAnsi="Times New Roman" w:cs="Times New Roman"/>
          <w:sz w:val="22"/>
          <w:szCs w:val="22"/>
        </w:rPr>
        <w:t>a</w:t>
      </w:r>
      <w:r w:rsidRPr="0069173E">
        <w:rPr>
          <w:rFonts w:ascii="Times New Roman" w:hAnsi="Times New Roman" w:cs="Times New Roman"/>
          <w:sz w:val="22"/>
          <w:szCs w:val="22"/>
        </w:rPr>
        <w:t xml:space="preserve">s </w:t>
      </w:r>
      <w:r w:rsidR="008E0956" w:rsidRPr="0069173E">
        <w:rPr>
          <w:rFonts w:ascii="Times New Roman" w:hAnsi="Times New Roman" w:cs="Times New Roman"/>
          <w:sz w:val="22"/>
          <w:szCs w:val="22"/>
        </w:rPr>
        <w:t>f</w:t>
      </w:r>
      <w:r w:rsidRPr="0069173E">
        <w:rPr>
          <w:rFonts w:ascii="Times New Roman" w:hAnsi="Times New Roman" w:cs="Times New Roman"/>
          <w:sz w:val="22"/>
          <w:szCs w:val="22"/>
        </w:rPr>
        <w:t xml:space="preserve">undamental </w:t>
      </w:r>
      <w:r w:rsidR="008E0956" w:rsidRPr="0069173E">
        <w:rPr>
          <w:rFonts w:ascii="Times New Roman" w:hAnsi="Times New Roman" w:cs="Times New Roman"/>
          <w:sz w:val="22"/>
          <w:szCs w:val="22"/>
        </w:rPr>
        <w:t>c</w:t>
      </w:r>
      <w:r w:rsidRPr="0069173E">
        <w:rPr>
          <w:rFonts w:ascii="Times New Roman" w:hAnsi="Times New Roman" w:cs="Times New Roman"/>
          <w:sz w:val="22"/>
          <w:szCs w:val="22"/>
        </w:rPr>
        <w:t xml:space="preserve">auses of </w:t>
      </w:r>
      <w:r w:rsidR="008E0956" w:rsidRPr="0069173E">
        <w:rPr>
          <w:rFonts w:ascii="Times New Roman" w:hAnsi="Times New Roman" w:cs="Times New Roman"/>
          <w:sz w:val="22"/>
          <w:szCs w:val="22"/>
        </w:rPr>
        <w:t>d</w:t>
      </w:r>
      <w:r w:rsidRPr="0069173E">
        <w:rPr>
          <w:rFonts w:ascii="Times New Roman" w:hAnsi="Times New Roman" w:cs="Times New Roman"/>
          <w:sz w:val="22"/>
          <w:szCs w:val="22"/>
        </w:rPr>
        <w:t xml:space="preserve">isease. </w:t>
      </w:r>
      <w:r w:rsidRPr="0069173E">
        <w:rPr>
          <w:rFonts w:ascii="Times New Roman" w:hAnsi="Times New Roman" w:cs="Times New Roman"/>
          <w:i/>
          <w:iCs/>
          <w:sz w:val="22"/>
          <w:szCs w:val="22"/>
        </w:rPr>
        <w:t>J Health Soc Behav</w:t>
      </w:r>
      <w:r w:rsidR="00766021">
        <w:rPr>
          <w:rFonts w:ascii="Times New Roman" w:hAnsi="Times New Roman" w:cs="Times New Roman"/>
          <w:i/>
          <w:iCs/>
          <w:sz w:val="22"/>
          <w:szCs w:val="22"/>
        </w:rPr>
        <w:t xml:space="preserve"> </w:t>
      </w:r>
      <w:r w:rsidRPr="0069173E">
        <w:rPr>
          <w:rFonts w:ascii="Times New Roman" w:hAnsi="Times New Roman" w:cs="Times New Roman"/>
          <w:b/>
          <w:bCs/>
          <w:sz w:val="22"/>
          <w:szCs w:val="22"/>
        </w:rPr>
        <w:t>1995</w:t>
      </w:r>
      <w:r w:rsidRPr="0069173E">
        <w:rPr>
          <w:rFonts w:ascii="Times New Roman" w:hAnsi="Times New Roman" w:cs="Times New Roman"/>
          <w:sz w:val="22"/>
          <w:szCs w:val="22"/>
        </w:rPr>
        <w:t>;80–94.</w:t>
      </w:r>
    </w:p>
    <w:p w14:paraId="4FC4686E" w14:textId="314EF5D9"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52. </w:t>
      </w:r>
      <w:r w:rsidRPr="0069173E">
        <w:rPr>
          <w:rFonts w:ascii="Times New Roman" w:hAnsi="Times New Roman" w:cs="Times New Roman"/>
          <w:sz w:val="22"/>
          <w:szCs w:val="22"/>
        </w:rPr>
        <w:tab/>
        <w:t xml:space="preserve">Sankar P, Cho MK, Condit CM, Hunt LM, Koenig B, Marshall P, </w:t>
      </w:r>
      <w:r w:rsidRPr="0069173E">
        <w:rPr>
          <w:rFonts w:ascii="Times New Roman" w:hAnsi="Times New Roman" w:cs="Times New Roman"/>
          <w:i/>
          <w:iCs/>
          <w:sz w:val="22"/>
          <w:szCs w:val="22"/>
        </w:rPr>
        <w:t>et al.</w:t>
      </w:r>
      <w:r w:rsidRPr="0069173E">
        <w:rPr>
          <w:rFonts w:ascii="Times New Roman" w:hAnsi="Times New Roman" w:cs="Times New Roman"/>
          <w:sz w:val="22"/>
          <w:szCs w:val="22"/>
        </w:rPr>
        <w:t xml:space="preserve"> Genetic </w:t>
      </w:r>
      <w:r w:rsidR="001571F7" w:rsidRPr="0069173E">
        <w:rPr>
          <w:rFonts w:ascii="Times New Roman" w:hAnsi="Times New Roman" w:cs="Times New Roman"/>
          <w:sz w:val="22"/>
          <w:szCs w:val="22"/>
        </w:rPr>
        <w:t>r</w:t>
      </w:r>
      <w:r w:rsidRPr="0069173E">
        <w:rPr>
          <w:rFonts w:ascii="Times New Roman" w:hAnsi="Times New Roman" w:cs="Times New Roman"/>
          <w:sz w:val="22"/>
          <w:szCs w:val="22"/>
        </w:rPr>
        <w:t xml:space="preserve">esearch and </w:t>
      </w:r>
      <w:r w:rsidR="001571F7" w:rsidRPr="0069173E">
        <w:rPr>
          <w:rFonts w:ascii="Times New Roman" w:hAnsi="Times New Roman" w:cs="Times New Roman"/>
          <w:sz w:val="22"/>
          <w:szCs w:val="22"/>
        </w:rPr>
        <w:t>h</w:t>
      </w:r>
      <w:r w:rsidRPr="0069173E">
        <w:rPr>
          <w:rFonts w:ascii="Times New Roman" w:hAnsi="Times New Roman" w:cs="Times New Roman"/>
          <w:sz w:val="22"/>
          <w:szCs w:val="22"/>
        </w:rPr>
        <w:t xml:space="preserve">ealth </w:t>
      </w:r>
      <w:r w:rsidR="001571F7" w:rsidRPr="0069173E">
        <w:rPr>
          <w:rFonts w:ascii="Times New Roman" w:hAnsi="Times New Roman" w:cs="Times New Roman"/>
          <w:sz w:val="22"/>
          <w:szCs w:val="22"/>
        </w:rPr>
        <w:t>d</w:t>
      </w:r>
      <w:r w:rsidRPr="0069173E">
        <w:rPr>
          <w:rFonts w:ascii="Times New Roman" w:hAnsi="Times New Roman" w:cs="Times New Roman"/>
          <w:sz w:val="22"/>
          <w:szCs w:val="22"/>
        </w:rPr>
        <w:t xml:space="preserve">isparities. </w:t>
      </w:r>
      <w:r w:rsidRPr="0069173E">
        <w:rPr>
          <w:rFonts w:ascii="Times New Roman" w:hAnsi="Times New Roman" w:cs="Times New Roman"/>
          <w:i/>
          <w:iCs/>
          <w:sz w:val="22"/>
          <w:szCs w:val="22"/>
        </w:rPr>
        <w:t>JAMA</w:t>
      </w:r>
      <w:r w:rsidRPr="0069173E">
        <w:rPr>
          <w:rFonts w:ascii="Times New Roman" w:hAnsi="Times New Roman" w:cs="Times New Roman"/>
          <w:b/>
          <w:bCs/>
          <w:i/>
          <w:iCs/>
          <w:sz w:val="22"/>
          <w:szCs w:val="22"/>
        </w:rPr>
        <w:t xml:space="preserve"> </w:t>
      </w:r>
      <w:r w:rsidRPr="0069173E">
        <w:rPr>
          <w:rFonts w:ascii="Times New Roman" w:hAnsi="Times New Roman" w:cs="Times New Roman"/>
          <w:b/>
          <w:bCs/>
          <w:sz w:val="22"/>
          <w:szCs w:val="22"/>
        </w:rPr>
        <w:t>2004</w:t>
      </w:r>
      <w:r w:rsidRPr="0069173E">
        <w:rPr>
          <w:rFonts w:ascii="Times New Roman" w:hAnsi="Times New Roman" w:cs="Times New Roman"/>
          <w:sz w:val="22"/>
          <w:szCs w:val="22"/>
        </w:rPr>
        <w:t>;291(24):2985–</w:t>
      </w:r>
      <w:r w:rsidR="001571F7" w:rsidRPr="0069173E">
        <w:rPr>
          <w:rFonts w:ascii="Times New Roman" w:hAnsi="Times New Roman" w:cs="Times New Roman"/>
          <w:sz w:val="22"/>
          <w:szCs w:val="22"/>
        </w:rPr>
        <w:t>298</w:t>
      </w:r>
      <w:r w:rsidRPr="0069173E">
        <w:rPr>
          <w:rFonts w:ascii="Times New Roman" w:hAnsi="Times New Roman" w:cs="Times New Roman"/>
          <w:sz w:val="22"/>
          <w:szCs w:val="22"/>
        </w:rPr>
        <w:t xml:space="preserve">9. </w:t>
      </w:r>
    </w:p>
    <w:p w14:paraId="3CE71DF3" w14:textId="55B0574C"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53. </w:t>
      </w:r>
      <w:r w:rsidRPr="0069173E">
        <w:rPr>
          <w:rFonts w:ascii="Times New Roman" w:hAnsi="Times New Roman" w:cs="Times New Roman"/>
          <w:sz w:val="22"/>
          <w:szCs w:val="22"/>
        </w:rPr>
        <w:tab/>
        <w:t xml:space="preserve">Mannion R, Thompson C. Systematic biases in group decision-making: implications for patient safety. </w:t>
      </w:r>
      <w:r w:rsidRPr="0069173E">
        <w:rPr>
          <w:rFonts w:ascii="Times New Roman" w:hAnsi="Times New Roman" w:cs="Times New Roman"/>
          <w:i/>
          <w:iCs/>
          <w:sz w:val="22"/>
          <w:szCs w:val="22"/>
        </w:rPr>
        <w:t>Int J Qual Health Care</w:t>
      </w:r>
      <w:r w:rsidR="001571F7" w:rsidRPr="0069173E">
        <w:rPr>
          <w:rFonts w:ascii="Times New Roman" w:hAnsi="Times New Roman" w:cs="Times New Roman"/>
          <w:sz w:val="22"/>
          <w:szCs w:val="22"/>
        </w:rPr>
        <w:t xml:space="preserve"> </w:t>
      </w:r>
      <w:r w:rsidRPr="0069173E">
        <w:rPr>
          <w:rFonts w:ascii="Times New Roman" w:hAnsi="Times New Roman" w:cs="Times New Roman"/>
          <w:b/>
          <w:bCs/>
          <w:sz w:val="22"/>
          <w:szCs w:val="22"/>
        </w:rPr>
        <w:t>2014</w:t>
      </w:r>
      <w:r w:rsidRPr="0069173E">
        <w:rPr>
          <w:rFonts w:ascii="Times New Roman" w:hAnsi="Times New Roman" w:cs="Times New Roman"/>
          <w:sz w:val="22"/>
          <w:szCs w:val="22"/>
        </w:rPr>
        <w:t>;26(6):606–</w:t>
      </w:r>
      <w:r w:rsidR="001571F7" w:rsidRPr="0069173E">
        <w:rPr>
          <w:rFonts w:ascii="Times New Roman" w:hAnsi="Times New Roman" w:cs="Times New Roman"/>
          <w:sz w:val="22"/>
          <w:szCs w:val="22"/>
        </w:rPr>
        <w:t>6</w:t>
      </w:r>
      <w:r w:rsidRPr="0069173E">
        <w:rPr>
          <w:rFonts w:ascii="Times New Roman" w:hAnsi="Times New Roman" w:cs="Times New Roman"/>
          <w:sz w:val="22"/>
          <w:szCs w:val="22"/>
        </w:rPr>
        <w:t xml:space="preserve">12. </w:t>
      </w:r>
    </w:p>
    <w:p w14:paraId="0974D2E4" w14:textId="1DCE495A"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54. </w:t>
      </w:r>
      <w:r w:rsidRPr="0069173E">
        <w:rPr>
          <w:rFonts w:ascii="Times New Roman" w:hAnsi="Times New Roman" w:cs="Times New Roman"/>
          <w:sz w:val="22"/>
          <w:szCs w:val="22"/>
        </w:rPr>
        <w:tab/>
        <w:t xml:space="preserve">Shore ND, Morgans AK, El-Haddad G, Srinivas S, Abramowitz M. Addressing </w:t>
      </w:r>
      <w:r w:rsidR="001571F7" w:rsidRPr="0069173E">
        <w:rPr>
          <w:rFonts w:ascii="Times New Roman" w:hAnsi="Times New Roman" w:cs="Times New Roman"/>
          <w:sz w:val="22"/>
          <w:szCs w:val="22"/>
        </w:rPr>
        <w:t>c</w:t>
      </w:r>
      <w:r w:rsidRPr="0069173E">
        <w:rPr>
          <w:rFonts w:ascii="Times New Roman" w:hAnsi="Times New Roman" w:cs="Times New Roman"/>
          <w:sz w:val="22"/>
          <w:szCs w:val="22"/>
        </w:rPr>
        <w:t xml:space="preserve">hallenges and </w:t>
      </w:r>
      <w:r w:rsidR="001571F7" w:rsidRPr="0069173E">
        <w:rPr>
          <w:rFonts w:ascii="Times New Roman" w:hAnsi="Times New Roman" w:cs="Times New Roman"/>
          <w:sz w:val="22"/>
          <w:szCs w:val="22"/>
        </w:rPr>
        <w:t>c</w:t>
      </w:r>
      <w:r w:rsidRPr="0069173E">
        <w:rPr>
          <w:rFonts w:ascii="Times New Roman" w:hAnsi="Times New Roman" w:cs="Times New Roman"/>
          <w:sz w:val="22"/>
          <w:szCs w:val="22"/>
        </w:rPr>
        <w:t xml:space="preserve">ontroversies in the </w:t>
      </w:r>
      <w:r w:rsidR="001571F7" w:rsidRPr="0069173E">
        <w:rPr>
          <w:rFonts w:ascii="Times New Roman" w:hAnsi="Times New Roman" w:cs="Times New Roman"/>
          <w:sz w:val="22"/>
          <w:szCs w:val="22"/>
        </w:rPr>
        <w:t>m</w:t>
      </w:r>
      <w:r w:rsidRPr="0069173E">
        <w:rPr>
          <w:rFonts w:ascii="Times New Roman" w:hAnsi="Times New Roman" w:cs="Times New Roman"/>
          <w:sz w:val="22"/>
          <w:szCs w:val="22"/>
        </w:rPr>
        <w:t xml:space="preserve">anagement of </w:t>
      </w:r>
      <w:r w:rsidR="001571F7" w:rsidRPr="0069173E">
        <w:rPr>
          <w:rFonts w:ascii="Times New Roman" w:hAnsi="Times New Roman" w:cs="Times New Roman"/>
          <w:sz w:val="22"/>
          <w:szCs w:val="22"/>
        </w:rPr>
        <w:t>p</w:t>
      </w:r>
      <w:r w:rsidRPr="0069173E">
        <w:rPr>
          <w:rFonts w:ascii="Times New Roman" w:hAnsi="Times New Roman" w:cs="Times New Roman"/>
          <w:sz w:val="22"/>
          <w:szCs w:val="22"/>
        </w:rPr>
        <w:t xml:space="preserve">rostate </w:t>
      </w:r>
      <w:r w:rsidR="001571F7" w:rsidRPr="0069173E">
        <w:rPr>
          <w:rFonts w:ascii="Times New Roman" w:hAnsi="Times New Roman" w:cs="Times New Roman"/>
          <w:sz w:val="22"/>
          <w:szCs w:val="22"/>
        </w:rPr>
        <w:t>ca</w:t>
      </w:r>
      <w:r w:rsidRPr="0069173E">
        <w:rPr>
          <w:rFonts w:ascii="Times New Roman" w:hAnsi="Times New Roman" w:cs="Times New Roman"/>
          <w:sz w:val="22"/>
          <w:szCs w:val="22"/>
        </w:rPr>
        <w:t xml:space="preserve">ncer with </w:t>
      </w:r>
      <w:r w:rsidR="001571F7" w:rsidRPr="0069173E">
        <w:rPr>
          <w:rFonts w:ascii="Times New Roman" w:hAnsi="Times New Roman" w:cs="Times New Roman"/>
          <w:sz w:val="22"/>
          <w:szCs w:val="22"/>
        </w:rPr>
        <w:t>m</w:t>
      </w:r>
      <w:r w:rsidRPr="0069173E">
        <w:rPr>
          <w:rFonts w:ascii="Times New Roman" w:hAnsi="Times New Roman" w:cs="Times New Roman"/>
          <w:sz w:val="22"/>
          <w:szCs w:val="22"/>
        </w:rPr>
        <w:t xml:space="preserve">ultidisciplinary </w:t>
      </w:r>
      <w:r w:rsidR="001571F7" w:rsidRPr="0069173E">
        <w:rPr>
          <w:rFonts w:ascii="Times New Roman" w:hAnsi="Times New Roman" w:cs="Times New Roman"/>
          <w:sz w:val="22"/>
          <w:szCs w:val="22"/>
        </w:rPr>
        <w:t>t</w:t>
      </w:r>
      <w:r w:rsidRPr="0069173E">
        <w:rPr>
          <w:rFonts w:ascii="Times New Roman" w:hAnsi="Times New Roman" w:cs="Times New Roman"/>
          <w:sz w:val="22"/>
          <w:szCs w:val="22"/>
        </w:rPr>
        <w:t xml:space="preserve">eams. Target Oncol </w:t>
      </w:r>
      <w:r w:rsidRPr="0069173E">
        <w:rPr>
          <w:rFonts w:ascii="Times New Roman" w:hAnsi="Times New Roman" w:cs="Times New Roman"/>
          <w:b/>
          <w:bCs/>
          <w:sz w:val="22"/>
          <w:szCs w:val="22"/>
        </w:rPr>
        <w:t>2022</w:t>
      </w:r>
      <w:r w:rsidRPr="0069173E">
        <w:rPr>
          <w:rFonts w:ascii="Times New Roman" w:hAnsi="Times New Roman" w:cs="Times New Roman"/>
          <w:sz w:val="22"/>
          <w:szCs w:val="22"/>
        </w:rPr>
        <w:t>;17(6):709–</w:t>
      </w:r>
      <w:r w:rsidR="001571F7" w:rsidRPr="0069173E">
        <w:rPr>
          <w:rFonts w:ascii="Times New Roman" w:hAnsi="Times New Roman" w:cs="Times New Roman"/>
          <w:sz w:val="22"/>
          <w:szCs w:val="22"/>
        </w:rPr>
        <w:t>7</w:t>
      </w:r>
      <w:r w:rsidRPr="0069173E">
        <w:rPr>
          <w:rFonts w:ascii="Times New Roman" w:hAnsi="Times New Roman" w:cs="Times New Roman"/>
          <w:sz w:val="22"/>
          <w:szCs w:val="22"/>
        </w:rPr>
        <w:t xml:space="preserve">25. </w:t>
      </w:r>
    </w:p>
    <w:p w14:paraId="61CB1F9C" w14:textId="722A0312"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55. </w:t>
      </w:r>
      <w:r w:rsidRPr="0069173E">
        <w:rPr>
          <w:rFonts w:ascii="Times New Roman" w:hAnsi="Times New Roman" w:cs="Times New Roman"/>
          <w:sz w:val="22"/>
          <w:szCs w:val="22"/>
        </w:rPr>
        <w:tab/>
        <w:t xml:space="preserve">Raine R, Wallace I, Nic a’ Bháird C, Xanthopoulou P, Lanceley A, Clarke A, </w:t>
      </w:r>
      <w:r w:rsidRPr="0069173E">
        <w:rPr>
          <w:rFonts w:ascii="Times New Roman" w:hAnsi="Times New Roman" w:cs="Times New Roman"/>
          <w:i/>
          <w:iCs/>
          <w:sz w:val="22"/>
          <w:szCs w:val="22"/>
        </w:rPr>
        <w:t>et al.</w:t>
      </w:r>
      <w:r w:rsidRPr="0069173E">
        <w:rPr>
          <w:rFonts w:ascii="Times New Roman" w:hAnsi="Times New Roman" w:cs="Times New Roman"/>
          <w:sz w:val="22"/>
          <w:szCs w:val="22"/>
        </w:rPr>
        <w:t xml:space="preserve"> Improving the effectiveness of multidisciplinary team meetings for patients with chronic diseases: a prospective observational study</w:t>
      </w:r>
      <w:r w:rsidR="001571F7" w:rsidRPr="0069173E">
        <w:rPr>
          <w:rFonts w:ascii="Times New Roman" w:hAnsi="Times New Roman" w:cs="Times New Roman"/>
          <w:sz w:val="22"/>
          <w:szCs w:val="22"/>
        </w:rPr>
        <w:t>.</w:t>
      </w:r>
      <w:r w:rsidR="001571F7" w:rsidRPr="0069173E">
        <w:rPr>
          <w:rFonts w:ascii="Times New Roman" w:hAnsi="Times New Roman" w:cs="Times New Roman"/>
          <w:i/>
          <w:iCs/>
          <w:sz w:val="22"/>
          <w:szCs w:val="22"/>
        </w:rPr>
        <w:t xml:space="preserve"> </w:t>
      </w:r>
      <w:r w:rsidRPr="0069173E">
        <w:rPr>
          <w:rFonts w:ascii="Times New Roman" w:hAnsi="Times New Roman" w:cs="Times New Roman"/>
          <w:i/>
          <w:iCs/>
          <w:sz w:val="22"/>
          <w:szCs w:val="22"/>
        </w:rPr>
        <w:t>Health Services and Delivery Research</w:t>
      </w:r>
      <w:r w:rsidR="001571F7" w:rsidRPr="0069173E">
        <w:rPr>
          <w:rFonts w:ascii="Times New Roman" w:hAnsi="Times New Roman" w:cs="Times New Roman"/>
          <w:i/>
          <w:iCs/>
          <w:sz w:val="22"/>
          <w:szCs w:val="22"/>
        </w:rPr>
        <w:t xml:space="preserve"> </w:t>
      </w:r>
      <w:r w:rsidR="001571F7" w:rsidRPr="0069173E">
        <w:rPr>
          <w:rFonts w:ascii="Times New Roman" w:hAnsi="Times New Roman" w:cs="Times New Roman"/>
          <w:b/>
          <w:bCs/>
          <w:sz w:val="22"/>
          <w:szCs w:val="22"/>
        </w:rPr>
        <w:t>2014</w:t>
      </w:r>
      <w:r w:rsidR="00766021">
        <w:rPr>
          <w:rFonts w:ascii="Times New Roman" w:hAnsi="Times New Roman" w:cs="Times New Roman"/>
          <w:sz w:val="22"/>
          <w:szCs w:val="22"/>
        </w:rPr>
        <w:t>;</w:t>
      </w:r>
      <w:r w:rsidR="00766021" w:rsidRPr="00766021">
        <w:rPr>
          <w:rFonts w:ascii="Times New Roman" w:hAnsi="Times New Roman" w:cs="Times New Roman"/>
          <w:color w:val="212121"/>
          <w:sz w:val="22"/>
          <w:szCs w:val="22"/>
          <w:shd w:val="clear" w:color="auto" w:fill="FFFFFF"/>
        </w:rPr>
        <w:t>25642498</w:t>
      </w:r>
      <w:r w:rsidR="00766021">
        <w:rPr>
          <w:rFonts w:ascii="Segoe UI" w:hAnsi="Segoe UI" w:cs="Segoe UI"/>
          <w:color w:val="212121"/>
          <w:shd w:val="clear" w:color="auto" w:fill="FFFFFF"/>
        </w:rPr>
        <w:t>.</w:t>
      </w:r>
    </w:p>
    <w:p w14:paraId="48889902" w14:textId="06156026"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56. </w:t>
      </w:r>
      <w:r w:rsidRPr="0069173E">
        <w:rPr>
          <w:rFonts w:ascii="Times New Roman" w:hAnsi="Times New Roman" w:cs="Times New Roman"/>
          <w:sz w:val="22"/>
          <w:szCs w:val="22"/>
        </w:rPr>
        <w:tab/>
        <w:t xml:space="preserve">Puts MTE, Tapscott B, Fitch M, Howell D, Monette J, Wan-Chow-Wah D, </w:t>
      </w:r>
      <w:r w:rsidRPr="0069173E">
        <w:rPr>
          <w:rFonts w:ascii="Times New Roman" w:hAnsi="Times New Roman" w:cs="Times New Roman"/>
          <w:i/>
          <w:iCs/>
          <w:sz w:val="22"/>
          <w:szCs w:val="22"/>
        </w:rPr>
        <w:t>et al.</w:t>
      </w:r>
      <w:r w:rsidRPr="0069173E">
        <w:rPr>
          <w:rFonts w:ascii="Times New Roman" w:hAnsi="Times New Roman" w:cs="Times New Roman"/>
          <w:sz w:val="22"/>
          <w:szCs w:val="22"/>
        </w:rPr>
        <w:t xml:space="preserve"> A systematic review of factors influencing older adults’ decision to accept or decline cancer treatment. </w:t>
      </w:r>
      <w:r w:rsidRPr="0069173E">
        <w:rPr>
          <w:rFonts w:ascii="Times New Roman" w:hAnsi="Times New Roman" w:cs="Times New Roman"/>
          <w:i/>
          <w:iCs/>
          <w:sz w:val="22"/>
          <w:szCs w:val="22"/>
        </w:rPr>
        <w:t>Cancer Treat Rev</w:t>
      </w:r>
      <w:r w:rsidRPr="0069173E">
        <w:rPr>
          <w:rFonts w:ascii="Times New Roman" w:hAnsi="Times New Roman" w:cs="Times New Roman"/>
          <w:b/>
          <w:bCs/>
          <w:i/>
          <w:iCs/>
          <w:sz w:val="22"/>
          <w:szCs w:val="22"/>
        </w:rPr>
        <w:t xml:space="preserve"> </w:t>
      </w:r>
      <w:r w:rsidRPr="0069173E">
        <w:rPr>
          <w:rFonts w:ascii="Times New Roman" w:hAnsi="Times New Roman" w:cs="Times New Roman"/>
          <w:b/>
          <w:bCs/>
          <w:sz w:val="22"/>
          <w:szCs w:val="22"/>
        </w:rPr>
        <w:t>2015</w:t>
      </w:r>
      <w:r w:rsidRPr="0069173E">
        <w:rPr>
          <w:rFonts w:ascii="Times New Roman" w:hAnsi="Times New Roman" w:cs="Times New Roman"/>
          <w:sz w:val="22"/>
          <w:szCs w:val="22"/>
        </w:rPr>
        <w:t xml:space="preserve">;41(2):197–215. </w:t>
      </w:r>
    </w:p>
    <w:p w14:paraId="3B62CCCD" w14:textId="33305999"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57. </w:t>
      </w:r>
      <w:r w:rsidRPr="0069173E">
        <w:rPr>
          <w:rFonts w:ascii="Times New Roman" w:hAnsi="Times New Roman" w:cs="Times New Roman"/>
          <w:sz w:val="22"/>
          <w:szCs w:val="22"/>
        </w:rPr>
        <w:tab/>
        <w:t>White M, Adams J, Heywood P. How and why do interventions that increase health overall widen inequalities within populations? In: Babones SJ</w:t>
      </w:r>
      <w:r w:rsidR="001571F7" w:rsidRPr="0069173E">
        <w:rPr>
          <w:rFonts w:ascii="Times New Roman" w:hAnsi="Times New Roman" w:cs="Times New Roman"/>
          <w:sz w:val="22"/>
          <w:szCs w:val="22"/>
        </w:rPr>
        <w:t>, editor.</w:t>
      </w:r>
      <w:r w:rsidRPr="0069173E">
        <w:rPr>
          <w:rFonts w:ascii="Times New Roman" w:hAnsi="Times New Roman" w:cs="Times New Roman"/>
          <w:sz w:val="22"/>
          <w:szCs w:val="22"/>
        </w:rPr>
        <w:t xml:space="preserve"> Social inequality and public health. Bristol: Policy Press; 2012.</w:t>
      </w:r>
      <w:r w:rsidR="001571F7" w:rsidRPr="0069173E">
        <w:rPr>
          <w:rFonts w:ascii="Times New Roman" w:hAnsi="Times New Roman" w:cs="Times New Roman"/>
          <w:sz w:val="22"/>
          <w:szCs w:val="22"/>
        </w:rPr>
        <w:t xml:space="preserve"> p. 64-81.</w:t>
      </w:r>
    </w:p>
    <w:p w14:paraId="58579D9A" w14:textId="3AB7DD8C"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58. </w:t>
      </w:r>
      <w:r w:rsidRPr="0069173E">
        <w:rPr>
          <w:rFonts w:ascii="Times New Roman" w:hAnsi="Times New Roman" w:cs="Times New Roman"/>
          <w:sz w:val="22"/>
          <w:szCs w:val="22"/>
        </w:rPr>
        <w:tab/>
        <w:t xml:space="preserve">Victora CG, Vaughan JP, Barros FC, Silva AC, Tomasi E. Explaining trends in inequities: evidence from Brazilian child health studies. </w:t>
      </w:r>
      <w:r w:rsidRPr="0069173E">
        <w:rPr>
          <w:rFonts w:ascii="Times New Roman" w:hAnsi="Times New Roman" w:cs="Times New Roman"/>
          <w:i/>
          <w:iCs/>
          <w:sz w:val="22"/>
          <w:szCs w:val="22"/>
        </w:rPr>
        <w:t>Lancet Lond Engl</w:t>
      </w:r>
      <w:r w:rsidRPr="0069173E">
        <w:rPr>
          <w:rFonts w:ascii="Times New Roman" w:hAnsi="Times New Roman" w:cs="Times New Roman"/>
          <w:b/>
          <w:bCs/>
          <w:i/>
          <w:iCs/>
          <w:sz w:val="22"/>
          <w:szCs w:val="22"/>
        </w:rPr>
        <w:t xml:space="preserve"> </w:t>
      </w:r>
      <w:r w:rsidRPr="0069173E">
        <w:rPr>
          <w:rFonts w:ascii="Times New Roman" w:hAnsi="Times New Roman" w:cs="Times New Roman"/>
          <w:b/>
          <w:bCs/>
          <w:sz w:val="22"/>
          <w:szCs w:val="22"/>
        </w:rPr>
        <w:t>2000</w:t>
      </w:r>
      <w:r w:rsidRPr="0069173E">
        <w:rPr>
          <w:rFonts w:ascii="Times New Roman" w:hAnsi="Times New Roman" w:cs="Times New Roman"/>
          <w:sz w:val="22"/>
          <w:szCs w:val="22"/>
        </w:rPr>
        <w:t>;356(9235):1093–</w:t>
      </w:r>
      <w:r w:rsidR="001571F7" w:rsidRPr="0069173E">
        <w:rPr>
          <w:rFonts w:ascii="Times New Roman" w:hAnsi="Times New Roman" w:cs="Times New Roman"/>
          <w:sz w:val="22"/>
          <w:szCs w:val="22"/>
        </w:rPr>
        <w:t>109</w:t>
      </w:r>
      <w:r w:rsidRPr="0069173E">
        <w:rPr>
          <w:rFonts w:ascii="Times New Roman" w:hAnsi="Times New Roman" w:cs="Times New Roman"/>
          <w:sz w:val="22"/>
          <w:szCs w:val="22"/>
        </w:rPr>
        <w:t xml:space="preserve">8. </w:t>
      </w:r>
    </w:p>
    <w:p w14:paraId="34460193" w14:textId="5304BA21"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lastRenderedPageBreak/>
        <w:t xml:space="preserve">59. </w:t>
      </w:r>
      <w:r w:rsidRPr="0069173E">
        <w:rPr>
          <w:rFonts w:ascii="Times New Roman" w:hAnsi="Times New Roman" w:cs="Times New Roman"/>
          <w:sz w:val="22"/>
          <w:szCs w:val="22"/>
        </w:rPr>
        <w:tab/>
        <w:t>N</w:t>
      </w:r>
      <w:r w:rsidR="001571F7" w:rsidRPr="0069173E">
        <w:rPr>
          <w:rFonts w:ascii="Times New Roman" w:hAnsi="Times New Roman" w:cs="Times New Roman"/>
          <w:sz w:val="22"/>
          <w:szCs w:val="22"/>
        </w:rPr>
        <w:t xml:space="preserve">ational </w:t>
      </w:r>
      <w:r w:rsidRPr="0069173E">
        <w:rPr>
          <w:rFonts w:ascii="Times New Roman" w:hAnsi="Times New Roman" w:cs="Times New Roman"/>
          <w:sz w:val="22"/>
          <w:szCs w:val="22"/>
        </w:rPr>
        <w:t>I</w:t>
      </w:r>
      <w:r w:rsidR="001571F7" w:rsidRPr="0069173E">
        <w:rPr>
          <w:rFonts w:ascii="Times New Roman" w:hAnsi="Times New Roman" w:cs="Times New Roman"/>
          <w:sz w:val="22"/>
          <w:szCs w:val="22"/>
        </w:rPr>
        <w:t xml:space="preserve">nstitute for Health and </w:t>
      </w:r>
      <w:r w:rsidRPr="0069173E">
        <w:rPr>
          <w:rFonts w:ascii="Times New Roman" w:hAnsi="Times New Roman" w:cs="Times New Roman"/>
          <w:sz w:val="22"/>
          <w:szCs w:val="22"/>
        </w:rPr>
        <w:t>C</w:t>
      </w:r>
      <w:r w:rsidR="001571F7" w:rsidRPr="0069173E">
        <w:rPr>
          <w:rFonts w:ascii="Times New Roman" w:hAnsi="Times New Roman" w:cs="Times New Roman"/>
          <w:sz w:val="22"/>
          <w:szCs w:val="22"/>
        </w:rPr>
        <w:t>are Excellence</w:t>
      </w:r>
      <w:r w:rsidRPr="0069173E">
        <w:rPr>
          <w:rFonts w:ascii="Times New Roman" w:hAnsi="Times New Roman" w:cs="Times New Roman"/>
          <w:sz w:val="22"/>
          <w:szCs w:val="22"/>
        </w:rPr>
        <w:t xml:space="preserve">. Overview </w:t>
      </w:r>
      <w:r w:rsidR="001571F7" w:rsidRPr="0069173E">
        <w:rPr>
          <w:rFonts w:ascii="Times New Roman" w:hAnsi="Times New Roman" w:cs="Times New Roman"/>
          <w:sz w:val="22"/>
          <w:szCs w:val="22"/>
        </w:rPr>
        <w:t>-</w:t>
      </w:r>
      <w:r w:rsidRPr="0069173E">
        <w:rPr>
          <w:rFonts w:ascii="Times New Roman" w:hAnsi="Times New Roman" w:cs="Times New Roman"/>
          <w:sz w:val="22"/>
          <w:szCs w:val="22"/>
        </w:rPr>
        <w:t xml:space="preserve"> </w:t>
      </w:r>
      <w:r w:rsidR="001571F7" w:rsidRPr="0069173E">
        <w:rPr>
          <w:rFonts w:ascii="Times New Roman" w:hAnsi="Times New Roman" w:cs="Times New Roman"/>
          <w:sz w:val="22"/>
          <w:szCs w:val="22"/>
        </w:rPr>
        <w:t>g</w:t>
      </w:r>
      <w:r w:rsidRPr="0069173E">
        <w:rPr>
          <w:rFonts w:ascii="Times New Roman" w:hAnsi="Times New Roman" w:cs="Times New Roman"/>
          <w:sz w:val="22"/>
          <w:szCs w:val="22"/>
        </w:rPr>
        <w:t>uidance on the use of trastuzumab for the treatment of advanced breast cancer</w:t>
      </w:r>
      <w:r w:rsidR="001571F7" w:rsidRPr="0069173E">
        <w:rPr>
          <w:rFonts w:ascii="Times New Roman" w:hAnsi="Times New Roman" w:cs="Times New Roman"/>
          <w:sz w:val="22"/>
          <w:szCs w:val="22"/>
        </w:rPr>
        <w:t xml:space="preserve">. </w:t>
      </w:r>
      <w:r w:rsidRPr="0069173E">
        <w:rPr>
          <w:rFonts w:ascii="Times New Roman" w:hAnsi="Times New Roman" w:cs="Times New Roman"/>
          <w:sz w:val="22"/>
          <w:szCs w:val="22"/>
        </w:rPr>
        <w:t>[cited 2021 Sep 17]. Available from: https://www.nice.org.uk/guidance/ta34</w:t>
      </w:r>
      <w:r w:rsidR="001571F7" w:rsidRPr="0069173E">
        <w:rPr>
          <w:rFonts w:ascii="Times New Roman" w:hAnsi="Times New Roman" w:cs="Times New Roman"/>
          <w:sz w:val="22"/>
          <w:szCs w:val="22"/>
        </w:rPr>
        <w:t>.</w:t>
      </w:r>
    </w:p>
    <w:p w14:paraId="7CB73C11" w14:textId="5E44A600"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60. </w:t>
      </w:r>
      <w:r w:rsidRPr="0069173E">
        <w:rPr>
          <w:rFonts w:ascii="Times New Roman" w:hAnsi="Times New Roman" w:cs="Times New Roman"/>
          <w:sz w:val="22"/>
          <w:szCs w:val="22"/>
        </w:rPr>
        <w:tab/>
        <w:t>N</w:t>
      </w:r>
      <w:r w:rsidR="001571F7" w:rsidRPr="0069173E">
        <w:rPr>
          <w:rFonts w:ascii="Times New Roman" w:hAnsi="Times New Roman" w:cs="Times New Roman"/>
          <w:sz w:val="22"/>
          <w:szCs w:val="22"/>
        </w:rPr>
        <w:t xml:space="preserve">ational </w:t>
      </w:r>
      <w:r w:rsidRPr="0069173E">
        <w:rPr>
          <w:rFonts w:ascii="Times New Roman" w:hAnsi="Times New Roman" w:cs="Times New Roman"/>
          <w:sz w:val="22"/>
          <w:szCs w:val="22"/>
        </w:rPr>
        <w:t>I</w:t>
      </w:r>
      <w:r w:rsidR="001571F7" w:rsidRPr="0069173E">
        <w:rPr>
          <w:rFonts w:ascii="Times New Roman" w:hAnsi="Times New Roman" w:cs="Times New Roman"/>
          <w:sz w:val="22"/>
          <w:szCs w:val="22"/>
        </w:rPr>
        <w:t xml:space="preserve">nstitute for Health and </w:t>
      </w:r>
      <w:r w:rsidRPr="0069173E">
        <w:rPr>
          <w:rFonts w:ascii="Times New Roman" w:hAnsi="Times New Roman" w:cs="Times New Roman"/>
          <w:sz w:val="22"/>
          <w:szCs w:val="22"/>
        </w:rPr>
        <w:t>C</w:t>
      </w:r>
      <w:r w:rsidR="001571F7" w:rsidRPr="0069173E">
        <w:rPr>
          <w:rFonts w:ascii="Times New Roman" w:hAnsi="Times New Roman" w:cs="Times New Roman"/>
          <w:sz w:val="22"/>
          <w:szCs w:val="22"/>
        </w:rPr>
        <w:t xml:space="preserve">are </w:t>
      </w:r>
      <w:r w:rsidRPr="0069173E">
        <w:rPr>
          <w:rFonts w:ascii="Times New Roman" w:hAnsi="Times New Roman" w:cs="Times New Roman"/>
          <w:sz w:val="22"/>
          <w:szCs w:val="22"/>
        </w:rPr>
        <w:t>E</w:t>
      </w:r>
      <w:r w:rsidR="001571F7" w:rsidRPr="0069173E">
        <w:rPr>
          <w:rFonts w:ascii="Times New Roman" w:hAnsi="Times New Roman" w:cs="Times New Roman"/>
          <w:sz w:val="22"/>
          <w:szCs w:val="22"/>
        </w:rPr>
        <w:t>xcellence</w:t>
      </w:r>
      <w:r w:rsidRPr="0069173E">
        <w:rPr>
          <w:rFonts w:ascii="Times New Roman" w:hAnsi="Times New Roman" w:cs="Times New Roman"/>
          <w:sz w:val="22"/>
          <w:szCs w:val="22"/>
        </w:rPr>
        <w:t xml:space="preserve">. Final </w:t>
      </w:r>
      <w:r w:rsidR="001571F7" w:rsidRPr="0069173E">
        <w:rPr>
          <w:rFonts w:ascii="Times New Roman" w:hAnsi="Times New Roman" w:cs="Times New Roman"/>
          <w:sz w:val="22"/>
          <w:szCs w:val="22"/>
        </w:rPr>
        <w:t>a</w:t>
      </w:r>
      <w:r w:rsidRPr="0069173E">
        <w:rPr>
          <w:rFonts w:ascii="Times New Roman" w:hAnsi="Times New Roman" w:cs="Times New Roman"/>
          <w:sz w:val="22"/>
          <w:szCs w:val="22"/>
        </w:rPr>
        <w:t xml:space="preserve">ppraisal </w:t>
      </w:r>
      <w:r w:rsidR="001571F7" w:rsidRPr="0069173E">
        <w:rPr>
          <w:rFonts w:ascii="Times New Roman" w:hAnsi="Times New Roman" w:cs="Times New Roman"/>
          <w:sz w:val="22"/>
          <w:szCs w:val="22"/>
        </w:rPr>
        <w:t>d</w:t>
      </w:r>
      <w:r w:rsidRPr="0069173E">
        <w:rPr>
          <w:rFonts w:ascii="Times New Roman" w:hAnsi="Times New Roman" w:cs="Times New Roman"/>
          <w:sz w:val="22"/>
          <w:szCs w:val="22"/>
        </w:rPr>
        <w:t xml:space="preserve">etermination </w:t>
      </w:r>
      <w:r w:rsidR="00766021">
        <w:rPr>
          <w:rFonts w:ascii="Times New Roman" w:hAnsi="Times New Roman" w:cs="Times New Roman"/>
          <w:sz w:val="22"/>
          <w:szCs w:val="22"/>
        </w:rPr>
        <w:t>t</w:t>
      </w:r>
      <w:r w:rsidRPr="0069173E">
        <w:rPr>
          <w:rFonts w:ascii="Times New Roman" w:hAnsi="Times New Roman" w:cs="Times New Roman"/>
          <w:sz w:val="22"/>
          <w:szCs w:val="22"/>
        </w:rPr>
        <w:t>rastuzumab for the adjuvant treatment of early-stage HER2-positive breast cancer</w:t>
      </w:r>
      <w:r w:rsidR="001571F7" w:rsidRPr="0069173E">
        <w:rPr>
          <w:rFonts w:ascii="Times New Roman" w:hAnsi="Times New Roman" w:cs="Times New Roman"/>
          <w:sz w:val="22"/>
          <w:szCs w:val="22"/>
        </w:rPr>
        <w:t xml:space="preserve">. </w:t>
      </w:r>
      <w:r w:rsidRPr="0069173E">
        <w:rPr>
          <w:rFonts w:ascii="Times New Roman" w:hAnsi="Times New Roman" w:cs="Times New Roman"/>
          <w:sz w:val="22"/>
          <w:szCs w:val="22"/>
        </w:rPr>
        <w:t>[cited 2021 Sep 16]. Available from: https://www.nice.org.uk/guidance/ta107/documents/final-appraisal-determination-breast-cancer-early-trastuzumab2</w:t>
      </w:r>
      <w:r w:rsidR="001571F7" w:rsidRPr="0069173E">
        <w:rPr>
          <w:rFonts w:ascii="Times New Roman" w:hAnsi="Times New Roman" w:cs="Times New Roman"/>
          <w:sz w:val="22"/>
          <w:szCs w:val="22"/>
        </w:rPr>
        <w:t>.</w:t>
      </w:r>
    </w:p>
    <w:p w14:paraId="1C8845F3" w14:textId="43F0C640"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61. </w:t>
      </w:r>
      <w:r w:rsidRPr="0069173E">
        <w:rPr>
          <w:rFonts w:ascii="Times New Roman" w:hAnsi="Times New Roman" w:cs="Times New Roman"/>
          <w:sz w:val="22"/>
          <w:szCs w:val="22"/>
        </w:rPr>
        <w:tab/>
        <w:t xml:space="preserve">Piantadosi S, Byar DP, Green SB. The ecological fallacy. </w:t>
      </w:r>
      <w:r w:rsidRPr="0069173E">
        <w:rPr>
          <w:rFonts w:ascii="Times New Roman" w:hAnsi="Times New Roman" w:cs="Times New Roman"/>
          <w:i/>
          <w:iCs/>
          <w:sz w:val="22"/>
          <w:szCs w:val="22"/>
        </w:rPr>
        <w:t>Am J Epidemiol</w:t>
      </w:r>
      <w:r w:rsidR="001571F7" w:rsidRPr="0069173E">
        <w:rPr>
          <w:rFonts w:ascii="Times New Roman" w:hAnsi="Times New Roman" w:cs="Times New Roman"/>
          <w:sz w:val="22"/>
          <w:szCs w:val="22"/>
        </w:rPr>
        <w:t xml:space="preserve"> </w:t>
      </w:r>
      <w:r w:rsidRPr="0069173E">
        <w:rPr>
          <w:rFonts w:ascii="Times New Roman" w:hAnsi="Times New Roman" w:cs="Times New Roman"/>
          <w:b/>
          <w:bCs/>
          <w:sz w:val="22"/>
          <w:szCs w:val="22"/>
        </w:rPr>
        <w:t>1988</w:t>
      </w:r>
      <w:r w:rsidRPr="0069173E">
        <w:rPr>
          <w:rFonts w:ascii="Times New Roman" w:hAnsi="Times New Roman" w:cs="Times New Roman"/>
          <w:sz w:val="22"/>
          <w:szCs w:val="22"/>
        </w:rPr>
        <w:t xml:space="preserve">;127(5):893–904. </w:t>
      </w:r>
    </w:p>
    <w:p w14:paraId="32F032CD" w14:textId="01BE94EB"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62. </w:t>
      </w:r>
      <w:r w:rsidRPr="0069173E">
        <w:rPr>
          <w:rFonts w:ascii="Times New Roman" w:hAnsi="Times New Roman" w:cs="Times New Roman"/>
          <w:sz w:val="22"/>
          <w:szCs w:val="22"/>
        </w:rPr>
        <w:tab/>
        <w:t>Delon C, Brown KF, Payne NWS, Kotrotsios Y, Vernon S, Shelton J. Differences in cancer incidence by broad ethnic group in England, 2013-2017.</w:t>
      </w:r>
      <w:r w:rsidRPr="0069173E">
        <w:rPr>
          <w:rFonts w:ascii="Times New Roman" w:hAnsi="Times New Roman" w:cs="Times New Roman"/>
          <w:i/>
          <w:iCs/>
          <w:sz w:val="22"/>
          <w:szCs w:val="22"/>
        </w:rPr>
        <w:t xml:space="preserve"> Br J Cancer</w:t>
      </w:r>
      <w:r w:rsidRPr="0069173E">
        <w:rPr>
          <w:rFonts w:ascii="Times New Roman" w:hAnsi="Times New Roman" w:cs="Times New Roman"/>
          <w:b/>
          <w:bCs/>
          <w:i/>
          <w:iCs/>
          <w:sz w:val="22"/>
          <w:szCs w:val="22"/>
        </w:rPr>
        <w:t xml:space="preserve"> </w:t>
      </w:r>
      <w:r w:rsidRPr="0069173E">
        <w:rPr>
          <w:rFonts w:ascii="Times New Roman" w:hAnsi="Times New Roman" w:cs="Times New Roman"/>
          <w:b/>
          <w:bCs/>
          <w:sz w:val="22"/>
          <w:szCs w:val="22"/>
        </w:rPr>
        <w:t>2022</w:t>
      </w:r>
      <w:r w:rsidRPr="0069173E">
        <w:rPr>
          <w:rFonts w:ascii="Times New Roman" w:hAnsi="Times New Roman" w:cs="Times New Roman"/>
          <w:sz w:val="22"/>
          <w:szCs w:val="22"/>
        </w:rPr>
        <w:t>;126(12):1765–</w:t>
      </w:r>
      <w:r w:rsidR="001571F7" w:rsidRPr="0069173E">
        <w:rPr>
          <w:rFonts w:ascii="Times New Roman" w:hAnsi="Times New Roman" w:cs="Times New Roman"/>
          <w:sz w:val="22"/>
          <w:szCs w:val="22"/>
        </w:rPr>
        <w:t>17</w:t>
      </w:r>
      <w:r w:rsidRPr="0069173E">
        <w:rPr>
          <w:rFonts w:ascii="Times New Roman" w:hAnsi="Times New Roman" w:cs="Times New Roman"/>
          <w:sz w:val="22"/>
          <w:szCs w:val="22"/>
        </w:rPr>
        <w:t xml:space="preserve">73. </w:t>
      </w:r>
    </w:p>
    <w:p w14:paraId="43D9ACCD" w14:textId="7D143DFD"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63. </w:t>
      </w:r>
      <w:r w:rsidRPr="0069173E">
        <w:rPr>
          <w:rFonts w:ascii="Times New Roman" w:hAnsi="Times New Roman" w:cs="Times New Roman"/>
          <w:sz w:val="22"/>
          <w:szCs w:val="22"/>
        </w:rPr>
        <w:tab/>
        <w:t xml:space="preserve">Schneeweiss S, Maclure M. Use of comorbidity scores for control of confounding in studies using administrative databases. </w:t>
      </w:r>
      <w:r w:rsidRPr="0069173E">
        <w:rPr>
          <w:rFonts w:ascii="Times New Roman" w:hAnsi="Times New Roman" w:cs="Times New Roman"/>
          <w:i/>
          <w:iCs/>
          <w:sz w:val="22"/>
          <w:szCs w:val="22"/>
        </w:rPr>
        <w:t xml:space="preserve">Int J Epidemiol </w:t>
      </w:r>
      <w:r w:rsidRPr="0069173E">
        <w:rPr>
          <w:rFonts w:ascii="Times New Roman" w:hAnsi="Times New Roman" w:cs="Times New Roman"/>
          <w:b/>
          <w:bCs/>
          <w:sz w:val="22"/>
          <w:szCs w:val="22"/>
        </w:rPr>
        <w:t>2000</w:t>
      </w:r>
      <w:r w:rsidRPr="0069173E">
        <w:rPr>
          <w:rFonts w:ascii="Times New Roman" w:hAnsi="Times New Roman" w:cs="Times New Roman"/>
          <w:sz w:val="22"/>
          <w:szCs w:val="22"/>
        </w:rPr>
        <w:t>;29(5):891–</w:t>
      </w:r>
      <w:r w:rsidR="001571F7" w:rsidRPr="0069173E">
        <w:rPr>
          <w:rFonts w:ascii="Times New Roman" w:hAnsi="Times New Roman" w:cs="Times New Roman"/>
          <w:sz w:val="22"/>
          <w:szCs w:val="22"/>
        </w:rPr>
        <w:t>89</w:t>
      </w:r>
      <w:r w:rsidRPr="0069173E">
        <w:rPr>
          <w:rFonts w:ascii="Times New Roman" w:hAnsi="Times New Roman" w:cs="Times New Roman"/>
          <w:sz w:val="22"/>
          <w:szCs w:val="22"/>
        </w:rPr>
        <w:t xml:space="preserve">8. </w:t>
      </w:r>
    </w:p>
    <w:p w14:paraId="10C71582" w14:textId="6B9FA561"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64. </w:t>
      </w:r>
      <w:r w:rsidRPr="0069173E">
        <w:rPr>
          <w:rFonts w:ascii="Times New Roman" w:hAnsi="Times New Roman" w:cs="Times New Roman"/>
          <w:sz w:val="22"/>
          <w:szCs w:val="22"/>
        </w:rPr>
        <w:tab/>
        <w:t xml:space="preserve">Fernandez ME, Ruiter RAC, Markham CM, Kok G. Intervention </w:t>
      </w:r>
      <w:r w:rsidR="001571F7" w:rsidRPr="0069173E">
        <w:rPr>
          <w:rFonts w:ascii="Times New Roman" w:hAnsi="Times New Roman" w:cs="Times New Roman"/>
          <w:sz w:val="22"/>
          <w:szCs w:val="22"/>
        </w:rPr>
        <w:t>m</w:t>
      </w:r>
      <w:r w:rsidRPr="0069173E">
        <w:rPr>
          <w:rFonts w:ascii="Times New Roman" w:hAnsi="Times New Roman" w:cs="Times New Roman"/>
          <w:sz w:val="22"/>
          <w:szCs w:val="22"/>
        </w:rPr>
        <w:t xml:space="preserve">apping: </w:t>
      </w:r>
      <w:r w:rsidR="001571F7" w:rsidRPr="0069173E">
        <w:rPr>
          <w:rFonts w:ascii="Times New Roman" w:hAnsi="Times New Roman" w:cs="Times New Roman"/>
          <w:sz w:val="22"/>
          <w:szCs w:val="22"/>
        </w:rPr>
        <w:t>t</w:t>
      </w:r>
      <w:r w:rsidRPr="0069173E">
        <w:rPr>
          <w:rFonts w:ascii="Times New Roman" w:hAnsi="Times New Roman" w:cs="Times New Roman"/>
          <w:sz w:val="22"/>
          <w:szCs w:val="22"/>
        </w:rPr>
        <w:t xml:space="preserve">heory and </w:t>
      </w:r>
      <w:r w:rsidR="001571F7" w:rsidRPr="0069173E">
        <w:rPr>
          <w:rFonts w:ascii="Times New Roman" w:hAnsi="Times New Roman" w:cs="Times New Roman"/>
          <w:sz w:val="22"/>
          <w:szCs w:val="22"/>
        </w:rPr>
        <w:t>e</w:t>
      </w:r>
      <w:r w:rsidRPr="0069173E">
        <w:rPr>
          <w:rFonts w:ascii="Times New Roman" w:hAnsi="Times New Roman" w:cs="Times New Roman"/>
          <w:sz w:val="22"/>
          <w:szCs w:val="22"/>
        </w:rPr>
        <w:t>vidence-</w:t>
      </w:r>
      <w:r w:rsidR="001571F7" w:rsidRPr="0069173E">
        <w:rPr>
          <w:rFonts w:ascii="Times New Roman" w:hAnsi="Times New Roman" w:cs="Times New Roman"/>
          <w:sz w:val="22"/>
          <w:szCs w:val="22"/>
        </w:rPr>
        <w:t>b</w:t>
      </w:r>
      <w:r w:rsidRPr="0069173E">
        <w:rPr>
          <w:rFonts w:ascii="Times New Roman" w:hAnsi="Times New Roman" w:cs="Times New Roman"/>
          <w:sz w:val="22"/>
          <w:szCs w:val="22"/>
        </w:rPr>
        <w:t xml:space="preserve">ased </w:t>
      </w:r>
      <w:r w:rsidR="001571F7" w:rsidRPr="0069173E">
        <w:rPr>
          <w:rFonts w:ascii="Times New Roman" w:hAnsi="Times New Roman" w:cs="Times New Roman"/>
          <w:sz w:val="22"/>
          <w:szCs w:val="22"/>
        </w:rPr>
        <w:t>h</w:t>
      </w:r>
      <w:r w:rsidRPr="0069173E">
        <w:rPr>
          <w:rFonts w:ascii="Times New Roman" w:hAnsi="Times New Roman" w:cs="Times New Roman"/>
          <w:sz w:val="22"/>
          <w:szCs w:val="22"/>
        </w:rPr>
        <w:t xml:space="preserve">ealth </w:t>
      </w:r>
      <w:r w:rsidR="001571F7" w:rsidRPr="0069173E">
        <w:rPr>
          <w:rFonts w:ascii="Times New Roman" w:hAnsi="Times New Roman" w:cs="Times New Roman"/>
          <w:sz w:val="22"/>
          <w:szCs w:val="22"/>
        </w:rPr>
        <w:t>p</w:t>
      </w:r>
      <w:r w:rsidRPr="0069173E">
        <w:rPr>
          <w:rFonts w:ascii="Times New Roman" w:hAnsi="Times New Roman" w:cs="Times New Roman"/>
          <w:sz w:val="22"/>
          <w:szCs w:val="22"/>
        </w:rPr>
        <w:t xml:space="preserve">romotion </w:t>
      </w:r>
      <w:r w:rsidR="001571F7" w:rsidRPr="0069173E">
        <w:rPr>
          <w:rFonts w:ascii="Times New Roman" w:hAnsi="Times New Roman" w:cs="Times New Roman"/>
          <w:sz w:val="22"/>
          <w:szCs w:val="22"/>
        </w:rPr>
        <w:t>p</w:t>
      </w:r>
      <w:r w:rsidRPr="0069173E">
        <w:rPr>
          <w:rFonts w:ascii="Times New Roman" w:hAnsi="Times New Roman" w:cs="Times New Roman"/>
          <w:sz w:val="22"/>
          <w:szCs w:val="22"/>
        </w:rPr>
        <w:t xml:space="preserve">rogram </w:t>
      </w:r>
      <w:r w:rsidR="001571F7" w:rsidRPr="0069173E">
        <w:rPr>
          <w:rFonts w:ascii="Times New Roman" w:hAnsi="Times New Roman" w:cs="Times New Roman"/>
          <w:sz w:val="22"/>
          <w:szCs w:val="22"/>
        </w:rPr>
        <w:t>p</w:t>
      </w:r>
      <w:r w:rsidRPr="0069173E">
        <w:rPr>
          <w:rFonts w:ascii="Times New Roman" w:hAnsi="Times New Roman" w:cs="Times New Roman"/>
          <w:sz w:val="22"/>
          <w:szCs w:val="22"/>
        </w:rPr>
        <w:t xml:space="preserve">lanning: </w:t>
      </w:r>
      <w:r w:rsidR="001571F7" w:rsidRPr="0069173E">
        <w:rPr>
          <w:rFonts w:ascii="Times New Roman" w:hAnsi="Times New Roman" w:cs="Times New Roman"/>
          <w:sz w:val="22"/>
          <w:szCs w:val="22"/>
        </w:rPr>
        <w:t>p</w:t>
      </w:r>
      <w:r w:rsidRPr="0069173E">
        <w:rPr>
          <w:rFonts w:ascii="Times New Roman" w:hAnsi="Times New Roman" w:cs="Times New Roman"/>
          <w:sz w:val="22"/>
          <w:szCs w:val="22"/>
        </w:rPr>
        <w:t xml:space="preserve">erspective and </w:t>
      </w:r>
      <w:r w:rsidR="001571F7" w:rsidRPr="0069173E">
        <w:rPr>
          <w:rFonts w:ascii="Times New Roman" w:hAnsi="Times New Roman" w:cs="Times New Roman"/>
          <w:sz w:val="22"/>
          <w:szCs w:val="22"/>
        </w:rPr>
        <w:t>e</w:t>
      </w:r>
      <w:r w:rsidRPr="0069173E">
        <w:rPr>
          <w:rFonts w:ascii="Times New Roman" w:hAnsi="Times New Roman" w:cs="Times New Roman"/>
          <w:sz w:val="22"/>
          <w:szCs w:val="22"/>
        </w:rPr>
        <w:t xml:space="preserve">xamples. </w:t>
      </w:r>
      <w:r w:rsidRPr="0069173E">
        <w:rPr>
          <w:rFonts w:ascii="Times New Roman" w:hAnsi="Times New Roman" w:cs="Times New Roman"/>
          <w:i/>
          <w:iCs/>
          <w:sz w:val="22"/>
          <w:szCs w:val="22"/>
        </w:rPr>
        <w:t>Front Public Health</w:t>
      </w:r>
      <w:r w:rsidRPr="0069173E">
        <w:rPr>
          <w:rFonts w:ascii="Times New Roman" w:hAnsi="Times New Roman" w:cs="Times New Roman"/>
          <w:b/>
          <w:bCs/>
          <w:i/>
          <w:iCs/>
          <w:sz w:val="22"/>
          <w:szCs w:val="22"/>
        </w:rPr>
        <w:t xml:space="preserve"> </w:t>
      </w:r>
      <w:r w:rsidRPr="0069173E">
        <w:rPr>
          <w:rFonts w:ascii="Times New Roman" w:hAnsi="Times New Roman" w:cs="Times New Roman"/>
          <w:b/>
          <w:bCs/>
          <w:sz w:val="22"/>
          <w:szCs w:val="22"/>
        </w:rPr>
        <w:t>2019</w:t>
      </w:r>
      <w:r w:rsidRPr="0069173E">
        <w:rPr>
          <w:rFonts w:ascii="Times New Roman" w:hAnsi="Times New Roman" w:cs="Times New Roman"/>
          <w:sz w:val="22"/>
          <w:szCs w:val="22"/>
        </w:rPr>
        <w:t xml:space="preserve">;7:209. </w:t>
      </w:r>
    </w:p>
    <w:p w14:paraId="4090D852" w14:textId="72698C6C"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65. </w:t>
      </w:r>
      <w:r w:rsidRPr="0069173E">
        <w:rPr>
          <w:rFonts w:ascii="Times New Roman" w:hAnsi="Times New Roman" w:cs="Times New Roman"/>
          <w:sz w:val="22"/>
          <w:szCs w:val="22"/>
        </w:rPr>
        <w:tab/>
        <w:t xml:space="preserve">Dharamsi S, Espinoza N, Cramer C, Amin M, Bainbridge L, Poole G. Nurturing social responsibility through community service-learning: </w:t>
      </w:r>
      <w:r w:rsidR="001571F7" w:rsidRPr="0069173E">
        <w:rPr>
          <w:rFonts w:ascii="Times New Roman" w:hAnsi="Times New Roman" w:cs="Times New Roman"/>
          <w:sz w:val="22"/>
          <w:szCs w:val="22"/>
        </w:rPr>
        <w:t>l</w:t>
      </w:r>
      <w:r w:rsidRPr="0069173E">
        <w:rPr>
          <w:rFonts w:ascii="Times New Roman" w:hAnsi="Times New Roman" w:cs="Times New Roman"/>
          <w:sz w:val="22"/>
          <w:szCs w:val="22"/>
        </w:rPr>
        <w:t xml:space="preserve">essons learned from a pilot project. </w:t>
      </w:r>
      <w:r w:rsidRPr="0069173E">
        <w:rPr>
          <w:rFonts w:ascii="Times New Roman" w:hAnsi="Times New Roman" w:cs="Times New Roman"/>
          <w:i/>
          <w:iCs/>
          <w:sz w:val="22"/>
          <w:szCs w:val="22"/>
        </w:rPr>
        <w:t>Med Teach</w:t>
      </w:r>
      <w:r w:rsidRPr="0069173E">
        <w:rPr>
          <w:rFonts w:ascii="Times New Roman" w:hAnsi="Times New Roman" w:cs="Times New Roman"/>
          <w:b/>
          <w:bCs/>
          <w:i/>
          <w:iCs/>
          <w:sz w:val="22"/>
          <w:szCs w:val="22"/>
        </w:rPr>
        <w:t xml:space="preserve"> </w:t>
      </w:r>
      <w:r w:rsidRPr="0069173E">
        <w:rPr>
          <w:rFonts w:ascii="Times New Roman" w:hAnsi="Times New Roman" w:cs="Times New Roman"/>
          <w:b/>
          <w:bCs/>
          <w:sz w:val="22"/>
          <w:szCs w:val="22"/>
        </w:rPr>
        <w:t>2010</w:t>
      </w:r>
      <w:r w:rsidRPr="0069173E">
        <w:rPr>
          <w:rFonts w:ascii="Times New Roman" w:hAnsi="Times New Roman" w:cs="Times New Roman"/>
          <w:sz w:val="22"/>
          <w:szCs w:val="22"/>
        </w:rPr>
        <w:t>;32(11):905–</w:t>
      </w:r>
      <w:r w:rsidR="001571F7" w:rsidRPr="0069173E">
        <w:rPr>
          <w:rFonts w:ascii="Times New Roman" w:hAnsi="Times New Roman" w:cs="Times New Roman"/>
          <w:sz w:val="22"/>
          <w:szCs w:val="22"/>
        </w:rPr>
        <w:t>9</w:t>
      </w:r>
      <w:r w:rsidRPr="0069173E">
        <w:rPr>
          <w:rFonts w:ascii="Times New Roman" w:hAnsi="Times New Roman" w:cs="Times New Roman"/>
          <w:sz w:val="22"/>
          <w:szCs w:val="22"/>
        </w:rPr>
        <w:t xml:space="preserve">11. </w:t>
      </w:r>
    </w:p>
    <w:p w14:paraId="0FC78F31" w14:textId="7B786D63" w:rsidR="00203C6E" w:rsidRPr="0069173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66. </w:t>
      </w:r>
      <w:r w:rsidRPr="0069173E">
        <w:rPr>
          <w:rFonts w:ascii="Times New Roman" w:hAnsi="Times New Roman" w:cs="Times New Roman"/>
          <w:sz w:val="22"/>
          <w:szCs w:val="22"/>
        </w:rPr>
        <w:tab/>
        <w:t xml:space="preserve">Dietrich AJ, Tobin JN, Cassells A, Robinson CM, Greene MA, Sox CH, </w:t>
      </w:r>
      <w:r w:rsidRPr="0069173E">
        <w:rPr>
          <w:rFonts w:ascii="Times New Roman" w:hAnsi="Times New Roman" w:cs="Times New Roman"/>
          <w:i/>
          <w:iCs/>
          <w:sz w:val="22"/>
          <w:szCs w:val="22"/>
        </w:rPr>
        <w:t xml:space="preserve">et al. </w:t>
      </w:r>
      <w:r w:rsidRPr="0069173E">
        <w:rPr>
          <w:rFonts w:ascii="Times New Roman" w:hAnsi="Times New Roman" w:cs="Times New Roman"/>
          <w:sz w:val="22"/>
          <w:szCs w:val="22"/>
        </w:rPr>
        <w:t xml:space="preserve">Telephone care management to improve cancer screening among low-income women: a randomized, controlled trial. </w:t>
      </w:r>
      <w:r w:rsidRPr="0069173E">
        <w:rPr>
          <w:rFonts w:ascii="Times New Roman" w:hAnsi="Times New Roman" w:cs="Times New Roman"/>
          <w:i/>
          <w:iCs/>
          <w:sz w:val="22"/>
          <w:szCs w:val="22"/>
        </w:rPr>
        <w:t>Ann Intern Med</w:t>
      </w:r>
      <w:r w:rsidRPr="0069173E">
        <w:rPr>
          <w:rFonts w:ascii="Times New Roman" w:hAnsi="Times New Roman" w:cs="Times New Roman"/>
          <w:sz w:val="22"/>
          <w:szCs w:val="22"/>
        </w:rPr>
        <w:t xml:space="preserve"> </w:t>
      </w:r>
      <w:r w:rsidRPr="0069173E">
        <w:rPr>
          <w:rFonts w:ascii="Times New Roman" w:hAnsi="Times New Roman" w:cs="Times New Roman"/>
          <w:b/>
          <w:bCs/>
          <w:sz w:val="22"/>
          <w:szCs w:val="22"/>
        </w:rPr>
        <w:t>2006</w:t>
      </w:r>
      <w:r w:rsidRPr="0069173E">
        <w:rPr>
          <w:rFonts w:ascii="Times New Roman" w:hAnsi="Times New Roman" w:cs="Times New Roman"/>
          <w:sz w:val="22"/>
          <w:szCs w:val="22"/>
        </w:rPr>
        <w:t>;144(8):563–</w:t>
      </w:r>
      <w:r w:rsidR="001571F7" w:rsidRPr="0069173E">
        <w:rPr>
          <w:rFonts w:ascii="Times New Roman" w:hAnsi="Times New Roman" w:cs="Times New Roman"/>
          <w:sz w:val="22"/>
          <w:szCs w:val="22"/>
        </w:rPr>
        <w:t>5</w:t>
      </w:r>
      <w:r w:rsidRPr="0069173E">
        <w:rPr>
          <w:rFonts w:ascii="Times New Roman" w:hAnsi="Times New Roman" w:cs="Times New Roman"/>
          <w:sz w:val="22"/>
          <w:szCs w:val="22"/>
        </w:rPr>
        <w:t xml:space="preserve">71. </w:t>
      </w:r>
    </w:p>
    <w:p w14:paraId="75CD16A0" w14:textId="53974447" w:rsidR="00203C6E" w:rsidRDefault="00203C6E" w:rsidP="00203C6E">
      <w:pPr>
        <w:pStyle w:val="Bibliography"/>
        <w:rPr>
          <w:rFonts w:ascii="Times New Roman" w:hAnsi="Times New Roman" w:cs="Times New Roman"/>
          <w:sz w:val="22"/>
          <w:szCs w:val="22"/>
        </w:rPr>
      </w:pPr>
      <w:r w:rsidRPr="0069173E">
        <w:rPr>
          <w:rFonts w:ascii="Times New Roman" w:hAnsi="Times New Roman" w:cs="Times New Roman"/>
          <w:sz w:val="22"/>
          <w:szCs w:val="22"/>
        </w:rPr>
        <w:t xml:space="preserve">67. </w:t>
      </w:r>
      <w:r w:rsidRPr="0069173E">
        <w:rPr>
          <w:rFonts w:ascii="Times New Roman" w:hAnsi="Times New Roman" w:cs="Times New Roman"/>
          <w:sz w:val="22"/>
          <w:szCs w:val="22"/>
        </w:rPr>
        <w:tab/>
        <w:t xml:space="preserve">Metzger Filho O, Burstein HJ. Duration of adjuvant trastuzumab: might less be more? </w:t>
      </w:r>
      <w:r w:rsidRPr="0069173E">
        <w:rPr>
          <w:rFonts w:ascii="Times New Roman" w:hAnsi="Times New Roman" w:cs="Times New Roman"/>
          <w:i/>
          <w:iCs/>
          <w:sz w:val="22"/>
          <w:szCs w:val="22"/>
        </w:rPr>
        <w:t xml:space="preserve">Ann Oncol </w:t>
      </w:r>
      <w:r w:rsidRPr="0069173E">
        <w:rPr>
          <w:rFonts w:ascii="Times New Roman" w:hAnsi="Times New Roman" w:cs="Times New Roman"/>
          <w:b/>
          <w:bCs/>
          <w:sz w:val="22"/>
          <w:szCs w:val="22"/>
        </w:rPr>
        <w:t>2018</w:t>
      </w:r>
      <w:r w:rsidRPr="0069173E">
        <w:rPr>
          <w:rFonts w:ascii="Times New Roman" w:hAnsi="Times New Roman" w:cs="Times New Roman"/>
          <w:sz w:val="22"/>
          <w:szCs w:val="22"/>
        </w:rPr>
        <w:t>;29(12):2273–</w:t>
      </w:r>
      <w:r w:rsidR="001571F7" w:rsidRPr="0069173E">
        <w:rPr>
          <w:rFonts w:ascii="Times New Roman" w:hAnsi="Times New Roman" w:cs="Times New Roman"/>
          <w:sz w:val="22"/>
          <w:szCs w:val="22"/>
        </w:rPr>
        <w:t>227</w:t>
      </w:r>
      <w:r w:rsidRPr="0069173E">
        <w:rPr>
          <w:rFonts w:ascii="Times New Roman" w:hAnsi="Times New Roman" w:cs="Times New Roman"/>
          <w:sz w:val="22"/>
          <w:szCs w:val="22"/>
        </w:rPr>
        <w:t xml:space="preserve">4. </w:t>
      </w:r>
    </w:p>
    <w:p w14:paraId="0FCEEEEC" w14:textId="77777777" w:rsidR="0069173E" w:rsidRDefault="0069173E" w:rsidP="0069173E">
      <w:pPr>
        <w:rPr>
          <w:lang w:eastAsia="en-US"/>
        </w:rPr>
      </w:pPr>
    </w:p>
    <w:p w14:paraId="3D6E04FD" w14:textId="77777777" w:rsidR="0069173E" w:rsidRDefault="0069173E" w:rsidP="0069173E">
      <w:pPr>
        <w:rPr>
          <w:lang w:eastAsia="en-US"/>
        </w:rPr>
      </w:pPr>
    </w:p>
    <w:p w14:paraId="21579643" w14:textId="77777777" w:rsidR="0069173E" w:rsidRDefault="0069173E" w:rsidP="0069173E">
      <w:pPr>
        <w:rPr>
          <w:lang w:eastAsia="en-US"/>
        </w:rPr>
      </w:pPr>
    </w:p>
    <w:p w14:paraId="5E251395" w14:textId="77777777" w:rsidR="0069173E" w:rsidRDefault="0069173E" w:rsidP="0069173E">
      <w:pPr>
        <w:rPr>
          <w:lang w:eastAsia="en-US"/>
        </w:rPr>
      </w:pPr>
    </w:p>
    <w:p w14:paraId="455F6F78" w14:textId="77777777" w:rsidR="0069173E" w:rsidRDefault="0069173E" w:rsidP="0069173E">
      <w:pPr>
        <w:rPr>
          <w:lang w:eastAsia="en-US"/>
        </w:rPr>
      </w:pPr>
    </w:p>
    <w:p w14:paraId="23A8AE49" w14:textId="77777777" w:rsidR="0069173E" w:rsidRDefault="0069173E" w:rsidP="0069173E">
      <w:pPr>
        <w:rPr>
          <w:lang w:eastAsia="en-US"/>
        </w:rPr>
      </w:pPr>
    </w:p>
    <w:p w14:paraId="4F2760D4" w14:textId="77777777" w:rsidR="0069173E" w:rsidRDefault="0069173E" w:rsidP="0069173E">
      <w:pPr>
        <w:rPr>
          <w:lang w:eastAsia="en-US"/>
        </w:rPr>
      </w:pPr>
    </w:p>
    <w:p w14:paraId="0027E44C" w14:textId="77777777" w:rsidR="0069173E" w:rsidRDefault="0069173E" w:rsidP="0069173E">
      <w:pPr>
        <w:rPr>
          <w:lang w:eastAsia="en-US"/>
        </w:rPr>
      </w:pPr>
    </w:p>
    <w:p w14:paraId="5E9A4835" w14:textId="77777777" w:rsidR="009C434D" w:rsidRDefault="009C434D" w:rsidP="0069173E">
      <w:pPr>
        <w:rPr>
          <w:lang w:eastAsia="en-US"/>
        </w:rPr>
      </w:pPr>
    </w:p>
    <w:p w14:paraId="22E416E8" w14:textId="77777777" w:rsidR="009C434D" w:rsidRDefault="009C434D" w:rsidP="0069173E">
      <w:pPr>
        <w:rPr>
          <w:lang w:eastAsia="en-US"/>
        </w:rPr>
      </w:pPr>
    </w:p>
    <w:p w14:paraId="6EFA8721" w14:textId="77777777" w:rsidR="009C434D" w:rsidRDefault="009C434D" w:rsidP="0069173E">
      <w:pPr>
        <w:rPr>
          <w:lang w:eastAsia="en-US"/>
        </w:rPr>
      </w:pPr>
    </w:p>
    <w:p w14:paraId="35A2F383" w14:textId="77777777" w:rsidR="009C434D" w:rsidRDefault="009C434D" w:rsidP="0069173E">
      <w:pPr>
        <w:rPr>
          <w:lang w:eastAsia="en-US"/>
        </w:rPr>
      </w:pPr>
    </w:p>
    <w:p w14:paraId="64CF9DBF" w14:textId="77777777" w:rsidR="009C434D" w:rsidRDefault="009C434D" w:rsidP="0069173E">
      <w:pPr>
        <w:rPr>
          <w:lang w:eastAsia="en-US"/>
        </w:rPr>
      </w:pPr>
    </w:p>
    <w:p w14:paraId="4FCADA32" w14:textId="77777777" w:rsidR="009C434D" w:rsidRDefault="009C434D" w:rsidP="0069173E">
      <w:pPr>
        <w:rPr>
          <w:lang w:eastAsia="en-US"/>
        </w:rPr>
      </w:pPr>
    </w:p>
    <w:p w14:paraId="18CDF991" w14:textId="77777777" w:rsidR="0069173E" w:rsidRDefault="0069173E" w:rsidP="0069173E">
      <w:pPr>
        <w:rPr>
          <w:lang w:eastAsia="en-US"/>
        </w:rPr>
      </w:pPr>
    </w:p>
    <w:p w14:paraId="546314E4" w14:textId="77777777" w:rsidR="0069173E" w:rsidRDefault="0069173E" w:rsidP="0069173E">
      <w:pPr>
        <w:rPr>
          <w:lang w:eastAsia="en-US"/>
        </w:rPr>
      </w:pPr>
    </w:p>
    <w:p w14:paraId="6C850321" w14:textId="77777777" w:rsidR="0069173E" w:rsidRDefault="0069173E" w:rsidP="0069173E">
      <w:pPr>
        <w:rPr>
          <w:lang w:eastAsia="en-US"/>
        </w:rPr>
      </w:pPr>
    </w:p>
    <w:p w14:paraId="65CFC2F6" w14:textId="77777777" w:rsidR="0069173E" w:rsidRDefault="0069173E" w:rsidP="0069173E">
      <w:pPr>
        <w:rPr>
          <w:lang w:eastAsia="en-US"/>
        </w:rPr>
      </w:pPr>
    </w:p>
    <w:p w14:paraId="358852CE" w14:textId="77777777" w:rsidR="0069173E" w:rsidRPr="0069173E" w:rsidRDefault="0069173E" w:rsidP="0069173E">
      <w:pPr>
        <w:rPr>
          <w:lang w:eastAsia="en-US"/>
        </w:rPr>
      </w:pPr>
    </w:p>
    <w:p w14:paraId="3E216D82" w14:textId="67D6211C" w:rsidR="0017561A" w:rsidRPr="006477F5" w:rsidRDefault="00F91898" w:rsidP="006477F5">
      <w:pPr>
        <w:spacing w:line="360" w:lineRule="auto"/>
        <w:rPr>
          <w:b/>
          <w:sz w:val="22"/>
          <w:szCs w:val="22"/>
        </w:rPr>
      </w:pPr>
      <w:r w:rsidRPr="0069173E">
        <w:rPr>
          <w:b/>
          <w:sz w:val="22"/>
          <w:szCs w:val="22"/>
        </w:rPr>
        <w:lastRenderedPageBreak/>
        <w:fldChar w:fldCharType="end"/>
      </w:r>
      <w:r w:rsidR="0017561A">
        <w:rPr>
          <w:b/>
          <w:bCs/>
          <w:sz w:val="22"/>
          <w:szCs w:val="22"/>
        </w:rPr>
        <w:t>Table 1</w:t>
      </w:r>
      <w:r w:rsidR="0017561A" w:rsidRPr="00912C7E">
        <w:rPr>
          <w:sz w:val="22"/>
          <w:szCs w:val="22"/>
        </w:rPr>
        <w:t xml:space="preserve"> Demographic and clinical characteristics of women with stage I-IV HER2+ breast cancer diagnosed between 01/01/2012 - 31/12/2017 (n = 36,985)</w:t>
      </w:r>
    </w:p>
    <w:p w14:paraId="2372E7B3" w14:textId="77777777" w:rsidR="0017561A" w:rsidRDefault="0017561A" w:rsidP="0017561A">
      <w:pPr>
        <w:rPr>
          <w:sz w:val="22"/>
          <w:szCs w:val="22"/>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730"/>
        <w:gridCol w:w="1701"/>
        <w:gridCol w:w="1418"/>
        <w:gridCol w:w="141"/>
      </w:tblGrid>
      <w:tr w:rsidR="0017561A" w:rsidRPr="00912C7E" w14:paraId="388871BF" w14:textId="77777777" w:rsidTr="00356B31">
        <w:trPr>
          <w:jc w:val="center"/>
        </w:trPr>
        <w:tc>
          <w:tcPr>
            <w:tcW w:w="4649" w:type="dxa"/>
          </w:tcPr>
          <w:p w14:paraId="0A2F7ED8" w14:textId="77777777" w:rsidR="0017561A" w:rsidRPr="00912C7E" w:rsidRDefault="0017561A" w:rsidP="004E0520">
            <w:pPr>
              <w:rPr>
                <w:b/>
                <w:bCs/>
              </w:rPr>
            </w:pPr>
          </w:p>
        </w:tc>
        <w:tc>
          <w:tcPr>
            <w:tcW w:w="1730" w:type="dxa"/>
          </w:tcPr>
          <w:p w14:paraId="5B21DC84" w14:textId="77777777" w:rsidR="0017561A" w:rsidRPr="00912C7E" w:rsidRDefault="0017561A" w:rsidP="004E0520">
            <w:pPr>
              <w:jc w:val="center"/>
              <w:rPr>
                <w:b/>
                <w:bCs/>
              </w:rPr>
            </w:pPr>
            <w:r w:rsidRPr="00912C7E">
              <w:rPr>
                <w:b/>
                <w:bCs/>
              </w:rPr>
              <w:t>Stage I-IV</w:t>
            </w:r>
          </w:p>
          <w:p w14:paraId="3D1588B3" w14:textId="77777777" w:rsidR="0017561A" w:rsidRPr="00912C7E" w:rsidRDefault="0017561A" w:rsidP="004E0520">
            <w:pPr>
              <w:jc w:val="center"/>
              <w:rPr>
                <w:b/>
                <w:bCs/>
              </w:rPr>
            </w:pPr>
            <w:r w:rsidRPr="00912C7E">
              <w:rPr>
                <w:b/>
                <w:bCs/>
              </w:rPr>
              <w:t>36,985 (100.00)</w:t>
            </w:r>
          </w:p>
          <w:p w14:paraId="7E29FF35" w14:textId="77777777" w:rsidR="0017561A" w:rsidRPr="00912C7E" w:rsidRDefault="0017561A" w:rsidP="004E0520">
            <w:pPr>
              <w:jc w:val="center"/>
              <w:rPr>
                <w:b/>
                <w:bCs/>
                <w:sz w:val="10"/>
                <w:szCs w:val="10"/>
              </w:rPr>
            </w:pPr>
          </w:p>
        </w:tc>
        <w:tc>
          <w:tcPr>
            <w:tcW w:w="1701" w:type="dxa"/>
          </w:tcPr>
          <w:p w14:paraId="2C309FB2" w14:textId="77777777" w:rsidR="0017561A" w:rsidRPr="00912C7E" w:rsidRDefault="0017561A" w:rsidP="004E0520">
            <w:pPr>
              <w:jc w:val="center"/>
              <w:rPr>
                <w:b/>
                <w:bCs/>
              </w:rPr>
            </w:pPr>
            <w:r w:rsidRPr="00912C7E">
              <w:rPr>
                <w:b/>
                <w:bCs/>
              </w:rPr>
              <w:t>Stage I-III</w:t>
            </w:r>
          </w:p>
          <w:p w14:paraId="606B4ADA" w14:textId="77777777" w:rsidR="0017561A" w:rsidRPr="00912C7E" w:rsidRDefault="0017561A" w:rsidP="004E0520">
            <w:pPr>
              <w:jc w:val="center"/>
              <w:rPr>
                <w:b/>
                <w:bCs/>
              </w:rPr>
            </w:pPr>
            <w:r w:rsidRPr="00912C7E">
              <w:rPr>
                <w:b/>
                <w:bCs/>
              </w:rPr>
              <w:t xml:space="preserve">34,616 </w:t>
            </w:r>
          </w:p>
          <w:p w14:paraId="0F236936" w14:textId="77777777" w:rsidR="0017561A" w:rsidRPr="00912C7E" w:rsidRDefault="0017561A" w:rsidP="004E0520">
            <w:pPr>
              <w:jc w:val="center"/>
              <w:rPr>
                <w:b/>
                <w:bCs/>
              </w:rPr>
            </w:pPr>
            <w:r w:rsidRPr="00912C7E">
              <w:rPr>
                <w:b/>
                <w:bCs/>
              </w:rPr>
              <w:t>(93.59)</w:t>
            </w:r>
          </w:p>
        </w:tc>
        <w:tc>
          <w:tcPr>
            <w:tcW w:w="1559" w:type="dxa"/>
            <w:gridSpan w:val="2"/>
          </w:tcPr>
          <w:p w14:paraId="5C87F231" w14:textId="77777777" w:rsidR="0017561A" w:rsidRPr="00912C7E" w:rsidRDefault="0017561A" w:rsidP="004E0520">
            <w:pPr>
              <w:jc w:val="center"/>
              <w:rPr>
                <w:b/>
                <w:bCs/>
              </w:rPr>
            </w:pPr>
            <w:r w:rsidRPr="00912C7E">
              <w:rPr>
                <w:b/>
                <w:bCs/>
              </w:rPr>
              <w:t>Stage IV</w:t>
            </w:r>
          </w:p>
          <w:p w14:paraId="666316C4" w14:textId="77777777" w:rsidR="0017561A" w:rsidRPr="00912C7E" w:rsidRDefault="0017561A" w:rsidP="004E0520">
            <w:pPr>
              <w:jc w:val="center"/>
              <w:rPr>
                <w:b/>
                <w:bCs/>
              </w:rPr>
            </w:pPr>
            <w:r w:rsidRPr="00912C7E">
              <w:rPr>
                <w:b/>
                <w:bCs/>
              </w:rPr>
              <w:t>2,369</w:t>
            </w:r>
          </w:p>
          <w:p w14:paraId="026D5CA9" w14:textId="77777777" w:rsidR="0017561A" w:rsidRPr="00912C7E" w:rsidRDefault="0017561A" w:rsidP="004E0520">
            <w:pPr>
              <w:jc w:val="center"/>
              <w:rPr>
                <w:b/>
                <w:bCs/>
              </w:rPr>
            </w:pPr>
            <w:r w:rsidRPr="00912C7E">
              <w:rPr>
                <w:b/>
                <w:bCs/>
              </w:rPr>
              <w:t>(6.41)</w:t>
            </w:r>
          </w:p>
        </w:tc>
      </w:tr>
      <w:tr w:rsidR="0017561A" w:rsidRPr="00912C7E" w14:paraId="3C562DA8" w14:textId="77777777" w:rsidTr="00356B31">
        <w:trPr>
          <w:jc w:val="center"/>
        </w:trPr>
        <w:tc>
          <w:tcPr>
            <w:tcW w:w="4649" w:type="dxa"/>
          </w:tcPr>
          <w:p w14:paraId="658088A0" w14:textId="77777777" w:rsidR="0017561A" w:rsidRPr="00912C7E" w:rsidRDefault="0017561A" w:rsidP="004E0520">
            <w:pPr>
              <w:rPr>
                <w:b/>
                <w:bCs/>
              </w:rPr>
            </w:pPr>
            <w:r w:rsidRPr="00912C7E">
              <w:rPr>
                <w:b/>
                <w:bCs/>
              </w:rPr>
              <w:t>Characteristic</w:t>
            </w:r>
          </w:p>
        </w:tc>
        <w:tc>
          <w:tcPr>
            <w:tcW w:w="4990" w:type="dxa"/>
            <w:gridSpan w:val="4"/>
          </w:tcPr>
          <w:p w14:paraId="0F06439C" w14:textId="77777777" w:rsidR="0017561A" w:rsidRDefault="0017561A" w:rsidP="004E0520">
            <w:pPr>
              <w:jc w:val="center"/>
              <w:rPr>
                <w:b/>
                <w:bCs/>
              </w:rPr>
            </w:pPr>
            <w:r w:rsidRPr="00912C7E">
              <w:rPr>
                <w:b/>
                <w:bCs/>
              </w:rPr>
              <w:t>Number (%)</w:t>
            </w:r>
          </w:p>
          <w:p w14:paraId="7E5C7735" w14:textId="77777777" w:rsidR="0017561A" w:rsidRPr="00912C7E" w:rsidRDefault="0017561A" w:rsidP="004E0520">
            <w:pPr>
              <w:jc w:val="center"/>
              <w:rPr>
                <w:b/>
                <w:bCs/>
                <w:sz w:val="10"/>
                <w:szCs w:val="10"/>
              </w:rPr>
            </w:pPr>
          </w:p>
        </w:tc>
      </w:tr>
      <w:tr w:rsidR="0017561A" w:rsidRPr="00912C7E" w14:paraId="62D7B50C" w14:textId="77777777" w:rsidTr="00356B31">
        <w:trPr>
          <w:jc w:val="center"/>
        </w:trPr>
        <w:tc>
          <w:tcPr>
            <w:tcW w:w="4649" w:type="dxa"/>
            <w:tcBorders>
              <w:top w:val="single" w:sz="4" w:space="0" w:color="auto"/>
            </w:tcBorders>
          </w:tcPr>
          <w:p w14:paraId="5122542E" w14:textId="77777777" w:rsidR="0017561A" w:rsidRPr="00912C7E" w:rsidRDefault="0017561A" w:rsidP="004E0520">
            <w:pPr>
              <w:rPr>
                <w:b/>
                <w:bCs/>
                <w:sz w:val="10"/>
                <w:szCs w:val="10"/>
              </w:rPr>
            </w:pPr>
          </w:p>
          <w:p w14:paraId="2D0453DC" w14:textId="77777777" w:rsidR="0017561A" w:rsidRPr="00912C7E" w:rsidRDefault="0017561A" w:rsidP="004E0520">
            <w:pPr>
              <w:rPr>
                <w:b/>
                <w:bCs/>
              </w:rPr>
            </w:pPr>
            <w:r w:rsidRPr="00912C7E">
              <w:rPr>
                <w:b/>
                <w:bCs/>
              </w:rPr>
              <w:t>Deprivation</w:t>
            </w:r>
            <w:r w:rsidRPr="0075332B">
              <w:rPr>
                <w:b/>
                <w:bCs/>
                <w:vertAlign w:val="superscript"/>
              </w:rPr>
              <w:t>a</w:t>
            </w:r>
          </w:p>
        </w:tc>
        <w:tc>
          <w:tcPr>
            <w:tcW w:w="1730" w:type="dxa"/>
            <w:tcBorders>
              <w:top w:val="single" w:sz="4" w:space="0" w:color="auto"/>
            </w:tcBorders>
          </w:tcPr>
          <w:p w14:paraId="1A11EF06" w14:textId="77777777" w:rsidR="0017561A" w:rsidRPr="00912C7E" w:rsidRDefault="0017561A" w:rsidP="004E0520"/>
        </w:tc>
        <w:tc>
          <w:tcPr>
            <w:tcW w:w="1701" w:type="dxa"/>
            <w:tcBorders>
              <w:top w:val="single" w:sz="4" w:space="0" w:color="auto"/>
            </w:tcBorders>
          </w:tcPr>
          <w:p w14:paraId="3D0B7353" w14:textId="77777777" w:rsidR="0017561A" w:rsidRPr="00912C7E" w:rsidRDefault="0017561A" w:rsidP="004E0520"/>
        </w:tc>
        <w:tc>
          <w:tcPr>
            <w:tcW w:w="1559" w:type="dxa"/>
            <w:gridSpan w:val="2"/>
            <w:tcBorders>
              <w:top w:val="single" w:sz="4" w:space="0" w:color="auto"/>
            </w:tcBorders>
          </w:tcPr>
          <w:p w14:paraId="7B540F31" w14:textId="77777777" w:rsidR="0017561A" w:rsidRPr="00912C7E" w:rsidRDefault="0017561A" w:rsidP="004E0520"/>
        </w:tc>
      </w:tr>
      <w:tr w:rsidR="0017561A" w:rsidRPr="00912C7E" w14:paraId="36DB0D58" w14:textId="77777777" w:rsidTr="00356B31">
        <w:trPr>
          <w:jc w:val="center"/>
        </w:trPr>
        <w:tc>
          <w:tcPr>
            <w:tcW w:w="4649" w:type="dxa"/>
          </w:tcPr>
          <w:p w14:paraId="08497CEE" w14:textId="77777777" w:rsidR="0017561A" w:rsidRPr="00912C7E" w:rsidRDefault="0017561A" w:rsidP="004E0520">
            <w:r w:rsidRPr="00912C7E">
              <w:t>1 (Least Deprived)</w:t>
            </w:r>
          </w:p>
        </w:tc>
        <w:tc>
          <w:tcPr>
            <w:tcW w:w="1730" w:type="dxa"/>
          </w:tcPr>
          <w:p w14:paraId="064A7BB3" w14:textId="77777777" w:rsidR="0017561A" w:rsidRPr="00912C7E" w:rsidRDefault="0017561A" w:rsidP="004E0520">
            <w:r w:rsidRPr="00912C7E">
              <w:t xml:space="preserve"> 8,454 (22.86)</w:t>
            </w:r>
          </w:p>
        </w:tc>
        <w:tc>
          <w:tcPr>
            <w:tcW w:w="1701" w:type="dxa"/>
          </w:tcPr>
          <w:p w14:paraId="72782F35" w14:textId="77777777" w:rsidR="0017561A" w:rsidRPr="00912C7E" w:rsidRDefault="0017561A" w:rsidP="004E0520">
            <w:r w:rsidRPr="00912C7E">
              <w:t>7,970 (23.02)</w:t>
            </w:r>
          </w:p>
        </w:tc>
        <w:tc>
          <w:tcPr>
            <w:tcW w:w="1559" w:type="dxa"/>
            <w:gridSpan w:val="2"/>
          </w:tcPr>
          <w:p w14:paraId="07B7F267" w14:textId="77777777" w:rsidR="0017561A" w:rsidRPr="00912C7E" w:rsidRDefault="0017561A" w:rsidP="004E0520">
            <w:r w:rsidRPr="00912C7E">
              <w:t>484 (20.43)</w:t>
            </w:r>
          </w:p>
        </w:tc>
      </w:tr>
      <w:tr w:rsidR="0017561A" w:rsidRPr="00912C7E" w14:paraId="1EAAA286" w14:textId="77777777" w:rsidTr="00356B31">
        <w:trPr>
          <w:jc w:val="center"/>
        </w:trPr>
        <w:tc>
          <w:tcPr>
            <w:tcW w:w="4649" w:type="dxa"/>
          </w:tcPr>
          <w:p w14:paraId="0C9BBE17" w14:textId="77777777" w:rsidR="0017561A" w:rsidRPr="00912C7E" w:rsidRDefault="0017561A" w:rsidP="004E0520">
            <w:r w:rsidRPr="00912C7E">
              <w:t>2</w:t>
            </w:r>
          </w:p>
        </w:tc>
        <w:tc>
          <w:tcPr>
            <w:tcW w:w="1730" w:type="dxa"/>
          </w:tcPr>
          <w:p w14:paraId="4DD83905" w14:textId="77777777" w:rsidR="0017561A" w:rsidRPr="00912C7E" w:rsidRDefault="0017561A" w:rsidP="004E0520">
            <w:r w:rsidRPr="00912C7E">
              <w:t xml:space="preserve"> 8,267 (22.35)</w:t>
            </w:r>
          </w:p>
        </w:tc>
        <w:tc>
          <w:tcPr>
            <w:tcW w:w="1701" w:type="dxa"/>
          </w:tcPr>
          <w:p w14:paraId="7B104549" w14:textId="77777777" w:rsidR="0017561A" w:rsidRPr="00912C7E" w:rsidRDefault="0017561A" w:rsidP="004E0520">
            <w:r w:rsidRPr="00912C7E">
              <w:t>7,786 (22.49)</w:t>
            </w:r>
          </w:p>
        </w:tc>
        <w:tc>
          <w:tcPr>
            <w:tcW w:w="1559" w:type="dxa"/>
            <w:gridSpan w:val="2"/>
          </w:tcPr>
          <w:p w14:paraId="3A3F04DF" w14:textId="77777777" w:rsidR="0017561A" w:rsidRPr="00912C7E" w:rsidRDefault="0017561A" w:rsidP="004E0520">
            <w:r w:rsidRPr="00912C7E">
              <w:t>481 (20.30)</w:t>
            </w:r>
          </w:p>
        </w:tc>
      </w:tr>
      <w:tr w:rsidR="0017561A" w:rsidRPr="00912C7E" w14:paraId="584B4CB4" w14:textId="77777777" w:rsidTr="00356B31">
        <w:trPr>
          <w:jc w:val="center"/>
        </w:trPr>
        <w:tc>
          <w:tcPr>
            <w:tcW w:w="4649" w:type="dxa"/>
          </w:tcPr>
          <w:p w14:paraId="1329BB69" w14:textId="77777777" w:rsidR="0017561A" w:rsidRPr="00912C7E" w:rsidRDefault="0017561A" w:rsidP="004E0520">
            <w:r w:rsidRPr="00912C7E">
              <w:t>3</w:t>
            </w:r>
          </w:p>
        </w:tc>
        <w:tc>
          <w:tcPr>
            <w:tcW w:w="1730" w:type="dxa"/>
          </w:tcPr>
          <w:p w14:paraId="43075E9F" w14:textId="77777777" w:rsidR="0017561A" w:rsidRPr="00912C7E" w:rsidRDefault="0017561A" w:rsidP="004E0520">
            <w:r w:rsidRPr="00912C7E">
              <w:t xml:space="preserve"> 7,469 (20.19)</w:t>
            </w:r>
          </w:p>
        </w:tc>
        <w:tc>
          <w:tcPr>
            <w:tcW w:w="1701" w:type="dxa"/>
          </w:tcPr>
          <w:p w14:paraId="0CC5CB70" w14:textId="77777777" w:rsidR="0017561A" w:rsidRPr="00912C7E" w:rsidRDefault="0017561A" w:rsidP="004E0520">
            <w:r w:rsidRPr="00912C7E">
              <w:t>7,024 (20.29)</w:t>
            </w:r>
          </w:p>
        </w:tc>
        <w:tc>
          <w:tcPr>
            <w:tcW w:w="1559" w:type="dxa"/>
            <w:gridSpan w:val="2"/>
          </w:tcPr>
          <w:p w14:paraId="1B1A3AB7" w14:textId="77777777" w:rsidR="0017561A" w:rsidRPr="00912C7E" w:rsidRDefault="0017561A" w:rsidP="004E0520">
            <w:r w:rsidRPr="00912C7E">
              <w:t>445 (18.78)</w:t>
            </w:r>
          </w:p>
        </w:tc>
      </w:tr>
      <w:tr w:rsidR="0017561A" w:rsidRPr="00912C7E" w14:paraId="73CA6E6B" w14:textId="77777777" w:rsidTr="00356B31">
        <w:trPr>
          <w:jc w:val="center"/>
        </w:trPr>
        <w:tc>
          <w:tcPr>
            <w:tcW w:w="4649" w:type="dxa"/>
          </w:tcPr>
          <w:p w14:paraId="5BCA8781" w14:textId="77777777" w:rsidR="0017561A" w:rsidRPr="00912C7E" w:rsidRDefault="0017561A" w:rsidP="004E0520">
            <w:r w:rsidRPr="00912C7E">
              <w:t>4</w:t>
            </w:r>
          </w:p>
        </w:tc>
        <w:tc>
          <w:tcPr>
            <w:tcW w:w="1730" w:type="dxa"/>
          </w:tcPr>
          <w:p w14:paraId="03BD5235" w14:textId="77777777" w:rsidR="0017561A" w:rsidRPr="00912C7E" w:rsidRDefault="0017561A" w:rsidP="004E0520">
            <w:r w:rsidRPr="00912C7E">
              <w:t xml:space="preserve"> 6,814 (18.42)</w:t>
            </w:r>
          </w:p>
        </w:tc>
        <w:tc>
          <w:tcPr>
            <w:tcW w:w="1701" w:type="dxa"/>
          </w:tcPr>
          <w:p w14:paraId="110775C7" w14:textId="77777777" w:rsidR="0017561A" w:rsidRPr="00912C7E" w:rsidRDefault="0017561A" w:rsidP="004E0520">
            <w:r w:rsidRPr="00912C7E">
              <w:t>6,299 (18.20)</w:t>
            </w:r>
          </w:p>
        </w:tc>
        <w:tc>
          <w:tcPr>
            <w:tcW w:w="1559" w:type="dxa"/>
            <w:gridSpan w:val="2"/>
          </w:tcPr>
          <w:p w14:paraId="663E0172" w14:textId="77777777" w:rsidR="0017561A" w:rsidRPr="00912C7E" w:rsidRDefault="0017561A" w:rsidP="004E0520">
            <w:r w:rsidRPr="00912C7E">
              <w:t>515 (21.74)</w:t>
            </w:r>
          </w:p>
        </w:tc>
      </w:tr>
      <w:tr w:rsidR="0017561A" w:rsidRPr="00912C7E" w14:paraId="6AF97684" w14:textId="77777777" w:rsidTr="00356B31">
        <w:trPr>
          <w:jc w:val="center"/>
        </w:trPr>
        <w:tc>
          <w:tcPr>
            <w:tcW w:w="4649" w:type="dxa"/>
          </w:tcPr>
          <w:p w14:paraId="37FAF050" w14:textId="77777777" w:rsidR="0017561A" w:rsidRPr="00912C7E" w:rsidRDefault="0017561A" w:rsidP="004E0520">
            <w:r w:rsidRPr="00912C7E">
              <w:t>5 (Most Deprived)</w:t>
            </w:r>
          </w:p>
        </w:tc>
        <w:tc>
          <w:tcPr>
            <w:tcW w:w="1730" w:type="dxa"/>
          </w:tcPr>
          <w:p w14:paraId="30E2070D" w14:textId="77777777" w:rsidR="0017561A" w:rsidRPr="00912C7E" w:rsidRDefault="0017561A" w:rsidP="004E0520">
            <w:r w:rsidRPr="00912C7E">
              <w:t xml:space="preserve"> 5,981 (16.17)</w:t>
            </w:r>
          </w:p>
        </w:tc>
        <w:tc>
          <w:tcPr>
            <w:tcW w:w="1701" w:type="dxa"/>
          </w:tcPr>
          <w:p w14:paraId="6A355D54" w14:textId="77777777" w:rsidR="0017561A" w:rsidRPr="00912C7E" w:rsidRDefault="0017561A" w:rsidP="004E0520">
            <w:r w:rsidRPr="00912C7E">
              <w:t>5,537 (16.00)</w:t>
            </w:r>
          </w:p>
        </w:tc>
        <w:tc>
          <w:tcPr>
            <w:tcW w:w="1559" w:type="dxa"/>
            <w:gridSpan w:val="2"/>
          </w:tcPr>
          <w:p w14:paraId="1C4A5707" w14:textId="77777777" w:rsidR="0017561A" w:rsidRPr="00912C7E" w:rsidRDefault="0017561A" w:rsidP="004E0520">
            <w:r w:rsidRPr="00912C7E">
              <w:t>444 (18.74)</w:t>
            </w:r>
          </w:p>
        </w:tc>
      </w:tr>
      <w:tr w:rsidR="0017561A" w:rsidRPr="00912C7E" w14:paraId="639F8964" w14:textId="77777777" w:rsidTr="00356B31">
        <w:trPr>
          <w:jc w:val="center"/>
        </w:trPr>
        <w:tc>
          <w:tcPr>
            <w:tcW w:w="4649" w:type="dxa"/>
          </w:tcPr>
          <w:p w14:paraId="7F449106" w14:textId="77777777" w:rsidR="0017561A" w:rsidRPr="00912C7E" w:rsidRDefault="0017561A" w:rsidP="004E0520">
            <w:pPr>
              <w:rPr>
                <w:sz w:val="16"/>
                <w:szCs w:val="16"/>
              </w:rPr>
            </w:pPr>
          </w:p>
        </w:tc>
        <w:tc>
          <w:tcPr>
            <w:tcW w:w="1730" w:type="dxa"/>
          </w:tcPr>
          <w:p w14:paraId="047C82C0" w14:textId="77777777" w:rsidR="0017561A" w:rsidRPr="00912C7E" w:rsidRDefault="0017561A" w:rsidP="004E0520">
            <w:pPr>
              <w:rPr>
                <w:sz w:val="10"/>
                <w:szCs w:val="10"/>
              </w:rPr>
            </w:pPr>
          </w:p>
        </w:tc>
        <w:tc>
          <w:tcPr>
            <w:tcW w:w="1701" w:type="dxa"/>
          </w:tcPr>
          <w:p w14:paraId="37B0C50F" w14:textId="77777777" w:rsidR="0017561A" w:rsidRPr="00912C7E" w:rsidRDefault="0017561A" w:rsidP="004E0520">
            <w:pPr>
              <w:rPr>
                <w:sz w:val="10"/>
                <w:szCs w:val="10"/>
              </w:rPr>
            </w:pPr>
          </w:p>
        </w:tc>
        <w:tc>
          <w:tcPr>
            <w:tcW w:w="1559" w:type="dxa"/>
            <w:gridSpan w:val="2"/>
          </w:tcPr>
          <w:p w14:paraId="1384AAF7" w14:textId="77777777" w:rsidR="0017561A" w:rsidRPr="00912C7E" w:rsidRDefault="0017561A" w:rsidP="004E0520">
            <w:pPr>
              <w:rPr>
                <w:sz w:val="10"/>
                <w:szCs w:val="10"/>
              </w:rPr>
            </w:pPr>
          </w:p>
        </w:tc>
      </w:tr>
      <w:tr w:rsidR="0017561A" w:rsidRPr="00912C7E" w14:paraId="1096F4C2" w14:textId="77777777" w:rsidTr="00356B31">
        <w:trPr>
          <w:gridAfter w:val="1"/>
          <w:wAfter w:w="141" w:type="dxa"/>
          <w:jc w:val="center"/>
        </w:trPr>
        <w:tc>
          <w:tcPr>
            <w:tcW w:w="4649" w:type="dxa"/>
          </w:tcPr>
          <w:p w14:paraId="7A669BFD" w14:textId="77777777" w:rsidR="0017561A" w:rsidRPr="00912C7E" w:rsidRDefault="0017561A" w:rsidP="004E0520">
            <w:pPr>
              <w:rPr>
                <w:b/>
                <w:bCs/>
              </w:rPr>
            </w:pPr>
            <w:r w:rsidRPr="00912C7E">
              <w:rPr>
                <w:b/>
                <w:bCs/>
              </w:rPr>
              <w:t>Age at Diagnosis (Years)</w:t>
            </w:r>
          </w:p>
        </w:tc>
        <w:tc>
          <w:tcPr>
            <w:tcW w:w="1730" w:type="dxa"/>
          </w:tcPr>
          <w:p w14:paraId="4D7B30DF" w14:textId="77777777" w:rsidR="0017561A" w:rsidRPr="00912C7E" w:rsidRDefault="0017561A" w:rsidP="004E0520"/>
        </w:tc>
        <w:tc>
          <w:tcPr>
            <w:tcW w:w="1701" w:type="dxa"/>
          </w:tcPr>
          <w:p w14:paraId="0A0EAD83" w14:textId="77777777" w:rsidR="0017561A" w:rsidRPr="00912C7E" w:rsidRDefault="0017561A" w:rsidP="004E0520"/>
        </w:tc>
        <w:tc>
          <w:tcPr>
            <w:tcW w:w="1418" w:type="dxa"/>
          </w:tcPr>
          <w:p w14:paraId="70232D8A" w14:textId="77777777" w:rsidR="0017561A" w:rsidRPr="00912C7E" w:rsidRDefault="0017561A" w:rsidP="004E0520"/>
        </w:tc>
      </w:tr>
      <w:tr w:rsidR="0017561A" w:rsidRPr="00912C7E" w14:paraId="5894EE31" w14:textId="77777777" w:rsidTr="00356B31">
        <w:trPr>
          <w:jc w:val="center"/>
        </w:trPr>
        <w:tc>
          <w:tcPr>
            <w:tcW w:w="4649" w:type="dxa"/>
          </w:tcPr>
          <w:p w14:paraId="0A386011" w14:textId="77777777" w:rsidR="0017561A" w:rsidRPr="00912C7E" w:rsidRDefault="0017561A" w:rsidP="004E0520">
            <w:r w:rsidRPr="00912C7E">
              <w:t xml:space="preserve">&lt;50 </w:t>
            </w:r>
          </w:p>
        </w:tc>
        <w:tc>
          <w:tcPr>
            <w:tcW w:w="1730" w:type="dxa"/>
          </w:tcPr>
          <w:p w14:paraId="2FCA1863" w14:textId="77777777" w:rsidR="0017561A" w:rsidRPr="00912C7E" w:rsidRDefault="0017561A" w:rsidP="004E0520">
            <w:r>
              <w:t>8,962</w:t>
            </w:r>
            <w:r w:rsidRPr="00912C7E">
              <w:t xml:space="preserve"> (</w:t>
            </w:r>
            <w:r>
              <w:t>24.23</w:t>
            </w:r>
            <w:r w:rsidRPr="00912C7E">
              <w:t>)</w:t>
            </w:r>
          </w:p>
        </w:tc>
        <w:tc>
          <w:tcPr>
            <w:tcW w:w="1701" w:type="dxa"/>
          </w:tcPr>
          <w:p w14:paraId="771647E2" w14:textId="77777777" w:rsidR="0017561A" w:rsidRPr="00912C7E" w:rsidRDefault="0017561A" w:rsidP="004E0520">
            <w:r>
              <w:t>8,466</w:t>
            </w:r>
            <w:r w:rsidRPr="00912C7E">
              <w:t xml:space="preserve"> (</w:t>
            </w:r>
            <w:r>
              <w:t>24.46</w:t>
            </w:r>
            <w:r w:rsidRPr="00912C7E">
              <w:t>)</w:t>
            </w:r>
          </w:p>
        </w:tc>
        <w:tc>
          <w:tcPr>
            <w:tcW w:w="1559" w:type="dxa"/>
            <w:gridSpan w:val="2"/>
          </w:tcPr>
          <w:p w14:paraId="2CD0929A" w14:textId="77777777" w:rsidR="0017561A" w:rsidRPr="00912C7E" w:rsidRDefault="0017561A" w:rsidP="004E0520">
            <w:r w:rsidRPr="00912C7E">
              <w:t>496 (20.94)</w:t>
            </w:r>
          </w:p>
        </w:tc>
      </w:tr>
      <w:tr w:rsidR="0017561A" w:rsidRPr="00912C7E" w14:paraId="05B98224" w14:textId="77777777" w:rsidTr="00356B31">
        <w:trPr>
          <w:jc w:val="center"/>
        </w:trPr>
        <w:tc>
          <w:tcPr>
            <w:tcW w:w="4649" w:type="dxa"/>
          </w:tcPr>
          <w:p w14:paraId="6482BC3E" w14:textId="77777777" w:rsidR="0017561A" w:rsidRPr="00912C7E" w:rsidRDefault="0017561A" w:rsidP="004E0520">
            <w:r w:rsidRPr="00912C7E">
              <w:t xml:space="preserve">50 – 59 </w:t>
            </w:r>
          </w:p>
        </w:tc>
        <w:tc>
          <w:tcPr>
            <w:tcW w:w="1730" w:type="dxa"/>
          </w:tcPr>
          <w:p w14:paraId="067C8CB0" w14:textId="77777777" w:rsidR="0017561A" w:rsidRPr="00912C7E" w:rsidRDefault="0017561A" w:rsidP="004E0520">
            <w:r w:rsidRPr="00912C7E">
              <w:t>9,132 (24.69)</w:t>
            </w:r>
          </w:p>
        </w:tc>
        <w:tc>
          <w:tcPr>
            <w:tcW w:w="1701" w:type="dxa"/>
          </w:tcPr>
          <w:p w14:paraId="732E0092" w14:textId="77777777" w:rsidR="0017561A" w:rsidRPr="00912C7E" w:rsidRDefault="0017561A" w:rsidP="004E0520">
            <w:r w:rsidRPr="00912C7E">
              <w:t>8,617 (24.89)</w:t>
            </w:r>
          </w:p>
        </w:tc>
        <w:tc>
          <w:tcPr>
            <w:tcW w:w="1559" w:type="dxa"/>
            <w:gridSpan w:val="2"/>
          </w:tcPr>
          <w:p w14:paraId="46D8C990" w14:textId="77777777" w:rsidR="0017561A" w:rsidRPr="00912C7E" w:rsidRDefault="0017561A" w:rsidP="004E0520">
            <w:r w:rsidRPr="00912C7E">
              <w:t>515 (21.74)</w:t>
            </w:r>
          </w:p>
        </w:tc>
      </w:tr>
      <w:tr w:rsidR="0017561A" w:rsidRPr="00912C7E" w14:paraId="16027967" w14:textId="77777777" w:rsidTr="00356B31">
        <w:trPr>
          <w:jc w:val="center"/>
        </w:trPr>
        <w:tc>
          <w:tcPr>
            <w:tcW w:w="4649" w:type="dxa"/>
          </w:tcPr>
          <w:p w14:paraId="38C256FA" w14:textId="77777777" w:rsidR="0017561A" w:rsidRPr="00912C7E" w:rsidRDefault="0017561A" w:rsidP="004E0520">
            <w:r w:rsidRPr="00912C7E">
              <w:t>60 – 69</w:t>
            </w:r>
          </w:p>
        </w:tc>
        <w:tc>
          <w:tcPr>
            <w:tcW w:w="1730" w:type="dxa"/>
          </w:tcPr>
          <w:p w14:paraId="128F7BA1" w14:textId="77777777" w:rsidR="0017561A" w:rsidRPr="00912C7E" w:rsidRDefault="0017561A" w:rsidP="004E0520">
            <w:r w:rsidRPr="00912C7E">
              <w:t>9,058 (24.49)</w:t>
            </w:r>
          </w:p>
        </w:tc>
        <w:tc>
          <w:tcPr>
            <w:tcW w:w="1701" w:type="dxa"/>
          </w:tcPr>
          <w:p w14:paraId="25869BEB" w14:textId="77777777" w:rsidR="0017561A" w:rsidRPr="00912C7E" w:rsidRDefault="0017561A" w:rsidP="004E0520">
            <w:r w:rsidRPr="00912C7E">
              <w:t>8,592 (24.82)</w:t>
            </w:r>
          </w:p>
        </w:tc>
        <w:tc>
          <w:tcPr>
            <w:tcW w:w="1559" w:type="dxa"/>
            <w:gridSpan w:val="2"/>
          </w:tcPr>
          <w:p w14:paraId="38184456" w14:textId="77777777" w:rsidR="0017561A" w:rsidRPr="00912C7E" w:rsidRDefault="0017561A" w:rsidP="004E0520">
            <w:r w:rsidRPr="00912C7E">
              <w:t>466 (19.67)</w:t>
            </w:r>
          </w:p>
        </w:tc>
      </w:tr>
      <w:tr w:rsidR="0017561A" w:rsidRPr="00912C7E" w14:paraId="1E471410" w14:textId="77777777" w:rsidTr="00356B31">
        <w:trPr>
          <w:jc w:val="center"/>
        </w:trPr>
        <w:tc>
          <w:tcPr>
            <w:tcW w:w="4649" w:type="dxa"/>
          </w:tcPr>
          <w:p w14:paraId="77F815F1" w14:textId="77777777" w:rsidR="0017561A" w:rsidRPr="00912C7E" w:rsidRDefault="0017561A" w:rsidP="004E0520">
            <w:r w:rsidRPr="00912C7E">
              <w:t>70 – 79</w:t>
            </w:r>
          </w:p>
        </w:tc>
        <w:tc>
          <w:tcPr>
            <w:tcW w:w="1730" w:type="dxa"/>
          </w:tcPr>
          <w:p w14:paraId="036EC13B" w14:textId="77777777" w:rsidR="0017561A" w:rsidRPr="00912C7E" w:rsidRDefault="0017561A" w:rsidP="004E0520">
            <w:r w:rsidRPr="00912C7E">
              <w:t>5,997 (16.21)</w:t>
            </w:r>
          </w:p>
        </w:tc>
        <w:tc>
          <w:tcPr>
            <w:tcW w:w="1701" w:type="dxa"/>
          </w:tcPr>
          <w:p w14:paraId="4AF79F84" w14:textId="77777777" w:rsidR="0017561A" w:rsidRPr="00912C7E" w:rsidRDefault="0017561A" w:rsidP="004E0520">
            <w:r w:rsidRPr="00912C7E">
              <w:t>5,489 (15.86)</w:t>
            </w:r>
          </w:p>
        </w:tc>
        <w:tc>
          <w:tcPr>
            <w:tcW w:w="1559" w:type="dxa"/>
            <w:gridSpan w:val="2"/>
          </w:tcPr>
          <w:p w14:paraId="18AF75CE" w14:textId="77777777" w:rsidR="0017561A" w:rsidRPr="00912C7E" w:rsidRDefault="0017561A" w:rsidP="004E0520">
            <w:r w:rsidRPr="00912C7E">
              <w:t>508 (21.44)</w:t>
            </w:r>
          </w:p>
        </w:tc>
      </w:tr>
      <w:tr w:rsidR="0017561A" w:rsidRPr="00912C7E" w14:paraId="5BB63321" w14:textId="77777777" w:rsidTr="00356B31">
        <w:trPr>
          <w:jc w:val="center"/>
        </w:trPr>
        <w:tc>
          <w:tcPr>
            <w:tcW w:w="4649" w:type="dxa"/>
          </w:tcPr>
          <w:p w14:paraId="27D97471" w14:textId="77777777" w:rsidR="0017561A" w:rsidRPr="00912C7E" w:rsidRDefault="0017561A" w:rsidP="004E0520">
            <w:r w:rsidRPr="00912C7E">
              <w:t>80+</w:t>
            </w:r>
          </w:p>
        </w:tc>
        <w:tc>
          <w:tcPr>
            <w:tcW w:w="1730" w:type="dxa"/>
          </w:tcPr>
          <w:p w14:paraId="5C54E997" w14:textId="77777777" w:rsidR="0017561A" w:rsidRPr="00912C7E" w:rsidRDefault="0017561A" w:rsidP="004E0520">
            <w:r w:rsidRPr="00912C7E">
              <w:t>3,836 (10.37)</w:t>
            </w:r>
          </w:p>
        </w:tc>
        <w:tc>
          <w:tcPr>
            <w:tcW w:w="1701" w:type="dxa"/>
          </w:tcPr>
          <w:p w14:paraId="40923E31" w14:textId="77777777" w:rsidR="0017561A" w:rsidRPr="00912C7E" w:rsidRDefault="0017561A" w:rsidP="004E0520">
            <w:r w:rsidRPr="00912C7E">
              <w:t>3,452 (9.97)</w:t>
            </w:r>
          </w:p>
        </w:tc>
        <w:tc>
          <w:tcPr>
            <w:tcW w:w="1559" w:type="dxa"/>
            <w:gridSpan w:val="2"/>
          </w:tcPr>
          <w:p w14:paraId="4568ACB3" w14:textId="77777777" w:rsidR="0017561A" w:rsidRPr="00912C7E" w:rsidRDefault="0017561A" w:rsidP="004E0520">
            <w:r w:rsidRPr="00912C7E">
              <w:t>384 (16.21)</w:t>
            </w:r>
          </w:p>
        </w:tc>
      </w:tr>
      <w:tr w:rsidR="0017561A" w:rsidRPr="00912C7E" w14:paraId="6EA0A0B5" w14:textId="77777777" w:rsidTr="00356B31">
        <w:trPr>
          <w:jc w:val="center"/>
        </w:trPr>
        <w:tc>
          <w:tcPr>
            <w:tcW w:w="4649" w:type="dxa"/>
          </w:tcPr>
          <w:p w14:paraId="77D46C99" w14:textId="77777777" w:rsidR="0017561A" w:rsidRPr="00912C7E" w:rsidRDefault="0017561A" w:rsidP="004E0520"/>
        </w:tc>
        <w:tc>
          <w:tcPr>
            <w:tcW w:w="1730" w:type="dxa"/>
          </w:tcPr>
          <w:p w14:paraId="2B573433" w14:textId="77777777" w:rsidR="0017561A" w:rsidRPr="00912C7E" w:rsidRDefault="0017561A" w:rsidP="004E0520"/>
        </w:tc>
        <w:tc>
          <w:tcPr>
            <w:tcW w:w="1701" w:type="dxa"/>
          </w:tcPr>
          <w:p w14:paraId="4B7A63B7" w14:textId="77777777" w:rsidR="0017561A" w:rsidRPr="00912C7E" w:rsidRDefault="0017561A" w:rsidP="004E0520"/>
        </w:tc>
        <w:tc>
          <w:tcPr>
            <w:tcW w:w="1559" w:type="dxa"/>
            <w:gridSpan w:val="2"/>
          </w:tcPr>
          <w:p w14:paraId="31503F7E" w14:textId="77777777" w:rsidR="0017561A" w:rsidRPr="00912C7E" w:rsidRDefault="0017561A" w:rsidP="004E0520"/>
        </w:tc>
      </w:tr>
      <w:tr w:rsidR="0017561A" w:rsidRPr="00912C7E" w14:paraId="536F69CF" w14:textId="77777777" w:rsidTr="00356B31">
        <w:trPr>
          <w:jc w:val="center"/>
        </w:trPr>
        <w:tc>
          <w:tcPr>
            <w:tcW w:w="4649" w:type="dxa"/>
          </w:tcPr>
          <w:p w14:paraId="23423B17" w14:textId="77777777" w:rsidR="0017561A" w:rsidRPr="00912C7E" w:rsidRDefault="0017561A" w:rsidP="004E0520">
            <w:r w:rsidRPr="00912C7E">
              <w:rPr>
                <w:b/>
                <w:bCs/>
              </w:rPr>
              <w:t>Ethnicity</w:t>
            </w:r>
          </w:p>
        </w:tc>
        <w:tc>
          <w:tcPr>
            <w:tcW w:w="1730" w:type="dxa"/>
          </w:tcPr>
          <w:p w14:paraId="3EE19415" w14:textId="77777777" w:rsidR="0017561A" w:rsidRPr="00912C7E" w:rsidRDefault="0017561A" w:rsidP="004E0520"/>
        </w:tc>
        <w:tc>
          <w:tcPr>
            <w:tcW w:w="1701" w:type="dxa"/>
          </w:tcPr>
          <w:p w14:paraId="6EFAC257" w14:textId="77777777" w:rsidR="0017561A" w:rsidRPr="00912C7E" w:rsidRDefault="0017561A" w:rsidP="004E0520"/>
        </w:tc>
        <w:tc>
          <w:tcPr>
            <w:tcW w:w="1559" w:type="dxa"/>
            <w:gridSpan w:val="2"/>
          </w:tcPr>
          <w:p w14:paraId="24FE8635" w14:textId="77777777" w:rsidR="0017561A" w:rsidRPr="00912C7E" w:rsidRDefault="0017561A" w:rsidP="004E0520"/>
        </w:tc>
      </w:tr>
      <w:tr w:rsidR="0017561A" w:rsidRPr="00912C7E" w14:paraId="1B95C934" w14:textId="77777777" w:rsidTr="00356B31">
        <w:trPr>
          <w:jc w:val="center"/>
        </w:trPr>
        <w:tc>
          <w:tcPr>
            <w:tcW w:w="4649" w:type="dxa"/>
          </w:tcPr>
          <w:p w14:paraId="743AF9C5" w14:textId="77777777" w:rsidR="0017561A" w:rsidRPr="00912C7E" w:rsidRDefault="0017561A" w:rsidP="004E0520">
            <w:r w:rsidRPr="00912C7E">
              <w:t>White</w:t>
            </w:r>
          </w:p>
        </w:tc>
        <w:tc>
          <w:tcPr>
            <w:tcW w:w="1730" w:type="dxa"/>
          </w:tcPr>
          <w:p w14:paraId="158CF706" w14:textId="77777777" w:rsidR="0017561A" w:rsidRPr="00912C7E" w:rsidRDefault="0017561A" w:rsidP="004E0520">
            <w:r w:rsidRPr="00912C7E">
              <w:t>32,565 (88.05)</w:t>
            </w:r>
          </w:p>
        </w:tc>
        <w:tc>
          <w:tcPr>
            <w:tcW w:w="1701" w:type="dxa"/>
          </w:tcPr>
          <w:p w14:paraId="5BED6FC7" w14:textId="77777777" w:rsidR="0017561A" w:rsidRPr="00912C7E" w:rsidRDefault="0017561A" w:rsidP="004E0520">
            <w:r w:rsidRPr="00912C7E">
              <w:t>30,500 (88.11)</w:t>
            </w:r>
          </w:p>
        </w:tc>
        <w:tc>
          <w:tcPr>
            <w:tcW w:w="1559" w:type="dxa"/>
            <w:gridSpan w:val="2"/>
          </w:tcPr>
          <w:p w14:paraId="3EE613E3" w14:textId="77777777" w:rsidR="0017561A" w:rsidRPr="00912C7E" w:rsidRDefault="0017561A" w:rsidP="004E0520">
            <w:r w:rsidRPr="00912C7E">
              <w:t>2,065 (87.17)</w:t>
            </w:r>
          </w:p>
        </w:tc>
      </w:tr>
      <w:tr w:rsidR="0017561A" w:rsidRPr="00912C7E" w14:paraId="01B27D5B" w14:textId="77777777" w:rsidTr="00356B31">
        <w:trPr>
          <w:jc w:val="center"/>
        </w:trPr>
        <w:tc>
          <w:tcPr>
            <w:tcW w:w="4649" w:type="dxa"/>
          </w:tcPr>
          <w:p w14:paraId="5C548C48" w14:textId="77777777" w:rsidR="0017561A" w:rsidRPr="00912C7E" w:rsidRDefault="0017561A" w:rsidP="004E0520">
            <w:r w:rsidRPr="00912C7E">
              <w:t>Other Ethnic Group</w:t>
            </w:r>
            <w:r w:rsidRPr="0075332B">
              <w:rPr>
                <w:vertAlign w:val="superscript"/>
              </w:rPr>
              <w:t>b</w:t>
            </w:r>
          </w:p>
        </w:tc>
        <w:tc>
          <w:tcPr>
            <w:tcW w:w="1730" w:type="dxa"/>
          </w:tcPr>
          <w:p w14:paraId="32968F6F" w14:textId="77777777" w:rsidR="0017561A" w:rsidRPr="00912C7E" w:rsidRDefault="0017561A" w:rsidP="004E0520">
            <w:r w:rsidRPr="00912C7E">
              <w:t>2,852 (7.71)</w:t>
            </w:r>
          </w:p>
        </w:tc>
        <w:tc>
          <w:tcPr>
            <w:tcW w:w="1701" w:type="dxa"/>
          </w:tcPr>
          <w:p w14:paraId="550950AB" w14:textId="77777777" w:rsidR="0017561A" w:rsidRPr="00912C7E" w:rsidRDefault="0017561A" w:rsidP="004E0520">
            <w:r w:rsidRPr="00912C7E">
              <w:t>2,653 (7.66)</w:t>
            </w:r>
          </w:p>
        </w:tc>
        <w:tc>
          <w:tcPr>
            <w:tcW w:w="1559" w:type="dxa"/>
            <w:gridSpan w:val="2"/>
          </w:tcPr>
          <w:p w14:paraId="61688490" w14:textId="77777777" w:rsidR="0017561A" w:rsidRPr="00912C7E" w:rsidRDefault="0017561A" w:rsidP="004E0520">
            <w:r w:rsidRPr="00912C7E">
              <w:t>199 (8.40)</w:t>
            </w:r>
          </w:p>
        </w:tc>
      </w:tr>
      <w:tr w:rsidR="0017561A" w:rsidRPr="00912C7E" w14:paraId="74895294" w14:textId="77777777" w:rsidTr="00356B31">
        <w:trPr>
          <w:jc w:val="center"/>
        </w:trPr>
        <w:tc>
          <w:tcPr>
            <w:tcW w:w="4649" w:type="dxa"/>
          </w:tcPr>
          <w:p w14:paraId="377FB4E5" w14:textId="77777777" w:rsidR="0017561A" w:rsidRPr="00912C7E" w:rsidRDefault="0017561A" w:rsidP="004E0520">
            <w:r w:rsidRPr="00912C7E">
              <w:t>Unknown</w:t>
            </w:r>
            <w:r w:rsidRPr="0075332B">
              <w:rPr>
                <w:vertAlign w:val="superscript"/>
              </w:rPr>
              <w:t>c</w:t>
            </w:r>
          </w:p>
        </w:tc>
        <w:tc>
          <w:tcPr>
            <w:tcW w:w="1730" w:type="dxa"/>
          </w:tcPr>
          <w:p w14:paraId="394B8ECF" w14:textId="77777777" w:rsidR="0017561A" w:rsidRPr="00912C7E" w:rsidRDefault="0017561A" w:rsidP="004E0520">
            <w:r w:rsidRPr="00912C7E">
              <w:t>1,568 (4.24)</w:t>
            </w:r>
          </w:p>
        </w:tc>
        <w:tc>
          <w:tcPr>
            <w:tcW w:w="1701" w:type="dxa"/>
          </w:tcPr>
          <w:p w14:paraId="22B26EF9" w14:textId="77777777" w:rsidR="0017561A" w:rsidRPr="00912C7E" w:rsidRDefault="0017561A" w:rsidP="004E0520">
            <w:r w:rsidRPr="00912C7E">
              <w:t>1,463 (4.23)</w:t>
            </w:r>
          </w:p>
        </w:tc>
        <w:tc>
          <w:tcPr>
            <w:tcW w:w="1559" w:type="dxa"/>
            <w:gridSpan w:val="2"/>
          </w:tcPr>
          <w:p w14:paraId="3257FCC8" w14:textId="77777777" w:rsidR="0017561A" w:rsidRPr="00912C7E" w:rsidRDefault="0017561A" w:rsidP="004E0520">
            <w:r w:rsidRPr="00912C7E">
              <w:t>105 (4.43)</w:t>
            </w:r>
          </w:p>
        </w:tc>
      </w:tr>
      <w:tr w:rsidR="0017561A" w:rsidRPr="00912C7E" w14:paraId="270876A9" w14:textId="77777777" w:rsidTr="00356B31">
        <w:trPr>
          <w:jc w:val="center"/>
        </w:trPr>
        <w:tc>
          <w:tcPr>
            <w:tcW w:w="4649" w:type="dxa"/>
          </w:tcPr>
          <w:p w14:paraId="5331F45F" w14:textId="77777777" w:rsidR="0017561A" w:rsidRPr="00912C7E" w:rsidRDefault="0017561A" w:rsidP="004E0520"/>
        </w:tc>
        <w:tc>
          <w:tcPr>
            <w:tcW w:w="1730" w:type="dxa"/>
          </w:tcPr>
          <w:p w14:paraId="3E78BD0C" w14:textId="77777777" w:rsidR="0017561A" w:rsidRPr="00912C7E" w:rsidRDefault="0017561A" w:rsidP="004E0520"/>
        </w:tc>
        <w:tc>
          <w:tcPr>
            <w:tcW w:w="1701" w:type="dxa"/>
          </w:tcPr>
          <w:p w14:paraId="38F95BB6" w14:textId="77777777" w:rsidR="0017561A" w:rsidRPr="00912C7E" w:rsidRDefault="0017561A" w:rsidP="004E0520"/>
        </w:tc>
        <w:tc>
          <w:tcPr>
            <w:tcW w:w="1559" w:type="dxa"/>
            <w:gridSpan w:val="2"/>
          </w:tcPr>
          <w:p w14:paraId="5140339A" w14:textId="77777777" w:rsidR="0017561A" w:rsidRPr="00912C7E" w:rsidRDefault="0017561A" w:rsidP="004E0520"/>
        </w:tc>
      </w:tr>
      <w:tr w:rsidR="0017561A" w:rsidRPr="00912C7E" w14:paraId="318E37C0" w14:textId="77777777" w:rsidTr="00356B31">
        <w:trPr>
          <w:jc w:val="center"/>
        </w:trPr>
        <w:tc>
          <w:tcPr>
            <w:tcW w:w="4649" w:type="dxa"/>
          </w:tcPr>
          <w:p w14:paraId="0ABCF176" w14:textId="77777777" w:rsidR="0017561A" w:rsidRPr="00912C7E" w:rsidRDefault="0017561A" w:rsidP="004E0520">
            <w:r w:rsidRPr="00912C7E">
              <w:rPr>
                <w:b/>
                <w:bCs/>
              </w:rPr>
              <w:t>Rural/Urban Residence</w:t>
            </w:r>
          </w:p>
        </w:tc>
        <w:tc>
          <w:tcPr>
            <w:tcW w:w="1730" w:type="dxa"/>
          </w:tcPr>
          <w:p w14:paraId="0D87FAF6" w14:textId="77777777" w:rsidR="0017561A" w:rsidRPr="00912C7E" w:rsidRDefault="0017561A" w:rsidP="004E0520"/>
        </w:tc>
        <w:tc>
          <w:tcPr>
            <w:tcW w:w="1701" w:type="dxa"/>
          </w:tcPr>
          <w:p w14:paraId="34B36099" w14:textId="77777777" w:rsidR="0017561A" w:rsidRPr="00912C7E" w:rsidRDefault="0017561A" w:rsidP="004E0520"/>
        </w:tc>
        <w:tc>
          <w:tcPr>
            <w:tcW w:w="1559" w:type="dxa"/>
            <w:gridSpan w:val="2"/>
          </w:tcPr>
          <w:p w14:paraId="608D8E05" w14:textId="77777777" w:rsidR="0017561A" w:rsidRPr="00912C7E" w:rsidRDefault="0017561A" w:rsidP="004E0520"/>
        </w:tc>
      </w:tr>
      <w:tr w:rsidR="0017561A" w:rsidRPr="00912C7E" w14:paraId="4051AD82" w14:textId="77777777" w:rsidTr="00356B31">
        <w:trPr>
          <w:jc w:val="center"/>
        </w:trPr>
        <w:tc>
          <w:tcPr>
            <w:tcW w:w="4649" w:type="dxa"/>
          </w:tcPr>
          <w:p w14:paraId="37FD83BD" w14:textId="77777777" w:rsidR="0017561A" w:rsidRPr="00912C7E" w:rsidRDefault="0017561A" w:rsidP="004E0520">
            <w:r w:rsidRPr="00912C7E">
              <w:t>Rural Village, Hamlet &amp; Isolated Dwellings</w:t>
            </w:r>
          </w:p>
        </w:tc>
        <w:tc>
          <w:tcPr>
            <w:tcW w:w="1730" w:type="dxa"/>
          </w:tcPr>
          <w:p w14:paraId="13B3ABFA" w14:textId="77777777" w:rsidR="0017561A" w:rsidRPr="00912C7E" w:rsidRDefault="0017561A" w:rsidP="004E0520">
            <w:r w:rsidRPr="00912C7E">
              <w:t>4,008 (10.84)</w:t>
            </w:r>
          </w:p>
        </w:tc>
        <w:tc>
          <w:tcPr>
            <w:tcW w:w="1701" w:type="dxa"/>
          </w:tcPr>
          <w:p w14:paraId="6ED93FC7" w14:textId="77777777" w:rsidR="0017561A" w:rsidRPr="00912C7E" w:rsidRDefault="0017561A" w:rsidP="004E0520">
            <w:r w:rsidRPr="00912C7E">
              <w:t>3,77</w:t>
            </w:r>
            <w:r>
              <w:t>2</w:t>
            </w:r>
            <w:r w:rsidRPr="00912C7E">
              <w:t xml:space="preserve"> (10.90)</w:t>
            </w:r>
          </w:p>
        </w:tc>
        <w:tc>
          <w:tcPr>
            <w:tcW w:w="1559" w:type="dxa"/>
            <w:gridSpan w:val="2"/>
          </w:tcPr>
          <w:p w14:paraId="1F70AAB5" w14:textId="77777777" w:rsidR="0017561A" w:rsidRPr="00912C7E" w:rsidRDefault="0017561A" w:rsidP="004E0520">
            <w:r w:rsidRPr="00912C7E">
              <w:t>236 (9.96)</w:t>
            </w:r>
          </w:p>
        </w:tc>
      </w:tr>
      <w:tr w:rsidR="0017561A" w:rsidRPr="00912C7E" w14:paraId="5D011E50" w14:textId="77777777" w:rsidTr="00356B31">
        <w:trPr>
          <w:jc w:val="center"/>
        </w:trPr>
        <w:tc>
          <w:tcPr>
            <w:tcW w:w="4649" w:type="dxa"/>
          </w:tcPr>
          <w:p w14:paraId="187A2035" w14:textId="77777777" w:rsidR="0017561A" w:rsidRPr="00912C7E" w:rsidRDefault="0017561A" w:rsidP="004E0520">
            <w:r w:rsidRPr="00912C7E">
              <w:t>Rural Town &amp; Fringe</w:t>
            </w:r>
          </w:p>
        </w:tc>
        <w:tc>
          <w:tcPr>
            <w:tcW w:w="1730" w:type="dxa"/>
          </w:tcPr>
          <w:p w14:paraId="20324BC6" w14:textId="77777777" w:rsidR="0017561A" w:rsidRPr="00912C7E" w:rsidRDefault="0017561A" w:rsidP="004E0520">
            <w:r w:rsidRPr="00912C7E">
              <w:t>3,942 (10.66)</w:t>
            </w:r>
          </w:p>
        </w:tc>
        <w:tc>
          <w:tcPr>
            <w:tcW w:w="1701" w:type="dxa"/>
          </w:tcPr>
          <w:p w14:paraId="4491BF73" w14:textId="77777777" w:rsidR="0017561A" w:rsidRPr="00912C7E" w:rsidRDefault="0017561A" w:rsidP="004E0520">
            <w:r w:rsidRPr="00912C7E">
              <w:t>3,686 (10.65)</w:t>
            </w:r>
          </w:p>
        </w:tc>
        <w:tc>
          <w:tcPr>
            <w:tcW w:w="1559" w:type="dxa"/>
            <w:gridSpan w:val="2"/>
          </w:tcPr>
          <w:p w14:paraId="266A746C" w14:textId="77777777" w:rsidR="0017561A" w:rsidRPr="00912C7E" w:rsidRDefault="0017561A" w:rsidP="004E0520">
            <w:r w:rsidRPr="00912C7E">
              <w:t>256 (10.81)</w:t>
            </w:r>
          </w:p>
        </w:tc>
      </w:tr>
      <w:tr w:rsidR="0017561A" w:rsidRPr="00912C7E" w14:paraId="13C52707" w14:textId="77777777" w:rsidTr="00356B31">
        <w:trPr>
          <w:jc w:val="center"/>
        </w:trPr>
        <w:tc>
          <w:tcPr>
            <w:tcW w:w="4649" w:type="dxa"/>
          </w:tcPr>
          <w:p w14:paraId="0EF4BD0E" w14:textId="77777777" w:rsidR="0017561A" w:rsidRPr="00912C7E" w:rsidRDefault="0017561A" w:rsidP="004E0520">
            <w:r w:rsidRPr="00912C7E">
              <w:t>Urban City &amp; Town</w:t>
            </w:r>
          </w:p>
        </w:tc>
        <w:tc>
          <w:tcPr>
            <w:tcW w:w="1730" w:type="dxa"/>
          </w:tcPr>
          <w:p w14:paraId="5E057B54" w14:textId="77777777" w:rsidR="0017561A" w:rsidRPr="00912C7E" w:rsidRDefault="0017561A" w:rsidP="004E0520">
            <w:r w:rsidRPr="00912C7E">
              <w:t>16,744 (45.27)</w:t>
            </w:r>
          </w:p>
        </w:tc>
        <w:tc>
          <w:tcPr>
            <w:tcW w:w="1701" w:type="dxa"/>
          </w:tcPr>
          <w:p w14:paraId="13593D08" w14:textId="77777777" w:rsidR="0017561A" w:rsidRPr="00912C7E" w:rsidRDefault="0017561A" w:rsidP="004E0520">
            <w:r w:rsidRPr="00912C7E">
              <w:t>15,666 (45.26)</w:t>
            </w:r>
          </w:p>
        </w:tc>
        <w:tc>
          <w:tcPr>
            <w:tcW w:w="1559" w:type="dxa"/>
            <w:gridSpan w:val="2"/>
          </w:tcPr>
          <w:p w14:paraId="61870484" w14:textId="77777777" w:rsidR="0017561A" w:rsidRPr="00912C7E" w:rsidRDefault="0017561A" w:rsidP="004E0520">
            <w:r w:rsidRPr="00912C7E">
              <w:t>1,078 (45.50)</w:t>
            </w:r>
          </w:p>
        </w:tc>
      </w:tr>
      <w:tr w:rsidR="0017561A" w:rsidRPr="00912C7E" w14:paraId="4DAC526B" w14:textId="77777777" w:rsidTr="00356B31">
        <w:trPr>
          <w:jc w:val="center"/>
        </w:trPr>
        <w:tc>
          <w:tcPr>
            <w:tcW w:w="4649" w:type="dxa"/>
          </w:tcPr>
          <w:p w14:paraId="0D7700AD" w14:textId="77777777" w:rsidR="0017561A" w:rsidRPr="00912C7E" w:rsidRDefault="0017561A" w:rsidP="004E0520">
            <w:r w:rsidRPr="00912C7E">
              <w:t>Urban Conurbation</w:t>
            </w:r>
          </w:p>
        </w:tc>
        <w:tc>
          <w:tcPr>
            <w:tcW w:w="1730" w:type="dxa"/>
          </w:tcPr>
          <w:p w14:paraId="2961AB1D" w14:textId="77777777" w:rsidR="0017561A" w:rsidRPr="00912C7E" w:rsidRDefault="0017561A" w:rsidP="004E0520">
            <w:r w:rsidRPr="00912C7E">
              <w:t>12,291 (33.23)</w:t>
            </w:r>
          </w:p>
        </w:tc>
        <w:tc>
          <w:tcPr>
            <w:tcW w:w="1701" w:type="dxa"/>
          </w:tcPr>
          <w:p w14:paraId="22EE4F34" w14:textId="77777777" w:rsidR="0017561A" w:rsidRPr="00912C7E" w:rsidRDefault="0017561A" w:rsidP="004E0520">
            <w:r w:rsidRPr="00912C7E">
              <w:t>11,492 (33.20)</w:t>
            </w:r>
          </w:p>
        </w:tc>
        <w:tc>
          <w:tcPr>
            <w:tcW w:w="1559" w:type="dxa"/>
            <w:gridSpan w:val="2"/>
          </w:tcPr>
          <w:p w14:paraId="2B61454D" w14:textId="77777777" w:rsidR="0017561A" w:rsidRPr="00912C7E" w:rsidRDefault="0017561A" w:rsidP="004E0520">
            <w:r w:rsidRPr="00912C7E">
              <w:t>799 (33.73)</w:t>
            </w:r>
          </w:p>
        </w:tc>
      </w:tr>
      <w:tr w:rsidR="0017561A" w:rsidRPr="00912C7E" w14:paraId="51D2E383" w14:textId="77777777" w:rsidTr="00356B31">
        <w:trPr>
          <w:jc w:val="center"/>
        </w:trPr>
        <w:tc>
          <w:tcPr>
            <w:tcW w:w="4649" w:type="dxa"/>
          </w:tcPr>
          <w:p w14:paraId="66E2BC98" w14:textId="77777777" w:rsidR="0017561A" w:rsidRPr="00912C7E" w:rsidRDefault="0017561A" w:rsidP="004E0520"/>
        </w:tc>
        <w:tc>
          <w:tcPr>
            <w:tcW w:w="1730" w:type="dxa"/>
          </w:tcPr>
          <w:p w14:paraId="2369F860" w14:textId="77777777" w:rsidR="0017561A" w:rsidRPr="00912C7E" w:rsidRDefault="0017561A" w:rsidP="004E0520"/>
        </w:tc>
        <w:tc>
          <w:tcPr>
            <w:tcW w:w="1701" w:type="dxa"/>
          </w:tcPr>
          <w:p w14:paraId="336A3698" w14:textId="77777777" w:rsidR="0017561A" w:rsidRPr="00912C7E" w:rsidRDefault="0017561A" w:rsidP="004E0520"/>
        </w:tc>
        <w:tc>
          <w:tcPr>
            <w:tcW w:w="1559" w:type="dxa"/>
            <w:gridSpan w:val="2"/>
          </w:tcPr>
          <w:p w14:paraId="0CBD3625" w14:textId="77777777" w:rsidR="0017561A" w:rsidRPr="00912C7E" w:rsidRDefault="0017561A" w:rsidP="004E0520"/>
        </w:tc>
      </w:tr>
      <w:tr w:rsidR="0017561A" w:rsidRPr="00912C7E" w14:paraId="2DB00E55" w14:textId="77777777" w:rsidTr="00356B31">
        <w:trPr>
          <w:jc w:val="center"/>
        </w:trPr>
        <w:tc>
          <w:tcPr>
            <w:tcW w:w="4649" w:type="dxa"/>
          </w:tcPr>
          <w:p w14:paraId="226EE9AA" w14:textId="77777777" w:rsidR="0017561A" w:rsidRPr="00912C7E" w:rsidRDefault="0017561A" w:rsidP="004E0520">
            <w:pPr>
              <w:rPr>
                <w:b/>
                <w:bCs/>
              </w:rPr>
            </w:pPr>
            <w:r w:rsidRPr="00912C7E">
              <w:rPr>
                <w:b/>
                <w:bCs/>
              </w:rPr>
              <w:t>Government Region</w:t>
            </w:r>
          </w:p>
        </w:tc>
        <w:tc>
          <w:tcPr>
            <w:tcW w:w="1730" w:type="dxa"/>
          </w:tcPr>
          <w:p w14:paraId="1406E6C4" w14:textId="77777777" w:rsidR="0017561A" w:rsidRPr="00912C7E" w:rsidRDefault="0017561A" w:rsidP="004E0520"/>
        </w:tc>
        <w:tc>
          <w:tcPr>
            <w:tcW w:w="1701" w:type="dxa"/>
          </w:tcPr>
          <w:p w14:paraId="67CFB608" w14:textId="77777777" w:rsidR="0017561A" w:rsidRPr="00912C7E" w:rsidRDefault="0017561A" w:rsidP="004E0520"/>
        </w:tc>
        <w:tc>
          <w:tcPr>
            <w:tcW w:w="1559" w:type="dxa"/>
            <w:gridSpan w:val="2"/>
          </w:tcPr>
          <w:p w14:paraId="26874007" w14:textId="77777777" w:rsidR="0017561A" w:rsidRPr="00912C7E" w:rsidRDefault="0017561A" w:rsidP="004E0520"/>
        </w:tc>
      </w:tr>
      <w:tr w:rsidR="0017561A" w:rsidRPr="00912C7E" w14:paraId="360190C4" w14:textId="77777777" w:rsidTr="00356B31">
        <w:trPr>
          <w:jc w:val="center"/>
        </w:trPr>
        <w:tc>
          <w:tcPr>
            <w:tcW w:w="4649" w:type="dxa"/>
          </w:tcPr>
          <w:p w14:paraId="562298C9" w14:textId="77777777" w:rsidR="0017561A" w:rsidRPr="00912C7E" w:rsidRDefault="0017561A" w:rsidP="004E0520">
            <w:r w:rsidRPr="00912C7E">
              <w:t>North West</w:t>
            </w:r>
          </w:p>
        </w:tc>
        <w:tc>
          <w:tcPr>
            <w:tcW w:w="1730" w:type="dxa"/>
          </w:tcPr>
          <w:p w14:paraId="084C42EC" w14:textId="77777777" w:rsidR="0017561A" w:rsidRPr="00912C7E" w:rsidRDefault="0017561A" w:rsidP="004E0520">
            <w:r>
              <w:t>5,937</w:t>
            </w:r>
            <w:r w:rsidRPr="00912C7E">
              <w:t xml:space="preserve"> (</w:t>
            </w:r>
            <w:r>
              <w:t>16.05</w:t>
            </w:r>
            <w:r w:rsidRPr="00912C7E">
              <w:t>)</w:t>
            </w:r>
          </w:p>
        </w:tc>
        <w:tc>
          <w:tcPr>
            <w:tcW w:w="1701" w:type="dxa"/>
          </w:tcPr>
          <w:p w14:paraId="70AFFA6C" w14:textId="77777777" w:rsidR="0017561A" w:rsidRPr="00912C7E" w:rsidRDefault="0017561A" w:rsidP="004E0520">
            <w:r w:rsidRPr="00912C7E">
              <w:t>5,583 (16.13)</w:t>
            </w:r>
          </w:p>
        </w:tc>
        <w:tc>
          <w:tcPr>
            <w:tcW w:w="1559" w:type="dxa"/>
            <w:gridSpan w:val="2"/>
          </w:tcPr>
          <w:p w14:paraId="2A270542" w14:textId="77777777" w:rsidR="0017561A" w:rsidRPr="00912C7E" w:rsidRDefault="0017561A" w:rsidP="004E0520">
            <w:r>
              <w:t>354 (14.94)</w:t>
            </w:r>
          </w:p>
        </w:tc>
      </w:tr>
      <w:tr w:rsidR="0017561A" w:rsidRPr="00912C7E" w14:paraId="6D65DDF3" w14:textId="77777777" w:rsidTr="00356B31">
        <w:trPr>
          <w:jc w:val="center"/>
        </w:trPr>
        <w:tc>
          <w:tcPr>
            <w:tcW w:w="4649" w:type="dxa"/>
          </w:tcPr>
          <w:p w14:paraId="751B763B" w14:textId="77777777" w:rsidR="0017561A" w:rsidRPr="00912C7E" w:rsidRDefault="0017561A" w:rsidP="004E0520">
            <w:r w:rsidRPr="00912C7E">
              <w:t>North East</w:t>
            </w:r>
          </w:p>
        </w:tc>
        <w:tc>
          <w:tcPr>
            <w:tcW w:w="1730" w:type="dxa"/>
          </w:tcPr>
          <w:p w14:paraId="3993BD21" w14:textId="77777777" w:rsidR="0017561A" w:rsidRPr="00912C7E" w:rsidRDefault="0017561A" w:rsidP="004E0520">
            <w:r>
              <w:t>2,437</w:t>
            </w:r>
            <w:r w:rsidRPr="00912C7E">
              <w:t xml:space="preserve"> (</w:t>
            </w:r>
            <w:r>
              <w:t>6.59</w:t>
            </w:r>
            <w:r w:rsidRPr="00912C7E">
              <w:t>)</w:t>
            </w:r>
          </w:p>
        </w:tc>
        <w:tc>
          <w:tcPr>
            <w:tcW w:w="1701" w:type="dxa"/>
          </w:tcPr>
          <w:p w14:paraId="73CB7307" w14:textId="77777777" w:rsidR="0017561A" w:rsidRPr="00912C7E" w:rsidRDefault="0017561A" w:rsidP="004E0520">
            <w:r w:rsidRPr="00912C7E">
              <w:t>2,287 (6.61)</w:t>
            </w:r>
          </w:p>
        </w:tc>
        <w:tc>
          <w:tcPr>
            <w:tcW w:w="1559" w:type="dxa"/>
            <w:gridSpan w:val="2"/>
          </w:tcPr>
          <w:p w14:paraId="5F08BDCA" w14:textId="77777777" w:rsidR="0017561A" w:rsidRPr="00912C7E" w:rsidRDefault="0017561A" w:rsidP="004E0520">
            <w:r>
              <w:t>150 (6.33)</w:t>
            </w:r>
          </w:p>
        </w:tc>
      </w:tr>
      <w:tr w:rsidR="0017561A" w:rsidRPr="00912C7E" w14:paraId="657C6288" w14:textId="77777777" w:rsidTr="00356B31">
        <w:trPr>
          <w:jc w:val="center"/>
        </w:trPr>
        <w:tc>
          <w:tcPr>
            <w:tcW w:w="4649" w:type="dxa"/>
          </w:tcPr>
          <w:p w14:paraId="78009EDF" w14:textId="77777777" w:rsidR="0017561A" w:rsidRPr="00912C7E" w:rsidRDefault="0017561A" w:rsidP="004E0520">
            <w:r w:rsidRPr="00912C7E">
              <w:t>West Midlands</w:t>
            </w:r>
          </w:p>
        </w:tc>
        <w:tc>
          <w:tcPr>
            <w:tcW w:w="1730" w:type="dxa"/>
          </w:tcPr>
          <w:p w14:paraId="4ADBCAEB" w14:textId="77777777" w:rsidR="0017561A" w:rsidRPr="00912C7E" w:rsidRDefault="0017561A" w:rsidP="004E0520">
            <w:r w:rsidRPr="00912C7E">
              <w:t>3,929 (10.62)</w:t>
            </w:r>
          </w:p>
        </w:tc>
        <w:tc>
          <w:tcPr>
            <w:tcW w:w="1701" w:type="dxa"/>
          </w:tcPr>
          <w:p w14:paraId="6D048797" w14:textId="77777777" w:rsidR="0017561A" w:rsidRPr="00912C7E" w:rsidRDefault="0017561A" w:rsidP="004E0520">
            <w:r w:rsidRPr="00912C7E">
              <w:t>3,683 (10.64)</w:t>
            </w:r>
          </w:p>
        </w:tc>
        <w:tc>
          <w:tcPr>
            <w:tcW w:w="1559" w:type="dxa"/>
            <w:gridSpan w:val="2"/>
          </w:tcPr>
          <w:p w14:paraId="61D28D1C" w14:textId="77777777" w:rsidR="0017561A" w:rsidRPr="00912C7E" w:rsidRDefault="0017561A" w:rsidP="004E0520">
            <w:r w:rsidRPr="00912C7E">
              <w:t>246 (10.38)</w:t>
            </w:r>
          </w:p>
        </w:tc>
      </w:tr>
      <w:tr w:rsidR="0017561A" w:rsidRPr="00912C7E" w14:paraId="1AC96FD0" w14:textId="77777777" w:rsidTr="00356B31">
        <w:trPr>
          <w:jc w:val="center"/>
        </w:trPr>
        <w:tc>
          <w:tcPr>
            <w:tcW w:w="4649" w:type="dxa"/>
          </w:tcPr>
          <w:p w14:paraId="6FDCE2CE" w14:textId="77777777" w:rsidR="0017561A" w:rsidRPr="00912C7E" w:rsidRDefault="0017561A" w:rsidP="004E0520">
            <w:r w:rsidRPr="00912C7E">
              <w:t>Yorkshire &amp; the Humber</w:t>
            </w:r>
          </w:p>
        </w:tc>
        <w:tc>
          <w:tcPr>
            <w:tcW w:w="1730" w:type="dxa"/>
          </w:tcPr>
          <w:p w14:paraId="07F5EC28" w14:textId="77777777" w:rsidR="0017561A" w:rsidRPr="00912C7E" w:rsidRDefault="0017561A" w:rsidP="004E0520">
            <w:r w:rsidRPr="00912C7E">
              <w:t>3,310 (8.95)</w:t>
            </w:r>
          </w:p>
        </w:tc>
        <w:tc>
          <w:tcPr>
            <w:tcW w:w="1701" w:type="dxa"/>
          </w:tcPr>
          <w:p w14:paraId="00715CA1" w14:textId="77777777" w:rsidR="0017561A" w:rsidRPr="00912C7E" w:rsidRDefault="0017561A" w:rsidP="004E0520">
            <w:r w:rsidRPr="00912C7E">
              <w:t>3,056 (8.83)</w:t>
            </w:r>
          </w:p>
        </w:tc>
        <w:tc>
          <w:tcPr>
            <w:tcW w:w="1559" w:type="dxa"/>
            <w:gridSpan w:val="2"/>
          </w:tcPr>
          <w:p w14:paraId="17FB3268" w14:textId="77777777" w:rsidR="0017561A" w:rsidRPr="00912C7E" w:rsidRDefault="0017561A" w:rsidP="004E0520">
            <w:r w:rsidRPr="00912C7E">
              <w:t>254 (10.72)</w:t>
            </w:r>
          </w:p>
        </w:tc>
      </w:tr>
      <w:tr w:rsidR="0017561A" w:rsidRPr="00912C7E" w14:paraId="6190737F" w14:textId="77777777" w:rsidTr="00356B31">
        <w:trPr>
          <w:jc w:val="center"/>
        </w:trPr>
        <w:tc>
          <w:tcPr>
            <w:tcW w:w="4649" w:type="dxa"/>
          </w:tcPr>
          <w:p w14:paraId="3CD34E19" w14:textId="77777777" w:rsidR="0017561A" w:rsidRPr="00912C7E" w:rsidRDefault="0017561A" w:rsidP="004E0520">
            <w:r w:rsidRPr="00912C7E">
              <w:t>East Midlands</w:t>
            </w:r>
          </w:p>
        </w:tc>
        <w:tc>
          <w:tcPr>
            <w:tcW w:w="1730" w:type="dxa"/>
          </w:tcPr>
          <w:p w14:paraId="1167FAE0" w14:textId="77777777" w:rsidR="0017561A" w:rsidRPr="00912C7E" w:rsidRDefault="0017561A" w:rsidP="004E0520">
            <w:r w:rsidRPr="00912C7E">
              <w:t>3,128 (8.46)</w:t>
            </w:r>
          </w:p>
        </w:tc>
        <w:tc>
          <w:tcPr>
            <w:tcW w:w="1701" w:type="dxa"/>
          </w:tcPr>
          <w:p w14:paraId="5D1020D1" w14:textId="77777777" w:rsidR="0017561A" w:rsidRPr="00912C7E" w:rsidRDefault="0017561A" w:rsidP="004E0520">
            <w:r w:rsidRPr="00912C7E">
              <w:t>2,958 (8.55)</w:t>
            </w:r>
          </w:p>
        </w:tc>
        <w:tc>
          <w:tcPr>
            <w:tcW w:w="1559" w:type="dxa"/>
            <w:gridSpan w:val="2"/>
          </w:tcPr>
          <w:p w14:paraId="4EC7C9AB" w14:textId="77777777" w:rsidR="0017561A" w:rsidRPr="00912C7E" w:rsidRDefault="0017561A" w:rsidP="004E0520">
            <w:r w:rsidRPr="00912C7E">
              <w:t>170 (7.18)</w:t>
            </w:r>
          </w:p>
        </w:tc>
      </w:tr>
      <w:tr w:rsidR="0017561A" w:rsidRPr="00912C7E" w14:paraId="49742A10" w14:textId="77777777" w:rsidTr="00356B31">
        <w:trPr>
          <w:jc w:val="center"/>
        </w:trPr>
        <w:tc>
          <w:tcPr>
            <w:tcW w:w="4649" w:type="dxa"/>
          </w:tcPr>
          <w:p w14:paraId="7DABA8D3" w14:textId="77777777" w:rsidR="0017561A" w:rsidRPr="00912C7E" w:rsidRDefault="0017561A" w:rsidP="004E0520">
            <w:r w:rsidRPr="00912C7E">
              <w:t>East of England</w:t>
            </w:r>
          </w:p>
        </w:tc>
        <w:tc>
          <w:tcPr>
            <w:tcW w:w="1730" w:type="dxa"/>
          </w:tcPr>
          <w:p w14:paraId="3D7890C0" w14:textId="77777777" w:rsidR="0017561A" w:rsidRPr="00912C7E" w:rsidRDefault="0017561A" w:rsidP="004E0520">
            <w:r w:rsidRPr="00912C7E">
              <w:t>5,010 (13.55)</w:t>
            </w:r>
          </w:p>
        </w:tc>
        <w:tc>
          <w:tcPr>
            <w:tcW w:w="1701" w:type="dxa"/>
          </w:tcPr>
          <w:p w14:paraId="5555F761" w14:textId="77777777" w:rsidR="0017561A" w:rsidRPr="00912C7E" w:rsidRDefault="0017561A" w:rsidP="004E0520">
            <w:r w:rsidRPr="00912C7E">
              <w:t>4,666 (13.48)</w:t>
            </w:r>
          </w:p>
        </w:tc>
        <w:tc>
          <w:tcPr>
            <w:tcW w:w="1559" w:type="dxa"/>
            <w:gridSpan w:val="2"/>
          </w:tcPr>
          <w:p w14:paraId="5E003813" w14:textId="77777777" w:rsidR="0017561A" w:rsidRPr="00912C7E" w:rsidRDefault="0017561A" w:rsidP="004E0520">
            <w:r w:rsidRPr="00912C7E">
              <w:t>344 (14.52)</w:t>
            </w:r>
          </w:p>
        </w:tc>
      </w:tr>
      <w:tr w:rsidR="0017561A" w:rsidRPr="00912C7E" w14:paraId="57CAADCB" w14:textId="77777777" w:rsidTr="00356B31">
        <w:trPr>
          <w:jc w:val="center"/>
        </w:trPr>
        <w:tc>
          <w:tcPr>
            <w:tcW w:w="4649" w:type="dxa"/>
          </w:tcPr>
          <w:p w14:paraId="087E76A4" w14:textId="77777777" w:rsidR="0017561A" w:rsidRPr="00912C7E" w:rsidRDefault="0017561A" w:rsidP="004E0520">
            <w:r w:rsidRPr="00912C7E">
              <w:t>South East</w:t>
            </w:r>
          </w:p>
        </w:tc>
        <w:tc>
          <w:tcPr>
            <w:tcW w:w="1730" w:type="dxa"/>
          </w:tcPr>
          <w:p w14:paraId="769A2859" w14:textId="77777777" w:rsidR="0017561A" w:rsidRPr="00912C7E" w:rsidRDefault="0017561A" w:rsidP="004E0520">
            <w:r w:rsidRPr="00912C7E">
              <w:t>5,711 (15.44)</w:t>
            </w:r>
          </w:p>
        </w:tc>
        <w:tc>
          <w:tcPr>
            <w:tcW w:w="1701" w:type="dxa"/>
          </w:tcPr>
          <w:p w14:paraId="130AD612" w14:textId="77777777" w:rsidR="0017561A" w:rsidRPr="00912C7E" w:rsidRDefault="0017561A" w:rsidP="004E0520">
            <w:r w:rsidRPr="00912C7E">
              <w:t>5,316 (15.36)</w:t>
            </w:r>
          </w:p>
        </w:tc>
        <w:tc>
          <w:tcPr>
            <w:tcW w:w="1559" w:type="dxa"/>
            <w:gridSpan w:val="2"/>
          </w:tcPr>
          <w:p w14:paraId="21C32E0F" w14:textId="77777777" w:rsidR="0017561A" w:rsidRPr="00912C7E" w:rsidRDefault="0017561A" w:rsidP="004E0520">
            <w:r w:rsidRPr="00912C7E">
              <w:t>395 (16.67)</w:t>
            </w:r>
          </w:p>
        </w:tc>
      </w:tr>
      <w:tr w:rsidR="0017561A" w:rsidRPr="00912C7E" w14:paraId="58156155" w14:textId="77777777" w:rsidTr="00356B31">
        <w:trPr>
          <w:jc w:val="center"/>
        </w:trPr>
        <w:tc>
          <w:tcPr>
            <w:tcW w:w="4649" w:type="dxa"/>
          </w:tcPr>
          <w:p w14:paraId="157A355E" w14:textId="77777777" w:rsidR="0017561A" w:rsidRPr="00912C7E" w:rsidRDefault="0017561A" w:rsidP="004E0520">
            <w:r w:rsidRPr="00912C7E">
              <w:t>South West</w:t>
            </w:r>
          </w:p>
        </w:tc>
        <w:tc>
          <w:tcPr>
            <w:tcW w:w="1730" w:type="dxa"/>
          </w:tcPr>
          <w:p w14:paraId="0C5E0ADA" w14:textId="77777777" w:rsidR="0017561A" w:rsidRPr="00912C7E" w:rsidRDefault="0017561A" w:rsidP="004E0520">
            <w:r w:rsidRPr="00912C7E">
              <w:t>4,049 (10.95)</w:t>
            </w:r>
          </w:p>
        </w:tc>
        <w:tc>
          <w:tcPr>
            <w:tcW w:w="1701" w:type="dxa"/>
          </w:tcPr>
          <w:p w14:paraId="0ED30D6A" w14:textId="77777777" w:rsidR="0017561A" w:rsidRPr="00912C7E" w:rsidRDefault="0017561A" w:rsidP="004E0520">
            <w:r w:rsidRPr="00912C7E">
              <w:t>3,836 (11.08)</w:t>
            </w:r>
          </w:p>
        </w:tc>
        <w:tc>
          <w:tcPr>
            <w:tcW w:w="1559" w:type="dxa"/>
            <w:gridSpan w:val="2"/>
          </w:tcPr>
          <w:p w14:paraId="51B6422C" w14:textId="77777777" w:rsidR="0017561A" w:rsidRPr="00912C7E" w:rsidRDefault="0017561A" w:rsidP="004E0520">
            <w:r w:rsidRPr="00912C7E">
              <w:t>213 (8.99)</w:t>
            </w:r>
          </w:p>
        </w:tc>
      </w:tr>
      <w:tr w:rsidR="0017561A" w:rsidRPr="00912C7E" w14:paraId="68DD2471" w14:textId="77777777" w:rsidTr="00356B31">
        <w:trPr>
          <w:jc w:val="center"/>
        </w:trPr>
        <w:tc>
          <w:tcPr>
            <w:tcW w:w="4649" w:type="dxa"/>
          </w:tcPr>
          <w:p w14:paraId="4743E16E" w14:textId="77777777" w:rsidR="0017561A" w:rsidRPr="00912C7E" w:rsidRDefault="0017561A" w:rsidP="004E0520">
            <w:r w:rsidRPr="00912C7E">
              <w:t>London</w:t>
            </w:r>
          </w:p>
        </w:tc>
        <w:tc>
          <w:tcPr>
            <w:tcW w:w="1730" w:type="dxa"/>
          </w:tcPr>
          <w:p w14:paraId="122C13DA" w14:textId="77777777" w:rsidR="0017561A" w:rsidRPr="00912C7E" w:rsidRDefault="0017561A" w:rsidP="004E0520">
            <w:r w:rsidRPr="00912C7E">
              <w:t>3,474 (9.39)</w:t>
            </w:r>
          </w:p>
        </w:tc>
        <w:tc>
          <w:tcPr>
            <w:tcW w:w="1701" w:type="dxa"/>
          </w:tcPr>
          <w:p w14:paraId="40025256" w14:textId="77777777" w:rsidR="0017561A" w:rsidRPr="00912C7E" w:rsidRDefault="0017561A" w:rsidP="004E0520">
            <w:r w:rsidRPr="00912C7E">
              <w:t>3,231 (9.33)</w:t>
            </w:r>
          </w:p>
        </w:tc>
        <w:tc>
          <w:tcPr>
            <w:tcW w:w="1559" w:type="dxa"/>
            <w:gridSpan w:val="2"/>
          </w:tcPr>
          <w:p w14:paraId="341D734D" w14:textId="77777777" w:rsidR="0017561A" w:rsidRPr="00E46B36" w:rsidRDefault="0017561A" w:rsidP="004E0520">
            <w:r w:rsidRPr="00912C7E">
              <w:t>243 (10.26)</w:t>
            </w:r>
          </w:p>
        </w:tc>
      </w:tr>
      <w:tr w:rsidR="0017561A" w:rsidRPr="00912C7E" w14:paraId="3CF92085" w14:textId="77777777" w:rsidTr="00356B31">
        <w:trPr>
          <w:jc w:val="center"/>
        </w:trPr>
        <w:tc>
          <w:tcPr>
            <w:tcW w:w="4649" w:type="dxa"/>
          </w:tcPr>
          <w:p w14:paraId="06CBEA3B" w14:textId="77777777" w:rsidR="0017561A" w:rsidRPr="00912C7E" w:rsidRDefault="0017561A" w:rsidP="004E0520"/>
        </w:tc>
        <w:tc>
          <w:tcPr>
            <w:tcW w:w="1730" w:type="dxa"/>
          </w:tcPr>
          <w:p w14:paraId="57E5917B" w14:textId="77777777" w:rsidR="0017561A" w:rsidRPr="00912C7E" w:rsidRDefault="0017561A" w:rsidP="004E0520"/>
        </w:tc>
        <w:tc>
          <w:tcPr>
            <w:tcW w:w="1701" w:type="dxa"/>
          </w:tcPr>
          <w:p w14:paraId="1D0AF06E" w14:textId="77777777" w:rsidR="0017561A" w:rsidRPr="00912C7E" w:rsidRDefault="0017561A" w:rsidP="004E0520"/>
        </w:tc>
        <w:tc>
          <w:tcPr>
            <w:tcW w:w="1559" w:type="dxa"/>
            <w:gridSpan w:val="2"/>
          </w:tcPr>
          <w:p w14:paraId="47B67025" w14:textId="77777777" w:rsidR="0017561A" w:rsidRPr="00912C7E" w:rsidRDefault="0017561A" w:rsidP="004E0520"/>
        </w:tc>
      </w:tr>
      <w:tr w:rsidR="0017561A" w:rsidRPr="00912C7E" w14:paraId="6670CA56" w14:textId="77777777" w:rsidTr="00356B31">
        <w:trPr>
          <w:jc w:val="center"/>
        </w:trPr>
        <w:tc>
          <w:tcPr>
            <w:tcW w:w="4649" w:type="dxa"/>
            <w:tcBorders>
              <w:top w:val="single" w:sz="4" w:space="0" w:color="auto"/>
            </w:tcBorders>
          </w:tcPr>
          <w:p w14:paraId="3C61696E" w14:textId="77777777" w:rsidR="0017561A" w:rsidRPr="00912C7E" w:rsidRDefault="0017561A" w:rsidP="004E0520">
            <w:pPr>
              <w:rPr>
                <w:sz w:val="16"/>
                <w:szCs w:val="16"/>
              </w:rPr>
            </w:pPr>
          </w:p>
        </w:tc>
        <w:tc>
          <w:tcPr>
            <w:tcW w:w="1730" w:type="dxa"/>
            <w:tcBorders>
              <w:top w:val="single" w:sz="4" w:space="0" w:color="auto"/>
            </w:tcBorders>
          </w:tcPr>
          <w:p w14:paraId="00167602" w14:textId="77777777" w:rsidR="0017561A" w:rsidRPr="00912C7E" w:rsidRDefault="0017561A" w:rsidP="004E0520">
            <w:pPr>
              <w:rPr>
                <w:sz w:val="16"/>
                <w:szCs w:val="16"/>
              </w:rPr>
            </w:pPr>
          </w:p>
        </w:tc>
        <w:tc>
          <w:tcPr>
            <w:tcW w:w="1701" w:type="dxa"/>
            <w:tcBorders>
              <w:top w:val="single" w:sz="4" w:space="0" w:color="auto"/>
            </w:tcBorders>
          </w:tcPr>
          <w:p w14:paraId="78B9E46B" w14:textId="77777777" w:rsidR="0017561A" w:rsidRPr="00912C7E" w:rsidRDefault="0017561A" w:rsidP="004E0520">
            <w:pPr>
              <w:rPr>
                <w:sz w:val="16"/>
                <w:szCs w:val="16"/>
              </w:rPr>
            </w:pPr>
          </w:p>
        </w:tc>
        <w:tc>
          <w:tcPr>
            <w:tcW w:w="1559" w:type="dxa"/>
            <w:gridSpan w:val="2"/>
            <w:tcBorders>
              <w:top w:val="single" w:sz="4" w:space="0" w:color="auto"/>
            </w:tcBorders>
          </w:tcPr>
          <w:p w14:paraId="0E7CD7D5" w14:textId="77777777" w:rsidR="0017561A" w:rsidRPr="00912C7E" w:rsidRDefault="0017561A" w:rsidP="004E0520">
            <w:pPr>
              <w:rPr>
                <w:sz w:val="16"/>
                <w:szCs w:val="16"/>
              </w:rPr>
            </w:pPr>
          </w:p>
        </w:tc>
      </w:tr>
    </w:tbl>
    <w:p w14:paraId="100F3BC8" w14:textId="77777777" w:rsidR="0017561A" w:rsidRPr="00912C7E" w:rsidRDefault="0017561A" w:rsidP="0017561A">
      <w:pPr>
        <w:rPr>
          <w:sz w:val="22"/>
          <w:szCs w:val="22"/>
        </w:rPr>
      </w:pPr>
    </w:p>
    <w:p w14:paraId="337528C5" w14:textId="77777777" w:rsidR="0017561A" w:rsidRPr="00016AF3" w:rsidRDefault="0017561A" w:rsidP="0017561A">
      <w:pPr>
        <w:rPr>
          <w:sz w:val="10"/>
          <w:szCs w:val="10"/>
        </w:rPr>
      </w:pPr>
    </w:p>
    <w:p w14:paraId="29FFDAE8" w14:textId="77777777" w:rsidR="00356B31" w:rsidRDefault="00356B31" w:rsidP="0017561A">
      <w:pPr>
        <w:rPr>
          <w:b/>
          <w:bCs/>
          <w:sz w:val="22"/>
          <w:szCs w:val="22"/>
        </w:rPr>
      </w:pPr>
    </w:p>
    <w:p w14:paraId="5958F1B9" w14:textId="77777777" w:rsidR="00356B31" w:rsidRDefault="00356B31" w:rsidP="0017561A">
      <w:pPr>
        <w:rPr>
          <w:b/>
          <w:bCs/>
          <w:sz w:val="22"/>
          <w:szCs w:val="22"/>
        </w:rPr>
      </w:pPr>
    </w:p>
    <w:p w14:paraId="6D63CFD2" w14:textId="77777777" w:rsidR="00356B31" w:rsidRDefault="00356B31" w:rsidP="0017561A">
      <w:pPr>
        <w:rPr>
          <w:b/>
          <w:bCs/>
          <w:sz w:val="22"/>
          <w:szCs w:val="22"/>
        </w:rPr>
      </w:pPr>
    </w:p>
    <w:p w14:paraId="302BD711" w14:textId="77777777" w:rsidR="00356B31" w:rsidRDefault="00356B31" w:rsidP="0017561A">
      <w:pPr>
        <w:rPr>
          <w:b/>
          <w:bCs/>
          <w:sz w:val="22"/>
          <w:szCs w:val="22"/>
        </w:rPr>
      </w:pPr>
    </w:p>
    <w:p w14:paraId="21F0582B" w14:textId="149B983B" w:rsidR="0017561A" w:rsidRDefault="0017561A" w:rsidP="0017561A">
      <w:pPr>
        <w:rPr>
          <w:sz w:val="22"/>
          <w:szCs w:val="22"/>
        </w:rPr>
      </w:pPr>
      <w:r w:rsidRPr="00912C7E">
        <w:rPr>
          <w:b/>
          <w:bCs/>
          <w:sz w:val="22"/>
          <w:szCs w:val="22"/>
        </w:rPr>
        <w:lastRenderedPageBreak/>
        <w:t>T</w:t>
      </w:r>
      <w:r>
        <w:rPr>
          <w:b/>
          <w:bCs/>
          <w:sz w:val="22"/>
          <w:szCs w:val="22"/>
        </w:rPr>
        <w:t>a</w:t>
      </w:r>
      <w:r w:rsidRPr="00912C7E">
        <w:rPr>
          <w:b/>
          <w:bCs/>
          <w:sz w:val="22"/>
          <w:szCs w:val="22"/>
        </w:rPr>
        <w:t xml:space="preserve">ble </w:t>
      </w:r>
      <w:r>
        <w:rPr>
          <w:b/>
          <w:bCs/>
          <w:sz w:val="22"/>
          <w:szCs w:val="22"/>
        </w:rPr>
        <w:t xml:space="preserve">1 </w:t>
      </w:r>
      <w:r w:rsidRPr="00912C7E">
        <w:rPr>
          <w:sz w:val="22"/>
          <w:szCs w:val="22"/>
        </w:rPr>
        <w:t>Continued</w:t>
      </w:r>
    </w:p>
    <w:p w14:paraId="1C73409E" w14:textId="77777777" w:rsidR="0017561A" w:rsidRPr="00FB3670" w:rsidRDefault="0017561A" w:rsidP="0017561A">
      <w:pPr>
        <w:rPr>
          <w:sz w:val="10"/>
          <w:szCs w:val="10"/>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1699"/>
        <w:gridCol w:w="1701"/>
        <w:gridCol w:w="1701"/>
      </w:tblGrid>
      <w:tr w:rsidR="0017561A" w:rsidRPr="00912C7E" w14:paraId="7F992486" w14:textId="77777777" w:rsidTr="004E0520">
        <w:trPr>
          <w:jc w:val="center"/>
        </w:trPr>
        <w:tc>
          <w:tcPr>
            <w:tcW w:w="4538" w:type="dxa"/>
          </w:tcPr>
          <w:p w14:paraId="0C82AAD8" w14:textId="77777777" w:rsidR="0017561A" w:rsidRPr="00912C7E" w:rsidRDefault="0017561A" w:rsidP="004E0520">
            <w:pPr>
              <w:rPr>
                <w:b/>
                <w:bCs/>
              </w:rPr>
            </w:pPr>
          </w:p>
        </w:tc>
        <w:tc>
          <w:tcPr>
            <w:tcW w:w="1699" w:type="dxa"/>
          </w:tcPr>
          <w:p w14:paraId="0BE0D1DA" w14:textId="77777777" w:rsidR="0017561A" w:rsidRPr="00912C7E" w:rsidRDefault="0017561A" w:rsidP="004E0520">
            <w:pPr>
              <w:jc w:val="center"/>
              <w:rPr>
                <w:b/>
                <w:bCs/>
              </w:rPr>
            </w:pPr>
            <w:r w:rsidRPr="00912C7E">
              <w:rPr>
                <w:b/>
                <w:bCs/>
              </w:rPr>
              <w:t>Stage I-IV</w:t>
            </w:r>
          </w:p>
          <w:p w14:paraId="4ADF4035" w14:textId="77777777" w:rsidR="0017561A" w:rsidRPr="00912C7E" w:rsidRDefault="0017561A" w:rsidP="004E0520">
            <w:pPr>
              <w:jc w:val="center"/>
              <w:rPr>
                <w:b/>
                <w:bCs/>
              </w:rPr>
            </w:pPr>
            <w:r w:rsidRPr="00912C7E">
              <w:rPr>
                <w:b/>
                <w:bCs/>
              </w:rPr>
              <w:t xml:space="preserve">36,985 </w:t>
            </w:r>
          </w:p>
          <w:p w14:paraId="71AF0AF1" w14:textId="77777777" w:rsidR="0017561A" w:rsidRPr="00912C7E" w:rsidRDefault="0017561A" w:rsidP="004E0520">
            <w:pPr>
              <w:jc w:val="center"/>
              <w:rPr>
                <w:b/>
                <w:bCs/>
              </w:rPr>
            </w:pPr>
            <w:r w:rsidRPr="00912C7E">
              <w:rPr>
                <w:b/>
                <w:bCs/>
              </w:rPr>
              <w:t>(100.00)</w:t>
            </w:r>
          </w:p>
          <w:p w14:paraId="6343A9A6" w14:textId="77777777" w:rsidR="0017561A" w:rsidRPr="00912C7E" w:rsidRDefault="0017561A" w:rsidP="004E0520">
            <w:pPr>
              <w:jc w:val="center"/>
              <w:rPr>
                <w:sz w:val="10"/>
                <w:szCs w:val="10"/>
              </w:rPr>
            </w:pPr>
          </w:p>
        </w:tc>
        <w:tc>
          <w:tcPr>
            <w:tcW w:w="1701" w:type="dxa"/>
          </w:tcPr>
          <w:p w14:paraId="35D026F0" w14:textId="77777777" w:rsidR="0017561A" w:rsidRPr="00912C7E" w:rsidRDefault="0017561A" w:rsidP="004E0520">
            <w:pPr>
              <w:jc w:val="center"/>
              <w:rPr>
                <w:b/>
                <w:bCs/>
              </w:rPr>
            </w:pPr>
            <w:r w:rsidRPr="00912C7E">
              <w:rPr>
                <w:b/>
                <w:bCs/>
              </w:rPr>
              <w:t>Stage I-III</w:t>
            </w:r>
          </w:p>
          <w:p w14:paraId="0D7292AB" w14:textId="77777777" w:rsidR="0017561A" w:rsidRPr="00912C7E" w:rsidRDefault="0017561A" w:rsidP="004E0520">
            <w:pPr>
              <w:jc w:val="center"/>
              <w:rPr>
                <w:b/>
                <w:bCs/>
              </w:rPr>
            </w:pPr>
            <w:r w:rsidRPr="00912C7E">
              <w:rPr>
                <w:b/>
                <w:bCs/>
              </w:rPr>
              <w:t>34,616 (93.59)</w:t>
            </w:r>
          </w:p>
        </w:tc>
        <w:tc>
          <w:tcPr>
            <w:tcW w:w="1701" w:type="dxa"/>
          </w:tcPr>
          <w:p w14:paraId="7F71568D" w14:textId="77777777" w:rsidR="0017561A" w:rsidRPr="00912C7E" w:rsidRDefault="0017561A" w:rsidP="004E0520">
            <w:pPr>
              <w:jc w:val="center"/>
              <w:rPr>
                <w:b/>
                <w:bCs/>
              </w:rPr>
            </w:pPr>
            <w:r w:rsidRPr="00912C7E">
              <w:rPr>
                <w:b/>
                <w:bCs/>
              </w:rPr>
              <w:t>Stage IV</w:t>
            </w:r>
          </w:p>
          <w:p w14:paraId="3A125469" w14:textId="77777777" w:rsidR="0017561A" w:rsidRPr="00912C7E" w:rsidRDefault="0017561A" w:rsidP="004E0520">
            <w:pPr>
              <w:jc w:val="center"/>
              <w:rPr>
                <w:b/>
                <w:bCs/>
              </w:rPr>
            </w:pPr>
            <w:r w:rsidRPr="00912C7E">
              <w:rPr>
                <w:b/>
                <w:bCs/>
              </w:rPr>
              <w:t>2,369</w:t>
            </w:r>
          </w:p>
          <w:p w14:paraId="6C3D1D47" w14:textId="77777777" w:rsidR="0017561A" w:rsidRPr="00912C7E" w:rsidRDefault="0017561A" w:rsidP="004E0520">
            <w:pPr>
              <w:jc w:val="center"/>
              <w:rPr>
                <w:b/>
                <w:bCs/>
              </w:rPr>
            </w:pPr>
            <w:r w:rsidRPr="00912C7E">
              <w:rPr>
                <w:b/>
                <w:bCs/>
              </w:rPr>
              <w:t>(6.41)</w:t>
            </w:r>
          </w:p>
        </w:tc>
      </w:tr>
      <w:tr w:rsidR="0017561A" w:rsidRPr="00912C7E" w14:paraId="7623FD13" w14:textId="77777777" w:rsidTr="004E0520">
        <w:trPr>
          <w:jc w:val="center"/>
        </w:trPr>
        <w:tc>
          <w:tcPr>
            <w:tcW w:w="4538" w:type="dxa"/>
            <w:tcBorders>
              <w:bottom w:val="single" w:sz="4" w:space="0" w:color="auto"/>
            </w:tcBorders>
          </w:tcPr>
          <w:p w14:paraId="311B32EC" w14:textId="77777777" w:rsidR="0017561A" w:rsidRPr="00912C7E" w:rsidRDefault="0017561A" w:rsidP="004E0520">
            <w:pPr>
              <w:rPr>
                <w:b/>
                <w:bCs/>
              </w:rPr>
            </w:pPr>
            <w:r w:rsidRPr="00912C7E">
              <w:rPr>
                <w:b/>
                <w:bCs/>
              </w:rPr>
              <w:t>Characteristic</w:t>
            </w:r>
          </w:p>
        </w:tc>
        <w:tc>
          <w:tcPr>
            <w:tcW w:w="5101" w:type="dxa"/>
            <w:gridSpan w:val="3"/>
            <w:tcBorders>
              <w:bottom w:val="single" w:sz="4" w:space="0" w:color="auto"/>
            </w:tcBorders>
          </w:tcPr>
          <w:p w14:paraId="7B7D6684" w14:textId="77777777" w:rsidR="0017561A" w:rsidRDefault="0017561A" w:rsidP="004E0520">
            <w:pPr>
              <w:jc w:val="center"/>
              <w:rPr>
                <w:b/>
                <w:bCs/>
              </w:rPr>
            </w:pPr>
            <w:r w:rsidRPr="00912C7E">
              <w:rPr>
                <w:b/>
                <w:bCs/>
              </w:rPr>
              <w:t>Number (%)</w:t>
            </w:r>
          </w:p>
          <w:p w14:paraId="14D2CD8B" w14:textId="77777777" w:rsidR="0017561A" w:rsidRPr="00912C7E" w:rsidRDefault="0017561A" w:rsidP="004E0520">
            <w:pPr>
              <w:jc w:val="center"/>
              <w:rPr>
                <w:b/>
                <w:bCs/>
                <w:sz w:val="10"/>
                <w:szCs w:val="10"/>
              </w:rPr>
            </w:pPr>
          </w:p>
        </w:tc>
      </w:tr>
      <w:tr w:rsidR="0017561A" w:rsidRPr="00912C7E" w14:paraId="5AE02063" w14:textId="77777777" w:rsidTr="004E0520">
        <w:trPr>
          <w:jc w:val="center"/>
        </w:trPr>
        <w:tc>
          <w:tcPr>
            <w:tcW w:w="4538" w:type="dxa"/>
          </w:tcPr>
          <w:p w14:paraId="5DB0A8DA" w14:textId="77777777" w:rsidR="0017561A" w:rsidRPr="00317AFA" w:rsidRDefault="0017561A" w:rsidP="004E0520">
            <w:pPr>
              <w:rPr>
                <w:b/>
                <w:bCs/>
                <w:sz w:val="10"/>
                <w:szCs w:val="10"/>
              </w:rPr>
            </w:pPr>
          </w:p>
        </w:tc>
        <w:tc>
          <w:tcPr>
            <w:tcW w:w="1699" w:type="dxa"/>
          </w:tcPr>
          <w:p w14:paraId="5D4AA310" w14:textId="77777777" w:rsidR="0017561A" w:rsidRPr="00912C7E" w:rsidRDefault="0017561A" w:rsidP="004E0520"/>
        </w:tc>
        <w:tc>
          <w:tcPr>
            <w:tcW w:w="1701" w:type="dxa"/>
          </w:tcPr>
          <w:p w14:paraId="135E7DEC" w14:textId="77777777" w:rsidR="0017561A" w:rsidRPr="00912C7E" w:rsidRDefault="0017561A" w:rsidP="004E0520"/>
        </w:tc>
        <w:tc>
          <w:tcPr>
            <w:tcW w:w="1701" w:type="dxa"/>
          </w:tcPr>
          <w:p w14:paraId="2B1189CC" w14:textId="77777777" w:rsidR="0017561A" w:rsidRPr="00912C7E" w:rsidRDefault="0017561A" w:rsidP="004E0520"/>
        </w:tc>
      </w:tr>
      <w:tr w:rsidR="0017561A" w:rsidRPr="00912C7E" w14:paraId="1ABDF7A6" w14:textId="77777777" w:rsidTr="004E0520">
        <w:trPr>
          <w:jc w:val="center"/>
        </w:trPr>
        <w:tc>
          <w:tcPr>
            <w:tcW w:w="4538" w:type="dxa"/>
          </w:tcPr>
          <w:p w14:paraId="63476887" w14:textId="77777777" w:rsidR="0017561A" w:rsidRPr="00912C7E" w:rsidRDefault="0017561A" w:rsidP="004E0520">
            <w:pPr>
              <w:rPr>
                <w:b/>
                <w:bCs/>
                <w:sz w:val="16"/>
                <w:szCs w:val="16"/>
              </w:rPr>
            </w:pPr>
            <w:r w:rsidRPr="00912C7E">
              <w:rPr>
                <w:b/>
                <w:bCs/>
              </w:rPr>
              <w:t>Stage at Diagnosis</w:t>
            </w:r>
          </w:p>
        </w:tc>
        <w:tc>
          <w:tcPr>
            <w:tcW w:w="1699" w:type="dxa"/>
          </w:tcPr>
          <w:p w14:paraId="4581F8D5" w14:textId="77777777" w:rsidR="0017561A" w:rsidRPr="00912C7E" w:rsidRDefault="0017561A" w:rsidP="004E0520"/>
        </w:tc>
        <w:tc>
          <w:tcPr>
            <w:tcW w:w="1701" w:type="dxa"/>
          </w:tcPr>
          <w:p w14:paraId="2633CB89" w14:textId="77777777" w:rsidR="0017561A" w:rsidRPr="00912C7E" w:rsidRDefault="0017561A" w:rsidP="004E0520"/>
        </w:tc>
        <w:tc>
          <w:tcPr>
            <w:tcW w:w="1701" w:type="dxa"/>
          </w:tcPr>
          <w:p w14:paraId="2C141D8A" w14:textId="77777777" w:rsidR="0017561A" w:rsidRPr="00912C7E" w:rsidRDefault="0017561A" w:rsidP="004E0520"/>
        </w:tc>
      </w:tr>
      <w:tr w:rsidR="0017561A" w:rsidRPr="00912C7E" w14:paraId="5F023125" w14:textId="77777777" w:rsidTr="004E0520">
        <w:trPr>
          <w:jc w:val="center"/>
        </w:trPr>
        <w:tc>
          <w:tcPr>
            <w:tcW w:w="4538" w:type="dxa"/>
          </w:tcPr>
          <w:p w14:paraId="04D25DD8" w14:textId="77777777" w:rsidR="0017561A" w:rsidRPr="00912C7E" w:rsidRDefault="0017561A" w:rsidP="004E0520">
            <w:pPr>
              <w:rPr>
                <w:b/>
                <w:bCs/>
                <w:sz w:val="16"/>
                <w:szCs w:val="16"/>
              </w:rPr>
            </w:pPr>
            <w:r w:rsidRPr="00912C7E">
              <w:t>I</w:t>
            </w:r>
          </w:p>
        </w:tc>
        <w:tc>
          <w:tcPr>
            <w:tcW w:w="1699" w:type="dxa"/>
          </w:tcPr>
          <w:p w14:paraId="1566E656" w14:textId="77777777" w:rsidR="0017561A" w:rsidRPr="00912C7E" w:rsidRDefault="0017561A" w:rsidP="004E0520">
            <w:r w:rsidRPr="0050373A">
              <w:rPr>
                <w:color w:val="000000" w:themeColor="text1"/>
              </w:rPr>
              <w:t>13,094 (35.40)</w:t>
            </w:r>
          </w:p>
        </w:tc>
        <w:tc>
          <w:tcPr>
            <w:tcW w:w="1701" w:type="dxa"/>
          </w:tcPr>
          <w:p w14:paraId="279F33EE" w14:textId="77777777" w:rsidR="0017561A" w:rsidRPr="00912C7E" w:rsidRDefault="0017561A" w:rsidP="004E0520">
            <w:r w:rsidRPr="0050373A">
              <w:rPr>
                <w:color w:val="000000" w:themeColor="text1"/>
              </w:rPr>
              <w:t>13,094 (37.83)</w:t>
            </w:r>
          </w:p>
        </w:tc>
        <w:tc>
          <w:tcPr>
            <w:tcW w:w="1701" w:type="dxa"/>
          </w:tcPr>
          <w:p w14:paraId="2197FE44" w14:textId="77777777" w:rsidR="0017561A" w:rsidRPr="00912C7E" w:rsidRDefault="0017561A" w:rsidP="004E0520">
            <w:r w:rsidRPr="00912C7E">
              <w:t>------------</w:t>
            </w:r>
          </w:p>
        </w:tc>
      </w:tr>
      <w:tr w:rsidR="0017561A" w:rsidRPr="00912C7E" w14:paraId="0FC3F7C4" w14:textId="77777777" w:rsidTr="004E0520">
        <w:trPr>
          <w:jc w:val="center"/>
        </w:trPr>
        <w:tc>
          <w:tcPr>
            <w:tcW w:w="4538" w:type="dxa"/>
          </w:tcPr>
          <w:p w14:paraId="72244C5A" w14:textId="77777777" w:rsidR="0017561A" w:rsidRPr="00912C7E" w:rsidRDefault="0017561A" w:rsidP="004E0520">
            <w:pPr>
              <w:rPr>
                <w:b/>
                <w:bCs/>
                <w:sz w:val="16"/>
                <w:szCs w:val="16"/>
              </w:rPr>
            </w:pPr>
            <w:r w:rsidRPr="00912C7E">
              <w:t>II</w:t>
            </w:r>
          </w:p>
        </w:tc>
        <w:tc>
          <w:tcPr>
            <w:tcW w:w="1699" w:type="dxa"/>
          </w:tcPr>
          <w:p w14:paraId="759218D2" w14:textId="77777777" w:rsidR="0017561A" w:rsidRPr="00912C7E" w:rsidRDefault="0017561A" w:rsidP="004E0520">
            <w:r w:rsidRPr="00912C7E">
              <w:t>16,663 (45.05)</w:t>
            </w:r>
          </w:p>
        </w:tc>
        <w:tc>
          <w:tcPr>
            <w:tcW w:w="1701" w:type="dxa"/>
          </w:tcPr>
          <w:p w14:paraId="00CF215C" w14:textId="77777777" w:rsidR="0017561A" w:rsidRPr="00912C7E" w:rsidRDefault="0017561A" w:rsidP="004E0520">
            <w:r w:rsidRPr="00912C7E">
              <w:t>16,663 (48.14)</w:t>
            </w:r>
          </w:p>
        </w:tc>
        <w:tc>
          <w:tcPr>
            <w:tcW w:w="1701" w:type="dxa"/>
          </w:tcPr>
          <w:p w14:paraId="253F7DA5" w14:textId="77777777" w:rsidR="0017561A" w:rsidRPr="00912C7E" w:rsidRDefault="0017561A" w:rsidP="004E0520">
            <w:r w:rsidRPr="00912C7E">
              <w:t>------------</w:t>
            </w:r>
          </w:p>
        </w:tc>
      </w:tr>
      <w:tr w:rsidR="0017561A" w:rsidRPr="00912C7E" w14:paraId="3930AF84" w14:textId="77777777" w:rsidTr="004E0520">
        <w:trPr>
          <w:jc w:val="center"/>
        </w:trPr>
        <w:tc>
          <w:tcPr>
            <w:tcW w:w="4538" w:type="dxa"/>
          </w:tcPr>
          <w:p w14:paraId="6C04CA7E" w14:textId="77777777" w:rsidR="0017561A" w:rsidRPr="00912C7E" w:rsidRDefault="0017561A" w:rsidP="004E0520">
            <w:pPr>
              <w:rPr>
                <w:b/>
                <w:bCs/>
                <w:sz w:val="16"/>
                <w:szCs w:val="16"/>
              </w:rPr>
            </w:pPr>
            <w:r w:rsidRPr="00912C7E">
              <w:t>III</w:t>
            </w:r>
          </w:p>
        </w:tc>
        <w:tc>
          <w:tcPr>
            <w:tcW w:w="1699" w:type="dxa"/>
          </w:tcPr>
          <w:p w14:paraId="0ED93362" w14:textId="77777777" w:rsidR="0017561A" w:rsidRPr="00912C7E" w:rsidRDefault="0017561A" w:rsidP="004E0520">
            <w:r w:rsidRPr="00912C7E">
              <w:t>4,859 (13.14)</w:t>
            </w:r>
          </w:p>
        </w:tc>
        <w:tc>
          <w:tcPr>
            <w:tcW w:w="1701" w:type="dxa"/>
          </w:tcPr>
          <w:p w14:paraId="3D94EC2D" w14:textId="77777777" w:rsidR="0017561A" w:rsidRPr="00912C7E" w:rsidRDefault="0017561A" w:rsidP="004E0520">
            <w:r w:rsidRPr="00912C7E">
              <w:t>4,859 (14.04)</w:t>
            </w:r>
          </w:p>
        </w:tc>
        <w:tc>
          <w:tcPr>
            <w:tcW w:w="1701" w:type="dxa"/>
          </w:tcPr>
          <w:p w14:paraId="15354F52" w14:textId="77777777" w:rsidR="0017561A" w:rsidRPr="00912C7E" w:rsidRDefault="0017561A" w:rsidP="004E0520">
            <w:r w:rsidRPr="00912C7E">
              <w:t>------------</w:t>
            </w:r>
          </w:p>
        </w:tc>
      </w:tr>
      <w:tr w:rsidR="0017561A" w:rsidRPr="00912C7E" w14:paraId="4F1A76E5" w14:textId="77777777" w:rsidTr="004E0520">
        <w:trPr>
          <w:trHeight w:val="312"/>
          <w:jc w:val="center"/>
        </w:trPr>
        <w:tc>
          <w:tcPr>
            <w:tcW w:w="4538" w:type="dxa"/>
          </w:tcPr>
          <w:p w14:paraId="1BCA33AC" w14:textId="77777777" w:rsidR="0017561A" w:rsidRPr="00912C7E" w:rsidRDefault="0017561A" w:rsidP="004E0520">
            <w:pPr>
              <w:rPr>
                <w:b/>
                <w:bCs/>
                <w:sz w:val="16"/>
                <w:szCs w:val="16"/>
              </w:rPr>
            </w:pPr>
            <w:r w:rsidRPr="00912C7E">
              <w:t>IV</w:t>
            </w:r>
          </w:p>
        </w:tc>
        <w:tc>
          <w:tcPr>
            <w:tcW w:w="1699" w:type="dxa"/>
          </w:tcPr>
          <w:p w14:paraId="372D035C" w14:textId="77777777" w:rsidR="0017561A" w:rsidRPr="00912C7E" w:rsidRDefault="0017561A" w:rsidP="004E0520">
            <w:r w:rsidRPr="00912C7E">
              <w:t>2,369 (6.41)</w:t>
            </w:r>
          </w:p>
        </w:tc>
        <w:tc>
          <w:tcPr>
            <w:tcW w:w="1701" w:type="dxa"/>
          </w:tcPr>
          <w:p w14:paraId="54E6AAE6" w14:textId="77777777" w:rsidR="0017561A" w:rsidRPr="00912C7E" w:rsidRDefault="0017561A" w:rsidP="004E0520">
            <w:r w:rsidRPr="00912C7E">
              <w:t>------------</w:t>
            </w:r>
          </w:p>
        </w:tc>
        <w:tc>
          <w:tcPr>
            <w:tcW w:w="1701" w:type="dxa"/>
          </w:tcPr>
          <w:p w14:paraId="30372886" w14:textId="77777777" w:rsidR="0017561A" w:rsidRPr="00912C7E" w:rsidRDefault="0017561A" w:rsidP="004E0520">
            <w:r w:rsidRPr="00912C7E">
              <w:t>2,369 (100.00)</w:t>
            </w:r>
          </w:p>
        </w:tc>
      </w:tr>
      <w:tr w:rsidR="0017561A" w:rsidRPr="00912C7E" w14:paraId="5C356C01" w14:textId="77777777" w:rsidTr="004E0520">
        <w:trPr>
          <w:jc w:val="center"/>
        </w:trPr>
        <w:tc>
          <w:tcPr>
            <w:tcW w:w="4538" w:type="dxa"/>
          </w:tcPr>
          <w:p w14:paraId="454FFD57" w14:textId="77777777" w:rsidR="0017561A" w:rsidRPr="00912C7E" w:rsidRDefault="0017561A" w:rsidP="004E0520">
            <w:pPr>
              <w:rPr>
                <w:b/>
                <w:bCs/>
                <w:sz w:val="16"/>
                <w:szCs w:val="16"/>
              </w:rPr>
            </w:pPr>
          </w:p>
          <w:p w14:paraId="28B6DDC1" w14:textId="77777777" w:rsidR="0017561A" w:rsidRPr="00912C7E" w:rsidRDefault="0017561A" w:rsidP="004E0520">
            <w:r w:rsidRPr="00912C7E">
              <w:rPr>
                <w:b/>
                <w:bCs/>
              </w:rPr>
              <w:t>Grade</w:t>
            </w:r>
          </w:p>
        </w:tc>
        <w:tc>
          <w:tcPr>
            <w:tcW w:w="1699" w:type="dxa"/>
          </w:tcPr>
          <w:p w14:paraId="0A660537" w14:textId="77777777" w:rsidR="0017561A" w:rsidRPr="00912C7E" w:rsidRDefault="0017561A" w:rsidP="004E0520"/>
        </w:tc>
        <w:tc>
          <w:tcPr>
            <w:tcW w:w="1701" w:type="dxa"/>
          </w:tcPr>
          <w:p w14:paraId="06E2C921" w14:textId="77777777" w:rsidR="0017561A" w:rsidRPr="00912C7E" w:rsidRDefault="0017561A" w:rsidP="004E0520"/>
        </w:tc>
        <w:tc>
          <w:tcPr>
            <w:tcW w:w="1701" w:type="dxa"/>
          </w:tcPr>
          <w:p w14:paraId="454AA8AA" w14:textId="77777777" w:rsidR="0017561A" w:rsidRPr="00912C7E" w:rsidRDefault="0017561A" w:rsidP="004E0520"/>
        </w:tc>
      </w:tr>
      <w:tr w:rsidR="0017561A" w:rsidRPr="00912C7E" w14:paraId="747F5A28" w14:textId="77777777" w:rsidTr="004E0520">
        <w:trPr>
          <w:jc w:val="center"/>
        </w:trPr>
        <w:tc>
          <w:tcPr>
            <w:tcW w:w="4538" w:type="dxa"/>
          </w:tcPr>
          <w:p w14:paraId="087D51EF" w14:textId="77777777" w:rsidR="0017561A" w:rsidRPr="00912C7E" w:rsidRDefault="0017561A" w:rsidP="004E0520">
            <w:pPr>
              <w:rPr>
                <w:b/>
                <w:bCs/>
              </w:rPr>
            </w:pPr>
            <w:r w:rsidRPr="00912C7E">
              <w:t xml:space="preserve">Well Differentiated </w:t>
            </w:r>
          </w:p>
        </w:tc>
        <w:tc>
          <w:tcPr>
            <w:tcW w:w="1699" w:type="dxa"/>
          </w:tcPr>
          <w:p w14:paraId="4ABD030F" w14:textId="77777777" w:rsidR="0017561A" w:rsidRPr="00912C7E" w:rsidRDefault="0017561A" w:rsidP="004E0520">
            <w:r w:rsidRPr="00912C7E">
              <w:t>2,034 (5.50)</w:t>
            </w:r>
          </w:p>
        </w:tc>
        <w:tc>
          <w:tcPr>
            <w:tcW w:w="1701" w:type="dxa"/>
          </w:tcPr>
          <w:p w14:paraId="502B29FE" w14:textId="77777777" w:rsidR="0017561A" w:rsidRPr="00912C7E" w:rsidRDefault="0017561A" w:rsidP="004E0520">
            <w:r w:rsidRPr="00912C7E">
              <w:t>1,999 (5.77)</w:t>
            </w:r>
          </w:p>
        </w:tc>
        <w:tc>
          <w:tcPr>
            <w:tcW w:w="1701" w:type="dxa"/>
          </w:tcPr>
          <w:p w14:paraId="22F6E36C" w14:textId="77777777" w:rsidR="0017561A" w:rsidRPr="00912C7E" w:rsidRDefault="0017561A" w:rsidP="004E0520">
            <w:r w:rsidRPr="00912C7E">
              <w:t>35 (1.48)</w:t>
            </w:r>
          </w:p>
        </w:tc>
      </w:tr>
      <w:tr w:rsidR="0017561A" w:rsidRPr="00912C7E" w14:paraId="1F3D3BF0" w14:textId="77777777" w:rsidTr="004E0520">
        <w:trPr>
          <w:jc w:val="center"/>
        </w:trPr>
        <w:tc>
          <w:tcPr>
            <w:tcW w:w="4538" w:type="dxa"/>
          </w:tcPr>
          <w:p w14:paraId="54B2AC03" w14:textId="77777777" w:rsidR="0017561A" w:rsidRPr="00912C7E" w:rsidRDefault="0017561A" w:rsidP="004E0520">
            <w:r w:rsidRPr="00912C7E">
              <w:t>Moderately Differentiated</w:t>
            </w:r>
          </w:p>
        </w:tc>
        <w:tc>
          <w:tcPr>
            <w:tcW w:w="1699" w:type="dxa"/>
          </w:tcPr>
          <w:p w14:paraId="657DD61D" w14:textId="77777777" w:rsidR="0017561A" w:rsidRPr="00912C7E" w:rsidRDefault="0017561A" w:rsidP="004E0520">
            <w:r w:rsidRPr="00912C7E">
              <w:t>16,077 (43.47)</w:t>
            </w:r>
          </w:p>
        </w:tc>
        <w:tc>
          <w:tcPr>
            <w:tcW w:w="1701" w:type="dxa"/>
          </w:tcPr>
          <w:p w14:paraId="278C0D60" w14:textId="77777777" w:rsidR="0017561A" w:rsidRPr="00912C7E" w:rsidRDefault="0017561A" w:rsidP="004E0520">
            <w:r w:rsidRPr="00912C7E">
              <w:t>15,122 (43.69)</w:t>
            </w:r>
          </w:p>
        </w:tc>
        <w:tc>
          <w:tcPr>
            <w:tcW w:w="1701" w:type="dxa"/>
          </w:tcPr>
          <w:p w14:paraId="42E9D27F" w14:textId="77777777" w:rsidR="0017561A" w:rsidRPr="00912C7E" w:rsidRDefault="0017561A" w:rsidP="004E0520">
            <w:r w:rsidRPr="00912C7E">
              <w:t>955 (40.31)</w:t>
            </w:r>
          </w:p>
        </w:tc>
      </w:tr>
      <w:tr w:rsidR="0017561A" w:rsidRPr="00912C7E" w14:paraId="504DCE77" w14:textId="77777777" w:rsidTr="004E0520">
        <w:trPr>
          <w:jc w:val="center"/>
        </w:trPr>
        <w:tc>
          <w:tcPr>
            <w:tcW w:w="4538" w:type="dxa"/>
          </w:tcPr>
          <w:p w14:paraId="0B312BF3" w14:textId="77777777" w:rsidR="0017561A" w:rsidRPr="00912C7E" w:rsidRDefault="0017561A" w:rsidP="004E0520">
            <w:r w:rsidRPr="00912C7E">
              <w:t>Poorly Differentiated</w:t>
            </w:r>
          </w:p>
        </w:tc>
        <w:tc>
          <w:tcPr>
            <w:tcW w:w="1699" w:type="dxa"/>
          </w:tcPr>
          <w:p w14:paraId="786FC0DF" w14:textId="77777777" w:rsidR="0017561A" w:rsidRPr="00912C7E" w:rsidRDefault="0017561A" w:rsidP="004E0520">
            <w:r w:rsidRPr="00912C7E">
              <w:t>18,217 (49.26)</w:t>
            </w:r>
          </w:p>
        </w:tc>
        <w:tc>
          <w:tcPr>
            <w:tcW w:w="1701" w:type="dxa"/>
          </w:tcPr>
          <w:p w14:paraId="724722AB" w14:textId="77777777" w:rsidR="0017561A" w:rsidRPr="00912C7E" w:rsidRDefault="0017561A" w:rsidP="004E0520">
            <w:r w:rsidRPr="00912C7E">
              <w:t>16,989 (49.08)</w:t>
            </w:r>
          </w:p>
        </w:tc>
        <w:tc>
          <w:tcPr>
            <w:tcW w:w="1701" w:type="dxa"/>
          </w:tcPr>
          <w:p w14:paraId="2E09FD79" w14:textId="77777777" w:rsidR="0017561A" w:rsidRPr="00912C7E" w:rsidRDefault="0017561A" w:rsidP="004E0520">
            <w:r w:rsidRPr="00912C7E">
              <w:t>1,228 (51.84)</w:t>
            </w:r>
          </w:p>
        </w:tc>
      </w:tr>
      <w:tr w:rsidR="0017561A" w:rsidRPr="00912C7E" w14:paraId="711CB3BE" w14:textId="77777777" w:rsidTr="004E0520">
        <w:trPr>
          <w:jc w:val="center"/>
        </w:trPr>
        <w:tc>
          <w:tcPr>
            <w:tcW w:w="4538" w:type="dxa"/>
          </w:tcPr>
          <w:p w14:paraId="53F69E52" w14:textId="77777777" w:rsidR="0017561A" w:rsidRPr="00912C7E" w:rsidRDefault="0017561A" w:rsidP="004E0520">
            <w:r w:rsidRPr="00912C7E">
              <w:t>Other</w:t>
            </w:r>
            <w:r w:rsidRPr="0075332B">
              <w:rPr>
                <w:vertAlign w:val="superscript"/>
              </w:rPr>
              <w:t>d</w:t>
            </w:r>
          </w:p>
        </w:tc>
        <w:tc>
          <w:tcPr>
            <w:tcW w:w="1699" w:type="dxa"/>
          </w:tcPr>
          <w:p w14:paraId="372489A1" w14:textId="77777777" w:rsidR="0017561A" w:rsidRPr="00912C7E" w:rsidRDefault="0017561A" w:rsidP="004E0520">
            <w:r w:rsidRPr="00912C7E">
              <w:t>657 (1.78)</w:t>
            </w:r>
          </w:p>
        </w:tc>
        <w:tc>
          <w:tcPr>
            <w:tcW w:w="1701" w:type="dxa"/>
          </w:tcPr>
          <w:p w14:paraId="0FC0B72A" w14:textId="77777777" w:rsidR="0017561A" w:rsidRPr="00912C7E" w:rsidRDefault="0017561A" w:rsidP="004E0520">
            <w:r w:rsidRPr="00912C7E">
              <w:t>506 (1.46)</w:t>
            </w:r>
          </w:p>
        </w:tc>
        <w:tc>
          <w:tcPr>
            <w:tcW w:w="1701" w:type="dxa"/>
          </w:tcPr>
          <w:p w14:paraId="6F3F7948" w14:textId="77777777" w:rsidR="0017561A" w:rsidRPr="00912C7E" w:rsidRDefault="0017561A" w:rsidP="004E0520">
            <w:r w:rsidRPr="00912C7E">
              <w:t>151 (6.37)</w:t>
            </w:r>
          </w:p>
        </w:tc>
      </w:tr>
      <w:tr w:rsidR="0017561A" w:rsidRPr="00912C7E" w14:paraId="39B0E4C6" w14:textId="77777777" w:rsidTr="004E0520">
        <w:trPr>
          <w:jc w:val="center"/>
        </w:trPr>
        <w:tc>
          <w:tcPr>
            <w:tcW w:w="4538" w:type="dxa"/>
          </w:tcPr>
          <w:p w14:paraId="75287223" w14:textId="77777777" w:rsidR="0017561A" w:rsidRPr="00912C7E" w:rsidRDefault="0017561A" w:rsidP="004E0520">
            <w:pPr>
              <w:rPr>
                <w:sz w:val="16"/>
                <w:szCs w:val="16"/>
              </w:rPr>
            </w:pPr>
          </w:p>
        </w:tc>
        <w:tc>
          <w:tcPr>
            <w:tcW w:w="1699" w:type="dxa"/>
          </w:tcPr>
          <w:p w14:paraId="2BAF9B22" w14:textId="77777777" w:rsidR="0017561A" w:rsidRPr="00912C7E" w:rsidRDefault="0017561A" w:rsidP="004E0520">
            <w:pPr>
              <w:rPr>
                <w:sz w:val="10"/>
                <w:szCs w:val="10"/>
              </w:rPr>
            </w:pPr>
          </w:p>
        </w:tc>
        <w:tc>
          <w:tcPr>
            <w:tcW w:w="1701" w:type="dxa"/>
          </w:tcPr>
          <w:p w14:paraId="0ADF28EB" w14:textId="77777777" w:rsidR="0017561A" w:rsidRPr="00912C7E" w:rsidRDefault="0017561A" w:rsidP="004E0520">
            <w:pPr>
              <w:rPr>
                <w:sz w:val="10"/>
                <w:szCs w:val="10"/>
              </w:rPr>
            </w:pPr>
          </w:p>
        </w:tc>
        <w:tc>
          <w:tcPr>
            <w:tcW w:w="1701" w:type="dxa"/>
          </w:tcPr>
          <w:p w14:paraId="2E317060" w14:textId="77777777" w:rsidR="0017561A" w:rsidRPr="00912C7E" w:rsidRDefault="0017561A" w:rsidP="004E0520">
            <w:pPr>
              <w:rPr>
                <w:sz w:val="10"/>
                <w:szCs w:val="10"/>
              </w:rPr>
            </w:pPr>
          </w:p>
        </w:tc>
      </w:tr>
      <w:tr w:rsidR="0017561A" w:rsidRPr="00912C7E" w14:paraId="1507CA58" w14:textId="77777777" w:rsidTr="004E0520">
        <w:trPr>
          <w:jc w:val="center"/>
        </w:trPr>
        <w:tc>
          <w:tcPr>
            <w:tcW w:w="4538" w:type="dxa"/>
          </w:tcPr>
          <w:p w14:paraId="524547DC" w14:textId="77777777" w:rsidR="0017561A" w:rsidRPr="00912C7E" w:rsidRDefault="0017561A" w:rsidP="004E0520">
            <w:pPr>
              <w:rPr>
                <w:b/>
                <w:bCs/>
              </w:rPr>
            </w:pPr>
            <w:r w:rsidRPr="00912C7E">
              <w:rPr>
                <w:b/>
                <w:bCs/>
              </w:rPr>
              <w:t xml:space="preserve">Multiple </w:t>
            </w:r>
            <w:r>
              <w:rPr>
                <w:b/>
                <w:bCs/>
              </w:rPr>
              <w:t>Tumor</w:t>
            </w:r>
            <w:r w:rsidRPr="00912C7E">
              <w:rPr>
                <w:b/>
                <w:bCs/>
              </w:rPr>
              <w:t>s</w:t>
            </w:r>
            <w:r w:rsidRPr="0075332B">
              <w:rPr>
                <w:b/>
                <w:bCs/>
                <w:vertAlign w:val="superscript"/>
              </w:rPr>
              <w:t>e</w:t>
            </w:r>
          </w:p>
        </w:tc>
        <w:tc>
          <w:tcPr>
            <w:tcW w:w="1699" w:type="dxa"/>
          </w:tcPr>
          <w:p w14:paraId="46E2AB26" w14:textId="77777777" w:rsidR="0017561A" w:rsidRPr="00912C7E" w:rsidRDefault="0017561A" w:rsidP="004E0520"/>
        </w:tc>
        <w:tc>
          <w:tcPr>
            <w:tcW w:w="1701" w:type="dxa"/>
          </w:tcPr>
          <w:p w14:paraId="00CC9DAF" w14:textId="77777777" w:rsidR="0017561A" w:rsidRPr="00912C7E" w:rsidRDefault="0017561A" w:rsidP="004E0520"/>
        </w:tc>
        <w:tc>
          <w:tcPr>
            <w:tcW w:w="1701" w:type="dxa"/>
          </w:tcPr>
          <w:p w14:paraId="44CA03FD" w14:textId="77777777" w:rsidR="0017561A" w:rsidRPr="00912C7E" w:rsidRDefault="0017561A" w:rsidP="004E0520"/>
        </w:tc>
      </w:tr>
      <w:tr w:rsidR="0017561A" w:rsidRPr="00912C7E" w14:paraId="0F6BF3B4" w14:textId="77777777" w:rsidTr="004E0520">
        <w:trPr>
          <w:jc w:val="center"/>
        </w:trPr>
        <w:tc>
          <w:tcPr>
            <w:tcW w:w="4538" w:type="dxa"/>
          </w:tcPr>
          <w:p w14:paraId="66EA5135" w14:textId="77777777" w:rsidR="0017561A" w:rsidRPr="00912C7E" w:rsidRDefault="0017561A" w:rsidP="004E0520">
            <w:pPr>
              <w:rPr>
                <w:b/>
                <w:bCs/>
              </w:rPr>
            </w:pPr>
            <w:r w:rsidRPr="00912C7E">
              <w:t xml:space="preserve">1 </w:t>
            </w:r>
            <w:r>
              <w:t>Tumor</w:t>
            </w:r>
            <w:r w:rsidRPr="00912C7E">
              <w:t xml:space="preserve"> Only</w:t>
            </w:r>
          </w:p>
        </w:tc>
        <w:tc>
          <w:tcPr>
            <w:tcW w:w="1699" w:type="dxa"/>
          </w:tcPr>
          <w:p w14:paraId="463A43C8" w14:textId="77777777" w:rsidR="0017561A" w:rsidRPr="00912C7E" w:rsidRDefault="0017561A" w:rsidP="004E0520">
            <w:r w:rsidRPr="00912C7E">
              <w:t>32,570 (88.06)</w:t>
            </w:r>
          </w:p>
        </w:tc>
        <w:tc>
          <w:tcPr>
            <w:tcW w:w="1701" w:type="dxa"/>
          </w:tcPr>
          <w:p w14:paraId="44472E37" w14:textId="77777777" w:rsidR="0017561A" w:rsidRPr="00912C7E" w:rsidRDefault="0017561A" w:rsidP="004E0520">
            <w:r w:rsidRPr="00912C7E">
              <w:t>30,533 (88.20)</w:t>
            </w:r>
          </w:p>
        </w:tc>
        <w:tc>
          <w:tcPr>
            <w:tcW w:w="1701" w:type="dxa"/>
          </w:tcPr>
          <w:p w14:paraId="79C4D6A8" w14:textId="77777777" w:rsidR="0017561A" w:rsidRPr="00912C7E" w:rsidRDefault="0017561A" w:rsidP="004E0520">
            <w:r w:rsidRPr="00912C7E">
              <w:t>2,037 (85.99)</w:t>
            </w:r>
          </w:p>
        </w:tc>
      </w:tr>
      <w:tr w:rsidR="0017561A" w:rsidRPr="00912C7E" w14:paraId="78F333D9" w14:textId="77777777" w:rsidTr="004E0520">
        <w:trPr>
          <w:jc w:val="center"/>
        </w:trPr>
        <w:tc>
          <w:tcPr>
            <w:tcW w:w="4538" w:type="dxa"/>
          </w:tcPr>
          <w:p w14:paraId="3B70FFDB" w14:textId="77777777" w:rsidR="0017561A" w:rsidRPr="00912C7E" w:rsidRDefault="0017561A" w:rsidP="004E0520">
            <w:r w:rsidRPr="00912C7E">
              <w:t xml:space="preserve">&gt;1 </w:t>
            </w:r>
            <w:r>
              <w:t>Tumor</w:t>
            </w:r>
            <w:r w:rsidRPr="00912C7E">
              <w:t>s</w:t>
            </w:r>
          </w:p>
        </w:tc>
        <w:tc>
          <w:tcPr>
            <w:tcW w:w="1699" w:type="dxa"/>
          </w:tcPr>
          <w:p w14:paraId="791448A0" w14:textId="77777777" w:rsidR="0017561A" w:rsidRPr="00912C7E" w:rsidRDefault="0017561A" w:rsidP="004E0520">
            <w:r w:rsidRPr="00912C7E">
              <w:t>4,415 (11.94)</w:t>
            </w:r>
          </w:p>
        </w:tc>
        <w:tc>
          <w:tcPr>
            <w:tcW w:w="1701" w:type="dxa"/>
          </w:tcPr>
          <w:p w14:paraId="1A331AB0" w14:textId="77777777" w:rsidR="0017561A" w:rsidRPr="00912C7E" w:rsidRDefault="0017561A" w:rsidP="004E0520">
            <w:r w:rsidRPr="00912C7E">
              <w:t>4,083 (11.80)</w:t>
            </w:r>
          </w:p>
        </w:tc>
        <w:tc>
          <w:tcPr>
            <w:tcW w:w="1701" w:type="dxa"/>
          </w:tcPr>
          <w:p w14:paraId="35938F74" w14:textId="77777777" w:rsidR="0017561A" w:rsidRPr="00912C7E" w:rsidRDefault="0017561A" w:rsidP="004E0520">
            <w:r w:rsidRPr="00912C7E">
              <w:t>332 (14.01)</w:t>
            </w:r>
          </w:p>
        </w:tc>
      </w:tr>
      <w:tr w:rsidR="0017561A" w:rsidRPr="00912C7E" w14:paraId="7BDC147F" w14:textId="77777777" w:rsidTr="004E0520">
        <w:trPr>
          <w:jc w:val="center"/>
        </w:trPr>
        <w:tc>
          <w:tcPr>
            <w:tcW w:w="4538" w:type="dxa"/>
          </w:tcPr>
          <w:p w14:paraId="2518FC74" w14:textId="77777777" w:rsidR="0017561A" w:rsidRPr="00912C7E" w:rsidRDefault="0017561A" w:rsidP="004E0520">
            <w:pPr>
              <w:rPr>
                <w:sz w:val="16"/>
                <w:szCs w:val="16"/>
              </w:rPr>
            </w:pPr>
          </w:p>
        </w:tc>
        <w:tc>
          <w:tcPr>
            <w:tcW w:w="1699" w:type="dxa"/>
          </w:tcPr>
          <w:p w14:paraId="4A99A1EA" w14:textId="77777777" w:rsidR="0017561A" w:rsidRPr="00912C7E" w:rsidRDefault="0017561A" w:rsidP="004E0520">
            <w:pPr>
              <w:rPr>
                <w:sz w:val="10"/>
                <w:szCs w:val="10"/>
              </w:rPr>
            </w:pPr>
          </w:p>
        </w:tc>
        <w:tc>
          <w:tcPr>
            <w:tcW w:w="1701" w:type="dxa"/>
          </w:tcPr>
          <w:p w14:paraId="02E57B8F" w14:textId="77777777" w:rsidR="0017561A" w:rsidRPr="00912C7E" w:rsidRDefault="0017561A" w:rsidP="004E0520">
            <w:pPr>
              <w:rPr>
                <w:sz w:val="10"/>
                <w:szCs w:val="10"/>
              </w:rPr>
            </w:pPr>
          </w:p>
        </w:tc>
        <w:tc>
          <w:tcPr>
            <w:tcW w:w="1701" w:type="dxa"/>
          </w:tcPr>
          <w:p w14:paraId="38C1BF7E" w14:textId="77777777" w:rsidR="0017561A" w:rsidRPr="00912C7E" w:rsidRDefault="0017561A" w:rsidP="004E0520">
            <w:pPr>
              <w:rPr>
                <w:sz w:val="10"/>
                <w:szCs w:val="10"/>
              </w:rPr>
            </w:pPr>
          </w:p>
        </w:tc>
      </w:tr>
      <w:tr w:rsidR="0017561A" w:rsidRPr="00912C7E" w14:paraId="1F4A9644" w14:textId="77777777" w:rsidTr="004E0520">
        <w:trPr>
          <w:jc w:val="center"/>
        </w:trPr>
        <w:tc>
          <w:tcPr>
            <w:tcW w:w="4538" w:type="dxa"/>
          </w:tcPr>
          <w:p w14:paraId="450B472B" w14:textId="77777777" w:rsidR="0017561A" w:rsidRPr="00912C7E" w:rsidRDefault="0017561A" w:rsidP="004E0520">
            <w:r w:rsidRPr="00912C7E">
              <w:rPr>
                <w:b/>
                <w:bCs/>
              </w:rPr>
              <w:t>ER Status</w:t>
            </w:r>
          </w:p>
        </w:tc>
        <w:tc>
          <w:tcPr>
            <w:tcW w:w="1699" w:type="dxa"/>
          </w:tcPr>
          <w:p w14:paraId="5CB62033" w14:textId="77777777" w:rsidR="0017561A" w:rsidRPr="00912C7E" w:rsidRDefault="0017561A" w:rsidP="004E0520"/>
        </w:tc>
        <w:tc>
          <w:tcPr>
            <w:tcW w:w="1701" w:type="dxa"/>
          </w:tcPr>
          <w:p w14:paraId="51FE2DBA" w14:textId="77777777" w:rsidR="0017561A" w:rsidRPr="00912C7E" w:rsidRDefault="0017561A" w:rsidP="004E0520"/>
        </w:tc>
        <w:tc>
          <w:tcPr>
            <w:tcW w:w="1701" w:type="dxa"/>
          </w:tcPr>
          <w:p w14:paraId="1F2D1350" w14:textId="77777777" w:rsidR="0017561A" w:rsidRPr="00912C7E" w:rsidRDefault="0017561A" w:rsidP="004E0520"/>
        </w:tc>
      </w:tr>
      <w:tr w:rsidR="0017561A" w:rsidRPr="00912C7E" w14:paraId="57B5265A" w14:textId="77777777" w:rsidTr="004E0520">
        <w:trPr>
          <w:jc w:val="center"/>
        </w:trPr>
        <w:tc>
          <w:tcPr>
            <w:tcW w:w="4538" w:type="dxa"/>
          </w:tcPr>
          <w:p w14:paraId="0B737D02" w14:textId="77777777" w:rsidR="0017561A" w:rsidRPr="00912C7E" w:rsidRDefault="0017561A" w:rsidP="004E0520">
            <w:pPr>
              <w:rPr>
                <w:b/>
                <w:bCs/>
              </w:rPr>
            </w:pPr>
            <w:r w:rsidRPr="00912C7E">
              <w:t>Positive</w:t>
            </w:r>
            <w:r w:rsidRPr="0075332B">
              <w:rPr>
                <w:vertAlign w:val="superscript"/>
              </w:rPr>
              <w:t>f</w:t>
            </w:r>
          </w:p>
        </w:tc>
        <w:tc>
          <w:tcPr>
            <w:tcW w:w="1699" w:type="dxa"/>
          </w:tcPr>
          <w:p w14:paraId="688F6215" w14:textId="77777777" w:rsidR="0017561A" w:rsidRPr="00912C7E" w:rsidRDefault="0017561A" w:rsidP="004E0520">
            <w:r w:rsidRPr="00912C7E">
              <w:t>23,557 (63.69)</w:t>
            </w:r>
          </w:p>
        </w:tc>
        <w:tc>
          <w:tcPr>
            <w:tcW w:w="1701" w:type="dxa"/>
          </w:tcPr>
          <w:p w14:paraId="5FB2ADD9" w14:textId="77777777" w:rsidR="0017561A" w:rsidRPr="00912C7E" w:rsidRDefault="0017561A" w:rsidP="004E0520">
            <w:r w:rsidRPr="00912C7E">
              <w:t>22,299 (64.42)</w:t>
            </w:r>
          </w:p>
        </w:tc>
        <w:tc>
          <w:tcPr>
            <w:tcW w:w="1701" w:type="dxa"/>
          </w:tcPr>
          <w:p w14:paraId="64C43F16" w14:textId="77777777" w:rsidR="0017561A" w:rsidRPr="00912C7E" w:rsidRDefault="0017561A" w:rsidP="004E0520">
            <w:r w:rsidRPr="00912C7E">
              <w:t>1,258 (53.10)</w:t>
            </w:r>
          </w:p>
        </w:tc>
      </w:tr>
      <w:tr w:rsidR="0017561A" w:rsidRPr="00912C7E" w14:paraId="059A8756" w14:textId="77777777" w:rsidTr="004E0520">
        <w:trPr>
          <w:jc w:val="center"/>
        </w:trPr>
        <w:tc>
          <w:tcPr>
            <w:tcW w:w="4538" w:type="dxa"/>
          </w:tcPr>
          <w:p w14:paraId="5B8D3218" w14:textId="77777777" w:rsidR="0017561A" w:rsidRPr="00912C7E" w:rsidRDefault="0017561A" w:rsidP="004E0520">
            <w:r w:rsidRPr="00912C7E">
              <w:t>Negative</w:t>
            </w:r>
          </w:p>
        </w:tc>
        <w:tc>
          <w:tcPr>
            <w:tcW w:w="1699" w:type="dxa"/>
          </w:tcPr>
          <w:p w14:paraId="52C7B608" w14:textId="77777777" w:rsidR="0017561A" w:rsidRPr="00912C7E" w:rsidRDefault="0017561A" w:rsidP="004E0520">
            <w:r w:rsidRPr="00912C7E">
              <w:t>7,912 (21.39)</w:t>
            </w:r>
          </w:p>
        </w:tc>
        <w:tc>
          <w:tcPr>
            <w:tcW w:w="1701" w:type="dxa"/>
          </w:tcPr>
          <w:p w14:paraId="529F3FA6" w14:textId="77777777" w:rsidR="0017561A" w:rsidRPr="00912C7E" w:rsidRDefault="0017561A" w:rsidP="004E0520">
            <w:r w:rsidRPr="00912C7E">
              <w:t>7,233 (20.89)</w:t>
            </w:r>
          </w:p>
        </w:tc>
        <w:tc>
          <w:tcPr>
            <w:tcW w:w="1701" w:type="dxa"/>
          </w:tcPr>
          <w:p w14:paraId="4259AEFA" w14:textId="77777777" w:rsidR="0017561A" w:rsidRPr="00912C7E" w:rsidRDefault="0017561A" w:rsidP="004E0520">
            <w:r w:rsidRPr="00912C7E">
              <w:t>679 (28.66)</w:t>
            </w:r>
          </w:p>
        </w:tc>
      </w:tr>
      <w:tr w:rsidR="0017561A" w:rsidRPr="00912C7E" w14:paraId="03C7F57F" w14:textId="77777777" w:rsidTr="004E0520">
        <w:trPr>
          <w:jc w:val="center"/>
        </w:trPr>
        <w:tc>
          <w:tcPr>
            <w:tcW w:w="4538" w:type="dxa"/>
          </w:tcPr>
          <w:p w14:paraId="1446B1E8" w14:textId="77777777" w:rsidR="0017561A" w:rsidRPr="00912C7E" w:rsidRDefault="0017561A" w:rsidP="004E0520">
            <w:r w:rsidRPr="00912C7E">
              <w:t>Unknown</w:t>
            </w:r>
            <w:r w:rsidRPr="0075332B">
              <w:rPr>
                <w:vertAlign w:val="superscript"/>
              </w:rPr>
              <w:t>g</w:t>
            </w:r>
          </w:p>
        </w:tc>
        <w:tc>
          <w:tcPr>
            <w:tcW w:w="1699" w:type="dxa"/>
          </w:tcPr>
          <w:p w14:paraId="7723C594" w14:textId="77777777" w:rsidR="0017561A" w:rsidRPr="00912C7E" w:rsidRDefault="0017561A" w:rsidP="004E0520">
            <w:r w:rsidRPr="00912C7E">
              <w:t>5,516 (14.91)</w:t>
            </w:r>
          </w:p>
        </w:tc>
        <w:tc>
          <w:tcPr>
            <w:tcW w:w="1701" w:type="dxa"/>
          </w:tcPr>
          <w:p w14:paraId="325FB6BA" w14:textId="77777777" w:rsidR="0017561A" w:rsidRPr="00912C7E" w:rsidRDefault="0017561A" w:rsidP="004E0520">
            <w:r w:rsidRPr="00912C7E">
              <w:t>5,084 (14.69)</w:t>
            </w:r>
          </w:p>
        </w:tc>
        <w:tc>
          <w:tcPr>
            <w:tcW w:w="1701" w:type="dxa"/>
          </w:tcPr>
          <w:p w14:paraId="1CF1D012" w14:textId="77777777" w:rsidR="0017561A" w:rsidRPr="00912C7E" w:rsidRDefault="0017561A" w:rsidP="004E0520">
            <w:r w:rsidRPr="00912C7E">
              <w:t>432 (18.24)</w:t>
            </w:r>
          </w:p>
        </w:tc>
      </w:tr>
      <w:tr w:rsidR="0017561A" w:rsidRPr="00912C7E" w14:paraId="7611D25C" w14:textId="77777777" w:rsidTr="004E0520">
        <w:trPr>
          <w:jc w:val="center"/>
        </w:trPr>
        <w:tc>
          <w:tcPr>
            <w:tcW w:w="4538" w:type="dxa"/>
          </w:tcPr>
          <w:p w14:paraId="2921AA08" w14:textId="77777777" w:rsidR="0017561A" w:rsidRPr="00912C7E" w:rsidRDefault="0017561A" w:rsidP="004E0520">
            <w:pPr>
              <w:rPr>
                <w:sz w:val="16"/>
                <w:szCs w:val="16"/>
              </w:rPr>
            </w:pPr>
          </w:p>
        </w:tc>
        <w:tc>
          <w:tcPr>
            <w:tcW w:w="1699" w:type="dxa"/>
          </w:tcPr>
          <w:p w14:paraId="0B84C4C9" w14:textId="77777777" w:rsidR="0017561A" w:rsidRPr="00912C7E" w:rsidRDefault="0017561A" w:rsidP="004E0520">
            <w:pPr>
              <w:rPr>
                <w:sz w:val="10"/>
                <w:szCs w:val="10"/>
              </w:rPr>
            </w:pPr>
          </w:p>
        </w:tc>
        <w:tc>
          <w:tcPr>
            <w:tcW w:w="1701" w:type="dxa"/>
          </w:tcPr>
          <w:p w14:paraId="7F7DF841" w14:textId="77777777" w:rsidR="0017561A" w:rsidRPr="00912C7E" w:rsidRDefault="0017561A" w:rsidP="004E0520">
            <w:pPr>
              <w:rPr>
                <w:sz w:val="10"/>
                <w:szCs w:val="10"/>
              </w:rPr>
            </w:pPr>
          </w:p>
        </w:tc>
        <w:tc>
          <w:tcPr>
            <w:tcW w:w="1701" w:type="dxa"/>
          </w:tcPr>
          <w:p w14:paraId="1EA9E062" w14:textId="77777777" w:rsidR="0017561A" w:rsidRPr="00912C7E" w:rsidRDefault="0017561A" w:rsidP="004E0520">
            <w:pPr>
              <w:rPr>
                <w:sz w:val="10"/>
                <w:szCs w:val="10"/>
              </w:rPr>
            </w:pPr>
          </w:p>
        </w:tc>
      </w:tr>
      <w:tr w:rsidR="0017561A" w:rsidRPr="00912C7E" w14:paraId="14258F70" w14:textId="77777777" w:rsidTr="004E0520">
        <w:trPr>
          <w:jc w:val="center"/>
        </w:trPr>
        <w:tc>
          <w:tcPr>
            <w:tcW w:w="4538" w:type="dxa"/>
          </w:tcPr>
          <w:p w14:paraId="24C00D8F" w14:textId="77777777" w:rsidR="0017561A" w:rsidRPr="00912C7E" w:rsidRDefault="0017561A" w:rsidP="004E0520">
            <w:r w:rsidRPr="00912C7E">
              <w:rPr>
                <w:b/>
                <w:bCs/>
              </w:rPr>
              <w:t>No. of Comorbidities (between 78 to 6 months prior to diagnosis)</w:t>
            </w:r>
            <w:r>
              <w:rPr>
                <w:b/>
                <w:bCs/>
                <w:vertAlign w:val="superscript"/>
              </w:rPr>
              <w:t>h</w:t>
            </w:r>
          </w:p>
        </w:tc>
        <w:tc>
          <w:tcPr>
            <w:tcW w:w="1699" w:type="dxa"/>
          </w:tcPr>
          <w:p w14:paraId="76D4DD45" w14:textId="77777777" w:rsidR="0017561A" w:rsidRPr="00912C7E" w:rsidRDefault="0017561A" w:rsidP="004E0520"/>
        </w:tc>
        <w:tc>
          <w:tcPr>
            <w:tcW w:w="1701" w:type="dxa"/>
          </w:tcPr>
          <w:p w14:paraId="5F39945B" w14:textId="77777777" w:rsidR="0017561A" w:rsidRPr="00912C7E" w:rsidRDefault="0017561A" w:rsidP="004E0520"/>
        </w:tc>
        <w:tc>
          <w:tcPr>
            <w:tcW w:w="1701" w:type="dxa"/>
          </w:tcPr>
          <w:p w14:paraId="3EFD3D4D" w14:textId="77777777" w:rsidR="0017561A" w:rsidRPr="00912C7E" w:rsidRDefault="0017561A" w:rsidP="004E0520"/>
        </w:tc>
      </w:tr>
      <w:tr w:rsidR="0017561A" w:rsidRPr="00912C7E" w14:paraId="02E3374C" w14:textId="77777777" w:rsidTr="004E0520">
        <w:trPr>
          <w:jc w:val="center"/>
        </w:trPr>
        <w:tc>
          <w:tcPr>
            <w:tcW w:w="4538" w:type="dxa"/>
          </w:tcPr>
          <w:p w14:paraId="7FFC74B4" w14:textId="77777777" w:rsidR="0017561A" w:rsidRPr="00912C7E" w:rsidRDefault="0017561A" w:rsidP="004E0520">
            <w:r w:rsidRPr="00912C7E">
              <w:t>None</w:t>
            </w:r>
          </w:p>
        </w:tc>
        <w:tc>
          <w:tcPr>
            <w:tcW w:w="1699" w:type="dxa"/>
          </w:tcPr>
          <w:p w14:paraId="1316265D" w14:textId="77777777" w:rsidR="0017561A" w:rsidRPr="00912C7E" w:rsidRDefault="0017561A" w:rsidP="004E0520">
            <w:r w:rsidRPr="00912C7E">
              <w:t>30,423 (82.26)</w:t>
            </w:r>
          </w:p>
        </w:tc>
        <w:tc>
          <w:tcPr>
            <w:tcW w:w="1701" w:type="dxa"/>
          </w:tcPr>
          <w:p w14:paraId="53CA72C2" w14:textId="77777777" w:rsidR="0017561A" w:rsidRPr="00912C7E" w:rsidRDefault="0017561A" w:rsidP="004E0520">
            <w:r w:rsidRPr="00912C7E">
              <w:t>28,494 (82.31)</w:t>
            </w:r>
          </w:p>
        </w:tc>
        <w:tc>
          <w:tcPr>
            <w:tcW w:w="1701" w:type="dxa"/>
          </w:tcPr>
          <w:p w14:paraId="18A1666E" w14:textId="77777777" w:rsidR="0017561A" w:rsidRPr="00912C7E" w:rsidRDefault="0017561A" w:rsidP="004E0520">
            <w:r w:rsidRPr="00912C7E">
              <w:t>1,929 (81.43)</w:t>
            </w:r>
          </w:p>
        </w:tc>
      </w:tr>
      <w:tr w:rsidR="0017561A" w:rsidRPr="00912C7E" w14:paraId="2AA9A3CD" w14:textId="77777777" w:rsidTr="004E0520">
        <w:trPr>
          <w:jc w:val="center"/>
        </w:trPr>
        <w:tc>
          <w:tcPr>
            <w:tcW w:w="4538" w:type="dxa"/>
          </w:tcPr>
          <w:p w14:paraId="61CD0DF6" w14:textId="77777777" w:rsidR="0017561A" w:rsidRPr="00912C7E" w:rsidRDefault="0017561A" w:rsidP="004E0520">
            <w:r w:rsidRPr="00912C7E">
              <w:t xml:space="preserve">1 – 2 </w:t>
            </w:r>
          </w:p>
        </w:tc>
        <w:tc>
          <w:tcPr>
            <w:tcW w:w="1699" w:type="dxa"/>
          </w:tcPr>
          <w:p w14:paraId="129D8EC8" w14:textId="77777777" w:rsidR="0017561A" w:rsidRPr="00912C7E" w:rsidRDefault="0017561A" w:rsidP="004E0520">
            <w:r w:rsidRPr="00912C7E">
              <w:t>5,369 (14.52)</w:t>
            </w:r>
          </w:p>
        </w:tc>
        <w:tc>
          <w:tcPr>
            <w:tcW w:w="1701" w:type="dxa"/>
          </w:tcPr>
          <w:p w14:paraId="417B552A" w14:textId="77777777" w:rsidR="0017561A" w:rsidRPr="00912C7E" w:rsidRDefault="0017561A" w:rsidP="004E0520">
            <w:r w:rsidRPr="00912C7E">
              <w:t>5,016 (14.49)</w:t>
            </w:r>
          </w:p>
        </w:tc>
        <w:tc>
          <w:tcPr>
            <w:tcW w:w="1701" w:type="dxa"/>
          </w:tcPr>
          <w:p w14:paraId="337F032D" w14:textId="77777777" w:rsidR="0017561A" w:rsidRPr="00912C7E" w:rsidRDefault="0017561A" w:rsidP="004E0520">
            <w:r w:rsidRPr="00912C7E">
              <w:t>353 (14.90)</w:t>
            </w:r>
          </w:p>
        </w:tc>
      </w:tr>
      <w:tr w:rsidR="0017561A" w:rsidRPr="00912C7E" w14:paraId="3F02AABD" w14:textId="77777777" w:rsidTr="004E0520">
        <w:trPr>
          <w:jc w:val="center"/>
        </w:trPr>
        <w:tc>
          <w:tcPr>
            <w:tcW w:w="4538" w:type="dxa"/>
          </w:tcPr>
          <w:p w14:paraId="48FDA9C4" w14:textId="77777777" w:rsidR="0017561A" w:rsidRPr="00912C7E" w:rsidRDefault="0017561A" w:rsidP="004E0520">
            <w:r w:rsidRPr="00912C7E">
              <w:t>3+</w:t>
            </w:r>
          </w:p>
        </w:tc>
        <w:tc>
          <w:tcPr>
            <w:tcW w:w="1699" w:type="dxa"/>
          </w:tcPr>
          <w:p w14:paraId="4666AA2E" w14:textId="77777777" w:rsidR="0017561A" w:rsidRPr="00912C7E" w:rsidRDefault="0017561A" w:rsidP="004E0520">
            <w:r w:rsidRPr="00912C7E">
              <w:t>1,193 (3.23)</w:t>
            </w:r>
          </w:p>
        </w:tc>
        <w:tc>
          <w:tcPr>
            <w:tcW w:w="1701" w:type="dxa"/>
          </w:tcPr>
          <w:p w14:paraId="6B9B88B7" w14:textId="77777777" w:rsidR="0017561A" w:rsidRPr="00912C7E" w:rsidRDefault="0017561A" w:rsidP="004E0520">
            <w:r w:rsidRPr="00912C7E">
              <w:t>1,106 (3.20)</w:t>
            </w:r>
          </w:p>
        </w:tc>
        <w:tc>
          <w:tcPr>
            <w:tcW w:w="1701" w:type="dxa"/>
          </w:tcPr>
          <w:p w14:paraId="48D8C4CC" w14:textId="77777777" w:rsidR="0017561A" w:rsidRPr="00912C7E" w:rsidRDefault="0017561A" w:rsidP="004E0520">
            <w:r w:rsidRPr="00912C7E">
              <w:t>87 (3.67)</w:t>
            </w:r>
          </w:p>
        </w:tc>
      </w:tr>
      <w:tr w:rsidR="0017561A" w:rsidRPr="00912C7E" w14:paraId="43F01F7F" w14:textId="77777777" w:rsidTr="004E0520">
        <w:trPr>
          <w:jc w:val="center"/>
        </w:trPr>
        <w:tc>
          <w:tcPr>
            <w:tcW w:w="4538" w:type="dxa"/>
          </w:tcPr>
          <w:p w14:paraId="645CEC53" w14:textId="77777777" w:rsidR="0017561A" w:rsidRPr="00912C7E" w:rsidRDefault="0017561A" w:rsidP="004E0520">
            <w:pPr>
              <w:rPr>
                <w:sz w:val="16"/>
                <w:szCs w:val="16"/>
              </w:rPr>
            </w:pPr>
          </w:p>
        </w:tc>
        <w:tc>
          <w:tcPr>
            <w:tcW w:w="1699" w:type="dxa"/>
          </w:tcPr>
          <w:p w14:paraId="5BE319EC" w14:textId="77777777" w:rsidR="0017561A" w:rsidRPr="00912C7E" w:rsidRDefault="0017561A" w:rsidP="004E0520">
            <w:pPr>
              <w:rPr>
                <w:sz w:val="10"/>
                <w:szCs w:val="10"/>
              </w:rPr>
            </w:pPr>
          </w:p>
        </w:tc>
        <w:tc>
          <w:tcPr>
            <w:tcW w:w="1701" w:type="dxa"/>
          </w:tcPr>
          <w:p w14:paraId="3266508C" w14:textId="77777777" w:rsidR="0017561A" w:rsidRPr="00912C7E" w:rsidRDefault="0017561A" w:rsidP="004E0520">
            <w:pPr>
              <w:rPr>
                <w:sz w:val="10"/>
                <w:szCs w:val="10"/>
              </w:rPr>
            </w:pPr>
          </w:p>
        </w:tc>
        <w:tc>
          <w:tcPr>
            <w:tcW w:w="1701" w:type="dxa"/>
          </w:tcPr>
          <w:p w14:paraId="1A2CCE39" w14:textId="77777777" w:rsidR="0017561A" w:rsidRPr="00912C7E" w:rsidRDefault="0017561A" w:rsidP="004E0520">
            <w:pPr>
              <w:rPr>
                <w:sz w:val="10"/>
                <w:szCs w:val="10"/>
              </w:rPr>
            </w:pPr>
          </w:p>
        </w:tc>
      </w:tr>
      <w:tr w:rsidR="0017561A" w:rsidRPr="00912C7E" w14:paraId="6CB77F42" w14:textId="77777777" w:rsidTr="004E0520">
        <w:trPr>
          <w:jc w:val="center"/>
        </w:trPr>
        <w:tc>
          <w:tcPr>
            <w:tcW w:w="4538" w:type="dxa"/>
          </w:tcPr>
          <w:p w14:paraId="6DF52D37" w14:textId="77777777" w:rsidR="0017561A" w:rsidRPr="00912C7E" w:rsidRDefault="0017561A" w:rsidP="004E0520">
            <w:r w:rsidRPr="00912C7E">
              <w:rPr>
                <w:b/>
                <w:bCs/>
              </w:rPr>
              <w:t>Discussed at MDT</w:t>
            </w:r>
          </w:p>
        </w:tc>
        <w:tc>
          <w:tcPr>
            <w:tcW w:w="1699" w:type="dxa"/>
          </w:tcPr>
          <w:p w14:paraId="71D48E43" w14:textId="77777777" w:rsidR="0017561A" w:rsidRPr="00912C7E" w:rsidRDefault="0017561A" w:rsidP="004E0520"/>
        </w:tc>
        <w:tc>
          <w:tcPr>
            <w:tcW w:w="1701" w:type="dxa"/>
          </w:tcPr>
          <w:p w14:paraId="0262A724" w14:textId="77777777" w:rsidR="0017561A" w:rsidRPr="00912C7E" w:rsidRDefault="0017561A" w:rsidP="004E0520"/>
        </w:tc>
        <w:tc>
          <w:tcPr>
            <w:tcW w:w="1701" w:type="dxa"/>
          </w:tcPr>
          <w:p w14:paraId="1DB2BADD" w14:textId="77777777" w:rsidR="0017561A" w:rsidRPr="00912C7E" w:rsidRDefault="0017561A" w:rsidP="004E0520"/>
        </w:tc>
      </w:tr>
      <w:tr w:rsidR="0017561A" w:rsidRPr="00912C7E" w14:paraId="3F6CB57A" w14:textId="77777777" w:rsidTr="004E0520">
        <w:trPr>
          <w:jc w:val="center"/>
        </w:trPr>
        <w:tc>
          <w:tcPr>
            <w:tcW w:w="4538" w:type="dxa"/>
          </w:tcPr>
          <w:p w14:paraId="569A090D" w14:textId="77777777" w:rsidR="0017561A" w:rsidRPr="00912C7E" w:rsidRDefault="0017561A" w:rsidP="004E0520">
            <w:pPr>
              <w:rPr>
                <w:b/>
                <w:bCs/>
              </w:rPr>
            </w:pPr>
            <w:r w:rsidRPr="00912C7E">
              <w:t>Yes</w:t>
            </w:r>
          </w:p>
        </w:tc>
        <w:tc>
          <w:tcPr>
            <w:tcW w:w="1699" w:type="dxa"/>
          </w:tcPr>
          <w:p w14:paraId="6E5A1E26" w14:textId="77777777" w:rsidR="0017561A" w:rsidRPr="00912C7E" w:rsidRDefault="0017561A" w:rsidP="004E0520">
            <w:r w:rsidRPr="00912C7E">
              <w:t>25,997 (70.29)</w:t>
            </w:r>
          </w:p>
        </w:tc>
        <w:tc>
          <w:tcPr>
            <w:tcW w:w="1701" w:type="dxa"/>
          </w:tcPr>
          <w:p w14:paraId="12437D43" w14:textId="77777777" w:rsidR="0017561A" w:rsidRPr="00912C7E" w:rsidRDefault="0017561A" w:rsidP="004E0520">
            <w:r w:rsidRPr="00912C7E">
              <w:t>24,672 (71.27)</w:t>
            </w:r>
          </w:p>
        </w:tc>
        <w:tc>
          <w:tcPr>
            <w:tcW w:w="1701" w:type="dxa"/>
          </w:tcPr>
          <w:p w14:paraId="42292491" w14:textId="77777777" w:rsidR="0017561A" w:rsidRPr="00912C7E" w:rsidRDefault="0017561A" w:rsidP="004E0520">
            <w:r w:rsidRPr="00912C7E">
              <w:t>1,325 (55.93)</w:t>
            </w:r>
          </w:p>
        </w:tc>
      </w:tr>
      <w:tr w:rsidR="0017561A" w:rsidRPr="00912C7E" w14:paraId="5B881E05" w14:textId="77777777" w:rsidTr="004E0520">
        <w:trPr>
          <w:jc w:val="center"/>
        </w:trPr>
        <w:tc>
          <w:tcPr>
            <w:tcW w:w="4538" w:type="dxa"/>
          </w:tcPr>
          <w:p w14:paraId="487AEB40" w14:textId="77777777" w:rsidR="0017561A" w:rsidRPr="00912C7E" w:rsidRDefault="0017561A" w:rsidP="004E0520">
            <w:r w:rsidRPr="00912C7E">
              <w:t>No</w:t>
            </w:r>
          </w:p>
        </w:tc>
        <w:tc>
          <w:tcPr>
            <w:tcW w:w="1699" w:type="dxa"/>
          </w:tcPr>
          <w:p w14:paraId="2E9FDF9A" w14:textId="77777777" w:rsidR="0017561A" w:rsidRPr="00912C7E" w:rsidRDefault="0017561A" w:rsidP="004E0520">
            <w:r w:rsidRPr="00912C7E">
              <w:t>5,789 (15.65)</w:t>
            </w:r>
          </w:p>
        </w:tc>
        <w:tc>
          <w:tcPr>
            <w:tcW w:w="1701" w:type="dxa"/>
          </w:tcPr>
          <w:p w14:paraId="4651D942" w14:textId="77777777" w:rsidR="0017561A" w:rsidRPr="00912C7E" w:rsidRDefault="0017561A" w:rsidP="004E0520">
            <w:r w:rsidRPr="00912C7E">
              <w:t>5,352 (15.46)</w:t>
            </w:r>
          </w:p>
        </w:tc>
        <w:tc>
          <w:tcPr>
            <w:tcW w:w="1701" w:type="dxa"/>
          </w:tcPr>
          <w:p w14:paraId="4D08894D" w14:textId="77777777" w:rsidR="0017561A" w:rsidRPr="00912C7E" w:rsidRDefault="0017561A" w:rsidP="004E0520">
            <w:r w:rsidRPr="00912C7E">
              <w:t>437 (18.45)</w:t>
            </w:r>
          </w:p>
        </w:tc>
      </w:tr>
      <w:tr w:rsidR="0017561A" w:rsidRPr="00912C7E" w14:paraId="6C3CDB0A" w14:textId="77777777" w:rsidTr="004E0520">
        <w:trPr>
          <w:jc w:val="center"/>
        </w:trPr>
        <w:tc>
          <w:tcPr>
            <w:tcW w:w="4538" w:type="dxa"/>
          </w:tcPr>
          <w:p w14:paraId="0FF497DC" w14:textId="77777777" w:rsidR="0017561A" w:rsidRPr="00912C7E" w:rsidRDefault="0017561A" w:rsidP="004E0520">
            <w:r w:rsidRPr="00912C7E">
              <w:t>Missing</w:t>
            </w:r>
          </w:p>
        </w:tc>
        <w:tc>
          <w:tcPr>
            <w:tcW w:w="1699" w:type="dxa"/>
          </w:tcPr>
          <w:p w14:paraId="357297EF" w14:textId="77777777" w:rsidR="0017561A" w:rsidRPr="00912C7E" w:rsidRDefault="0017561A" w:rsidP="004E0520">
            <w:r w:rsidRPr="00912C7E">
              <w:t>5,199 (14.06)</w:t>
            </w:r>
          </w:p>
        </w:tc>
        <w:tc>
          <w:tcPr>
            <w:tcW w:w="1701" w:type="dxa"/>
          </w:tcPr>
          <w:p w14:paraId="083B6A78" w14:textId="77777777" w:rsidR="0017561A" w:rsidRPr="00912C7E" w:rsidRDefault="0017561A" w:rsidP="004E0520">
            <w:r w:rsidRPr="00912C7E">
              <w:t>4,592 (13.27)</w:t>
            </w:r>
          </w:p>
        </w:tc>
        <w:tc>
          <w:tcPr>
            <w:tcW w:w="1701" w:type="dxa"/>
          </w:tcPr>
          <w:p w14:paraId="6A702B5F" w14:textId="77777777" w:rsidR="0017561A" w:rsidRPr="00912C7E" w:rsidRDefault="0017561A" w:rsidP="004E0520">
            <w:r w:rsidRPr="00912C7E">
              <w:t>607 (25.62)</w:t>
            </w:r>
          </w:p>
        </w:tc>
      </w:tr>
      <w:tr w:rsidR="0017561A" w:rsidRPr="00912C7E" w14:paraId="766A215B" w14:textId="77777777" w:rsidTr="004E0520">
        <w:trPr>
          <w:jc w:val="center"/>
        </w:trPr>
        <w:tc>
          <w:tcPr>
            <w:tcW w:w="4538" w:type="dxa"/>
          </w:tcPr>
          <w:p w14:paraId="75ABEE50" w14:textId="77777777" w:rsidR="0017561A" w:rsidRPr="00912C7E" w:rsidRDefault="0017561A" w:rsidP="004E0520"/>
        </w:tc>
        <w:tc>
          <w:tcPr>
            <w:tcW w:w="1699" w:type="dxa"/>
          </w:tcPr>
          <w:p w14:paraId="5FE2719D" w14:textId="77777777" w:rsidR="0017561A" w:rsidRPr="00912C7E" w:rsidRDefault="0017561A" w:rsidP="004E0520"/>
        </w:tc>
        <w:tc>
          <w:tcPr>
            <w:tcW w:w="1701" w:type="dxa"/>
          </w:tcPr>
          <w:p w14:paraId="0D2D8C4C" w14:textId="77777777" w:rsidR="0017561A" w:rsidRPr="00912C7E" w:rsidRDefault="0017561A" w:rsidP="004E0520"/>
        </w:tc>
        <w:tc>
          <w:tcPr>
            <w:tcW w:w="1701" w:type="dxa"/>
          </w:tcPr>
          <w:p w14:paraId="276C078B" w14:textId="77777777" w:rsidR="0017561A" w:rsidRPr="00912C7E" w:rsidRDefault="0017561A" w:rsidP="004E0520"/>
        </w:tc>
      </w:tr>
      <w:tr w:rsidR="0017561A" w:rsidRPr="00912C7E" w14:paraId="4E6E8F8F" w14:textId="77777777" w:rsidTr="004E0520">
        <w:trPr>
          <w:jc w:val="center"/>
        </w:trPr>
        <w:tc>
          <w:tcPr>
            <w:tcW w:w="4538" w:type="dxa"/>
          </w:tcPr>
          <w:p w14:paraId="608E934C" w14:textId="77777777" w:rsidR="0017561A" w:rsidRPr="00912C7E" w:rsidRDefault="0017561A" w:rsidP="004E0520">
            <w:r w:rsidRPr="00912C7E">
              <w:rPr>
                <w:b/>
                <w:bCs/>
              </w:rPr>
              <w:t>Diagnosis Year</w:t>
            </w:r>
          </w:p>
        </w:tc>
        <w:tc>
          <w:tcPr>
            <w:tcW w:w="1699" w:type="dxa"/>
          </w:tcPr>
          <w:p w14:paraId="58B5B262" w14:textId="77777777" w:rsidR="0017561A" w:rsidRPr="00912C7E" w:rsidRDefault="0017561A" w:rsidP="004E0520"/>
        </w:tc>
        <w:tc>
          <w:tcPr>
            <w:tcW w:w="1701" w:type="dxa"/>
          </w:tcPr>
          <w:p w14:paraId="4D894965" w14:textId="77777777" w:rsidR="0017561A" w:rsidRPr="00912C7E" w:rsidRDefault="0017561A" w:rsidP="004E0520"/>
        </w:tc>
        <w:tc>
          <w:tcPr>
            <w:tcW w:w="1701" w:type="dxa"/>
          </w:tcPr>
          <w:p w14:paraId="26D181D5" w14:textId="77777777" w:rsidR="0017561A" w:rsidRPr="00912C7E" w:rsidRDefault="0017561A" w:rsidP="004E0520"/>
        </w:tc>
      </w:tr>
      <w:tr w:rsidR="0017561A" w:rsidRPr="00912C7E" w14:paraId="4AF4A784" w14:textId="77777777" w:rsidTr="004E0520">
        <w:trPr>
          <w:jc w:val="center"/>
        </w:trPr>
        <w:tc>
          <w:tcPr>
            <w:tcW w:w="4538" w:type="dxa"/>
          </w:tcPr>
          <w:p w14:paraId="02865039" w14:textId="77777777" w:rsidR="0017561A" w:rsidRPr="00912C7E" w:rsidRDefault="0017561A" w:rsidP="004E0520">
            <w:r w:rsidRPr="00912C7E">
              <w:t>2012</w:t>
            </w:r>
          </w:p>
        </w:tc>
        <w:tc>
          <w:tcPr>
            <w:tcW w:w="1699" w:type="dxa"/>
          </w:tcPr>
          <w:p w14:paraId="75C04411" w14:textId="77777777" w:rsidR="0017561A" w:rsidRPr="00912C7E" w:rsidRDefault="0017561A" w:rsidP="004E0520">
            <w:r w:rsidRPr="00912C7E">
              <w:t>4,099 (11.08)</w:t>
            </w:r>
          </w:p>
        </w:tc>
        <w:tc>
          <w:tcPr>
            <w:tcW w:w="1701" w:type="dxa"/>
          </w:tcPr>
          <w:p w14:paraId="6C002434" w14:textId="77777777" w:rsidR="0017561A" w:rsidRPr="00912C7E" w:rsidRDefault="0017561A" w:rsidP="004E0520">
            <w:r w:rsidRPr="00912C7E">
              <w:t>3,810 (11.01)</w:t>
            </w:r>
          </w:p>
        </w:tc>
        <w:tc>
          <w:tcPr>
            <w:tcW w:w="1701" w:type="dxa"/>
          </w:tcPr>
          <w:p w14:paraId="5C79E28A" w14:textId="77777777" w:rsidR="0017561A" w:rsidRPr="00912C7E" w:rsidRDefault="0017561A" w:rsidP="004E0520">
            <w:r w:rsidRPr="00912C7E">
              <w:t>289 (12.20)</w:t>
            </w:r>
          </w:p>
        </w:tc>
      </w:tr>
      <w:tr w:rsidR="0017561A" w:rsidRPr="00912C7E" w14:paraId="26961B9A" w14:textId="77777777" w:rsidTr="004E0520">
        <w:trPr>
          <w:jc w:val="center"/>
        </w:trPr>
        <w:tc>
          <w:tcPr>
            <w:tcW w:w="4538" w:type="dxa"/>
          </w:tcPr>
          <w:p w14:paraId="26CB5590" w14:textId="77777777" w:rsidR="0017561A" w:rsidRPr="00912C7E" w:rsidRDefault="0017561A" w:rsidP="004E0520">
            <w:r w:rsidRPr="00912C7E">
              <w:t>2013</w:t>
            </w:r>
          </w:p>
        </w:tc>
        <w:tc>
          <w:tcPr>
            <w:tcW w:w="1699" w:type="dxa"/>
          </w:tcPr>
          <w:p w14:paraId="619E2A49" w14:textId="77777777" w:rsidR="0017561A" w:rsidRPr="00912C7E" w:rsidRDefault="0017561A" w:rsidP="004E0520">
            <w:r w:rsidRPr="00912C7E">
              <w:t>4,982 (13.47)</w:t>
            </w:r>
          </w:p>
        </w:tc>
        <w:tc>
          <w:tcPr>
            <w:tcW w:w="1701" w:type="dxa"/>
          </w:tcPr>
          <w:p w14:paraId="0BC91C79" w14:textId="77777777" w:rsidR="0017561A" w:rsidRPr="00912C7E" w:rsidRDefault="0017561A" w:rsidP="004E0520">
            <w:r w:rsidRPr="00912C7E">
              <w:t>4,638 (13.40)</w:t>
            </w:r>
          </w:p>
        </w:tc>
        <w:tc>
          <w:tcPr>
            <w:tcW w:w="1701" w:type="dxa"/>
          </w:tcPr>
          <w:p w14:paraId="3D55FB4A" w14:textId="77777777" w:rsidR="0017561A" w:rsidRPr="00912C7E" w:rsidRDefault="0017561A" w:rsidP="004E0520">
            <w:r w:rsidRPr="00912C7E">
              <w:t>344 (14.52)</w:t>
            </w:r>
          </w:p>
        </w:tc>
      </w:tr>
      <w:tr w:rsidR="0017561A" w:rsidRPr="00912C7E" w14:paraId="5068CF6B" w14:textId="77777777" w:rsidTr="004E0520">
        <w:trPr>
          <w:jc w:val="center"/>
        </w:trPr>
        <w:tc>
          <w:tcPr>
            <w:tcW w:w="4538" w:type="dxa"/>
          </w:tcPr>
          <w:p w14:paraId="67ADB4FD" w14:textId="77777777" w:rsidR="0017561A" w:rsidRPr="00912C7E" w:rsidRDefault="0017561A" w:rsidP="004E0520">
            <w:r w:rsidRPr="00912C7E">
              <w:t>2014</w:t>
            </w:r>
          </w:p>
        </w:tc>
        <w:tc>
          <w:tcPr>
            <w:tcW w:w="1699" w:type="dxa"/>
          </w:tcPr>
          <w:p w14:paraId="0E054A25" w14:textId="77777777" w:rsidR="0017561A" w:rsidRPr="00912C7E" w:rsidRDefault="0017561A" w:rsidP="004E0520">
            <w:r w:rsidRPr="00912C7E">
              <w:t>5,705 (15.43)</w:t>
            </w:r>
          </w:p>
        </w:tc>
        <w:tc>
          <w:tcPr>
            <w:tcW w:w="1701" w:type="dxa"/>
          </w:tcPr>
          <w:p w14:paraId="7BFA270F" w14:textId="77777777" w:rsidR="0017561A" w:rsidRPr="00912C7E" w:rsidRDefault="0017561A" w:rsidP="004E0520">
            <w:r w:rsidRPr="00912C7E">
              <w:t>5,325 (15.38)</w:t>
            </w:r>
          </w:p>
        </w:tc>
        <w:tc>
          <w:tcPr>
            <w:tcW w:w="1701" w:type="dxa"/>
          </w:tcPr>
          <w:p w14:paraId="46B95E70" w14:textId="77777777" w:rsidR="0017561A" w:rsidRPr="00912C7E" w:rsidRDefault="0017561A" w:rsidP="004E0520">
            <w:r w:rsidRPr="00912C7E">
              <w:t>380 (16.04)</w:t>
            </w:r>
          </w:p>
        </w:tc>
      </w:tr>
      <w:tr w:rsidR="0017561A" w:rsidRPr="00912C7E" w14:paraId="5922C960" w14:textId="77777777" w:rsidTr="004E0520">
        <w:trPr>
          <w:jc w:val="center"/>
        </w:trPr>
        <w:tc>
          <w:tcPr>
            <w:tcW w:w="4538" w:type="dxa"/>
          </w:tcPr>
          <w:p w14:paraId="5FEA28D1" w14:textId="77777777" w:rsidR="0017561A" w:rsidRPr="00912C7E" w:rsidRDefault="0017561A" w:rsidP="004E0520">
            <w:r w:rsidRPr="00912C7E">
              <w:t>2015</w:t>
            </w:r>
          </w:p>
        </w:tc>
        <w:tc>
          <w:tcPr>
            <w:tcW w:w="1699" w:type="dxa"/>
          </w:tcPr>
          <w:p w14:paraId="352CB7D0" w14:textId="77777777" w:rsidR="0017561A" w:rsidRPr="00912C7E" w:rsidRDefault="0017561A" w:rsidP="004E0520">
            <w:r w:rsidRPr="00912C7E">
              <w:t>6,561 (17.74)</w:t>
            </w:r>
          </w:p>
        </w:tc>
        <w:tc>
          <w:tcPr>
            <w:tcW w:w="1701" w:type="dxa"/>
          </w:tcPr>
          <w:p w14:paraId="0F9470E5" w14:textId="77777777" w:rsidR="0017561A" w:rsidRPr="00912C7E" w:rsidRDefault="0017561A" w:rsidP="004E0520">
            <w:r w:rsidRPr="00912C7E">
              <w:t>6,144</w:t>
            </w:r>
            <w:r>
              <w:t xml:space="preserve"> (17.75)</w:t>
            </w:r>
          </w:p>
        </w:tc>
        <w:tc>
          <w:tcPr>
            <w:tcW w:w="1701" w:type="dxa"/>
          </w:tcPr>
          <w:p w14:paraId="4CBBBBDC" w14:textId="77777777" w:rsidR="0017561A" w:rsidRPr="00912C7E" w:rsidRDefault="0017561A" w:rsidP="004E0520">
            <w:r w:rsidRPr="00912C7E">
              <w:t>417 (17.60)</w:t>
            </w:r>
          </w:p>
        </w:tc>
      </w:tr>
      <w:tr w:rsidR="0017561A" w:rsidRPr="00912C7E" w14:paraId="7591ABC5" w14:textId="77777777" w:rsidTr="004E0520">
        <w:trPr>
          <w:jc w:val="center"/>
        </w:trPr>
        <w:tc>
          <w:tcPr>
            <w:tcW w:w="4538" w:type="dxa"/>
          </w:tcPr>
          <w:p w14:paraId="26945BA4" w14:textId="77777777" w:rsidR="0017561A" w:rsidRPr="00912C7E" w:rsidRDefault="0017561A" w:rsidP="004E0520">
            <w:r w:rsidRPr="00912C7E">
              <w:t>2016</w:t>
            </w:r>
          </w:p>
        </w:tc>
        <w:tc>
          <w:tcPr>
            <w:tcW w:w="1699" w:type="dxa"/>
          </w:tcPr>
          <w:p w14:paraId="248C6E68" w14:textId="77777777" w:rsidR="0017561A" w:rsidRPr="00912C7E" w:rsidRDefault="0017561A" w:rsidP="004E0520">
            <w:r w:rsidRPr="00912C7E">
              <w:t>7,476 (20.21)</w:t>
            </w:r>
          </w:p>
        </w:tc>
        <w:tc>
          <w:tcPr>
            <w:tcW w:w="1701" w:type="dxa"/>
          </w:tcPr>
          <w:p w14:paraId="3A745EBA" w14:textId="77777777" w:rsidR="0017561A" w:rsidRPr="00912C7E" w:rsidRDefault="0017561A" w:rsidP="004E0520">
            <w:r w:rsidRPr="00912C7E">
              <w:t>7,031 (20.31)</w:t>
            </w:r>
          </w:p>
        </w:tc>
        <w:tc>
          <w:tcPr>
            <w:tcW w:w="1701" w:type="dxa"/>
          </w:tcPr>
          <w:p w14:paraId="1D62E255" w14:textId="77777777" w:rsidR="0017561A" w:rsidRPr="00912C7E" w:rsidRDefault="0017561A" w:rsidP="004E0520">
            <w:r w:rsidRPr="00912C7E">
              <w:t>445 (18.78)</w:t>
            </w:r>
          </w:p>
        </w:tc>
      </w:tr>
      <w:tr w:rsidR="0017561A" w:rsidRPr="00912C7E" w14:paraId="4BFCD96A" w14:textId="77777777" w:rsidTr="004E0520">
        <w:trPr>
          <w:jc w:val="center"/>
        </w:trPr>
        <w:tc>
          <w:tcPr>
            <w:tcW w:w="4538" w:type="dxa"/>
          </w:tcPr>
          <w:p w14:paraId="70779D0C" w14:textId="77777777" w:rsidR="0017561A" w:rsidRPr="00912C7E" w:rsidRDefault="0017561A" w:rsidP="004E0520">
            <w:pPr>
              <w:rPr>
                <w:sz w:val="16"/>
                <w:szCs w:val="16"/>
              </w:rPr>
            </w:pPr>
            <w:r w:rsidRPr="00912C7E">
              <w:t>2017</w:t>
            </w:r>
          </w:p>
        </w:tc>
        <w:tc>
          <w:tcPr>
            <w:tcW w:w="1699" w:type="dxa"/>
          </w:tcPr>
          <w:p w14:paraId="37D0D88F" w14:textId="77777777" w:rsidR="0017561A" w:rsidRPr="00912C7E" w:rsidRDefault="0017561A" w:rsidP="004E0520">
            <w:pPr>
              <w:rPr>
                <w:sz w:val="10"/>
                <w:szCs w:val="10"/>
              </w:rPr>
            </w:pPr>
            <w:r w:rsidRPr="00912C7E">
              <w:t>8,162 (22.07)</w:t>
            </w:r>
          </w:p>
        </w:tc>
        <w:tc>
          <w:tcPr>
            <w:tcW w:w="1701" w:type="dxa"/>
          </w:tcPr>
          <w:p w14:paraId="6210C1E2" w14:textId="77777777" w:rsidR="0017561A" w:rsidRPr="00912C7E" w:rsidRDefault="0017561A" w:rsidP="004E0520">
            <w:pPr>
              <w:rPr>
                <w:sz w:val="10"/>
                <w:szCs w:val="10"/>
              </w:rPr>
            </w:pPr>
            <w:r w:rsidRPr="00912C7E">
              <w:t>7,668 (22.15)</w:t>
            </w:r>
          </w:p>
        </w:tc>
        <w:tc>
          <w:tcPr>
            <w:tcW w:w="1701" w:type="dxa"/>
          </w:tcPr>
          <w:p w14:paraId="37EAF66F" w14:textId="77777777" w:rsidR="0017561A" w:rsidRPr="00912C7E" w:rsidRDefault="0017561A" w:rsidP="004E0520">
            <w:pPr>
              <w:rPr>
                <w:sz w:val="10"/>
                <w:szCs w:val="10"/>
              </w:rPr>
            </w:pPr>
            <w:r w:rsidRPr="00912C7E">
              <w:t>494 (20.85)</w:t>
            </w:r>
          </w:p>
        </w:tc>
      </w:tr>
      <w:tr w:rsidR="0017561A" w:rsidRPr="00912C7E" w14:paraId="053628D4" w14:textId="77777777" w:rsidTr="004E0520">
        <w:trPr>
          <w:jc w:val="center"/>
        </w:trPr>
        <w:tc>
          <w:tcPr>
            <w:tcW w:w="4538" w:type="dxa"/>
          </w:tcPr>
          <w:p w14:paraId="3E2D9039" w14:textId="77777777" w:rsidR="0017561A" w:rsidRPr="00912C7E" w:rsidRDefault="0017561A" w:rsidP="004E0520"/>
        </w:tc>
        <w:tc>
          <w:tcPr>
            <w:tcW w:w="1699" w:type="dxa"/>
          </w:tcPr>
          <w:p w14:paraId="7502B6F1" w14:textId="77777777" w:rsidR="0017561A" w:rsidRPr="00912C7E" w:rsidRDefault="0017561A" w:rsidP="004E0520"/>
        </w:tc>
        <w:tc>
          <w:tcPr>
            <w:tcW w:w="1701" w:type="dxa"/>
          </w:tcPr>
          <w:p w14:paraId="04312C66" w14:textId="77777777" w:rsidR="0017561A" w:rsidRPr="00912C7E" w:rsidRDefault="0017561A" w:rsidP="004E0520"/>
        </w:tc>
        <w:tc>
          <w:tcPr>
            <w:tcW w:w="1701" w:type="dxa"/>
          </w:tcPr>
          <w:p w14:paraId="6D80E74B" w14:textId="77777777" w:rsidR="0017561A" w:rsidRPr="00912C7E" w:rsidRDefault="0017561A" w:rsidP="004E0520"/>
        </w:tc>
      </w:tr>
      <w:tr w:rsidR="0017561A" w:rsidRPr="00912C7E" w14:paraId="116009E0" w14:textId="77777777" w:rsidTr="004E0520">
        <w:trPr>
          <w:jc w:val="center"/>
        </w:trPr>
        <w:tc>
          <w:tcPr>
            <w:tcW w:w="4538" w:type="dxa"/>
          </w:tcPr>
          <w:p w14:paraId="09C8F4CE" w14:textId="77777777" w:rsidR="0017561A" w:rsidRPr="00912C7E" w:rsidRDefault="0017561A" w:rsidP="004E0520">
            <w:r w:rsidRPr="00912C7E">
              <w:rPr>
                <w:b/>
                <w:bCs/>
              </w:rPr>
              <w:t>Treatment</w:t>
            </w:r>
            <w:r>
              <w:rPr>
                <w:b/>
                <w:bCs/>
                <w:vertAlign w:val="superscript"/>
              </w:rPr>
              <w:t>i</w:t>
            </w:r>
          </w:p>
        </w:tc>
        <w:tc>
          <w:tcPr>
            <w:tcW w:w="1699" w:type="dxa"/>
          </w:tcPr>
          <w:p w14:paraId="7D64479E" w14:textId="77777777" w:rsidR="0017561A" w:rsidRPr="00912C7E" w:rsidRDefault="0017561A" w:rsidP="004E0520"/>
        </w:tc>
        <w:tc>
          <w:tcPr>
            <w:tcW w:w="1701" w:type="dxa"/>
          </w:tcPr>
          <w:p w14:paraId="0B1C6EDD" w14:textId="77777777" w:rsidR="0017561A" w:rsidRPr="00912C7E" w:rsidRDefault="0017561A" w:rsidP="004E0520"/>
        </w:tc>
        <w:tc>
          <w:tcPr>
            <w:tcW w:w="1701" w:type="dxa"/>
          </w:tcPr>
          <w:p w14:paraId="5CD5CE81" w14:textId="77777777" w:rsidR="0017561A" w:rsidRPr="00912C7E" w:rsidRDefault="0017561A" w:rsidP="004E0520"/>
        </w:tc>
      </w:tr>
      <w:tr w:rsidR="0017561A" w:rsidRPr="00912C7E" w14:paraId="609C8830" w14:textId="77777777" w:rsidTr="004E0520">
        <w:trPr>
          <w:jc w:val="center"/>
        </w:trPr>
        <w:tc>
          <w:tcPr>
            <w:tcW w:w="4538" w:type="dxa"/>
          </w:tcPr>
          <w:p w14:paraId="2C679624" w14:textId="77777777" w:rsidR="0017561A" w:rsidRPr="00912C7E" w:rsidRDefault="0017561A" w:rsidP="004E0520">
            <w:pPr>
              <w:rPr>
                <w:b/>
                <w:bCs/>
              </w:rPr>
            </w:pPr>
            <w:r w:rsidRPr="00912C7E">
              <w:t>Received Chemotherapy</w:t>
            </w:r>
            <w:r w:rsidRPr="0075332B">
              <w:rPr>
                <w:vertAlign w:val="superscript"/>
              </w:rPr>
              <w:t>j,k</w:t>
            </w:r>
          </w:p>
        </w:tc>
        <w:tc>
          <w:tcPr>
            <w:tcW w:w="1699" w:type="dxa"/>
          </w:tcPr>
          <w:p w14:paraId="1CF7ACA9" w14:textId="77777777" w:rsidR="0017561A" w:rsidRPr="00912C7E" w:rsidRDefault="0017561A" w:rsidP="004E0520">
            <w:r w:rsidRPr="00912C7E">
              <w:t>22,893 (61.90)</w:t>
            </w:r>
          </w:p>
        </w:tc>
        <w:tc>
          <w:tcPr>
            <w:tcW w:w="1701" w:type="dxa"/>
          </w:tcPr>
          <w:p w14:paraId="64A7911B" w14:textId="77777777" w:rsidR="0017561A" w:rsidRPr="00912C7E" w:rsidRDefault="0017561A" w:rsidP="004E0520">
            <w:r w:rsidRPr="00912C7E">
              <w:t>21,353 (61.69)</w:t>
            </w:r>
          </w:p>
        </w:tc>
        <w:tc>
          <w:tcPr>
            <w:tcW w:w="1701" w:type="dxa"/>
          </w:tcPr>
          <w:p w14:paraId="0B769E1D" w14:textId="77777777" w:rsidR="0017561A" w:rsidRPr="00912C7E" w:rsidRDefault="0017561A" w:rsidP="004E0520">
            <w:r w:rsidRPr="00912C7E">
              <w:t>1,540 (65.01)</w:t>
            </w:r>
          </w:p>
        </w:tc>
      </w:tr>
      <w:tr w:rsidR="0017561A" w:rsidRPr="00912C7E" w14:paraId="17797BFB" w14:textId="77777777" w:rsidTr="004E0520">
        <w:trPr>
          <w:jc w:val="center"/>
        </w:trPr>
        <w:tc>
          <w:tcPr>
            <w:tcW w:w="4538" w:type="dxa"/>
          </w:tcPr>
          <w:p w14:paraId="7021887B" w14:textId="77777777" w:rsidR="0017561A" w:rsidRPr="00912C7E" w:rsidRDefault="0017561A" w:rsidP="004E0520">
            <w:r w:rsidRPr="00912C7E">
              <w:t>Received Surgery</w:t>
            </w:r>
            <w:r w:rsidRPr="00B52FF8">
              <w:rPr>
                <w:vertAlign w:val="superscript"/>
              </w:rPr>
              <w:t>j</w:t>
            </w:r>
            <w:r w:rsidRPr="0075332B">
              <w:rPr>
                <w:vertAlign w:val="superscript"/>
              </w:rPr>
              <w:t>,</w:t>
            </w:r>
            <w:r>
              <w:rPr>
                <w:vertAlign w:val="superscript"/>
              </w:rPr>
              <w:t>k</w:t>
            </w:r>
          </w:p>
        </w:tc>
        <w:tc>
          <w:tcPr>
            <w:tcW w:w="1699" w:type="dxa"/>
          </w:tcPr>
          <w:p w14:paraId="517DB7DD" w14:textId="77777777" w:rsidR="0017561A" w:rsidRPr="00912C7E" w:rsidRDefault="0017561A" w:rsidP="004E0520">
            <w:r w:rsidRPr="00912C7E">
              <w:t>28,738 (77.70)</w:t>
            </w:r>
          </w:p>
        </w:tc>
        <w:tc>
          <w:tcPr>
            <w:tcW w:w="1701" w:type="dxa"/>
          </w:tcPr>
          <w:p w14:paraId="5F0389C0" w14:textId="77777777" w:rsidR="0017561A" w:rsidRPr="00912C7E" w:rsidRDefault="0017561A" w:rsidP="004E0520">
            <w:r w:rsidRPr="00912C7E">
              <w:t>28,294 (81.74)</w:t>
            </w:r>
          </w:p>
        </w:tc>
        <w:tc>
          <w:tcPr>
            <w:tcW w:w="1701" w:type="dxa"/>
          </w:tcPr>
          <w:p w14:paraId="25C87D3E" w14:textId="77777777" w:rsidR="0017561A" w:rsidRPr="00912C7E" w:rsidRDefault="0017561A" w:rsidP="004E0520">
            <w:r w:rsidRPr="00912C7E">
              <w:t>444 (18.74)</w:t>
            </w:r>
          </w:p>
        </w:tc>
      </w:tr>
      <w:tr w:rsidR="0017561A" w:rsidRPr="00912C7E" w14:paraId="3C10427E" w14:textId="77777777" w:rsidTr="004E0520">
        <w:trPr>
          <w:jc w:val="center"/>
        </w:trPr>
        <w:tc>
          <w:tcPr>
            <w:tcW w:w="4538" w:type="dxa"/>
            <w:tcBorders>
              <w:bottom w:val="single" w:sz="4" w:space="0" w:color="auto"/>
            </w:tcBorders>
          </w:tcPr>
          <w:p w14:paraId="2A961876" w14:textId="77777777" w:rsidR="0017561A" w:rsidRPr="00912C7E" w:rsidRDefault="0017561A" w:rsidP="004E0520">
            <w:r w:rsidRPr="00912C7E">
              <w:t>Received Trastuzumab</w:t>
            </w:r>
            <w:r w:rsidRPr="00B52FF8">
              <w:rPr>
                <w:vertAlign w:val="superscript"/>
              </w:rPr>
              <w:t>l</w:t>
            </w:r>
          </w:p>
        </w:tc>
        <w:tc>
          <w:tcPr>
            <w:tcW w:w="1699" w:type="dxa"/>
            <w:tcBorders>
              <w:bottom w:val="single" w:sz="4" w:space="0" w:color="auto"/>
            </w:tcBorders>
          </w:tcPr>
          <w:p w14:paraId="5B353D42" w14:textId="77777777" w:rsidR="0017561A" w:rsidRPr="00912C7E" w:rsidRDefault="0017561A" w:rsidP="004E0520">
            <w:r w:rsidRPr="00912C7E">
              <w:t>16,629 (44.96)</w:t>
            </w:r>
          </w:p>
        </w:tc>
        <w:tc>
          <w:tcPr>
            <w:tcW w:w="1701" w:type="dxa"/>
            <w:tcBorders>
              <w:bottom w:val="single" w:sz="4" w:space="0" w:color="auto"/>
            </w:tcBorders>
          </w:tcPr>
          <w:p w14:paraId="247BF760" w14:textId="77777777" w:rsidR="0017561A" w:rsidRPr="00912C7E" w:rsidRDefault="0017561A" w:rsidP="004E0520">
            <w:r w:rsidRPr="00912C7E">
              <w:t>15,567 (44.97)</w:t>
            </w:r>
          </w:p>
        </w:tc>
        <w:tc>
          <w:tcPr>
            <w:tcW w:w="1701" w:type="dxa"/>
            <w:tcBorders>
              <w:bottom w:val="single" w:sz="4" w:space="0" w:color="auto"/>
            </w:tcBorders>
          </w:tcPr>
          <w:p w14:paraId="42CDF504" w14:textId="77777777" w:rsidR="0017561A" w:rsidRPr="00912C7E" w:rsidRDefault="0017561A" w:rsidP="004E0520">
            <w:r w:rsidRPr="00912C7E">
              <w:t>1,062 (44.83)</w:t>
            </w:r>
          </w:p>
          <w:p w14:paraId="723D7DCE" w14:textId="77777777" w:rsidR="0017561A" w:rsidRPr="00E46B36" w:rsidRDefault="0017561A" w:rsidP="004E0520">
            <w:pPr>
              <w:rPr>
                <w:sz w:val="10"/>
                <w:szCs w:val="10"/>
              </w:rPr>
            </w:pPr>
          </w:p>
        </w:tc>
      </w:tr>
    </w:tbl>
    <w:p w14:paraId="56D3C2F3" w14:textId="77777777" w:rsidR="0017561A" w:rsidRPr="00912C7E" w:rsidRDefault="0017561A" w:rsidP="0017561A">
      <w:pPr>
        <w:jc w:val="both"/>
        <w:rPr>
          <w:sz w:val="20"/>
          <w:szCs w:val="20"/>
        </w:rPr>
      </w:pPr>
      <w:r>
        <w:rPr>
          <w:sz w:val="20"/>
          <w:szCs w:val="20"/>
          <w:vertAlign w:val="superscript"/>
        </w:rPr>
        <w:lastRenderedPageBreak/>
        <w:t>a</w:t>
      </w:r>
      <w:r w:rsidRPr="00912C7E">
        <w:rPr>
          <w:sz w:val="20"/>
          <w:szCs w:val="20"/>
        </w:rPr>
        <w:t>Refers to IMD (income domain).</w:t>
      </w:r>
      <w:r w:rsidRPr="00912C7E">
        <w:rPr>
          <w:sz w:val="20"/>
          <w:szCs w:val="20"/>
          <w:vertAlign w:val="superscript"/>
        </w:rPr>
        <w:t xml:space="preserve"> </w:t>
      </w:r>
      <w:r w:rsidRPr="00912C7E">
        <w:rPr>
          <w:sz w:val="20"/>
          <w:szCs w:val="20"/>
        </w:rPr>
        <w:t>For diagnosis year 2012, IMD_2010 was used and for diagnosis years 2013-2017, IMD_2015 was used.</w:t>
      </w:r>
    </w:p>
    <w:p w14:paraId="14EAC2B1" w14:textId="77777777" w:rsidR="0017561A" w:rsidRPr="00912C7E" w:rsidRDefault="0017561A" w:rsidP="0017561A">
      <w:pPr>
        <w:jc w:val="both"/>
        <w:rPr>
          <w:sz w:val="20"/>
          <w:szCs w:val="20"/>
        </w:rPr>
      </w:pPr>
      <w:r>
        <w:rPr>
          <w:sz w:val="20"/>
          <w:szCs w:val="20"/>
          <w:vertAlign w:val="superscript"/>
        </w:rPr>
        <w:t>b</w:t>
      </w:r>
      <w:r w:rsidRPr="00912C7E">
        <w:rPr>
          <w:sz w:val="20"/>
          <w:szCs w:val="20"/>
        </w:rPr>
        <w:t>Other ethnic group refers to Asian/British Asian, Black/African/Caribbean/Black British, mixed/multiple ethnic groups and other ethnic groups.</w:t>
      </w:r>
    </w:p>
    <w:p w14:paraId="0D3BAEAF" w14:textId="77777777" w:rsidR="0017561A" w:rsidRPr="00912C7E" w:rsidRDefault="0017561A" w:rsidP="0017561A">
      <w:pPr>
        <w:jc w:val="both"/>
        <w:rPr>
          <w:sz w:val="20"/>
          <w:szCs w:val="20"/>
        </w:rPr>
      </w:pPr>
      <w:r>
        <w:rPr>
          <w:sz w:val="20"/>
          <w:szCs w:val="20"/>
          <w:vertAlign w:val="superscript"/>
        </w:rPr>
        <w:t>c</w:t>
      </w:r>
      <w:r w:rsidRPr="00912C7E">
        <w:rPr>
          <w:sz w:val="20"/>
          <w:szCs w:val="20"/>
        </w:rPr>
        <w:t>Unknown ethnicity refers to unknown and missing ethnicity classifications.</w:t>
      </w:r>
    </w:p>
    <w:p w14:paraId="45A933C2" w14:textId="77777777" w:rsidR="0017561A" w:rsidRPr="00912C7E" w:rsidRDefault="0017561A" w:rsidP="0017561A">
      <w:pPr>
        <w:jc w:val="both"/>
        <w:rPr>
          <w:sz w:val="20"/>
          <w:szCs w:val="20"/>
        </w:rPr>
      </w:pPr>
      <w:r>
        <w:rPr>
          <w:sz w:val="20"/>
          <w:szCs w:val="20"/>
          <w:vertAlign w:val="superscript"/>
        </w:rPr>
        <w:t>d</w:t>
      </w:r>
      <w:r w:rsidRPr="00912C7E">
        <w:rPr>
          <w:sz w:val="20"/>
          <w:szCs w:val="20"/>
        </w:rPr>
        <w:t xml:space="preserve">Other grade refers to undifferentiated, anaplastic, undetermined, and missing </w:t>
      </w:r>
      <w:r>
        <w:rPr>
          <w:sz w:val="20"/>
          <w:szCs w:val="20"/>
        </w:rPr>
        <w:t>tumor</w:t>
      </w:r>
      <w:r w:rsidRPr="00912C7E">
        <w:rPr>
          <w:sz w:val="20"/>
          <w:szCs w:val="20"/>
        </w:rPr>
        <w:t xml:space="preserve"> grades.</w:t>
      </w:r>
    </w:p>
    <w:p w14:paraId="07337E8F" w14:textId="77777777" w:rsidR="0017561A" w:rsidRPr="00912C7E" w:rsidRDefault="0017561A" w:rsidP="0017561A">
      <w:pPr>
        <w:jc w:val="both"/>
        <w:rPr>
          <w:sz w:val="20"/>
          <w:szCs w:val="20"/>
        </w:rPr>
      </w:pPr>
      <w:r>
        <w:rPr>
          <w:sz w:val="20"/>
          <w:szCs w:val="20"/>
          <w:vertAlign w:val="superscript"/>
        </w:rPr>
        <w:t>e</w:t>
      </w:r>
      <w:r w:rsidRPr="00912C7E">
        <w:rPr>
          <w:sz w:val="20"/>
          <w:szCs w:val="20"/>
        </w:rPr>
        <w:t xml:space="preserve">Refers to number of </w:t>
      </w:r>
      <w:r>
        <w:rPr>
          <w:sz w:val="20"/>
          <w:szCs w:val="20"/>
        </w:rPr>
        <w:t>tumor</w:t>
      </w:r>
      <w:r w:rsidRPr="00912C7E">
        <w:rPr>
          <w:sz w:val="20"/>
          <w:szCs w:val="20"/>
        </w:rPr>
        <w:t>s other than the index breast cancer.</w:t>
      </w:r>
    </w:p>
    <w:p w14:paraId="5D8AE8B2" w14:textId="77777777" w:rsidR="0017561A" w:rsidRPr="00912C7E" w:rsidRDefault="0017561A" w:rsidP="0017561A">
      <w:pPr>
        <w:jc w:val="both"/>
        <w:rPr>
          <w:bCs/>
          <w:sz w:val="20"/>
          <w:szCs w:val="20"/>
        </w:rPr>
      </w:pPr>
      <w:r>
        <w:rPr>
          <w:sz w:val="20"/>
          <w:szCs w:val="20"/>
          <w:vertAlign w:val="superscript"/>
        </w:rPr>
        <w:t>f</w:t>
      </w:r>
      <w:r w:rsidRPr="00912C7E">
        <w:rPr>
          <w:sz w:val="20"/>
          <w:szCs w:val="20"/>
        </w:rPr>
        <w:t xml:space="preserve">Refers to </w:t>
      </w:r>
      <w:r w:rsidRPr="00912C7E">
        <w:rPr>
          <w:bCs/>
          <w:sz w:val="20"/>
          <w:szCs w:val="20"/>
        </w:rPr>
        <w:t>at least one positive ER test and includes borderline definitions.</w:t>
      </w:r>
    </w:p>
    <w:p w14:paraId="350DF012" w14:textId="77777777" w:rsidR="0017561A" w:rsidRPr="00912C7E" w:rsidRDefault="0017561A" w:rsidP="0017561A">
      <w:pPr>
        <w:jc w:val="both"/>
        <w:rPr>
          <w:sz w:val="20"/>
          <w:szCs w:val="20"/>
        </w:rPr>
      </w:pPr>
      <w:r>
        <w:rPr>
          <w:bCs/>
          <w:sz w:val="20"/>
          <w:szCs w:val="20"/>
          <w:vertAlign w:val="superscript"/>
        </w:rPr>
        <w:t>g</w:t>
      </w:r>
      <w:r w:rsidRPr="00912C7E">
        <w:rPr>
          <w:bCs/>
          <w:sz w:val="20"/>
          <w:szCs w:val="20"/>
        </w:rPr>
        <w:t>Refers to unknown, not performed, or missing ER status.</w:t>
      </w:r>
    </w:p>
    <w:p w14:paraId="72BFC298" w14:textId="77777777" w:rsidR="0017561A" w:rsidRPr="00912C7E" w:rsidRDefault="0017561A" w:rsidP="0017561A">
      <w:pPr>
        <w:jc w:val="both"/>
        <w:rPr>
          <w:sz w:val="20"/>
          <w:szCs w:val="20"/>
        </w:rPr>
      </w:pPr>
      <w:r>
        <w:rPr>
          <w:sz w:val="20"/>
          <w:szCs w:val="20"/>
          <w:vertAlign w:val="superscript"/>
        </w:rPr>
        <w:t>h</w:t>
      </w:r>
      <w:r w:rsidRPr="00912C7E">
        <w:rPr>
          <w:sz w:val="20"/>
          <w:szCs w:val="20"/>
        </w:rPr>
        <w:t>Refers to Charlson Comorbidity Index</w:t>
      </w:r>
      <w:r>
        <w:rPr>
          <w:sz w:val="20"/>
          <w:szCs w:val="20"/>
        </w:rPr>
        <w:t>.</w:t>
      </w:r>
    </w:p>
    <w:p w14:paraId="41993C2D" w14:textId="77777777" w:rsidR="0017561A" w:rsidRPr="00912C7E" w:rsidRDefault="0017561A" w:rsidP="0017561A">
      <w:pPr>
        <w:jc w:val="both"/>
        <w:rPr>
          <w:sz w:val="20"/>
          <w:szCs w:val="20"/>
        </w:rPr>
      </w:pPr>
      <w:r>
        <w:rPr>
          <w:sz w:val="20"/>
          <w:szCs w:val="20"/>
          <w:vertAlign w:val="superscript"/>
        </w:rPr>
        <w:t>i</w:t>
      </w:r>
      <w:r w:rsidRPr="00912C7E">
        <w:rPr>
          <w:sz w:val="20"/>
          <w:szCs w:val="20"/>
        </w:rPr>
        <w:t xml:space="preserve">Not exclusive, so do not total </w:t>
      </w:r>
      <w:r>
        <w:rPr>
          <w:sz w:val="20"/>
          <w:szCs w:val="20"/>
        </w:rPr>
        <w:t>analytical cohort totals.</w:t>
      </w:r>
    </w:p>
    <w:p w14:paraId="2EA66709" w14:textId="77777777" w:rsidR="0017561A" w:rsidRDefault="0017561A" w:rsidP="0017561A">
      <w:pPr>
        <w:jc w:val="both"/>
        <w:rPr>
          <w:sz w:val="20"/>
          <w:szCs w:val="20"/>
        </w:rPr>
      </w:pPr>
      <w:r>
        <w:rPr>
          <w:sz w:val="20"/>
          <w:szCs w:val="20"/>
          <w:vertAlign w:val="superscript"/>
        </w:rPr>
        <w:t>j</w:t>
      </w:r>
      <w:r w:rsidRPr="00912C7E">
        <w:rPr>
          <w:sz w:val="20"/>
          <w:szCs w:val="20"/>
        </w:rPr>
        <w:t xml:space="preserve">Within six months of diagnosis. Surgery receipt beyond 6 months (e.g. following neo-adjuvant chemotherapy) not captured.  </w:t>
      </w:r>
    </w:p>
    <w:p w14:paraId="40CB9232" w14:textId="77777777" w:rsidR="0017561A" w:rsidRDefault="0017561A" w:rsidP="0017561A">
      <w:pPr>
        <w:jc w:val="both"/>
        <w:rPr>
          <w:sz w:val="20"/>
          <w:szCs w:val="20"/>
        </w:rPr>
      </w:pPr>
      <w:r>
        <w:rPr>
          <w:sz w:val="20"/>
          <w:szCs w:val="20"/>
          <w:vertAlign w:val="superscript"/>
        </w:rPr>
        <w:t>k</w:t>
      </w:r>
      <w:r>
        <w:rPr>
          <w:sz w:val="20"/>
          <w:szCs w:val="20"/>
        </w:rPr>
        <w:t>Data from NCRD.</w:t>
      </w:r>
    </w:p>
    <w:p w14:paraId="5CB45E68" w14:textId="77777777" w:rsidR="0017561A" w:rsidRDefault="0017561A" w:rsidP="0017561A">
      <w:pPr>
        <w:jc w:val="both"/>
        <w:rPr>
          <w:sz w:val="20"/>
          <w:szCs w:val="20"/>
        </w:rPr>
      </w:pPr>
      <w:r>
        <w:rPr>
          <w:sz w:val="20"/>
          <w:szCs w:val="20"/>
          <w:vertAlign w:val="superscript"/>
        </w:rPr>
        <w:t>l</w:t>
      </w:r>
      <w:r>
        <w:rPr>
          <w:sz w:val="20"/>
          <w:szCs w:val="20"/>
        </w:rPr>
        <w:t>Data from SACT.</w:t>
      </w:r>
    </w:p>
    <w:p w14:paraId="0E96983F" w14:textId="77777777" w:rsidR="0017561A" w:rsidRPr="00912C7E" w:rsidRDefault="0017561A" w:rsidP="0017561A">
      <w:pPr>
        <w:jc w:val="both"/>
        <w:rPr>
          <w:sz w:val="20"/>
          <w:szCs w:val="20"/>
        </w:rPr>
      </w:pPr>
      <w:r>
        <w:rPr>
          <w:sz w:val="20"/>
          <w:szCs w:val="20"/>
        </w:rPr>
        <w:t>Abbreviations: IMD: Index of Multiple Deprivation (income domain); HER2: Human epidermal growth factor receptor 2; NCRD: National Cancer Registry Database; SACT: Systemic Anti-Cancer Therapy Database.</w:t>
      </w:r>
    </w:p>
    <w:p w14:paraId="425B61E8" w14:textId="77777777" w:rsidR="0017561A" w:rsidRDefault="0017561A" w:rsidP="0017561A"/>
    <w:p w14:paraId="5840142F" w14:textId="77777777" w:rsidR="0017561A" w:rsidRDefault="0017561A" w:rsidP="00EB2F6F">
      <w:pPr>
        <w:spacing w:line="360" w:lineRule="auto"/>
        <w:rPr>
          <w:rFonts w:eastAsiaTheme="minorHAnsi"/>
          <w:color w:val="000000"/>
          <w:sz w:val="22"/>
          <w:szCs w:val="22"/>
          <w:lang w:eastAsia="en-US"/>
        </w:rPr>
      </w:pPr>
    </w:p>
    <w:p w14:paraId="41A2D066" w14:textId="77777777" w:rsidR="0017561A" w:rsidRDefault="0017561A" w:rsidP="00EB2F6F">
      <w:pPr>
        <w:spacing w:line="360" w:lineRule="auto"/>
        <w:rPr>
          <w:rFonts w:eastAsiaTheme="minorHAnsi"/>
          <w:color w:val="000000"/>
          <w:sz w:val="22"/>
          <w:szCs w:val="22"/>
          <w:lang w:eastAsia="en-US"/>
        </w:rPr>
      </w:pPr>
    </w:p>
    <w:p w14:paraId="49D3D681" w14:textId="77777777" w:rsidR="0017561A" w:rsidRDefault="0017561A" w:rsidP="00EB2F6F">
      <w:pPr>
        <w:spacing w:line="360" w:lineRule="auto"/>
        <w:rPr>
          <w:rFonts w:eastAsiaTheme="minorHAnsi"/>
          <w:color w:val="000000"/>
          <w:sz w:val="22"/>
          <w:szCs w:val="22"/>
          <w:lang w:eastAsia="en-US"/>
        </w:rPr>
      </w:pPr>
    </w:p>
    <w:p w14:paraId="640B4082" w14:textId="77777777" w:rsidR="0017561A" w:rsidRDefault="0017561A" w:rsidP="00EB2F6F">
      <w:pPr>
        <w:spacing w:line="360" w:lineRule="auto"/>
        <w:rPr>
          <w:rFonts w:eastAsiaTheme="minorHAnsi"/>
          <w:color w:val="000000"/>
          <w:sz w:val="22"/>
          <w:szCs w:val="22"/>
          <w:lang w:eastAsia="en-US"/>
        </w:rPr>
      </w:pPr>
    </w:p>
    <w:p w14:paraId="624C2A26" w14:textId="77777777" w:rsidR="0017561A" w:rsidRDefault="0017561A" w:rsidP="00EB2F6F">
      <w:pPr>
        <w:spacing w:line="360" w:lineRule="auto"/>
        <w:rPr>
          <w:rFonts w:eastAsiaTheme="minorHAnsi"/>
          <w:color w:val="000000"/>
          <w:sz w:val="22"/>
          <w:szCs w:val="22"/>
          <w:lang w:eastAsia="en-US"/>
        </w:rPr>
      </w:pPr>
    </w:p>
    <w:p w14:paraId="6CF792EE" w14:textId="77777777" w:rsidR="0017561A" w:rsidRDefault="0017561A" w:rsidP="00EB2F6F">
      <w:pPr>
        <w:spacing w:line="360" w:lineRule="auto"/>
        <w:rPr>
          <w:rFonts w:eastAsiaTheme="minorHAnsi"/>
          <w:color w:val="000000"/>
          <w:sz w:val="22"/>
          <w:szCs w:val="22"/>
          <w:lang w:eastAsia="en-US"/>
        </w:rPr>
      </w:pPr>
    </w:p>
    <w:p w14:paraId="189EAB43" w14:textId="77777777" w:rsidR="0017561A" w:rsidRDefault="0017561A" w:rsidP="00EB2F6F">
      <w:pPr>
        <w:spacing w:line="360" w:lineRule="auto"/>
        <w:rPr>
          <w:rFonts w:eastAsiaTheme="minorHAnsi"/>
          <w:color w:val="000000"/>
          <w:sz w:val="22"/>
          <w:szCs w:val="22"/>
          <w:lang w:eastAsia="en-US"/>
        </w:rPr>
      </w:pPr>
    </w:p>
    <w:p w14:paraId="7B1E935D" w14:textId="77777777" w:rsidR="0017561A" w:rsidRDefault="0017561A" w:rsidP="00EB2F6F">
      <w:pPr>
        <w:spacing w:line="360" w:lineRule="auto"/>
        <w:rPr>
          <w:rFonts w:eastAsiaTheme="minorHAnsi"/>
          <w:color w:val="000000"/>
          <w:sz w:val="22"/>
          <w:szCs w:val="22"/>
          <w:lang w:eastAsia="en-US"/>
        </w:rPr>
      </w:pPr>
    </w:p>
    <w:p w14:paraId="722A56F2" w14:textId="77777777" w:rsidR="0017561A" w:rsidRDefault="0017561A" w:rsidP="00EB2F6F">
      <w:pPr>
        <w:spacing w:line="360" w:lineRule="auto"/>
        <w:rPr>
          <w:rFonts w:eastAsiaTheme="minorHAnsi"/>
          <w:color w:val="000000"/>
          <w:sz w:val="22"/>
          <w:szCs w:val="22"/>
          <w:lang w:eastAsia="en-US"/>
        </w:rPr>
      </w:pPr>
    </w:p>
    <w:p w14:paraId="2F9E982E" w14:textId="77777777" w:rsidR="0017561A" w:rsidRDefault="0017561A" w:rsidP="00EB2F6F">
      <w:pPr>
        <w:spacing w:line="360" w:lineRule="auto"/>
        <w:rPr>
          <w:rFonts w:eastAsiaTheme="minorHAnsi"/>
          <w:color w:val="000000"/>
          <w:sz w:val="22"/>
          <w:szCs w:val="22"/>
          <w:lang w:eastAsia="en-US"/>
        </w:rPr>
      </w:pPr>
    </w:p>
    <w:p w14:paraId="4A41D517" w14:textId="77777777" w:rsidR="0017561A" w:rsidRDefault="0017561A" w:rsidP="00EB2F6F">
      <w:pPr>
        <w:spacing w:line="360" w:lineRule="auto"/>
        <w:rPr>
          <w:rFonts w:eastAsiaTheme="minorHAnsi"/>
          <w:color w:val="000000"/>
          <w:sz w:val="22"/>
          <w:szCs w:val="22"/>
          <w:lang w:eastAsia="en-US"/>
        </w:rPr>
      </w:pPr>
    </w:p>
    <w:p w14:paraId="02196CF7" w14:textId="77777777" w:rsidR="0017561A" w:rsidRDefault="0017561A" w:rsidP="00EB2F6F">
      <w:pPr>
        <w:spacing w:line="360" w:lineRule="auto"/>
        <w:rPr>
          <w:rFonts w:eastAsiaTheme="minorHAnsi"/>
          <w:color w:val="000000"/>
          <w:sz w:val="22"/>
          <w:szCs w:val="22"/>
          <w:lang w:eastAsia="en-US"/>
        </w:rPr>
      </w:pPr>
    </w:p>
    <w:p w14:paraId="10961064" w14:textId="77777777" w:rsidR="0017561A" w:rsidRDefault="0017561A" w:rsidP="00EB2F6F">
      <w:pPr>
        <w:spacing w:line="360" w:lineRule="auto"/>
        <w:rPr>
          <w:rFonts w:eastAsiaTheme="minorHAnsi"/>
          <w:color w:val="000000"/>
          <w:sz w:val="22"/>
          <w:szCs w:val="22"/>
          <w:lang w:eastAsia="en-US"/>
        </w:rPr>
      </w:pPr>
    </w:p>
    <w:p w14:paraId="42CF80C4" w14:textId="77777777" w:rsidR="0017561A" w:rsidRDefault="0017561A" w:rsidP="00EB2F6F">
      <w:pPr>
        <w:spacing w:line="360" w:lineRule="auto"/>
        <w:rPr>
          <w:rFonts w:eastAsiaTheme="minorHAnsi"/>
          <w:color w:val="000000"/>
          <w:sz w:val="22"/>
          <w:szCs w:val="22"/>
          <w:lang w:eastAsia="en-US"/>
        </w:rPr>
      </w:pPr>
    </w:p>
    <w:p w14:paraId="3D5BACC7" w14:textId="77777777" w:rsidR="0017561A" w:rsidRDefault="0017561A" w:rsidP="00EB2F6F">
      <w:pPr>
        <w:spacing w:line="360" w:lineRule="auto"/>
        <w:rPr>
          <w:rFonts w:eastAsiaTheme="minorHAnsi"/>
          <w:color w:val="000000"/>
          <w:sz w:val="22"/>
          <w:szCs w:val="22"/>
          <w:lang w:eastAsia="en-US"/>
        </w:rPr>
      </w:pPr>
    </w:p>
    <w:p w14:paraId="19482652" w14:textId="77777777" w:rsidR="0017561A" w:rsidRDefault="0017561A" w:rsidP="00EB2F6F">
      <w:pPr>
        <w:spacing w:line="360" w:lineRule="auto"/>
        <w:rPr>
          <w:rFonts w:eastAsiaTheme="minorHAnsi"/>
          <w:color w:val="000000"/>
          <w:sz w:val="22"/>
          <w:szCs w:val="22"/>
          <w:lang w:eastAsia="en-US"/>
        </w:rPr>
      </w:pPr>
    </w:p>
    <w:p w14:paraId="426D1FB5" w14:textId="77777777" w:rsidR="0017561A" w:rsidRDefault="0017561A" w:rsidP="00EB2F6F">
      <w:pPr>
        <w:spacing w:line="360" w:lineRule="auto"/>
        <w:rPr>
          <w:rFonts w:eastAsiaTheme="minorHAnsi"/>
          <w:color w:val="000000"/>
          <w:sz w:val="22"/>
          <w:szCs w:val="22"/>
          <w:lang w:eastAsia="en-US"/>
        </w:rPr>
      </w:pPr>
    </w:p>
    <w:p w14:paraId="71D03964" w14:textId="77777777" w:rsidR="0017561A" w:rsidRDefault="0017561A" w:rsidP="00EB2F6F">
      <w:pPr>
        <w:spacing w:line="360" w:lineRule="auto"/>
        <w:rPr>
          <w:rFonts w:eastAsiaTheme="minorHAnsi"/>
          <w:color w:val="000000"/>
          <w:sz w:val="22"/>
          <w:szCs w:val="22"/>
          <w:lang w:eastAsia="en-US"/>
        </w:rPr>
      </w:pPr>
    </w:p>
    <w:p w14:paraId="7EB3F970" w14:textId="77777777" w:rsidR="0017561A" w:rsidRDefault="0017561A" w:rsidP="00EB2F6F">
      <w:pPr>
        <w:spacing w:line="360" w:lineRule="auto"/>
        <w:rPr>
          <w:rFonts w:eastAsiaTheme="minorHAnsi"/>
          <w:color w:val="000000"/>
          <w:sz w:val="22"/>
          <w:szCs w:val="22"/>
          <w:lang w:eastAsia="en-US"/>
        </w:rPr>
      </w:pPr>
    </w:p>
    <w:p w14:paraId="7454E9C1" w14:textId="77777777" w:rsidR="0017561A" w:rsidRDefault="0017561A" w:rsidP="00EB2F6F">
      <w:pPr>
        <w:spacing w:line="360" w:lineRule="auto"/>
        <w:rPr>
          <w:rFonts w:eastAsiaTheme="minorHAnsi"/>
          <w:color w:val="000000"/>
          <w:sz w:val="22"/>
          <w:szCs w:val="22"/>
          <w:lang w:eastAsia="en-US"/>
        </w:rPr>
      </w:pPr>
    </w:p>
    <w:p w14:paraId="14E4FB02" w14:textId="77777777" w:rsidR="0017561A" w:rsidRDefault="0017561A" w:rsidP="00EB2F6F">
      <w:pPr>
        <w:spacing w:line="360" w:lineRule="auto"/>
        <w:rPr>
          <w:rFonts w:eastAsiaTheme="minorHAnsi"/>
          <w:color w:val="000000"/>
          <w:sz w:val="22"/>
          <w:szCs w:val="22"/>
          <w:lang w:eastAsia="en-US"/>
        </w:rPr>
      </w:pPr>
    </w:p>
    <w:p w14:paraId="7D47BA13" w14:textId="77777777" w:rsidR="0017561A" w:rsidRDefault="0017561A" w:rsidP="00EB2F6F">
      <w:pPr>
        <w:spacing w:line="360" w:lineRule="auto"/>
        <w:rPr>
          <w:rFonts w:eastAsiaTheme="minorHAnsi"/>
          <w:color w:val="000000"/>
          <w:sz w:val="22"/>
          <w:szCs w:val="22"/>
          <w:lang w:eastAsia="en-US"/>
        </w:rPr>
      </w:pPr>
    </w:p>
    <w:p w14:paraId="6127F07F" w14:textId="77777777" w:rsidR="0017561A" w:rsidRDefault="0017561A" w:rsidP="00EB2F6F">
      <w:pPr>
        <w:spacing w:line="360" w:lineRule="auto"/>
        <w:rPr>
          <w:rFonts w:eastAsiaTheme="minorHAnsi"/>
          <w:color w:val="000000"/>
          <w:sz w:val="22"/>
          <w:szCs w:val="22"/>
          <w:lang w:eastAsia="en-US"/>
        </w:rPr>
      </w:pPr>
    </w:p>
    <w:p w14:paraId="76A49F07" w14:textId="77777777" w:rsidR="0017561A" w:rsidRDefault="0017561A" w:rsidP="00EB2F6F">
      <w:pPr>
        <w:spacing w:line="360" w:lineRule="auto"/>
        <w:rPr>
          <w:rFonts w:eastAsiaTheme="minorHAnsi"/>
          <w:color w:val="000000"/>
          <w:sz w:val="22"/>
          <w:szCs w:val="22"/>
          <w:lang w:eastAsia="en-US"/>
        </w:rPr>
      </w:pPr>
    </w:p>
    <w:p w14:paraId="03DF902D" w14:textId="77777777" w:rsidR="0017561A" w:rsidRDefault="0017561A" w:rsidP="00EB2F6F">
      <w:pPr>
        <w:spacing w:line="360" w:lineRule="auto"/>
        <w:rPr>
          <w:rFonts w:eastAsiaTheme="minorHAnsi"/>
          <w:color w:val="000000"/>
          <w:sz w:val="22"/>
          <w:szCs w:val="22"/>
          <w:lang w:eastAsia="en-US"/>
        </w:rPr>
      </w:pPr>
    </w:p>
    <w:p w14:paraId="0FFC539B" w14:textId="77777777" w:rsidR="0017561A" w:rsidRDefault="0017561A" w:rsidP="00EB2F6F">
      <w:pPr>
        <w:spacing w:line="360" w:lineRule="auto"/>
        <w:rPr>
          <w:rFonts w:eastAsiaTheme="minorHAnsi"/>
          <w:color w:val="000000"/>
          <w:sz w:val="22"/>
          <w:szCs w:val="22"/>
          <w:lang w:eastAsia="en-US"/>
        </w:rPr>
      </w:pPr>
    </w:p>
    <w:p w14:paraId="10921204" w14:textId="77777777" w:rsidR="0017561A" w:rsidRDefault="0017561A" w:rsidP="0017561A">
      <w:pPr>
        <w:jc w:val="both"/>
        <w:rPr>
          <w:b/>
          <w:bCs/>
          <w:sz w:val="22"/>
          <w:szCs w:val="22"/>
        </w:rPr>
        <w:sectPr w:rsidR="0017561A" w:rsidSect="002329A2">
          <w:footerReference w:type="even" r:id="rId16"/>
          <w:footerReference w:type="default" r:id="rId17"/>
          <w:pgSz w:w="11901" w:h="16817"/>
          <w:pgMar w:top="1440" w:right="1440" w:bottom="1440" w:left="1440" w:header="709" w:footer="709" w:gutter="0"/>
          <w:lnNumType w:countBy="1" w:restart="continuous"/>
          <w:cols w:space="708"/>
          <w:docGrid w:linePitch="360"/>
        </w:sectPr>
      </w:pPr>
    </w:p>
    <w:p w14:paraId="27386727" w14:textId="77777777" w:rsidR="0017561A" w:rsidRPr="007B5DB3" w:rsidRDefault="0017561A" w:rsidP="0017561A">
      <w:pPr>
        <w:jc w:val="both"/>
        <w:rPr>
          <w:sz w:val="22"/>
          <w:szCs w:val="22"/>
        </w:rPr>
      </w:pPr>
      <w:r w:rsidRPr="00940DA7">
        <w:rPr>
          <w:b/>
          <w:bCs/>
          <w:sz w:val="22"/>
          <w:szCs w:val="22"/>
        </w:rPr>
        <w:lastRenderedPageBreak/>
        <w:t xml:space="preserve">Table </w:t>
      </w:r>
      <w:r>
        <w:rPr>
          <w:b/>
          <w:bCs/>
          <w:sz w:val="22"/>
          <w:szCs w:val="22"/>
        </w:rPr>
        <w:t>2</w:t>
      </w:r>
      <w:r w:rsidRPr="007B5DB3">
        <w:rPr>
          <w:sz w:val="22"/>
          <w:szCs w:val="22"/>
        </w:rPr>
        <w:t xml:space="preserve"> </w:t>
      </w:r>
      <w:r>
        <w:rPr>
          <w:sz w:val="22"/>
          <w:szCs w:val="22"/>
        </w:rPr>
        <w:t xml:space="preserve">Early-stage Disease: </w:t>
      </w:r>
      <w:r w:rsidRPr="007B5DB3">
        <w:rPr>
          <w:sz w:val="22"/>
          <w:szCs w:val="22"/>
        </w:rPr>
        <w:t xml:space="preserve">Likelihood (OR with 95% CI and p values from logistic regression) of </w:t>
      </w:r>
      <w:r>
        <w:rPr>
          <w:sz w:val="22"/>
          <w:szCs w:val="22"/>
        </w:rPr>
        <w:t>receiving</w:t>
      </w:r>
      <w:r w:rsidRPr="007B5DB3">
        <w:rPr>
          <w:sz w:val="22"/>
          <w:szCs w:val="22"/>
        </w:rPr>
        <w:t xml:space="preserve"> trastuzumab by deprivation and adjusted for</w:t>
      </w:r>
      <w:r>
        <w:rPr>
          <w:sz w:val="22"/>
          <w:szCs w:val="22"/>
        </w:rPr>
        <w:t>:</w:t>
      </w:r>
      <w:r w:rsidRPr="007B5DB3">
        <w:rPr>
          <w:sz w:val="22"/>
          <w:szCs w:val="22"/>
        </w:rPr>
        <w:t xml:space="preserve"> age, ethnicity, rural/urban </w:t>
      </w:r>
      <w:r>
        <w:rPr>
          <w:sz w:val="22"/>
          <w:szCs w:val="22"/>
        </w:rPr>
        <w:t>residence</w:t>
      </w:r>
      <w:r w:rsidRPr="007B5DB3">
        <w:rPr>
          <w:sz w:val="22"/>
          <w:szCs w:val="22"/>
        </w:rPr>
        <w:t xml:space="preserve">, government region, </w:t>
      </w:r>
      <w:r>
        <w:rPr>
          <w:sz w:val="22"/>
          <w:szCs w:val="22"/>
        </w:rPr>
        <w:t>stage at diagnosis, whether received surgery</w:t>
      </w:r>
      <w:r w:rsidRPr="007B5DB3">
        <w:rPr>
          <w:sz w:val="22"/>
          <w:szCs w:val="22"/>
        </w:rPr>
        <w:t>, ER status, comorbidities</w:t>
      </w:r>
      <w:r>
        <w:rPr>
          <w:sz w:val="22"/>
          <w:szCs w:val="22"/>
        </w:rPr>
        <w:t>,</w:t>
      </w:r>
      <w:r w:rsidRPr="007B5DB3">
        <w:rPr>
          <w:sz w:val="22"/>
          <w:szCs w:val="22"/>
        </w:rPr>
        <w:t xml:space="preserve"> whether discussed at MDT</w:t>
      </w:r>
      <w:r>
        <w:rPr>
          <w:sz w:val="22"/>
          <w:szCs w:val="22"/>
        </w:rPr>
        <w:t>, and diagnosis year</w:t>
      </w:r>
      <w:r w:rsidRPr="007B5DB3">
        <w:rPr>
          <w:sz w:val="22"/>
          <w:szCs w:val="22"/>
        </w:rPr>
        <w:t xml:space="preserve"> for women with </w:t>
      </w:r>
      <w:r>
        <w:rPr>
          <w:sz w:val="22"/>
          <w:szCs w:val="22"/>
        </w:rPr>
        <w:t xml:space="preserve">stage I-III </w:t>
      </w:r>
      <w:r w:rsidRPr="007B5DB3">
        <w:rPr>
          <w:sz w:val="22"/>
          <w:szCs w:val="22"/>
        </w:rPr>
        <w:t xml:space="preserve">HER2+ breast cancer </w:t>
      </w:r>
      <w:r>
        <w:rPr>
          <w:sz w:val="22"/>
          <w:szCs w:val="22"/>
        </w:rPr>
        <w:t xml:space="preserve">who were </w:t>
      </w:r>
      <w:r w:rsidRPr="007B5DB3">
        <w:rPr>
          <w:sz w:val="22"/>
          <w:szCs w:val="22"/>
        </w:rPr>
        <w:t>diagnosed between 01/01/2012</w:t>
      </w:r>
      <w:r>
        <w:rPr>
          <w:sz w:val="22"/>
          <w:szCs w:val="22"/>
        </w:rPr>
        <w:t xml:space="preserve"> - </w:t>
      </w:r>
      <w:r w:rsidRPr="007B5DB3">
        <w:rPr>
          <w:sz w:val="22"/>
          <w:szCs w:val="22"/>
        </w:rPr>
        <w:t xml:space="preserve">31/12/2017 (n = </w:t>
      </w:r>
      <w:r>
        <w:rPr>
          <w:sz w:val="22"/>
          <w:szCs w:val="22"/>
        </w:rPr>
        <w:t>34,616</w:t>
      </w:r>
      <w:r w:rsidRPr="007B5DB3">
        <w:rPr>
          <w:sz w:val="22"/>
          <w:szCs w:val="22"/>
        </w:rPr>
        <w:t>)</w:t>
      </w:r>
    </w:p>
    <w:p w14:paraId="39DA0CD3" w14:textId="77777777" w:rsidR="0017561A" w:rsidRPr="005F161F" w:rsidRDefault="0017561A" w:rsidP="0017561A">
      <w:pPr>
        <w:jc w:val="both"/>
        <w:rPr>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417"/>
        <w:gridCol w:w="1418"/>
        <w:gridCol w:w="992"/>
        <w:gridCol w:w="709"/>
        <w:gridCol w:w="1417"/>
        <w:gridCol w:w="992"/>
        <w:gridCol w:w="709"/>
        <w:gridCol w:w="1418"/>
        <w:gridCol w:w="992"/>
      </w:tblGrid>
      <w:tr w:rsidR="0017561A" w:rsidRPr="00842867" w14:paraId="7AA64A5A" w14:textId="77777777" w:rsidTr="004E0520">
        <w:trPr>
          <w:jc w:val="center"/>
        </w:trPr>
        <w:tc>
          <w:tcPr>
            <w:tcW w:w="3823" w:type="dxa"/>
            <w:tcBorders>
              <w:top w:val="single" w:sz="4" w:space="0" w:color="auto"/>
            </w:tcBorders>
          </w:tcPr>
          <w:p w14:paraId="7D2AC354" w14:textId="77777777" w:rsidR="0017561A" w:rsidRPr="007C6648" w:rsidRDefault="0017561A" w:rsidP="004E0520">
            <w:pPr>
              <w:rPr>
                <w:sz w:val="20"/>
                <w:szCs w:val="20"/>
              </w:rPr>
            </w:pPr>
          </w:p>
        </w:tc>
        <w:tc>
          <w:tcPr>
            <w:tcW w:w="1417" w:type="dxa"/>
            <w:tcBorders>
              <w:top w:val="single" w:sz="4" w:space="0" w:color="auto"/>
            </w:tcBorders>
          </w:tcPr>
          <w:p w14:paraId="6C94750F" w14:textId="77777777" w:rsidR="0017561A" w:rsidRPr="007C6648" w:rsidRDefault="0017561A" w:rsidP="004E0520">
            <w:pPr>
              <w:rPr>
                <w:sz w:val="20"/>
                <w:szCs w:val="20"/>
              </w:rPr>
            </w:pPr>
          </w:p>
        </w:tc>
        <w:tc>
          <w:tcPr>
            <w:tcW w:w="1418" w:type="dxa"/>
            <w:tcBorders>
              <w:top w:val="single" w:sz="4" w:space="0" w:color="auto"/>
            </w:tcBorders>
          </w:tcPr>
          <w:p w14:paraId="165BB0EB" w14:textId="77777777" w:rsidR="0017561A" w:rsidRPr="007C6648" w:rsidRDefault="0017561A" w:rsidP="004E0520">
            <w:pPr>
              <w:rPr>
                <w:sz w:val="20"/>
                <w:szCs w:val="20"/>
              </w:rPr>
            </w:pPr>
          </w:p>
        </w:tc>
        <w:tc>
          <w:tcPr>
            <w:tcW w:w="992" w:type="dxa"/>
            <w:tcBorders>
              <w:top w:val="single" w:sz="4" w:space="0" w:color="auto"/>
            </w:tcBorders>
          </w:tcPr>
          <w:p w14:paraId="569EF392" w14:textId="77777777" w:rsidR="0017561A" w:rsidRPr="00AB4B54" w:rsidRDefault="0017561A" w:rsidP="004E0520">
            <w:pPr>
              <w:rPr>
                <w:sz w:val="20"/>
                <w:szCs w:val="20"/>
              </w:rPr>
            </w:pPr>
          </w:p>
        </w:tc>
        <w:tc>
          <w:tcPr>
            <w:tcW w:w="3118" w:type="dxa"/>
            <w:gridSpan w:val="3"/>
            <w:tcBorders>
              <w:top w:val="single" w:sz="4" w:space="0" w:color="auto"/>
            </w:tcBorders>
          </w:tcPr>
          <w:p w14:paraId="2AF31DD4" w14:textId="77777777" w:rsidR="0017561A" w:rsidRPr="001A1402" w:rsidRDefault="0017561A" w:rsidP="004E0520">
            <w:pPr>
              <w:rPr>
                <w:b/>
                <w:bCs/>
                <w:sz w:val="10"/>
                <w:szCs w:val="10"/>
              </w:rPr>
            </w:pPr>
          </w:p>
          <w:p w14:paraId="4BCC162C" w14:textId="77777777" w:rsidR="0017561A" w:rsidRDefault="0017561A" w:rsidP="004E0520">
            <w:pPr>
              <w:rPr>
                <w:b/>
                <w:bCs/>
                <w:sz w:val="20"/>
                <w:szCs w:val="20"/>
              </w:rPr>
            </w:pPr>
            <w:r w:rsidRPr="00842867">
              <w:rPr>
                <w:b/>
                <w:bCs/>
                <w:sz w:val="20"/>
                <w:szCs w:val="20"/>
              </w:rPr>
              <w:t>Unadjusted</w:t>
            </w:r>
          </w:p>
          <w:p w14:paraId="6F7B6CC0" w14:textId="77777777" w:rsidR="0017561A" w:rsidRPr="001A1402" w:rsidRDefault="0017561A" w:rsidP="004E0520">
            <w:pPr>
              <w:rPr>
                <w:b/>
                <w:bCs/>
                <w:sz w:val="10"/>
                <w:szCs w:val="10"/>
              </w:rPr>
            </w:pPr>
          </w:p>
        </w:tc>
        <w:tc>
          <w:tcPr>
            <w:tcW w:w="3119" w:type="dxa"/>
            <w:gridSpan w:val="3"/>
            <w:tcBorders>
              <w:top w:val="single" w:sz="4" w:space="0" w:color="auto"/>
            </w:tcBorders>
          </w:tcPr>
          <w:p w14:paraId="6D07E8A0" w14:textId="77777777" w:rsidR="0017561A" w:rsidRPr="001A1402" w:rsidRDefault="0017561A" w:rsidP="004E0520">
            <w:pPr>
              <w:rPr>
                <w:b/>
                <w:bCs/>
                <w:sz w:val="10"/>
                <w:szCs w:val="10"/>
              </w:rPr>
            </w:pPr>
          </w:p>
          <w:p w14:paraId="63742B19" w14:textId="77777777" w:rsidR="0017561A" w:rsidRPr="00842867" w:rsidRDefault="0017561A" w:rsidP="004E0520">
            <w:pPr>
              <w:rPr>
                <w:b/>
                <w:bCs/>
                <w:sz w:val="20"/>
                <w:szCs w:val="20"/>
              </w:rPr>
            </w:pPr>
            <w:r w:rsidRPr="00842867">
              <w:rPr>
                <w:b/>
                <w:bCs/>
                <w:sz w:val="20"/>
                <w:szCs w:val="20"/>
              </w:rPr>
              <w:t>Adjusted</w:t>
            </w:r>
          </w:p>
        </w:tc>
      </w:tr>
      <w:tr w:rsidR="0017561A" w:rsidRPr="00AB4B54" w14:paraId="7D82099F" w14:textId="77777777" w:rsidTr="004E0520">
        <w:trPr>
          <w:jc w:val="center"/>
        </w:trPr>
        <w:tc>
          <w:tcPr>
            <w:tcW w:w="3823" w:type="dxa"/>
            <w:tcBorders>
              <w:bottom w:val="single" w:sz="4" w:space="0" w:color="auto"/>
            </w:tcBorders>
          </w:tcPr>
          <w:p w14:paraId="587F4A97" w14:textId="77777777" w:rsidR="0017561A" w:rsidRPr="007C6648" w:rsidRDefault="0017561A" w:rsidP="004E0520">
            <w:pPr>
              <w:rPr>
                <w:sz w:val="20"/>
                <w:szCs w:val="20"/>
              </w:rPr>
            </w:pPr>
          </w:p>
        </w:tc>
        <w:tc>
          <w:tcPr>
            <w:tcW w:w="1417" w:type="dxa"/>
            <w:tcBorders>
              <w:bottom w:val="single" w:sz="4" w:space="0" w:color="auto"/>
            </w:tcBorders>
          </w:tcPr>
          <w:p w14:paraId="265D7247" w14:textId="77777777" w:rsidR="0017561A" w:rsidRDefault="0017561A" w:rsidP="004E0520">
            <w:pPr>
              <w:rPr>
                <w:sz w:val="20"/>
                <w:szCs w:val="20"/>
              </w:rPr>
            </w:pPr>
            <w:r w:rsidRPr="007C6648">
              <w:rPr>
                <w:sz w:val="20"/>
                <w:szCs w:val="20"/>
              </w:rPr>
              <w:t>N</w:t>
            </w:r>
            <w:r>
              <w:rPr>
                <w:sz w:val="20"/>
                <w:szCs w:val="20"/>
              </w:rPr>
              <w:t>umber</w:t>
            </w:r>
            <w:r w:rsidRPr="007C6648">
              <w:rPr>
                <w:sz w:val="20"/>
                <w:szCs w:val="20"/>
              </w:rPr>
              <w:t xml:space="preserve"> (%) </w:t>
            </w:r>
            <w:r>
              <w:rPr>
                <w:sz w:val="20"/>
                <w:szCs w:val="20"/>
              </w:rPr>
              <w:t>receiving</w:t>
            </w:r>
          </w:p>
          <w:p w14:paraId="69F5C516" w14:textId="77777777" w:rsidR="0017561A" w:rsidRDefault="0017561A" w:rsidP="004E0520">
            <w:pPr>
              <w:rPr>
                <w:sz w:val="20"/>
                <w:szCs w:val="20"/>
              </w:rPr>
            </w:pPr>
            <w:r w:rsidRPr="007C6648">
              <w:rPr>
                <w:sz w:val="20"/>
                <w:szCs w:val="20"/>
              </w:rPr>
              <w:t>Trastuzumab</w:t>
            </w:r>
          </w:p>
          <w:p w14:paraId="1496DF25" w14:textId="77777777" w:rsidR="0017561A" w:rsidRPr="007C6648" w:rsidRDefault="0017561A" w:rsidP="004E0520">
            <w:pPr>
              <w:rPr>
                <w:sz w:val="20"/>
                <w:szCs w:val="20"/>
              </w:rPr>
            </w:pPr>
            <w:r>
              <w:rPr>
                <w:sz w:val="20"/>
                <w:szCs w:val="20"/>
              </w:rPr>
              <w:t>n = 15,567 (44.97)</w:t>
            </w:r>
          </w:p>
        </w:tc>
        <w:tc>
          <w:tcPr>
            <w:tcW w:w="1418" w:type="dxa"/>
            <w:tcBorders>
              <w:bottom w:val="single" w:sz="4" w:space="0" w:color="auto"/>
            </w:tcBorders>
          </w:tcPr>
          <w:p w14:paraId="7AFB5578" w14:textId="77777777" w:rsidR="0017561A" w:rsidRDefault="0017561A" w:rsidP="004E0520">
            <w:pPr>
              <w:rPr>
                <w:sz w:val="20"/>
                <w:szCs w:val="20"/>
              </w:rPr>
            </w:pPr>
            <w:r w:rsidRPr="007C6648">
              <w:rPr>
                <w:sz w:val="20"/>
                <w:szCs w:val="20"/>
              </w:rPr>
              <w:t xml:space="preserve">Number (%) </w:t>
            </w:r>
            <w:r>
              <w:rPr>
                <w:sz w:val="20"/>
                <w:szCs w:val="20"/>
              </w:rPr>
              <w:t>n</w:t>
            </w:r>
            <w:r w:rsidRPr="007C6648">
              <w:rPr>
                <w:sz w:val="20"/>
                <w:szCs w:val="20"/>
              </w:rPr>
              <w:t xml:space="preserve">ot </w:t>
            </w:r>
            <w:r>
              <w:rPr>
                <w:sz w:val="20"/>
                <w:szCs w:val="20"/>
              </w:rPr>
              <w:t>receiving</w:t>
            </w:r>
            <w:r w:rsidRPr="007C6648">
              <w:rPr>
                <w:sz w:val="20"/>
                <w:szCs w:val="20"/>
              </w:rPr>
              <w:t xml:space="preserve"> Trastuzumab</w:t>
            </w:r>
          </w:p>
          <w:p w14:paraId="170AE44B" w14:textId="77777777" w:rsidR="0017561A" w:rsidRDefault="0017561A" w:rsidP="004E0520">
            <w:pPr>
              <w:rPr>
                <w:sz w:val="20"/>
                <w:szCs w:val="20"/>
              </w:rPr>
            </w:pPr>
            <w:r>
              <w:rPr>
                <w:sz w:val="20"/>
                <w:szCs w:val="20"/>
              </w:rPr>
              <w:t>n = 19,049 (55.03)</w:t>
            </w:r>
          </w:p>
          <w:p w14:paraId="17E4C2ED" w14:textId="77777777" w:rsidR="0017561A" w:rsidRPr="001A1402" w:rsidRDefault="0017561A" w:rsidP="004E0520">
            <w:pPr>
              <w:rPr>
                <w:sz w:val="10"/>
                <w:szCs w:val="10"/>
              </w:rPr>
            </w:pPr>
          </w:p>
        </w:tc>
        <w:tc>
          <w:tcPr>
            <w:tcW w:w="992" w:type="dxa"/>
            <w:tcBorders>
              <w:bottom w:val="single" w:sz="4" w:space="0" w:color="auto"/>
            </w:tcBorders>
          </w:tcPr>
          <w:p w14:paraId="3E16C1FC" w14:textId="77777777" w:rsidR="0017561A" w:rsidRPr="00AB4B54" w:rsidRDefault="0017561A" w:rsidP="004E0520">
            <w:pPr>
              <w:rPr>
                <w:sz w:val="20"/>
                <w:szCs w:val="20"/>
              </w:rPr>
            </w:pPr>
            <w:r w:rsidRPr="00AB4B54">
              <w:rPr>
                <w:sz w:val="20"/>
                <w:szCs w:val="20"/>
              </w:rPr>
              <w:t>P Value</w:t>
            </w:r>
            <w:r>
              <w:rPr>
                <w:sz w:val="20"/>
                <w:szCs w:val="20"/>
                <w:vertAlign w:val="superscript"/>
              </w:rPr>
              <w:t>a</w:t>
            </w:r>
          </w:p>
        </w:tc>
        <w:tc>
          <w:tcPr>
            <w:tcW w:w="709" w:type="dxa"/>
            <w:tcBorders>
              <w:bottom w:val="single" w:sz="4" w:space="0" w:color="auto"/>
            </w:tcBorders>
          </w:tcPr>
          <w:p w14:paraId="0A1CA9C1" w14:textId="77777777" w:rsidR="0017561A" w:rsidRPr="007C6648" w:rsidRDefault="0017561A" w:rsidP="004E0520">
            <w:pPr>
              <w:rPr>
                <w:sz w:val="20"/>
                <w:szCs w:val="20"/>
              </w:rPr>
            </w:pPr>
            <w:r w:rsidRPr="007C6648">
              <w:rPr>
                <w:sz w:val="20"/>
                <w:szCs w:val="20"/>
              </w:rPr>
              <w:t>OR</w:t>
            </w:r>
          </w:p>
        </w:tc>
        <w:tc>
          <w:tcPr>
            <w:tcW w:w="1417" w:type="dxa"/>
            <w:tcBorders>
              <w:bottom w:val="single" w:sz="4" w:space="0" w:color="auto"/>
            </w:tcBorders>
          </w:tcPr>
          <w:p w14:paraId="08A9165A" w14:textId="77777777" w:rsidR="0017561A" w:rsidRPr="007C6648" w:rsidRDefault="0017561A" w:rsidP="004E0520">
            <w:pPr>
              <w:rPr>
                <w:sz w:val="20"/>
                <w:szCs w:val="20"/>
              </w:rPr>
            </w:pPr>
            <w:r w:rsidRPr="007C6648">
              <w:rPr>
                <w:sz w:val="20"/>
                <w:szCs w:val="20"/>
              </w:rPr>
              <w:t>95% CI</w:t>
            </w:r>
          </w:p>
        </w:tc>
        <w:tc>
          <w:tcPr>
            <w:tcW w:w="992" w:type="dxa"/>
            <w:tcBorders>
              <w:bottom w:val="single" w:sz="4" w:space="0" w:color="auto"/>
            </w:tcBorders>
          </w:tcPr>
          <w:p w14:paraId="59CB27E0" w14:textId="77777777" w:rsidR="0017561A" w:rsidRPr="00AB4B54" w:rsidRDefault="0017561A" w:rsidP="004E0520">
            <w:pPr>
              <w:rPr>
                <w:sz w:val="20"/>
                <w:szCs w:val="20"/>
              </w:rPr>
            </w:pPr>
            <w:r w:rsidRPr="00AB4B54">
              <w:rPr>
                <w:sz w:val="20"/>
                <w:szCs w:val="20"/>
              </w:rPr>
              <w:t>P Value</w:t>
            </w:r>
            <w:r>
              <w:rPr>
                <w:sz w:val="20"/>
                <w:szCs w:val="20"/>
                <w:vertAlign w:val="superscript"/>
              </w:rPr>
              <w:t>b</w:t>
            </w:r>
          </w:p>
        </w:tc>
        <w:tc>
          <w:tcPr>
            <w:tcW w:w="709" w:type="dxa"/>
            <w:tcBorders>
              <w:bottom w:val="single" w:sz="4" w:space="0" w:color="auto"/>
            </w:tcBorders>
          </w:tcPr>
          <w:p w14:paraId="61C5AA85" w14:textId="77777777" w:rsidR="0017561A" w:rsidRPr="007C6648" w:rsidRDefault="0017561A" w:rsidP="004E0520">
            <w:pPr>
              <w:rPr>
                <w:sz w:val="20"/>
                <w:szCs w:val="20"/>
              </w:rPr>
            </w:pPr>
            <w:r w:rsidRPr="007C6648">
              <w:rPr>
                <w:sz w:val="20"/>
                <w:szCs w:val="20"/>
              </w:rPr>
              <w:t>OR</w:t>
            </w:r>
          </w:p>
        </w:tc>
        <w:tc>
          <w:tcPr>
            <w:tcW w:w="1418" w:type="dxa"/>
            <w:tcBorders>
              <w:bottom w:val="single" w:sz="4" w:space="0" w:color="auto"/>
            </w:tcBorders>
          </w:tcPr>
          <w:p w14:paraId="772B8A9A" w14:textId="77777777" w:rsidR="0017561A" w:rsidRPr="007C6648" w:rsidRDefault="0017561A" w:rsidP="004E0520">
            <w:pPr>
              <w:rPr>
                <w:sz w:val="20"/>
                <w:szCs w:val="20"/>
              </w:rPr>
            </w:pPr>
            <w:r w:rsidRPr="007C6648">
              <w:rPr>
                <w:sz w:val="20"/>
                <w:szCs w:val="20"/>
              </w:rPr>
              <w:t>95% CI</w:t>
            </w:r>
          </w:p>
        </w:tc>
        <w:tc>
          <w:tcPr>
            <w:tcW w:w="992" w:type="dxa"/>
            <w:tcBorders>
              <w:bottom w:val="single" w:sz="4" w:space="0" w:color="auto"/>
            </w:tcBorders>
          </w:tcPr>
          <w:p w14:paraId="5C71316D" w14:textId="77777777" w:rsidR="0017561A" w:rsidRPr="00AB4B54" w:rsidRDefault="0017561A" w:rsidP="004E0520">
            <w:pPr>
              <w:rPr>
                <w:sz w:val="20"/>
                <w:szCs w:val="20"/>
              </w:rPr>
            </w:pPr>
            <w:r w:rsidRPr="00AB4B54">
              <w:rPr>
                <w:sz w:val="20"/>
                <w:szCs w:val="20"/>
              </w:rPr>
              <w:t>P Value</w:t>
            </w:r>
            <w:r>
              <w:rPr>
                <w:sz w:val="20"/>
                <w:szCs w:val="20"/>
                <w:vertAlign w:val="superscript"/>
              </w:rPr>
              <w:t>b</w:t>
            </w:r>
          </w:p>
        </w:tc>
      </w:tr>
      <w:tr w:rsidR="0017561A" w:rsidRPr="000E6139" w14:paraId="53298FF2" w14:textId="77777777" w:rsidTr="004E0520">
        <w:trPr>
          <w:jc w:val="center"/>
        </w:trPr>
        <w:tc>
          <w:tcPr>
            <w:tcW w:w="3823" w:type="dxa"/>
            <w:tcBorders>
              <w:top w:val="single" w:sz="4" w:space="0" w:color="auto"/>
            </w:tcBorders>
          </w:tcPr>
          <w:p w14:paraId="00B80F9A" w14:textId="77777777" w:rsidR="0017561A" w:rsidRPr="00192CCA" w:rsidRDefault="0017561A" w:rsidP="004E0520">
            <w:pPr>
              <w:rPr>
                <w:b/>
                <w:bCs/>
                <w:sz w:val="20"/>
                <w:szCs w:val="20"/>
              </w:rPr>
            </w:pPr>
          </w:p>
          <w:p w14:paraId="303B3D92" w14:textId="77777777" w:rsidR="0017561A" w:rsidRPr="00192CCA" w:rsidRDefault="0017561A" w:rsidP="004E0520">
            <w:pPr>
              <w:rPr>
                <w:sz w:val="20"/>
                <w:szCs w:val="20"/>
              </w:rPr>
            </w:pPr>
            <w:r>
              <w:rPr>
                <w:b/>
                <w:bCs/>
                <w:sz w:val="20"/>
                <w:szCs w:val="20"/>
              </w:rPr>
              <w:t>Deprivation</w:t>
            </w:r>
            <w:r>
              <w:rPr>
                <w:b/>
                <w:bCs/>
                <w:sz w:val="20"/>
                <w:szCs w:val="20"/>
                <w:vertAlign w:val="superscript"/>
              </w:rPr>
              <w:t>c</w:t>
            </w:r>
          </w:p>
        </w:tc>
        <w:tc>
          <w:tcPr>
            <w:tcW w:w="1417" w:type="dxa"/>
            <w:tcBorders>
              <w:top w:val="single" w:sz="4" w:space="0" w:color="auto"/>
            </w:tcBorders>
          </w:tcPr>
          <w:p w14:paraId="6BB5CD79" w14:textId="77777777" w:rsidR="0017561A" w:rsidRPr="00192CCA" w:rsidRDefault="0017561A" w:rsidP="004E0520">
            <w:pPr>
              <w:rPr>
                <w:sz w:val="20"/>
                <w:szCs w:val="20"/>
              </w:rPr>
            </w:pPr>
          </w:p>
        </w:tc>
        <w:tc>
          <w:tcPr>
            <w:tcW w:w="1418" w:type="dxa"/>
            <w:tcBorders>
              <w:top w:val="single" w:sz="4" w:space="0" w:color="auto"/>
            </w:tcBorders>
          </w:tcPr>
          <w:p w14:paraId="38989295" w14:textId="77777777" w:rsidR="0017561A" w:rsidRPr="00192CCA" w:rsidRDefault="0017561A" w:rsidP="004E0520">
            <w:pPr>
              <w:rPr>
                <w:sz w:val="20"/>
                <w:szCs w:val="20"/>
              </w:rPr>
            </w:pPr>
          </w:p>
        </w:tc>
        <w:tc>
          <w:tcPr>
            <w:tcW w:w="992" w:type="dxa"/>
            <w:tcBorders>
              <w:top w:val="single" w:sz="4" w:space="0" w:color="auto"/>
            </w:tcBorders>
          </w:tcPr>
          <w:p w14:paraId="503C2456" w14:textId="77777777" w:rsidR="0017561A" w:rsidRPr="00192CCA" w:rsidRDefault="0017561A" w:rsidP="004E0520">
            <w:pPr>
              <w:rPr>
                <w:sz w:val="20"/>
                <w:szCs w:val="20"/>
              </w:rPr>
            </w:pPr>
          </w:p>
          <w:p w14:paraId="2E4AD8A6"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021</w:t>
            </w:r>
          </w:p>
        </w:tc>
        <w:tc>
          <w:tcPr>
            <w:tcW w:w="709" w:type="dxa"/>
            <w:tcBorders>
              <w:top w:val="single" w:sz="4" w:space="0" w:color="auto"/>
            </w:tcBorders>
          </w:tcPr>
          <w:p w14:paraId="0866373E" w14:textId="77777777" w:rsidR="0017561A" w:rsidRPr="00192CCA" w:rsidRDefault="0017561A" w:rsidP="004E0520">
            <w:pPr>
              <w:rPr>
                <w:sz w:val="20"/>
                <w:szCs w:val="20"/>
              </w:rPr>
            </w:pPr>
          </w:p>
        </w:tc>
        <w:tc>
          <w:tcPr>
            <w:tcW w:w="1417" w:type="dxa"/>
            <w:tcBorders>
              <w:top w:val="single" w:sz="4" w:space="0" w:color="auto"/>
            </w:tcBorders>
          </w:tcPr>
          <w:p w14:paraId="5461FE51" w14:textId="77777777" w:rsidR="0017561A" w:rsidRPr="00192CCA" w:rsidRDefault="0017561A" w:rsidP="004E0520">
            <w:pPr>
              <w:rPr>
                <w:sz w:val="20"/>
                <w:szCs w:val="20"/>
              </w:rPr>
            </w:pPr>
          </w:p>
        </w:tc>
        <w:tc>
          <w:tcPr>
            <w:tcW w:w="992" w:type="dxa"/>
            <w:tcBorders>
              <w:top w:val="single" w:sz="4" w:space="0" w:color="auto"/>
            </w:tcBorders>
          </w:tcPr>
          <w:p w14:paraId="4E665D7D" w14:textId="77777777" w:rsidR="0017561A" w:rsidRPr="00192CCA" w:rsidRDefault="0017561A" w:rsidP="004E0520">
            <w:pPr>
              <w:rPr>
                <w:b/>
                <w:bCs/>
                <w:sz w:val="20"/>
                <w:szCs w:val="20"/>
              </w:rPr>
            </w:pPr>
          </w:p>
          <w:p w14:paraId="481D6C1C" w14:textId="77777777" w:rsidR="0017561A" w:rsidRPr="00192CCA" w:rsidRDefault="0017561A" w:rsidP="004E0520">
            <w:pPr>
              <w:rPr>
                <w:b/>
                <w:bCs/>
                <w:sz w:val="20"/>
                <w:szCs w:val="20"/>
              </w:rPr>
            </w:pPr>
            <w:r>
              <w:rPr>
                <w:b/>
                <w:bCs/>
                <w:sz w:val="20"/>
                <w:szCs w:val="20"/>
              </w:rPr>
              <w:t xml:space="preserve">  </w:t>
            </w:r>
            <w:r w:rsidRPr="00192CCA">
              <w:rPr>
                <w:b/>
                <w:bCs/>
                <w:sz w:val="20"/>
                <w:szCs w:val="20"/>
              </w:rPr>
              <w:t>0.</w:t>
            </w:r>
            <w:r>
              <w:rPr>
                <w:b/>
                <w:bCs/>
                <w:sz w:val="20"/>
                <w:szCs w:val="20"/>
              </w:rPr>
              <w:t>020</w:t>
            </w:r>
          </w:p>
        </w:tc>
        <w:tc>
          <w:tcPr>
            <w:tcW w:w="709" w:type="dxa"/>
            <w:tcBorders>
              <w:top w:val="single" w:sz="4" w:space="0" w:color="auto"/>
            </w:tcBorders>
          </w:tcPr>
          <w:p w14:paraId="2BC95700" w14:textId="77777777" w:rsidR="0017561A" w:rsidRPr="00192CCA" w:rsidRDefault="0017561A" w:rsidP="004E0520">
            <w:pPr>
              <w:rPr>
                <w:sz w:val="20"/>
                <w:szCs w:val="20"/>
              </w:rPr>
            </w:pPr>
          </w:p>
        </w:tc>
        <w:tc>
          <w:tcPr>
            <w:tcW w:w="1418" w:type="dxa"/>
            <w:tcBorders>
              <w:top w:val="single" w:sz="4" w:space="0" w:color="auto"/>
            </w:tcBorders>
          </w:tcPr>
          <w:p w14:paraId="661B52E5" w14:textId="77777777" w:rsidR="0017561A" w:rsidRPr="00192CCA" w:rsidRDefault="0017561A" w:rsidP="004E0520">
            <w:pPr>
              <w:rPr>
                <w:sz w:val="20"/>
                <w:szCs w:val="20"/>
              </w:rPr>
            </w:pPr>
          </w:p>
        </w:tc>
        <w:tc>
          <w:tcPr>
            <w:tcW w:w="992" w:type="dxa"/>
            <w:tcBorders>
              <w:top w:val="single" w:sz="4" w:space="0" w:color="auto"/>
            </w:tcBorders>
          </w:tcPr>
          <w:p w14:paraId="4148085D" w14:textId="77777777" w:rsidR="0017561A" w:rsidRPr="00192CCA" w:rsidRDefault="0017561A" w:rsidP="004E0520">
            <w:pPr>
              <w:rPr>
                <w:b/>
                <w:bCs/>
                <w:sz w:val="20"/>
                <w:szCs w:val="20"/>
              </w:rPr>
            </w:pPr>
          </w:p>
          <w:p w14:paraId="0375A437" w14:textId="77777777" w:rsidR="0017561A" w:rsidRPr="00192CCA" w:rsidRDefault="0017561A" w:rsidP="004E0520">
            <w:pPr>
              <w:rPr>
                <w:b/>
                <w:bCs/>
                <w:sz w:val="20"/>
                <w:szCs w:val="20"/>
              </w:rPr>
            </w:pPr>
            <w:r>
              <w:rPr>
                <w:b/>
                <w:bCs/>
                <w:sz w:val="20"/>
                <w:szCs w:val="20"/>
              </w:rPr>
              <w:t xml:space="preserve">  </w:t>
            </w:r>
            <w:r w:rsidRPr="00192CCA">
              <w:rPr>
                <w:b/>
                <w:bCs/>
                <w:sz w:val="20"/>
                <w:szCs w:val="20"/>
              </w:rPr>
              <w:t>0.</w:t>
            </w:r>
            <w:r>
              <w:rPr>
                <w:b/>
                <w:bCs/>
                <w:sz w:val="20"/>
                <w:szCs w:val="20"/>
              </w:rPr>
              <w:t>004</w:t>
            </w:r>
          </w:p>
        </w:tc>
      </w:tr>
      <w:tr w:rsidR="0017561A" w:rsidRPr="00AB4B54" w14:paraId="16FD8767" w14:textId="77777777" w:rsidTr="004E0520">
        <w:trPr>
          <w:jc w:val="center"/>
        </w:trPr>
        <w:tc>
          <w:tcPr>
            <w:tcW w:w="3823" w:type="dxa"/>
          </w:tcPr>
          <w:p w14:paraId="7C841911" w14:textId="77777777" w:rsidR="0017561A" w:rsidRPr="00192CCA" w:rsidRDefault="0017561A" w:rsidP="004E0520">
            <w:pPr>
              <w:rPr>
                <w:sz w:val="20"/>
                <w:szCs w:val="20"/>
              </w:rPr>
            </w:pPr>
            <w:r w:rsidRPr="00192CCA">
              <w:rPr>
                <w:sz w:val="20"/>
                <w:szCs w:val="20"/>
              </w:rPr>
              <w:t>1 (Least Deprived)</w:t>
            </w:r>
          </w:p>
        </w:tc>
        <w:tc>
          <w:tcPr>
            <w:tcW w:w="1417" w:type="dxa"/>
          </w:tcPr>
          <w:p w14:paraId="72C29F6D" w14:textId="77777777" w:rsidR="0017561A" w:rsidRPr="00192CCA" w:rsidRDefault="0017561A" w:rsidP="004E0520">
            <w:pPr>
              <w:rPr>
                <w:sz w:val="20"/>
                <w:szCs w:val="20"/>
              </w:rPr>
            </w:pPr>
            <w:r>
              <w:rPr>
                <w:sz w:val="20"/>
                <w:szCs w:val="20"/>
              </w:rPr>
              <w:t>3,605 (45.23)</w:t>
            </w:r>
          </w:p>
        </w:tc>
        <w:tc>
          <w:tcPr>
            <w:tcW w:w="1418" w:type="dxa"/>
          </w:tcPr>
          <w:p w14:paraId="2F6B1B59" w14:textId="77777777" w:rsidR="0017561A" w:rsidRPr="00192CCA" w:rsidRDefault="0017561A" w:rsidP="004E0520">
            <w:pPr>
              <w:rPr>
                <w:sz w:val="20"/>
                <w:szCs w:val="20"/>
              </w:rPr>
            </w:pPr>
            <w:r>
              <w:rPr>
                <w:sz w:val="20"/>
                <w:szCs w:val="20"/>
              </w:rPr>
              <w:t>4,365 (54.77)</w:t>
            </w:r>
          </w:p>
        </w:tc>
        <w:tc>
          <w:tcPr>
            <w:tcW w:w="992" w:type="dxa"/>
          </w:tcPr>
          <w:p w14:paraId="3B04FDD3" w14:textId="77777777" w:rsidR="0017561A" w:rsidRPr="00192CCA" w:rsidRDefault="0017561A" w:rsidP="004E0520">
            <w:pPr>
              <w:rPr>
                <w:sz w:val="20"/>
                <w:szCs w:val="20"/>
              </w:rPr>
            </w:pPr>
          </w:p>
        </w:tc>
        <w:tc>
          <w:tcPr>
            <w:tcW w:w="709" w:type="dxa"/>
          </w:tcPr>
          <w:p w14:paraId="498A4EFC" w14:textId="77777777" w:rsidR="0017561A" w:rsidRPr="00192CCA" w:rsidRDefault="0017561A" w:rsidP="004E0520">
            <w:pPr>
              <w:rPr>
                <w:sz w:val="20"/>
                <w:szCs w:val="20"/>
              </w:rPr>
            </w:pPr>
            <w:r w:rsidRPr="00192CCA">
              <w:rPr>
                <w:sz w:val="20"/>
                <w:szCs w:val="20"/>
              </w:rPr>
              <w:t>1.00</w:t>
            </w:r>
          </w:p>
        </w:tc>
        <w:tc>
          <w:tcPr>
            <w:tcW w:w="1417" w:type="dxa"/>
          </w:tcPr>
          <w:p w14:paraId="5A04F063" w14:textId="77777777" w:rsidR="0017561A" w:rsidRPr="00192CCA" w:rsidRDefault="0017561A" w:rsidP="004E0520">
            <w:pPr>
              <w:rPr>
                <w:sz w:val="20"/>
                <w:szCs w:val="20"/>
              </w:rPr>
            </w:pPr>
            <w:r w:rsidRPr="00192CCA">
              <w:rPr>
                <w:sz w:val="20"/>
                <w:szCs w:val="20"/>
              </w:rPr>
              <w:t>-----     -----</w:t>
            </w:r>
          </w:p>
        </w:tc>
        <w:tc>
          <w:tcPr>
            <w:tcW w:w="992" w:type="dxa"/>
          </w:tcPr>
          <w:p w14:paraId="0A86F3D0" w14:textId="77777777" w:rsidR="0017561A" w:rsidRPr="00192CCA" w:rsidRDefault="0017561A" w:rsidP="004E0520">
            <w:pPr>
              <w:rPr>
                <w:sz w:val="20"/>
                <w:szCs w:val="20"/>
              </w:rPr>
            </w:pPr>
            <w:r>
              <w:rPr>
                <w:sz w:val="20"/>
                <w:szCs w:val="20"/>
              </w:rPr>
              <w:t xml:space="preserve">  </w:t>
            </w:r>
            <w:r w:rsidRPr="00192CCA">
              <w:rPr>
                <w:sz w:val="20"/>
                <w:szCs w:val="20"/>
              </w:rPr>
              <w:t>-------</w:t>
            </w:r>
          </w:p>
        </w:tc>
        <w:tc>
          <w:tcPr>
            <w:tcW w:w="709" w:type="dxa"/>
          </w:tcPr>
          <w:p w14:paraId="764430FA" w14:textId="77777777" w:rsidR="0017561A" w:rsidRPr="00192CCA" w:rsidRDefault="0017561A" w:rsidP="004E0520">
            <w:pPr>
              <w:rPr>
                <w:sz w:val="20"/>
                <w:szCs w:val="20"/>
              </w:rPr>
            </w:pPr>
            <w:r w:rsidRPr="00192CCA">
              <w:rPr>
                <w:sz w:val="20"/>
                <w:szCs w:val="20"/>
              </w:rPr>
              <w:t>1.00</w:t>
            </w:r>
          </w:p>
        </w:tc>
        <w:tc>
          <w:tcPr>
            <w:tcW w:w="1418" w:type="dxa"/>
          </w:tcPr>
          <w:p w14:paraId="3117CC6D" w14:textId="77777777" w:rsidR="0017561A" w:rsidRPr="00192CCA" w:rsidRDefault="0017561A" w:rsidP="004E0520">
            <w:pPr>
              <w:rPr>
                <w:sz w:val="20"/>
                <w:szCs w:val="20"/>
              </w:rPr>
            </w:pPr>
            <w:r w:rsidRPr="00192CCA">
              <w:rPr>
                <w:sz w:val="20"/>
                <w:szCs w:val="20"/>
              </w:rPr>
              <w:t>-----     -----</w:t>
            </w:r>
          </w:p>
        </w:tc>
        <w:tc>
          <w:tcPr>
            <w:tcW w:w="992" w:type="dxa"/>
          </w:tcPr>
          <w:p w14:paraId="790A30C2" w14:textId="77777777" w:rsidR="0017561A" w:rsidRPr="00192CCA" w:rsidRDefault="0017561A" w:rsidP="004E0520">
            <w:pPr>
              <w:rPr>
                <w:sz w:val="20"/>
                <w:szCs w:val="20"/>
              </w:rPr>
            </w:pPr>
            <w:r>
              <w:rPr>
                <w:sz w:val="20"/>
                <w:szCs w:val="20"/>
              </w:rPr>
              <w:t xml:space="preserve">  </w:t>
            </w:r>
            <w:r w:rsidRPr="00192CCA">
              <w:rPr>
                <w:sz w:val="20"/>
                <w:szCs w:val="20"/>
              </w:rPr>
              <w:t>-------</w:t>
            </w:r>
          </w:p>
        </w:tc>
      </w:tr>
      <w:tr w:rsidR="0017561A" w:rsidRPr="00AB4B54" w14:paraId="490BC9C5" w14:textId="77777777" w:rsidTr="004E0520">
        <w:trPr>
          <w:jc w:val="center"/>
        </w:trPr>
        <w:tc>
          <w:tcPr>
            <w:tcW w:w="3823" w:type="dxa"/>
          </w:tcPr>
          <w:p w14:paraId="174036BD" w14:textId="77777777" w:rsidR="0017561A" w:rsidRPr="00192CCA" w:rsidRDefault="0017561A" w:rsidP="004E0520">
            <w:pPr>
              <w:rPr>
                <w:sz w:val="20"/>
                <w:szCs w:val="20"/>
              </w:rPr>
            </w:pPr>
            <w:r w:rsidRPr="00192CCA">
              <w:rPr>
                <w:sz w:val="20"/>
                <w:szCs w:val="20"/>
              </w:rPr>
              <w:t>2</w:t>
            </w:r>
          </w:p>
        </w:tc>
        <w:tc>
          <w:tcPr>
            <w:tcW w:w="1417" w:type="dxa"/>
          </w:tcPr>
          <w:p w14:paraId="1580AC9B" w14:textId="77777777" w:rsidR="0017561A" w:rsidRPr="00192CCA" w:rsidRDefault="0017561A" w:rsidP="004E0520">
            <w:pPr>
              <w:rPr>
                <w:sz w:val="20"/>
                <w:szCs w:val="20"/>
              </w:rPr>
            </w:pPr>
            <w:r>
              <w:rPr>
                <w:sz w:val="20"/>
                <w:szCs w:val="20"/>
              </w:rPr>
              <w:t>3,525 (45.27)</w:t>
            </w:r>
          </w:p>
        </w:tc>
        <w:tc>
          <w:tcPr>
            <w:tcW w:w="1418" w:type="dxa"/>
          </w:tcPr>
          <w:p w14:paraId="046A75C7" w14:textId="77777777" w:rsidR="0017561A" w:rsidRPr="00192CCA" w:rsidRDefault="0017561A" w:rsidP="004E0520">
            <w:pPr>
              <w:rPr>
                <w:sz w:val="20"/>
                <w:szCs w:val="20"/>
              </w:rPr>
            </w:pPr>
            <w:r>
              <w:rPr>
                <w:sz w:val="20"/>
                <w:szCs w:val="20"/>
              </w:rPr>
              <w:t>4,261 (54.73)</w:t>
            </w:r>
          </w:p>
        </w:tc>
        <w:tc>
          <w:tcPr>
            <w:tcW w:w="992" w:type="dxa"/>
          </w:tcPr>
          <w:p w14:paraId="03350101" w14:textId="77777777" w:rsidR="0017561A" w:rsidRPr="00192CCA" w:rsidRDefault="0017561A" w:rsidP="004E0520">
            <w:pPr>
              <w:rPr>
                <w:sz w:val="20"/>
                <w:szCs w:val="20"/>
              </w:rPr>
            </w:pPr>
          </w:p>
        </w:tc>
        <w:tc>
          <w:tcPr>
            <w:tcW w:w="709" w:type="dxa"/>
          </w:tcPr>
          <w:p w14:paraId="23742F33" w14:textId="77777777" w:rsidR="0017561A" w:rsidRPr="00192CCA" w:rsidRDefault="0017561A" w:rsidP="004E0520">
            <w:pPr>
              <w:rPr>
                <w:sz w:val="20"/>
                <w:szCs w:val="20"/>
              </w:rPr>
            </w:pPr>
            <w:r>
              <w:rPr>
                <w:sz w:val="20"/>
                <w:szCs w:val="20"/>
              </w:rPr>
              <w:t>1.00</w:t>
            </w:r>
          </w:p>
        </w:tc>
        <w:tc>
          <w:tcPr>
            <w:tcW w:w="1417" w:type="dxa"/>
          </w:tcPr>
          <w:p w14:paraId="3B4374F9" w14:textId="77777777" w:rsidR="0017561A" w:rsidRPr="00192CCA" w:rsidRDefault="0017561A" w:rsidP="004E0520">
            <w:pPr>
              <w:rPr>
                <w:sz w:val="20"/>
                <w:szCs w:val="20"/>
              </w:rPr>
            </w:pPr>
            <w:r w:rsidRPr="00192CCA">
              <w:rPr>
                <w:sz w:val="20"/>
                <w:szCs w:val="20"/>
              </w:rPr>
              <w:t>0.</w:t>
            </w:r>
            <w:r>
              <w:rPr>
                <w:sz w:val="20"/>
                <w:szCs w:val="20"/>
              </w:rPr>
              <w:t xml:space="preserve">94 </w:t>
            </w:r>
            <w:r w:rsidRPr="00192CCA">
              <w:rPr>
                <w:sz w:val="20"/>
                <w:szCs w:val="20"/>
              </w:rPr>
              <w:t xml:space="preserve">– </w:t>
            </w:r>
            <w:r>
              <w:rPr>
                <w:sz w:val="20"/>
                <w:szCs w:val="20"/>
              </w:rPr>
              <w:t>1.07</w:t>
            </w:r>
          </w:p>
        </w:tc>
        <w:tc>
          <w:tcPr>
            <w:tcW w:w="992" w:type="dxa"/>
          </w:tcPr>
          <w:p w14:paraId="25EB3CD7"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958</w:t>
            </w:r>
          </w:p>
        </w:tc>
        <w:tc>
          <w:tcPr>
            <w:tcW w:w="709" w:type="dxa"/>
          </w:tcPr>
          <w:p w14:paraId="4C89C96A" w14:textId="77777777" w:rsidR="0017561A" w:rsidRPr="00192CCA" w:rsidRDefault="0017561A" w:rsidP="004E0520">
            <w:pPr>
              <w:rPr>
                <w:sz w:val="20"/>
                <w:szCs w:val="20"/>
              </w:rPr>
            </w:pPr>
            <w:r>
              <w:rPr>
                <w:sz w:val="20"/>
                <w:szCs w:val="20"/>
              </w:rPr>
              <w:t>1.00</w:t>
            </w:r>
          </w:p>
        </w:tc>
        <w:tc>
          <w:tcPr>
            <w:tcW w:w="1418" w:type="dxa"/>
          </w:tcPr>
          <w:p w14:paraId="5D00C205" w14:textId="77777777" w:rsidR="0017561A" w:rsidRPr="00192CCA" w:rsidRDefault="0017561A" w:rsidP="004E0520">
            <w:pPr>
              <w:rPr>
                <w:sz w:val="20"/>
                <w:szCs w:val="20"/>
              </w:rPr>
            </w:pPr>
            <w:r w:rsidRPr="00192CCA">
              <w:rPr>
                <w:sz w:val="20"/>
                <w:szCs w:val="20"/>
              </w:rPr>
              <w:t>0.</w:t>
            </w:r>
            <w:r>
              <w:rPr>
                <w:sz w:val="20"/>
                <w:szCs w:val="20"/>
              </w:rPr>
              <w:t>94</w:t>
            </w:r>
            <w:r w:rsidRPr="00192CCA">
              <w:rPr>
                <w:sz w:val="20"/>
                <w:szCs w:val="20"/>
              </w:rPr>
              <w:t xml:space="preserve"> – 1</w:t>
            </w:r>
            <w:r>
              <w:rPr>
                <w:sz w:val="20"/>
                <w:szCs w:val="20"/>
              </w:rPr>
              <w:t>.08</w:t>
            </w:r>
          </w:p>
        </w:tc>
        <w:tc>
          <w:tcPr>
            <w:tcW w:w="992" w:type="dxa"/>
          </w:tcPr>
          <w:p w14:paraId="012023D8"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910</w:t>
            </w:r>
          </w:p>
        </w:tc>
      </w:tr>
      <w:tr w:rsidR="0017561A" w:rsidRPr="00AB4B54" w14:paraId="41B027A1" w14:textId="77777777" w:rsidTr="004E0520">
        <w:trPr>
          <w:jc w:val="center"/>
        </w:trPr>
        <w:tc>
          <w:tcPr>
            <w:tcW w:w="3823" w:type="dxa"/>
          </w:tcPr>
          <w:p w14:paraId="64485C2A" w14:textId="77777777" w:rsidR="0017561A" w:rsidRPr="00192CCA" w:rsidRDefault="0017561A" w:rsidP="004E0520">
            <w:pPr>
              <w:rPr>
                <w:sz w:val="20"/>
                <w:szCs w:val="20"/>
              </w:rPr>
            </w:pPr>
            <w:r w:rsidRPr="00192CCA">
              <w:rPr>
                <w:sz w:val="20"/>
                <w:szCs w:val="20"/>
              </w:rPr>
              <w:t>3</w:t>
            </w:r>
          </w:p>
        </w:tc>
        <w:tc>
          <w:tcPr>
            <w:tcW w:w="1417" w:type="dxa"/>
          </w:tcPr>
          <w:p w14:paraId="47049525" w14:textId="77777777" w:rsidR="0017561A" w:rsidRPr="00192CCA" w:rsidRDefault="0017561A" w:rsidP="004E0520">
            <w:pPr>
              <w:rPr>
                <w:sz w:val="20"/>
                <w:szCs w:val="20"/>
              </w:rPr>
            </w:pPr>
            <w:r>
              <w:rPr>
                <w:sz w:val="20"/>
                <w:szCs w:val="20"/>
              </w:rPr>
              <w:t>3,039 (43.27)</w:t>
            </w:r>
          </w:p>
        </w:tc>
        <w:tc>
          <w:tcPr>
            <w:tcW w:w="1418" w:type="dxa"/>
          </w:tcPr>
          <w:p w14:paraId="15DA76C6" w14:textId="77777777" w:rsidR="0017561A" w:rsidRPr="00192CCA" w:rsidRDefault="0017561A" w:rsidP="004E0520">
            <w:pPr>
              <w:rPr>
                <w:sz w:val="20"/>
                <w:szCs w:val="20"/>
              </w:rPr>
            </w:pPr>
            <w:r>
              <w:rPr>
                <w:sz w:val="20"/>
                <w:szCs w:val="20"/>
              </w:rPr>
              <w:t>3,985 (56.73)</w:t>
            </w:r>
          </w:p>
        </w:tc>
        <w:tc>
          <w:tcPr>
            <w:tcW w:w="992" w:type="dxa"/>
          </w:tcPr>
          <w:p w14:paraId="790B4498" w14:textId="77777777" w:rsidR="0017561A" w:rsidRPr="00192CCA" w:rsidRDefault="0017561A" w:rsidP="004E0520">
            <w:pPr>
              <w:rPr>
                <w:sz w:val="20"/>
                <w:szCs w:val="20"/>
              </w:rPr>
            </w:pPr>
          </w:p>
        </w:tc>
        <w:tc>
          <w:tcPr>
            <w:tcW w:w="709" w:type="dxa"/>
          </w:tcPr>
          <w:p w14:paraId="4053840A" w14:textId="77777777" w:rsidR="0017561A" w:rsidRPr="00192CCA" w:rsidRDefault="0017561A" w:rsidP="004E0520">
            <w:pPr>
              <w:rPr>
                <w:sz w:val="20"/>
                <w:szCs w:val="20"/>
              </w:rPr>
            </w:pPr>
            <w:r>
              <w:rPr>
                <w:sz w:val="20"/>
                <w:szCs w:val="20"/>
              </w:rPr>
              <w:t>0.92</w:t>
            </w:r>
          </w:p>
        </w:tc>
        <w:tc>
          <w:tcPr>
            <w:tcW w:w="1417" w:type="dxa"/>
          </w:tcPr>
          <w:p w14:paraId="5EFD4108" w14:textId="77777777" w:rsidR="0017561A" w:rsidRPr="00192CCA" w:rsidRDefault="0017561A" w:rsidP="004E0520">
            <w:pPr>
              <w:rPr>
                <w:sz w:val="20"/>
                <w:szCs w:val="20"/>
              </w:rPr>
            </w:pPr>
            <w:r w:rsidRPr="00192CCA">
              <w:rPr>
                <w:sz w:val="20"/>
                <w:szCs w:val="20"/>
              </w:rPr>
              <w:t>0.</w:t>
            </w:r>
            <w:r>
              <w:rPr>
                <w:sz w:val="20"/>
                <w:szCs w:val="20"/>
              </w:rPr>
              <w:t>87</w:t>
            </w:r>
            <w:r w:rsidRPr="00192CCA">
              <w:rPr>
                <w:sz w:val="20"/>
                <w:szCs w:val="20"/>
              </w:rPr>
              <w:t xml:space="preserve"> – </w:t>
            </w:r>
            <w:r>
              <w:rPr>
                <w:sz w:val="20"/>
                <w:szCs w:val="20"/>
              </w:rPr>
              <w:t>0.99</w:t>
            </w:r>
          </w:p>
        </w:tc>
        <w:tc>
          <w:tcPr>
            <w:tcW w:w="992" w:type="dxa"/>
          </w:tcPr>
          <w:p w14:paraId="34B4C219"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016</w:t>
            </w:r>
          </w:p>
        </w:tc>
        <w:tc>
          <w:tcPr>
            <w:tcW w:w="709" w:type="dxa"/>
          </w:tcPr>
          <w:p w14:paraId="15870C08" w14:textId="77777777" w:rsidR="0017561A" w:rsidRPr="00192CCA" w:rsidRDefault="0017561A" w:rsidP="004E0520">
            <w:pPr>
              <w:rPr>
                <w:sz w:val="20"/>
                <w:szCs w:val="20"/>
              </w:rPr>
            </w:pPr>
            <w:r w:rsidRPr="00192CCA">
              <w:rPr>
                <w:sz w:val="20"/>
                <w:szCs w:val="20"/>
              </w:rPr>
              <w:t>0.</w:t>
            </w:r>
            <w:r>
              <w:rPr>
                <w:sz w:val="20"/>
                <w:szCs w:val="20"/>
              </w:rPr>
              <w:t>90</w:t>
            </w:r>
          </w:p>
        </w:tc>
        <w:tc>
          <w:tcPr>
            <w:tcW w:w="1418" w:type="dxa"/>
          </w:tcPr>
          <w:p w14:paraId="78E5454D" w14:textId="77777777" w:rsidR="0017561A" w:rsidRPr="00192CCA" w:rsidRDefault="0017561A" w:rsidP="004E0520">
            <w:pPr>
              <w:rPr>
                <w:sz w:val="20"/>
                <w:szCs w:val="20"/>
              </w:rPr>
            </w:pPr>
            <w:r w:rsidRPr="00192CCA">
              <w:rPr>
                <w:sz w:val="20"/>
                <w:szCs w:val="20"/>
              </w:rPr>
              <w:t>0.</w:t>
            </w:r>
            <w:r>
              <w:rPr>
                <w:sz w:val="20"/>
                <w:szCs w:val="20"/>
              </w:rPr>
              <w:t>84</w:t>
            </w:r>
            <w:r w:rsidRPr="00192CCA">
              <w:rPr>
                <w:sz w:val="20"/>
                <w:szCs w:val="20"/>
              </w:rPr>
              <w:t xml:space="preserve"> – </w:t>
            </w:r>
            <w:r>
              <w:rPr>
                <w:sz w:val="20"/>
                <w:szCs w:val="20"/>
              </w:rPr>
              <w:t>0.96</w:t>
            </w:r>
          </w:p>
        </w:tc>
        <w:tc>
          <w:tcPr>
            <w:tcW w:w="992" w:type="dxa"/>
          </w:tcPr>
          <w:p w14:paraId="0EA0963C" w14:textId="77777777" w:rsidR="0017561A" w:rsidRPr="00192CCA" w:rsidRDefault="0017561A" w:rsidP="004E0520">
            <w:pPr>
              <w:rPr>
                <w:sz w:val="20"/>
                <w:szCs w:val="20"/>
              </w:rPr>
            </w:pPr>
            <w:r>
              <w:rPr>
                <w:sz w:val="20"/>
                <w:szCs w:val="20"/>
              </w:rPr>
              <w:t xml:space="preserve">  </w:t>
            </w:r>
            <w:r w:rsidRPr="00192CCA">
              <w:rPr>
                <w:sz w:val="20"/>
                <w:szCs w:val="20"/>
              </w:rPr>
              <w:t>0.0</w:t>
            </w:r>
            <w:r>
              <w:rPr>
                <w:sz w:val="20"/>
                <w:szCs w:val="20"/>
              </w:rPr>
              <w:t>03</w:t>
            </w:r>
          </w:p>
        </w:tc>
      </w:tr>
      <w:tr w:rsidR="0017561A" w:rsidRPr="00AB4B54" w14:paraId="50E3941B" w14:textId="77777777" w:rsidTr="004E0520">
        <w:trPr>
          <w:jc w:val="center"/>
        </w:trPr>
        <w:tc>
          <w:tcPr>
            <w:tcW w:w="3823" w:type="dxa"/>
          </w:tcPr>
          <w:p w14:paraId="1DED2F4C" w14:textId="77777777" w:rsidR="0017561A" w:rsidRPr="00192CCA" w:rsidRDefault="0017561A" w:rsidP="004E0520">
            <w:pPr>
              <w:rPr>
                <w:sz w:val="20"/>
                <w:szCs w:val="20"/>
              </w:rPr>
            </w:pPr>
            <w:r w:rsidRPr="00192CCA">
              <w:rPr>
                <w:sz w:val="20"/>
                <w:szCs w:val="20"/>
              </w:rPr>
              <w:t>4</w:t>
            </w:r>
          </w:p>
        </w:tc>
        <w:tc>
          <w:tcPr>
            <w:tcW w:w="1417" w:type="dxa"/>
          </w:tcPr>
          <w:p w14:paraId="2F3C27FD" w14:textId="77777777" w:rsidR="0017561A" w:rsidRPr="00192CCA" w:rsidRDefault="0017561A" w:rsidP="004E0520">
            <w:pPr>
              <w:rPr>
                <w:sz w:val="20"/>
                <w:szCs w:val="20"/>
              </w:rPr>
            </w:pPr>
            <w:r>
              <w:rPr>
                <w:sz w:val="20"/>
                <w:szCs w:val="20"/>
              </w:rPr>
              <w:t>2,847 (45.20)</w:t>
            </w:r>
          </w:p>
        </w:tc>
        <w:tc>
          <w:tcPr>
            <w:tcW w:w="1418" w:type="dxa"/>
          </w:tcPr>
          <w:p w14:paraId="31D6E349" w14:textId="77777777" w:rsidR="0017561A" w:rsidRPr="00192CCA" w:rsidRDefault="0017561A" w:rsidP="004E0520">
            <w:pPr>
              <w:rPr>
                <w:sz w:val="20"/>
                <w:szCs w:val="20"/>
              </w:rPr>
            </w:pPr>
            <w:r>
              <w:rPr>
                <w:sz w:val="20"/>
                <w:szCs w:val="20"/>
              </w:rPr>
              <w:t>3,452 (54.80)</w:t>
            </w:r>
          </w:p>
        </w:tc>
        <w:tc>
          <w:tcPr>
            <w:tcW w:w="992" w:type="dxa"/>
          </w:tcPr>
          <w:p w14:paraId="1BDA4136" w14:textId="77777777" w:rsidR="0017561A" w:rsidRPr="00192CCA" w:rsidRDefault="0017561A" w:rsidP="004E0520">
            <w:pPr>
              <w:rPr>
                <w:sz w:val="20"/>
                <w:szCs w:val="20"/>
              </w:rPr>
            </w:pPr>
          </w:p>
        </w:tc>
        <w:tc>
          <w:tcPr>
            <w:tcW w:w="709" w:type="dxa"/>
          </w:tcPr>
          <w:p w14:paraId="1F04785B" w14:textId="77777777" w:rsidR="0017561A" w:rsidRPr="00192CCA" w:rsidRDefault="0017561A" w:rsidP="004E0520">
            <w:pPr>
              <w:rPr>
                <w:sz w:val="20"/>
                <w:szCs w:val="20"/>
              </w:rPr>
            </w:pPr>
            <w:r>
              <w:rPr>
                <w:sz w:val="20"/>
                <w:szCs w:val="20"/>
              </w:rPr>
              <w:t>1.00</w:t>
            </w:r>
          </w:p>
        </w:tc>
        <w:tc>
          <w:tcPr>
            <w:tcW w:w="1417" w:type="dxa"/>
          </w:tcPr>
          <w:p w14:paraId="0989F655" w14:textId="77777777" w:rsidR="0017561A" w:rsidRPr="00192CCA" w:rsidRDefault="0017561A" w:rsidP="004E0520">
            <w:pPr>
              <w:rPr>
                <w:sz w:val="20"/>
                <w:szCs w:val="20"/>
              </w:rPr>
            </w:pPr>
            <w:r w:rsidRPr="00192CCA">
              <w:rPr>
                <w:sz w:val="20"/>
                <w:szCs w:val="20"/>
              </w:rPr>
              <w:t>0.</w:t>
            </w:r>
            <w:r>
              <w:rPr>
                <w:sz w:val="20"/>
                <w:szCs w:val="20"/>
              </w:rPr>
              <w:t>93</w:t>
            </w:r>
            <w:r w:rsidRPr="00192CCA">
              <w:rPr>
                <w:sz w:val="20"/>
                <w:szCs w:val="20"/>
              </w:rPr>
              <w:t xml:space="preserve"> – 1.</w:t>
            </w:r>
            <w:r>
              <w:rPr>
                <w:sz w:val="20"/>
                <w:szCs w:val="20"/>
              </w:rPr>
              <w:t>07</w:t>
            </w:r>
          </w:p>
        </w:tc>
        <w:tc>
          <w:tcPr>
            <w:tcW w:w="992" w:type="dxa"/>
          </w:tcPr>
          <w:p w14:paraId="0CBBC1FF"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.967</w:t>
            </w:r>
          </w:p>
        </w:tc>
        <w:tc>
          <w:tcPr>
            <w:tcW w:w="709" w:type="dxa"/>
          </w:tcPr>
          <w:p w14:paraId="1A0E0012" w14:textId="77777777" w:rsidR="0017561A" w:rsidRPr="00192CCA" w:rsidRDefault="0017561A" w:rsidP="004E0520">
            <w:pPr>
              <w:rPr>
                <w:sz w:val="20"/>
                <w:szCs w:val="20"/>
              </w:rPr>
            </w:pPr>
            <w:r w:rsidRPr="00192CCA">
              <w:rPr>
                <w:sz w:val="20"/>
                <w:szCs w:val="20"/>
              </w:rPr>
              <w:t>0.</w:t>
            </w:r>
            <w:r>
              <w:rPr>
                <w:sz w:val="20"/>
                <w:szCs w:val="20"/>
              </w:rPr>
              <w:t>93</w:t>
            </w:r>
          </w:p>
        </w:tc>
        <w:tc>
          <w:tcPr>
            <w:tcW w:w="1418" w:type="dxa"/>
          </w:tcPr>
          <w:p w14:paraId="2625815E" w14:textId="77777777" w:rsidR="0017561A" w:rsidRPr="00192CCA" w:rsidRDefault="0017561A" w:rsidP="004E0520">
            <w:pPr>
              <w:rPr>
                <w:sz w:val="20"/>
                <w:szCs w:val="20"/>
              </w:rPr>
            </w:pPr>
            <w:r w:rsidRPr="00192CCA">
              <w:rPr>
                <w:sz w:val="20"/>
                <w:szCs w:val="20"/>
              </w:rPr>
              <w:t>0.</w:t>
            </w:r>
            <w:r>
              <w:rPr>
                <w:sz w:val="20"/>
                <w:szCs w:val="20"/>
              </w:rPr>
              <w:t>86</w:t>
            </w:r>
            <w:r w:rsidRPr="00192CCA">
              <w:rPr>
                <w:sz w:val="20"/>
                <w:szCs w:val="20"/>
              </w:rPr>
              <w:t xml:space="preserve"> – 1.</w:t>
            </w:r>
            <w:r>
              <w:rPr>
                <w:sz w:val="20"/>
                <w:szCs w:val="20"/>
              </w:rPr>
              <w:t>00</w:t>
            </w:r>
          </w:p>
        </w:tc>
        <w:tc>
          <w:tcPr>
            <w:tcW w:w="992" w:type="dxa"/>
          </w:tcPr>
          <w:p w14:paraId="07E0A9ED"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050</w:t>
            </w:r>
          </w:p>
        </w:tc>
      </w:tr>
      <w:tr w:rsidR="0017561A" w:rsidRPr="00AB4B54" w14:paraId="044BB58C" w14:textId="77777777" w:rsidTr="004E0520">
        <w:trPr>
          <w:jc w:val="center"/>
        </w:trPr>
        <w:tc>
          <w:tcPr>
            <w:tcW w:w="3823" w:type="dxa"/>
          </w:tcPr>
          <w:p w14:paraId="45B5B3B0" w14:textId="77777777" w:rsidR="0017561A" w:rsidRPr="00192CCA" w:rsidRDefault="0017561A" w:rsidP="004E0520">
            <w:pPr>
              <w:rPr>
                <w:sz w:val="20"/>
                <w:szCs w:val="20"/>
              </w:rPr>
            </w:pPr>
            <w:r w:rsidRPr="00192CCA">
              <w:rPr>
                <w:sz w:val="20"/>
                <w:szCs w:val="20"/>
              </w:rPr>
              <w:t>5 (Most Deprived)</w:t>
            </w:r>
          </w:p>
        </w:tc>
        <w:tc>
          <w:tcPr>
            <w:tcW w:w="1417" w:type="dxa"/>
          </w:tcPr>
          <w:p w14:paraId="66BB45A5" w14:textId="77777777" w:rsidR="0017561A" w:rsidRPr="00192CCA" w:rsidRDefault="0017561A" w:rsidP="004E0520">
            <w:pPr>
              <w:rPr>
                <w:sz w:val="20"/>
                <w:szCs w:val="20"/>
              </w:rPr>
            </w:pPr>
            <w:r>
              <w:rPr>
                <w:sz w:val="20"/>
                <w:szCs w:val="20"/>
              </w:rPr>
              <w:t>2,551 (46.07)</w:t>
            </w:r>
          </w:p>
        </w:tc>
        <w:tc>
          <w:tcPr>
            <w:tcW w:w="1418" w:type="dxa"/>
          </w:tcPr>
          <w:p w14:paraId="396BBB8F" w14:textId="77777777" w:rsidR="0017561A" w:rsidRPr="00192CCA" w:rsidRDefault="0017561A" w:rsidP="004E0520">
            <w:pPr>
              <w:rPr>
                <w:sz w:val="20"/>
                <w:szCs w:val="20"/>
              </w:rPr>
            </w:pPr>
            <w:r>
              <w:rPr>
                <w:sz w:val="20"/>
                <w:szCs w:val="20"/>
              </w:rPr>
              <w:t>2,986 (53.93)</w:t>
            </w:r>
          </w:p>
        </w:tc>
        <w:tc>
          <w:tcPr>
            <w:tcW w:w="992" w:type="dxa"/>
          </w:tcPr>
          <w:p w14:paraId="75073703" w14:textId="77777777" w:rsidR="0017561A" w:rsidRPr="00192CCA" w:rsidRDefault="0017561A" w:rsidP="004E0520">
            <w:pPr>
              <w:rPr>
                <w:sz w:val="20"/>
                <w:szCs w:val="20"/>
              </w:rPr>
            </w:pPr>
          </w:p>
        </w:tc>
        <w:tc>
          <w:tcPr>
            <w:tcW w:w="709" w:type="dxa"/>
          </w:tcPr>
          <w:p w14:paraId="30D654AB" w14:textId="77777777" w:rsidR="0017561A" w:rsidRPr="00192CCA" w:rsidRDefault="0017561A" w:rsidP="004E0520">
            <w:pPr>
              <w:rPr>
                <w:sz w:val="20"/>
                <w:szCs w:val="20"/>
              </w:rPr>
            </w:pPr>
            <w:r w:rsidRPr="00192CCA">
              <w:rPr>
                <w:sz w:val="20"/>
                <w:szCs w:val="20"/>
              </w:rPr>
              <w:t>1.0</w:t>
            </w:r>
            <w:r>
              <w:rPr>
                <w:sz w:val="20"/>
                <w:szCs w:val="20"/>
              </w:rPr>
              <w:t>3</w:t>
            </w:r>
          </w:p>
        </w:tc>
        <w:tc>
          <w:tcPr>
            <w:tcW w:w="1417" w:type="dxa"/>
          </w:tcPr>
          <w:p w14:paraId="297AF139" w14:textId="77777777" w:rsidR="0017561A" w:rsidRPr="00192CCA" w:rsidRDefault="0017561A" w:rsidP="004E0520">
            <w:pPr>
              <w:rPr>
                <w:sz w:val="20"/>
                <w:szCs w:val="20"/>
              </w:rPr>
            </w:pPr>
            <w:r w:rsidRPr="00192CCA">
              <w:rPr>
                <w:sz w:val="20"/>
                <w:szCs w:val="20"/>
              </w:rPr>
              <w:t>0.</w:t>
            </w:r>
            <w:r>
              <w:rPr>
                <w:sz w:val="20"/>
                <w:szCs w:val="20"/>
              </w:rPr>
              <w:t>97</w:t>
            </w:r>
            <w:r w:rsidRPr="00192CCA">
              <w:rPr>
                <w:sz w:val="20"/>
                <w:szCs w:val="20"/>
              </w:rPr>
              <w:t xml:space="preserve"> – 1.</w:t>
            </w:r>
            <w:r>
              <w:rPr>
                <w:sz w:val="20"/>
                <w:szCs w:val="20"/>
              </w:rPr>
              <w:t>11</w:t>
            </w:r>
          </w:p>
        </w:tc>
        <w:tc>
          <w:tcPr>
            <w:tcW w:w="992" w:type="dxa"/>
          </w:tcPr>
          <w:p w14:paraId="6C84EE06"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335</w:t>
            </w:r>
          </w:p>
        </w:tc>
        <w:tc>
          <w:tcPr>
            <w:tcW w:w="709" w:type="dxa"/>
          </w:tcPr>
          <w:p w14:paraId="42AC3F9C" w14:textId="77777777" w:rsidR="0017561A" w:rsidRPr="00192CCA" w:rsidRDefault="0017561A" w:rsidP="004E0520">
            <w:pPr>
              <w:rPr>
                <w:sz w:val="20"/>
                <w:szCs w:val="20"/>
              </w:rPr>
            </w:pPr>
            <w:r w:rsidRPr="00192CCA">
              <w:rPr>
                <w:sz w:val="20"/>
                <w:szCs w:val="20"/>
              </w:rPr>
              <w:t>0.</w:t>
            </w:r>
            <w:r>
              <w:rPr>
                <w:sz w:val="20"/>
                <w:szCs w:val="20"/>
              </w:rPr>
              <w:t>90</w:t>
            </w:r>
          </w:p>
        </w:tc>
        <w:tc>
          <w:tcPr>
            <w:tcW w:w="1418" w:type="dxa"/>
          </w:tcPr>
          <w:p w14:paraId="65111F02" w14:textId="77777777" w:rsidR="0017561A" w:rsidRPr="00192CCA" w:rsidRDefault="0017561A" w:rsidP="004E0520">
            <w:pPr>
              <w:rPr>
                <w:b/>
                <w:bCs/>
                <w:sz w:val="20"/>
                <w:szCs w:val="20"/>
              </w:rPr>
            </w:pPr>
            <w:r w:rsidRPr="00192CCA">
              <w:rPr>
                <w:sz w:val="20"/>
                <w:szCs w:val="20"/>
              </w:rPr>
              <w:t>0.</w:t>
            </w:r>
            <w:r>
              <w:rPr>
                <w:sz w:val="20"/>
                <w:szCs w:val="20"/>
              </w:rPr>
              <w:t>83</w:t>
            </w:r>
            <w:r w:rsidRPr="00192CCA">
              <w:rPr>
                <w:sz w:val="20"/>
                <w:szCs w:val="20"/>
              </w:rPr>
              <w:t xml:space="preserve"> – </w:t>
            </w:r>
            <w:r>
              <w:rPr>
                <w:sz w:val="20"/>
                <w:szCs w:val="20"/>
              </w:rPr>
              <w:t>0.98</w:t>
            </w:r>
          </w:p>
        </w:tc>
        <w:tc>
          <w:tcPr>
            <w:tcW w:w="992" w:type="dxa"/>
          </w:tcPr>
          <w:p w14:paraId="5CDF79AC"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016</w:t>
            </w:r>
          </w:p>
        </w:tc>
      </w:tr>
      <w:tr w:rsidR="0017561A" w:rsidRPr="00AB4B54" w14:paraId="4FAEF205" w14:textId="77777777" w:rsidTr="004E0520">
        <w:trPr>
          <w:jc w:val="center"/>
        </w:trPr>
        <w:tc>
          <w:tcPr>
            <w:tcW w:w="3823" w:type="dxa"/>
          </w:tcPr>
          <w:p w14:paraId="67806B36" w14:textId="77777777" w:rsidR="0017561A" w:rsidRPr="00192CCA" w:rsidRDefault="0017561A" w:rsidP="004E0520">
            <w:pPr>
              <w:rPr>
                <w:sz w:val="20"/>
                <w:szCs w:val="20"/>
              </w:rPr>
            </w:pPr>
          </w:p>
        </w:tc>
        <w:tc>
          <w:tcPr>
            <w:tcW w:w="1417" w:type="dxa"/>
          </w:tcPr>
          <w:p w14:paraId="449DEF07" w14:textId="77777777" w:rsidR="0017561A" w:rsidRPr="00192CCA" w:rsidRDefault="0017561A" w:rsidP="004E0520">
            <w:pPr>
              <w:rPr>
                <w:sz w:val="20"/>
                <w:szCs w:val="20"/>
              </w:rPr>
            </w:pPr>
          </w:p>
        </w:tc>
        <w:tc>
          <w:tcPr>
            <w:tcW w:w="1418" w:type="dxa"/>
          </w:tcPr>
          <w:p w14:paraId="79E7B568" w14:textId="77777777" w:rsidR="0017561A" w:rsidRPr="00192CCA" w:rsidRDefault="0017561A" w:rsidP="004E0520">
            <w:pPr>
              <w:rPr>
                <w:sz w:val="20"/>
                <w:szCs w:val="20"/>
              </w:rPr>
            </w:pPr>
          </w:p>
        </w:tc>
        <w:tc>
          <w:tcPr>
            <w:tcW w:w="992" w:type="dxa"/>
          </w:tcPr>
          <w:p w14:paraId="49275D21" w14:textId="77777777" w:rsidR="0017561A" w:rsidRPr="00192CCA" w:rsidRDefault="0017561A" w:rsidP="004E0520">
            <w:pPr>
              <w:rPr>
                <w:sz w:val="20"/>
                <w:szCs w:val="20"/>
              </w:rPr>
            </w:pPr>
          </w:p>
        </w:tc>
        <w:tc>
          <w:tcPr>
            <w:tcW w:w="709" w:type="dxa"/>
          </w:tcPr>
          <w:p w14:paraId="062C88B1" w14:textId="77777777" w:rsidR="0017561A" w:rsidRPr="00192CCA" w:rsidRDefault="0017561A" w:rsidP="004E0520">
            <w:pPr>
              <w:rPr>
                <w:sz w:val="20"/>
                <w:szCs w:val="20"/>
              </w:rPr>
            </w:pPr>
          </w:p>
        </w:tc>
        <w:tc>
          <w:tcPr>
            <w:tcW w:w="1417" w:type="dxa"/>
          </w:tcPr>
          <w:p w14:paraId="7584AFA3" w14:textId="77777777" w:rsidR="0017561A" w:rsidRPr="00192CCA" w:rsidRDefault="0017561A" w:rsidP="004E0520">
            <w:pPr>
              <w:rPr>
                <w:sz w:val="20"/>
                <w:szCs w:val="20"/>
              </w:rPr>
            </w:pPr>
          </w:p>
        </w:tc>
        <w:tc>
          <w:tcPr>
            <w:tcW w:w="992" w:type="dxa"/>
          </w:tcPr>
          <w:p w14:paraId="7E52E909" w14:textId="77777777" w:rsidR="0017561A" w:rsidRPr="00192CCA" w:rsidRDefault="0017561A" w:rsidP="004E0520">
            <w:pPr>
              <w:rPr>
                <w:sz w:val="20"/>
                <w:szCs w:val="20"/>
              </w:rPr>
            </w:pPr>
          </w:p>
        </w:tc>
        <w:tc>
          <w:tcPr>
            <w:tcW w:w="709" w:type="dxa"/>
          </w:tcPr>
          <w:p w14:paraId="4DC302F8" w14:textId="77777777" w:rsidR="0017561A" w:rsidRPr="00192CCA" w:rsidRDefault="0017561A" w:rsidP="004E0520">
            <w:pPr>
              <w:rPr>
                <w:sz w:val="20"/>
                <w:szCs w:val="20"/>
              </w:rPr>
            </w:pPr>
          </w:p>
        </w:tc>
        <w:tc>
          <w:tcPr>
            <w:tcW w:w="1418" w:type="dxa"/>
          </w:tcPr>
          <w:p w14:paraId="4D55B1F2" w14:textId="77777777" w:rsidR="0017561A" w:rsidRPr="00192CCA" w:rsidRDefault="0017561A" w:rsidP="004E0520">
            <w:pPr>
              <w:rPr>
                <w:sz w:val="20"/>
                <w:szCs w:val="20"/>
              </w:rPr>
            </w:pPr>
          </w:p>
        </w:tc>
        <w:tc>
          <w:tcPr>
            <w:tcW w:w="992" w:type="dxa"/>
          </w:tcPr>
          <w:p w14:paraId="6B986030" w14:textId="77777777" w:rsidR="0017561A" w:rsidRPr="00192CCA" w:rsidRDefault="0017561A" w:rsidP="004E0520">
            <w:pPr>
              <w:rPr>
                <w:sz w:val="20"/>
                <w:szCs w:val="20"/>
              </w:rPr>
            </w:pPr>
          </w:p>
        </w:tc>
      </w:tr>
      <w:tr w:rsidR="0017561A" w:rsidRPr="00AB4B54" w14:paraId="337F476C" w14:textId="77777777" w:rsidTr="004E0520">
        <w:trPr>
          <w:jc w:val="center"/>
        </w:trPr>
        <w:tc>
          <w:tcPr>
            <w:tcW w:w="3823" w:type="dxa"/>
          </w:tcPr>
          <w:p w14:paraId="058788E8" w14:textId="77777777" w:rsidR="0017561A" w:rsidRPr="00192CCA" w:rsidRDefault="0017561A" w:rsidP="004E0520">
            <w:pPr>
              <w:rPr>
                <w:sz w:val="20"/>
                <w:szCs w:val="20"/>
              </w:rPr>
            </w:pPr>
            <w:r w:rsidRPr="00192CCA">
              <w:rPr>
                <w:b/>
                <w:bCs/>
                <w:sz w:val="20"/>
                <w:szCs w:val="20"/>
              </w:rPr>
              <w:t xml:space="preserve">Age </w:t>
            </w:r>
            <w:r>
              <w:rPr>
                <w:b/>
                <w:bCs/>
                <w:sz w:val="20"/>
                <w:szCs w:val="20"/>
              </w:rPr>
              <w:t xml:space="preserve">at Diagnosis </w:t>
            </w:r>
            <w:r w:rsidRPr="00192CCA">
              <w:rPr>
                <w:b/>
                <w:bCs/>
                <w:sz w:val="20"/>
                <w:szCs w:val="20"/>
              </w:rPr>
              <w:t>(Years)</w:t>
            </w:r>
          </w:p>
        </w:tc>
        <w:tc>
          <w:tcPr>
            <w:tcW w:w="1417" w:type="dxa"/>
          </w:tcPr>
          <w:p w14:paraId="3B9BCCA7" w14:textId="77777777" w:rsidR="0017561A" w:rsidRPr="00192CCA" w:rsidRDefault="0017561A" w:rsidP="004E0520">
            <w:pPr>
              <w:rPr>
                <w:sz w:val="20"/>
                <w:szCs w:val="20"/>
              </w:rPr>
            </w:pPr>
          </w:p>
        </w:tc>
        <w:tc>
          <w:tcPr>
            <w:tcW w:w="1418" w:type="dxa"/>
          </w:tcPr>
          <w:p w14:paraId="6306E820" w14:textId="77777777" w:rsidR="0017561A" w:rsidRPr="00192CCA" w:rsidRDefault="0017561A" w:rsidP="004E0520">
            <w:pPr>
              <w:rPr>
                <w:sz w:val="20"/>
                <w:szCs w:val="20"/>
              </w:rPr>
            </w:pPr>
          </w:p>
        </w:tc>
        <w:tc>
          <w:tcPr>
            <w:tcW w:w="992" w:type="dxa"/>
          </w:tcPr>
          <w:p w14:paraId="1B03FC14" w14:textId="77777777" w:rsidR="0017561A" w:rsidRPr="00192CCA" w:rsidRDefault="0017561A" w:rsidP="004E0520">
            <w:pPr>
              <w:rPr>
                <w:sz w:val="20"/>
                <w:szCs w:val="20"/>
              </w:rPr>
            </w:pPr>
            <w:r w:rsidRPr="00192CCA">
              <w:rPr>
                <w:sz w:val="20"/>
                <w:szCs w:val="20"/>
              </w:rPr>
              <w:t>&lt;0.001</w:t>
            </w:r>
          </w:p>
        </w:tc>
        <w:tc>
          <w:tcPr>
            <w:tcW w:w="709" w:type="dxa"/>
          </w:tcPr>
          <w:p w14:paraId="02EA46B0" w14:textId="77777777" w:rsidR="0017561A" w:rsidRPr="00192CCA" w:rsidRDefault="0017561A" w:rsidP="004E0520">
            <w:pPr>
              <w:rPr>
                <w:sz w:val="20"/>
                <w:szCs w:val="20"/>
              </w:rPr>
            </w:pPr>
          </w:p>
        </w:tc>
        <w:tc>
          <w:tcPr>
            <w:tcW w:w="1417" w:type="dxa"/>
          </w:tcPr>
          <w:p w14:paraId="70A682FC" w14:textId="77777777" w:rsidR="0017561A" w:rsidRPr="00192CCA" w:rsidRDefault="0017561A" w:rsidP="004E0520">
            <w:pPr>
              <w:rPr>
                <w:sz w:val="20"/>
                <w:szCs w:val="20"/>
              </w:rPr>
            </w:pPr>
          </w:p>
        </w:tc>
        <w:tc>
          <w:tcPr>
            <w:tcW w:w="992" w:type="dxa"/>
          </w:tcPr>
          <w:p w14:paraId="3EFBEE77" w14:textId="77777777" w:rsidR="0017561A" w:rsidRPr="00192CCA" w:rsidRDefault="0017561A" w:rsidP="004E0520">
            <w:pPr>
              <w:rPr>
                <w:b/>
                <w:bCs/>
                <w:sz w:val="20"/>
                <w:szCs w:val="20"/>
              </w:rPr>
            </w:pPr>
            <w:r w:rsidRPr="00192CCA">
              <w:rPr>
                <w:b/>
                <w:bCs/>
                <w:sz w:val="20"/>
                <w:szCs w:val="20"/>
              </w:rPr>
              <w:t>&lt;0.001</w:t>
            </w:r>
          </w:p>
        </w:tc>
        <w:tc>
          <w:tcPr>
            <w:tcW w:w="709" w:type="dxa"/>
          </w:tcPr>
          <w:p w14:paraId="61F831CE" w14:textId="77777777" w:rsidR="0017561A" w:rsidRPr="00192CCA" w:rsidRDefault="0017561A" w:rsidP="004E0520">
            <w:pPr>
              <w:rPr>
                <w:sz w:val="20"/>
                <w:szCs w:val="20"/>
              </w:rPr>
            </w:pPr>
          </w:p>
        </w:tc>
        <w:tc>
          <w:tcPr>
            <w:tcW w:w="1418" w:type="dxa"/>
          </w:tcPr>
          <w:p w14:paraId="099B9F3B" w14:textId="77777777" w:rsidR="0017561A" w:rsidRPr="00192CCA" w:rsidRDefault="0017561A" w:rsidP="004E0520">
            <w:pPr>
              <w:rPr>
                <w:sz w:val="20"/>
                <w:szCs w:val="20"/>
              </w:rPr>
            </w:pPr>
          </w:p>
        </w:tc>
        <w:tc>
          <w:tcPr>
            <w:tcW w:w="992" w:type="dxa"/>
          </w:tcPr>
          <w:p w14:paraId="3238436C" w14:textId="77777777" w:rsidR="0017561A" w:rsidRPr="00192CCA" w:rsidRDefault="0017561A" w:rsidP="004E0520">
            <w:pPr>
              <w:rPr>
                <w:b/>
                <w:bCs/>
                <w:sz w:val="20"/>
                <w:szCs w:val="20"/>
              </w:rPr>
            </w:pPr>
            <w:r w:rsidRPr="00192CCA">
              <w:rPr>
                <w:b/>
                <w:bCs/>
                <w:sz w:val="20"/>
                <w:szCs w:val="20"/>
              </w:rPr>
              <w:t>&lt;0.001</w:t>
            </w:r>
          </w:p>
        </w:tc>
      </w:tr>
      <w:tr w:rsidR="0017561A" w:rsidRPr="00AB4B54" w14:paraId="757A2DB6" w14:textId="77777777" w:rsidTr="004E0520">
        <w:trPr>
          <w:jc w:val="center"/>
        </w:trPr>
        <w:tc>
          <w:tcPr>
            <w:tcW w:w="3823" w:type="dxa"/>
          </w:tcPr>
          <w:p w14:paraId="34E3D520" w14:textId="77777777" w:rsidR="0017561A" w:rsidRPr="00192CCA" w:rsidRDefault="0017561A" w:rsidP="004E0520">
            <w:pPr>
              <w:rPr>
                <w:sz w:val="20"/>
                <w:szCs w:val="20"/>
              </w:rPr>
            </w:pPr>
            <w:r>
              <w:rPr>
                <w:sz w:val="20"/>
                <w:szCs w:val="20"/>
              </w:rPr>
              <w:t>&lt;50</w:t>
            </w:r>
          </w:p>
        </w:tc>
        <w:tc>
          <w:tcPr>
            <w:tcW w:w="1417" w:type="dxa"/>
          </w:tcPr>
          <w:p w14:paraId="2373ECC4" w14:textId="77777777" w:rsidR="0017561A" w:rsidRPr="00192CCA" w:rsidRDefault="0017561A" w:rsidP="004E0520">
            <w:pPr>
              <w:rPr>
                <w:sz w:val="20"/>
                <w:szCs w:val="20"/>
              </w:rPr>
            </w:pPr>
            <w:r>
              <w:rPr>
                <w:sz w:val="20"/>
                <w:szCs w:val="20"/>
              </w:rPr>
              <w:t>5,167 (61.03)</w:t>
            </w:r>
          </w:p>
        </w:tc>
        <w:tc>
          <w:tcPr>
            <w:tcW w:w="1418" w:type="dxa"/>
          </w:tcPr>
          <w:p w14:paraId="314EE143" w14:textId="77777777" w:rsidR="0017561A" w:rsidRPr="00192CCA" w:rsidRDefault="0017561A" w:rsidP="004E0520">
            <w:pPr>
              <w:rPr>
                <w:sz w:val="20"/>
                <w:szCs w:val="20"/>
              </w:rPr>
            </w:pPr>
            <w:r>
              <w:rPr>
                <w:sz w:val="20"/>
                <w:szCs w:val="20"/>
              </w:rPr>
              <w:t>3,299 (38.97)</w:t>
            </w:r>
          </w:p>
        </w:tc>
        <w:tc>
          <w:tcPr>
            <w:tcW w:w="992" w:type="dxa"/>
          </w:tcPr>
          <w:p w14:paraId="3A249AD0" w14:textId="77777777" w:rsidR="0017561A" w:rsidRPr="00192CCA" w:rsidRDefault="0017561A" w:rsidP="004E0520">
            <w:pPr>
              <w:rPr>
                <w:sz w:val="20"/>
                <w:szCs w:val="20"/>
              </w:rPr>
            </w:pPr>
          </w:p>
        </w:tc>
        <w:tc>
          <w:tcPr>
            <w:tcW w:w="709" w:type="dxa"/>
          </w:tcPr>
          <w:p w14:paraId="2953DE61" w14:textId="77777777" w:rsidR="0017561A" w:rsidRPr="00192CCA" w:rsidRDefault="0017561A" w:rsidP="004E0520">
            <w:pPr>
              <w:rPr>
                <w:sz w:val="20"/>
                <w:szCs w:val="20"/>
              </w:rPr>
            </w:pPr>
            <w:r>
              <w:rPr>
                <w:sz w:val="20"/>
                <w:szCs w:val="20"/>
              </w:rPr>
              <w:t>1.00</w:t>
            </w:r>
          </w:p>
        </w:tc>
        <w:tc>
          <w:tcPr>
            <w:tcW w:w="1417" w:type="dxa"/>
          </w:tcPr>
          <w:p w14:paraId="1186E74A" w14:textId="77777777" w:rsidR="0017561A" w:rsidRPr="00192CCA" w:rsidRDefault="0017561A" w:rsidP="004E0520">
            <w:pPr>
              <w:rPr>
                <w:sz w:val="20"/>
                <w:szCs w:val="20"/>
              </w:rPr>
            </w:pPr>
            <w:r w:rsidRPr="00192CCA">
              <w:rPr>
                <w:sz w:val="20"/>
                <w:szCs w:val="20"/>
              </w:rPr>
              <w:t>-----     -----</w:t>
            </w:r>
          </w:p>
        </w:tc>
        <w:tc>
          <w:tcPr>
            <w:tcW w:w="992" w:type="dxa"/>
          </w:tcPr>
          <w:p w14:paraId="7F63B043" w14:textId="77777777" w:rsidR="0017561A" w:rsidRPr="00192CCA" w:rsidRDefault="0017561A" w:rsidP="004E0520">
            <w:pPr>
              <w:rPr>
                <w:sz w:val="20"/>
                <w:szCs w:val="20"/>
              </w:rPr>
            </w:pPr>
            <w:r>
              <w:rPr>
                <w:sz w:val="20"/>
                <w:szCs w:val="20"/>
              </w:rPr>
              <w:t xml:space="preserve"> </w:t>
            </w:r>
            <w:r w:rsidRPr="00192CCA">
              <w:rPr>
                <w:sz w:val="20"/>
                <w:szCs w:val="20"/>
              </w:rPr>
              <w:t>-------</w:t>
            </w:r>
          </w:p>
        </w:tc>
        <w:tc>
          <w:tcPr>
            <w:tcW w:w="709" w:type="dxa"/>
          </w:tcPr>
          <w:p w14:paraId="2E6DE4E4" w14:textId="77777777" w:rsidR="0017561A" w:rsidRPr="00192CCA" w:rsidRDefault="0017561A" w:rsidP="004E0520">
            <w:pPr>
              <w:rPr>
                <w:sz w:val="20"/>
                <w:szCs w:val="20"/>
              </w:rPr>
            </w:pPr>
            <w:r>
              <w:rPr>
                <w:sz w:val="20"/>
                <w:szCs w:val="20"/>
              </w:rPr>
              <w:t>1.00</w:t>
            </w:r>
          </w:p>
        </w:tc>
        <w:tc>
          <w:tcPr>
            <w:tcW w:w="1418" w:type="dxa"/>
          </w:tcPr>
          <w:p w14:paraId="48F2BD8B" w14:textId="77777777" w:rsidR="0017561A" w:rsidRPr="00192CCA" w:rsidRDefault="0017561A" w:rsidP="004E0520">
            <w:pPr>
              <w:rPr>
                <w:sz w:val="20"/>
                <w:szCs w:val="20"/>
              </w:rPr>
            </w:pPr>
            <w:r w:rsidRPr="00192CCA">
              <w:rPr>
                <w:sz w:val="20"/>
                <w:szCs w:val="20"/>
              </w:rPr>
              <w:t>-----     -----</w:t>
            </w:r>
          </w:p>
        </w:tc>
        <w:tc>
          <w:tcPr>
            <w:tcW w:w="992" w:type="dxa"/>
          </w:tcPr>
          <w:p w14:paraId="235E589C" w14:textId="77777777" w:rsidR="0017561A" w:rsidRPr="00192CCA" w:rsidRDefault="0017561A" w:rsidP="004E0520">
            <w:pPr>
              <w:rPr>
                <w:sz w:val="20"/>
                <w:szCs w:val="20"/>
                <w:highlight w:val="green"/>
              </w:rPr>
            </w:pPr>
            <w:r>
              <w:rPr>
                <w:sz w:val="20"/>
                <w:szCs w:val="20"/>
              </w:rPr>
              <w:t xml:space="preserve">  </w:t>
            </w:r>
            <w:r w:rsidRPr="00192CCA">
              <w:rPr>
                <w:sz w:val="20"/>
                <w:szCs w:val="20"/>
              </w:rPr>
              <w:t>-------</w:t>
            </w:r>
          </w:p>
        </w:tc>
      </w:tr>
      <w:tr w:rsidR="0017561A" w:rsidRPr="00AB4B54" w14:paraId="65D9E7B3" w14:textId="77777777" w:rsidTr="004E0520">
        <w:trPr>
          <w:jc w:val="center"/>
        </w:trPr>
        <w:tc>
          <w:tcPr>
            <w:tcW w:w="3823" w:type="dxa"/>
          </w:tcPr>
          <w:p w14:paraId="6B38A589" w14:textId="77777777" w:rsidR="0017561A" w:rsidRPr="00192CCA" w:rsidRDefault="0017561A" w:rsidP="004E0520">
            <w:pPr>
              <w:rPr>
                <w:sz w:val="20"/>
                <w:szCs w:val="20"/>
              </w:rPr>
            </w:pPr>
            <w:r w:rsidRPr="00192CCA">
              <w:rPr>
                <w:sz w:val="20"/>
                <w:szCs w:val="20"/>
              </w:rPr>
              <w:t>50–59</w:t>
            </w:r>
          </w:p>
        </w:tc>
        <w:tc>
          <w:tcPr>
            <w:tcW w:w="1417" w:type="dxa"/>
          </w:tcPr>
          <w:p w14:paraId="773373B9" w14:textId="77777777" w:rsidR="0017561A" w:rsidRPr="00192CCA" w:rsidRDefault="0017561A" w:rsidP="004E0520">
            <w:pPr>
              <w:rPr>
                <w:sz w:val="20"/>
                <w:szCs w:val="20"/>
              </w:rPr>
            </w:pPr>
            <w:r>
              <w:rPr>
                <w:sz w:val="20"/>
                <w:szCs w:val="20"/>
              </w:rPr>
              <w:t>4,625 (53.67)</w:t>
            </w:r>
          </w:p>
        </w:tc>
        <w:tc>
          <w:tcPr>
            <w:tcW w:w="1418" w:type="dxa"/>
          </w:tcPr>
          <w:p w14:paraId="0BEB8343" w14:textId="77777777" w:rsidR="0017561A" w:rsidRPr="00192CCA" w:rsidRDefault="0017561A" w:rsidP="004E0520">
            <w:pPr>
              <w:rPr>
                <w:sz w:val="20"/>
                <w:szCs w:val="20"/>
              </w:rPr>
            </w:pPr>
            <w:r>
              <w:rPr>
                <w:sz w:val="20"/>
                <w:szCs w:val="20"/>
              </w:rPr>
              <w:t>3,992 (46.33)</w:t>
            </w:r>
          </w:p>
        </w:tc>
        <w:tc>
          <w:tcPr>
            <w:tcW w:w="992" w:type="dxa"/>
          </w:tcPr>
          <w:p w14:paraId="651748FA" w14:textId="77777777" w:rsidR="0017561A" w:rsidRPr="00192CCA" w:rsidRDefault="0017561A" w:rsidP="004E0520">
            <w:pPr>
              <w:rPr>
                <w:sz w:val="20"/>
                <w:szCs w:val="20"/>
              </w:rPr>
            </w:pPr>
          </w:p>
        </w:tc>
        <w:tc>
          <w:tcPr>
            <w:tcW w:w="709" w:type="dxa"/>
          </w:tcPr>
          <w:p w14:paraId="49577C08" w14:textId="77777777" w:rsidR="0017561A" w:rsidRPr="00192CCA" w:rsidRDefault="0017561A" w:rsidP="004E0520">
            <w:pPr>
              <w:rPr>
                <w:sz w:val="20"/>
                <w:szCs w:val="20"/>
              </w:rPr>
            </w:pPr>
            <w:r>
              <w:rPr>
                <w:sz w:val="20"/>
                <w:szCs w:val="20"/>
              </w:rPr>
              <w:t>0.74</w:t>
            </w:r>
          </w:p>
        </w:tc>
        <w:tc>
          <w:tcPr>
            <w:tcW w:w="1417" w:type="dxa"/>
          </w:tcPr>
          <w:p w14:paraId="3C3E173F" w14:textId="77777777" w:rsidR="0017561A" w:rsidRPr="00192CCA" w:rsidRDefault="0017561A" w:rsidP="004E0520">
            <w:pPr>
              <w:rPr>
                <w:sz w:val="20"/>
                <w:szCs w:val="20"/>
              </w:rPr>
            </w:pPr>
            <w:r>
              <w:rPr>
                <w:sz w:val="20"/>
                <w:szCs w:val="20"/>
              </w:rPr>
              <w:t>0.70 – 0.79</w:t>
            </w:r>
          </w:p>
        </w:tc>
        <w:tc>
          <w:tcPr>
            <w:tcW w:w="992" w:type="dxa"/>
          </w:tcPr>
          <w:p w14:paraId="350EABA5" w14:textId="77777777" w:rsidR="0017561A" w:rsidRPr="00192CCA" w:rsidRDefault="0017561A" w:rsidP="004E0520">
            <w:pPr>
              <w:rPr>
                <w:sz w:val="20"/>
                <w:szCs w:val="20"/>
              </w:rPr>
            </w:pPr>
            <w:r w:rsidRPr="00192CCA">
              <w:rPr>
                <w:sz w:val="20"/>
                <w:szCs w:val="20"/>
              </w:rPr>
              <w:t>&lt;0.001</w:t>
            </w:r>
          </w:p>
        </w:tc>
        <w:tc>
          <w:tcPr>
            <w:tcW w:w="709" w:type="dxa"/>
          </w:tcPr>
          <w:p w14:paraId="0EDBB807" w14:textId="77777777" w:rsidR="0017561A" w:rsidRPr="00192CCA" w:rsidRDefault="0017561A" w:rsidP="004E0520">
            <w:pPr>
              <w:rPr>
                <w:sz w:val="20"/>
                <w:szCs w:val="20"/>
              </w:rPr>
            </w:pPr>
            <w:r>
              <w:rPr>
                <w:sz w:val="20"/>
                <w:szCs w:val="20"/>
              </w:rPr>
              <w:t>0.79</w:t>
            </w:r>
          </w:p>
        </w:tc>
        <w:tc>
          <w:tcPr>
            <w:tcW w:w="1418" w:type="dxa"/>
          </w:tcPr>
          <w:p w14:paraId="1E2FAB47" w14:textId="77777777" w:rsidR="0017561A" w:rsidRPr="00192CCA" w:rsidRDefault="0017561A" w:rsidP="004E0520">
            <w:pPr>
              <w:rPr>
                <w:sz w:val="20"/>
                <w:szCs w:val="20"/>
              </w:rPr>
            </w:pPr>
            <w:r>
              <w:rPr>
                <w:sz w:val="20"/>
                <w:szCs w:val="20"/>
              </w:rPr>
              <w:t xml:space="preserve">0.74 </w:t>
            </w:r>
            <w:r w:rsidRPr="00192CCA">
              <w:rPr>
                <w:sz w:val="20"/>
                <w:szCs w:val="20"/>
              </w:rPr>
              <w:t xml:space="preserve">– </w:t>
            </w:r>
            <w:r>
              <w:rPr>
                <w:sz w:val="20"/>
                <w:szCs w:val="20"/>
              </w:rPr>
              <w:t>0.84</w:t>
            </w:r>
          </w:p>
        </w:tc>
        <w:tc>
          <w:tcPr>
            <w:tcW w:w="992" w:type="dxa"/>
          </w:tcPr>
          <w:p w14:paraId="25CA8841" w14:textId="77777777" w:rsidR="0017561A" w:rsidRPr="00192CCA" w:rsidRDefault="0017561A" w:rsidP="004E0520">
            <w:pPr>
              <w:rPr>
                <w:sz w:val="20"/>
                <w:szCs w:val="20"/>
                <w:highlight w:val="green"/>
              </w:rPr>
            </w:pPr>
            <w:r w:rsidRPr="00192CCA">
              <w:rPr>
                <w:sz w:val="20"/>
                <w:szCs w:val="20"/>
              </w:rPr>
              <w:t>&lt;0.001</w:t>
            </w:r>
          </w:p>
        </w:tc>
      </w:tr>
      <w:tr w:rsidR="0017561A" w:rsidRPr="00AB4B54" w14:paraId="219279BF" w14:textId="77777777" w:rsidTr="004E0520">
        <w:trPr>
          <w:jc w:val="center"/>
        </w:trPr>
        <w:tc>
          <w:tcPr>
            <w:tcW w:w="3823" w:type="dxa"/>
          </w:tcPr>
          <w:p w14:paraId="739A9FCE" w14:textId="77777777" w:rsidR="0017561A" w:rsidRPr="00192CCA" w:rsidRDefault="0017561A" w:rsidP="004E0520">
            <w:pPr>
              <w:rPr>
                <w:sz w:val="20"/>
                <w:szCs w:val="20"/>
              </w:rPr>
            </w:pPr>
            <w:r w:rsidRPr="00192CCA">
              <w:rPr>
                <w:sz w:val="20"/>
                <w:szCs w:val="20"/>
              </w:rPr>
              <w:t>60–69</w:t>
            </w:r>
          </w:p>
        </w:tc>
        <w:tc>
          <w:tcPr>
            <w:tcW w:w="1417" w:type="dxa"/>
          </w:tcPr>
          <w:p w14:paraId="0DF1A39D" w14:textId="77777777" w:rsidR="0017561A" w:rsidRPr="00192CCA" w:rsidRDefault="0017561A" w:rsidP="004E0520">
            <w:pPr>
              <w:rPr>
                <w:sz w:val="20"/>
                <w:szCs w:val="20"/>
              </w:rPr>
            </w:pPr>
            <w:r>
              <w:rPr>
                <w:sz w:val="20"/>
                <w:szCs w:val="20"/>
              </w:rPr>
              <w:t>3,912 (45.53)</w:t>
            </w:r>
          </w:p>
        </w:tc>
        <w:tc>
          <w:tcPr>
            <w:tcW w:w="1418" w:type="dxa"/>
          </w:tcPr>
          <w:p w14:paraId="0A1E8898" w14:textId="77777777" w:rsidR="0017561A" w:rsidRPr="00192CCA" w:rsidRDefault="0017561A" w:rsidP="004E0520">
            <w:pPr>
              <w:rPr>
                <w:sz w:val="20"/>
                <w:szCs w:val="20"/>
              </w:rPr>
            </w:pPr>
            <w:r>
              <w:rPr>
                <w:sz w:val="20"/>
                <w:szCs w:val="20"/>
              </w:rPr>
              <w:t>4,680 (54.47)</w:t>
            </w:r>
          </w:p>
        </w:tc>
        <w:tc>
          <w:tcPr>
            <w:tcW w:w="992" w:type="dxa"/>
          </w:tcPr>
          <w:p w14:paraId="506AD86E" w14:textId="77777777" w:rsidR="0017561A" w:rsidRPr="00192CCA" w:rsidRDefault="0017561A" w:rsidP="004E0520">
            <w:pPr>
              <w:rPr>
                <w:sz w:val="20"/>
                <w:szCs w:val="20"/>
              </w:rPr>
            </w:pPr>
          </w:p>
        </w:tc>
        <w:tc>
          <w:tcPr>
            <w:tcW w:w="709" w:type="dxa"/>
          </w:tcPr>
          <w:p w14:paraId="2DFDCA0E" w14:textId="77777777" w:rsidR="0017561A" w:rsidRPr="00192CCA" w:rsidRDefault="0017561A" w:rsidP="004E0520">
            <w:pPr>
              <w:rPr>
                <w:sz w:val="20"/>
                <w:szCs w:val="20"/>
              </w:rPr>
            </w:pPr>
            <w:r>
              <w:rPr>
                <w:sz w:val="20"/>
                <w:szCs w:val="20"/>
              </w:rPr>
              <w:t>0.53</w:t>
            </w:r>
          </w:p>
        </w:tc>
        <w:tc>
          <w:tcPr>
            <w:tcW w:w="1417" w:type="dxa"/>
          </w:tcPr>
          <w:p w14:paraId="7C3D499C" w14:textId="77777777" w:rsidR="0017561A" w:rsidRPr="00192CCA" w:rsidRDefault="0017561A" w:rsidP="004E0520">
            <w:pPr>
              <w:rPr>
                <w:sz w:val="20"/>
                <w:szCs w:val="20"/>
              </w:rPr>
            </w:pPr>
            <w:r>
              <w:rPr>
                <w:sz w:val="20"/>
                <w:szCs w:val="20"/>
              </w:rPr>
              <w:t>0.50 – 0.58</w:t>
            </w:r>
          </w:p>
        </w:tc>
        <w:tc>
          <w:tcPr>
            <w:tcW w:w="992" w:type="dxa"/>
          </w:tcPr>
          <w:p w14:paraId="563DCD4C" w14:textId="77777777" w:rsidR="0017561A" w:rsidRPr="00192CCA" w:rsidRDefault="0017561A" w:rsidP="004E0520">
            <w:pPr>
              <w:rPr>
                <w:sz w:val="20"/>
                <w:szCs w:val="20"/>
              </w:rPr>
            </w:pPr>
            <w:r w:rsidRPr="00192CCA">
              <w:rPr>
                <w:sz w:val="20"/>
                <w:szCs w:val="20"/>
              </w:rPr>
              <w:t>&lt;0.001</w:t>
            </w:r>
          </w:p>
        </w:tc>
        <w:tc>
          <w:tcPr>
            <w:tcW w:w="709" w:type="dxa"/>
          </w:tcPr>
          <w:p w14:paraId="1BF9BE8B" w14:textId="77777777" w:rsidR="0017561A" w:rsidRPr="00192CCA" w:rsidRDefault="0017561A" w:rsidP="004E0520">
            <w:pPr>
              <w:rPr>
                <w:sz w:val="20"/>
                <w:szCs w:val="20"/>
              </w:rPr>
            </w:pPr>
            <w:r>
              <w:rPr>
                <w:sz w:val="20"/>
                <w:szCs w:val="20"/>
              </w:rPr>
              <w:t>0.59</w:t>
            </w:r>
          </w:p>
        </w:tc>
        <w:tc>
          <w:tcPr>
            <w:tcW w:w="1418" w:type="dxa"/>
          </w:tcPr>
          <w:p w14:paraId="570F9D7B" w14:textId="77777777" w:rsidR="0017561A" w:rsidRPr="00192CCA" w:rsidRDefault="0017561A" w:rsidP="004E0520">
            <w:pPr>
              <w:rPr>
                <w:sz w:val="20"/>
                <w:szCs w:val="20"/>
              </w:rPr>
            </w:pPr>
            <w:r>
              <w:rPr>
                <w:sz w:val="20"/>
                <w:szCs w:val="20"/>
              </w:rPr>
              <w:t>0.55</w:t>
            </w:r>
            <w:r w:rsidRPr="00192CCA">
              <w:rPr>
                <w:sz w:val="20"/>
                <w:szCs w:val="20"/>
              </w:rPr>
              <w:t xml:space="preserve"> – </w:t>
            </w:r>
            <w:r>
              <w:rPr>
                <w:sz w:val="20"/>
                <w:szCs w:val="20"/>
              </w:rPr>
              <w:t>0.63</w:t>
            </w:r>
          </w:p>
        </w:tc>
        <w:tc>
          <w:tcPr>
            <w:tcW w:w="992" w:type="dxa"/>
          </w:tcPr>
          <w:p w14:paraId="0D19605D" w14:textId="77777777" w:rsidR="0017561A" w:rsidRPr="00192CCA" w:rsidRDefault="0017561A" w:rsidP="004E0520">
            <w:pPr>
              <w:rPr>
                <w:sz w:val="20"/>
                <w:szCs w:val="20"/>
                <w:highlight w:val="green"/>
              </w:rPr>
            </w:pPr>
            <w:r w:rsidRPr="00192CCA">
              <w:rPr>
                <w:sz w:val="20"/>
                <w:szCs w:val="20"/>
              </w:rPr>
              <w:t>&lt;0.001</w:t>
            </w:r>
          </w:p>
        </w:tc>
      </w:tr>
      <w:tr w:rsidR="0017561A" w:rsidRPr="00AB4B54" w14:paraId="75DC7DBD" w14:textId="77777777" w:rsidTr="004E0520">
        <w:trPr>
          <w:jc w:val="center"/>
        </w:trPr>
        <w:tc>
          <w:tcPr>
            <w:tcW w:w="3823" w:type="dxa"/>
          </w:tcPr>
          <w:p w14:paraId="0B556371" w14:textId="77777777" w:rsidR="0017561A" w:rsidRPr="00192CCA" w:rsidRDefault="0017561A" w:rsidP="004E0520">
            <w:pPr>
              <w:rPr>
                <w:sz w:val="20"/>
                <w:szCs w:val="20"/>
              </w:rPr>
            </w:pPr>
            <w:r w:rsidRPr="00192CCA">
              <w:rPr>
                <w:sz w:val="20"/>
                <w:szCs w:val="20"/>
              </w:rPr>
              <w:t>70–79</w:t>
            </w:r>
          </w:p>
        </w:tc>
        <w:tc>
          <w:tcPr>
            <w:tcW w:w="1417" w:type="dxa"/>
          </w:tcPr>
          <w:p w14:paraId="65D48B5D" w14:textId="77777777" w:rsidR="0017561A" w:rsidRPr="00192CCA" w:rsidRDefault="0017561A" w:rsidP="004E0520">
            <w:pPr>
              <w:rPr>
                <w:sz w:val="20"/>
                <w:szCs w:val="20"/>
              </w:rPr>
            </w:pPr>
            <w:r>
              <w:rPr>
                <w:sz w:val="20"/>
                <w:szCs w:val="20"/>
              </w:rPr>
              <w:t>1,676 (30.53)</w:t>
            </w:r>
          </w:p>
        </w:tc>
        <w:tc>
          <w:tcPr>
            <w:tcW w:w="1418" w:type="dxa"/>
          </w:tcPr>
          <w:p w14:paraId="25F35A29" w14:textId="77777777" w:rsidR="0017561A" w:rsidRPr="00192CCA" w:rsidRDefault="0017561A" w:rsidP="004E0520">
            <w:pPr>
              <w:rPr>
                <w:sz w:val="20"/>
                <w:szCs w:val="20"/>
              </w:rPr>
            </w:pPr>
            <w:r>
              <w:rPr>
                <w:sz w:val="20"/>
                <w:szCs w:val="20"/>
              </w:rPr>
              <w:t>3,813 (69.47)</w:t>
            </w:r>
          </w:p>
        </w:tc>
        <w:tc>
          <w:tcPr>
            <w:tcW w:w="992" w:type="dxa"/>
          </w:tcPr>
          <w:p w14:paraId="03D6958A" w14:textId="77777777" w:rsidR="0017561A" w:rsidRPr="00192CCA" w:rsidRDefault="0017561A" w:rsidP="004E0520">
            <w:pPr>
              <w:rPr>
                <w:sz w:val="20"/>
                <w:szCs w:val="20"/>
              </w:rPr>
            </w:pPr>
          </w:p>
        </w:tc>
        <w:tc>
          <w:tcPr>
            <w:tcW w:w="709" w:type="dxa"/>
          </w:tcPr>
          <w:p w14:paraId="5A337CEA" w14:textId="77777777" w:rsidR="0017561A" w:rsidRPr="00192CCA" w:rsidRDefault="0017561A" w:rsidP="004E0520">
            <w:pPr>
              <w:rPr>
                <w:sz w:val="20"/>
                <w:szCs w:val="20"/>
              </w:rPr>
            </w:pPr>
            <w:r>
              <w:rPr>
                <w:sz w:val="20"/>
                <w:szCs w:val="20"/>
              </w:rPr>
              <w:t>0.28</w:t>
            </w:r>
          </w:p>
        </w:tc>
        <w:tc>
          <w:tcPr>
            <w:tcW w:w="1417" w:type="dxa"/>
          </w:tcPr>
          <w:p w14:paraId="044BF62D" w14:textId="77777777" w:rsidR="0017561A" w:rsidRPr="00192CCA" w:rsidRDefault="0017561A" w:rsidP="004E0520">
            <w:pPr>
              <w:rPr>
                <w:sz w:val="20"/>
                <w:szCs w:val="20"/>
              </w:rPr>
            </w:pPr>
            <w:r>
              <w:rPr>
                <w:sz w:val="20"/>
                <w:szCs w:val="20"/>
              </w:rPr>
              <w:t>0.26 – 0.30</w:t>
            </w:r>
          </w:p>
        </w:tc>
        <w:tc>
          <w:tcPr>
            <w:tcW w:w="992" w:type="dxa"/>
          </w:tcPr>
          <w:p w14:paraId="712FD5AA" w14:textId="77777777" w:rsidR="0017561A" w:rsidRPr="00192CCA" w:rsidRDefault="0017561A" w:rsidP="004E0520">
            <w:pPr>
              <w:rPr>
                <w:sz w:val="20"/>
                <w:szCs w:val="20"/>
              </w:rPr>
            </w:pPr>
            <w:r w:rsidRPr="00192CCA">
              <w:rPr>
                <w:sz w:val="20"/>
                <w:szCs w:val="20"/>
              </w:rPr>
              <w:t>&lt;0.001</w:t>
            </w:r>
          </w:p>
        </w:tc>
        <w:tc>
          <w:tcPr>
            <w:tcW w:w="709" w:type="dxa"/>
          </w:tcPr>
          <w:p w14:paraId="5324D93C" w14:textId="77777777" w:rsidR="0017561A" w:rsidRPr="00192CCA" w:rsidRDefault="0017561A" w:rsidP="004E0520">
            <w:pPr>
              <w:rPr>
                <w:sz w:val="20"/>
                <w:szCs w:val="20"/>
              </w:rPr>
            </w:pPr>
            <w:r>
              <w:rPr>
                <w:sz w:val="20"/>
                <w:szCs w:val="20"/>
              </w:rPr>
              <w:t>0.27</w:t>
            </w:r>
          </w:p>
        </w:tc>
        <w:tc>
          <w:tcPr>
            <w:tcW w:w="1418" w:type="dxa"/>
          </w:tcPr>
          <w:p w14:paraId="47AEC403" w14:textId="77777777" w:rsidR="0017561A" w:rsidRPr="00192CCA" w:rsidRDefault="0017561A" w:rsidP="004E0520">
            <w:pPr>
              <w:rPr>
                <w:sz w:val="20"/>
                <w:szCs w:val="20"/>
              </w:rPr>
            </w:pPr>
            <w:r>
              <w:rPr>
                <w:sz w:val="20"/>
                <w:szCs w:val="20"/>
              </w:rPr>
              <w:t>0.25 – 0.29</w:t>
            </w:r>
          </w:p>
        </w:tc>
        <w:tc>
          <w:tcPr>
            <w:tcW w:w="992" w:type="dxa"/>
          </w:tcPr>
          <w:p w14:paraId="16A2928A" w14:textId="77777777" w:rsidR="0017561A" w:rsidRPr="00192CCA" w:rsidRDefault="0017561A" w:rsidP="004E0520">
            <w:pPr>
              <w:rPr>
                <w:sz w:val="20"/>
                <w:szCs w:val="20"/>
                <w:highlight w:val="green"/>
              </w:rPr>
            </w:pPr>
            <w:r w:rsidRPr="00192CCA">
              <w:rPr>
                <w:sz w:val="20"/>
                <w:szCs w:val="20"/>
              </w:rPr>
              <w:t>&lt;0.001</w:t>
            </w:r>
          </w:p>
        </w:tc>
      </w:tr>
      <w:tr w:rsidR="0017561A" w:rsidRPr="00AB4B54" w14:paraId="5C9953D4" w14:textId="77777777" w:rsidTr="004E0520">
        <w:trPr>
          <w:jc w:val="center"/>
        </w:trPr>
        <w:tc>
          <w:tcPr>
            <w:tcW w:w="3823" w:type="dxa"/>
          </w:tcPr>
          <w:p w14:paraId="26D0B20C" w14:textId="77777777" w:rsidR="0017561A" w:rsidRPr="00192CCA" w:rsidRDefault="0017561A" w:rsidP="004E0520">
            <w:pPr>
              <w:rPr>
                <w:sz w:val="20"/>
                <w:szCs w:val="20"/>
              </w:rPr>
            </w:pPr>
            <w:r w:rsidRPr="00192CCA">
              <w:rPr>
                <w:sz w:val="20"/>
                <w:szCs w:val="20"/>
              </w:rPr>
              <w:t>80+</w:t>
            </w:r>
          </w:p>
        </w:tc>
        <w:tc>
          <w:tcPr>
            <w:tcW w:w="1417" w:type="dxa"/>
          </w:tcPr>
          <w:p w14:paraId="2F4B4FE6" w14:textId="77777777" w:rsidR="0017561A" w:rsidRPr="00192CCA" w:rsidRDefault="0017561A" w:rsidP="004E0520">
            <w:pPr>
              <w:rPr>
                <w:sz w:val="20"/>
                <w:szCs w:val="20"/>
              </w:rPr>
            </w:pPr>
            <w:r>
              <w:rPr>
                <w:sz w:val="20"/>
                <w:szCs w:val="20"/>
              </w:rPr>
              <w:t>187 (5.42)</w:t>
            </w:r>
          </w:p>
        </w:tc>
        <w:tc>
          <w:tcPr>
            <w:tcW w:w="1418" w:type="dxa"/>
          </w:tcPr>
          <w:p w14:paraId="774506B7" w14:textId="77777777" w:rsidR="0017561A" w:rsidRPr="00192CCA" w:rsidRDefault="0017561A" w:rsidP="004E0520">
            <w:pPr>
              <w:rPr>
                <w:sz w:val="20"/>
                <w:szCs w:val="20"/>
              </w:rPr>
            </w:pPr>
            <w:r>
              <w:rPr>
                <w:sz w:val="20"/>
                <w:szCs w:val="20"/>
              </w:rPr>
              <w:t>3,265 (94.58)</w:t>
            </w:r>
          </w:p>
        </w:tc>
        <w:tc>
          <w:tcPr>
            <w:tcW w:w="992" w:type="dxa"/>
          </w:tcPr>
          <w:p w14:paraId="2E1F845B" w14:textId="77777777" w:rsidR="0017561A" w:rsidRPr="00192CCA" w:rsidRDefault="0017561A" w:rsidP="004E0520">
            <w:pPr>
              <w:rPr>
                <w:sz w:val="20"/>
                <w:szCs w:val="20"/>
              </w:rPr>
            </w:pPr>
          </w:p>
        </w:tc>
        <w:tc>
          <w:tcPr>
            <w:tcW w:w="709" w:type="dxa"/>
          </w:tcPr>
          <w:p w14:paraId="0A2563DD" w14:textId="77777777" w:rsidR="0017561A" w:rsidRPr="00192CCA" w:rsidRDefault="0017561A" w:rsidP="004E0520">
            <w:pPr>
              <w:rPr>
                <w:sz w:val="20"/>
                <w:szCs w:val="20"/>
              </w:rPr>
            </w:pPr>
            <w:r>
              <w:rPr>
                <w:sz w:val="20"/>
                <w:szCs w:val="20"/>
              </w:rPr>
              <w:t>0.04</w:t>
            </w:r>
          </w:p>
        </w:tc>
        <w:tc>
          <w:tcPr>
            <w:tcW w:w="1417" w:type="dxa"/>
          </w:tcPr>
          <w:p w14:paraId="5774CFBA" w14:textId="77777777" w:rsidR="0017561A" w:rsidRPr="00192CCA" w:rsidRDefault="0017561A" w:rsidP="004E0520">
            <w:pPr>
              <w:rPr>
                <w:sz w:val="20"/>
                <w:szCs w:val="20"/>
              </w:rPr>
            </w:pPr>
            <w:r>
              <w:rPr>
                <w:sz w:val="20"/>
                <w:szCs w:val="20"/>
              </w:rPr>
              <w:t>0.03 – 0.04</w:t>
            </w:r>
          </w:p>
        </w:tc>
        <w:tc>
          <w:tcPr>
            <w:tcW w:w="992" w:type="dxa"/>
          </w:tcPr>
          <w:p w14:paraId="3752067C" w14:textId="77777777" w:rsidR="0017561A" w:rsidRPr="00192CCA" w:rsidRDefault="0017561A" w:rsidP="004E0520">
            <w:pPr>
              <w:rPr>
                <w:sz w:val="20"/>
                <w:szCs w:val="20"/>
              </w:rPr>
            </w:pPr>
            <w:r w:rsidRPr="00192CCA">
              <w:rPr>
                <w:sz w:val="20"/>
                <w:szCs w:val="20"/>
              </w:rPr>
              <w:t>&lt;0.001</w:t>
            </w:r>
          </w:p>
        </w:tc>
        <w:tc>
          <w:tcPr>
            <w:tcW w:w="709" w:type="dxa"/>
          </w:tcPr>
          <w:p w14:paraId="60CF9CCF" w14:textId="77777777" w:rsidR="0017561A" w:rsidRPr="00192CCA" w:rsidRDefault="0017561A" w:rsidP="004E0520">
            <w:pPr>
              <w:rPr>
                <w:sz w:val="20"/>
                <w:szCs w:val="20"/>
              </w:rPr>
            </w:pPr>
            <w:r>
              <w:rPr>
                <w:sz w:val="20"/>
                <w:szCs w:val="20"/>
              </w:rPr>
              <w:t>0.03</w:t>
            </w:r>
          </w:p>
        </w:tc>
        <w:tc>
          <w:tcPr>
            <w:tcW w:w="1418" w:type="dxa"/>
          </w:tcPr>
          <w:p w14:paraId="17BFA245" w14:textId="77777777" w:rsidR="0017561A" w:rsidRPr="00192CCA" w:rsidRDefault="0017561A" w:rsidP="004E0520">
            <w:pPr>
              <w:rPr>
                <w:sz w:val="20"/>
                <w:szCs w:val="20"/>
              </w:rPr>
            </w:pPr>
            <w:r>
              <w:rPr>
                <w:sz w:val="20"/>
                <w:szCs w:val="20"/>
              </w:rPr>
              <w:t>0.03 – 0.03</w:t>
            </w:r>
          </w:p>
        </w:tc>
        <w:tc>
          <w:tcPr>
            <w:tcW w:w="992" w:type="dxa"/>
          </w:tcPr>
          <w:p w14:paraId="2DC0E837" w14:textId="77777777" w:rsidR="0017561A" w:rsidRPr="00192CCA" w:rsidRDefault="0017561A" w:rsidP="004E0520">
            <w:pPr>
              <w:rPr>
                <w:sz w:val="20"/>
                <w:szCs w:val="20"/>
              </w:rPr>
            </w:pPr>
            <w:r w:rsidRPr="00192CCA">
              <w:rPr>
                <w:sz w:val="20"/>
                <w:szCs w:val="20"/>
              </w:rPr>
              <w:t>&lt;0.001</w:t>
            </w:r>
          </w:p>
        </w:tc>
      </w:tr>
      <w:tr w:rsidR="0017561A" w:rsidRPr="00AB4B54" w14:paraId="6237D886" w14:textId="77777777" w:rsidTr="004E0520">
        <w:trPr>
          <w:jc w:val="center"/>
        </w:trPr>
        <w:tc>
          <w:tcPr>
            <w:tcW w:w="3823" w:type="dxa"/>
          </w:tcPr>
          <w:p w14:paraId="0131E1A8" w14:textId="77777777" w:rsidR="0017561A" w:rsidRPr="00192CCA" w:rsidRDefault="0017561A" w:rsidP="004E0520">
            <w:pPr>
              <w:rPr>
                <w:b/>
                <w:bCs/>
                <w:sz w:val="20"/>
                <w:szCs w:val="20"/>
              </w:rPr>
            </w:pPr>
          </w:p>
          <w:p w14:paraId="71AAA43F" w14:textId="77777777" w:rsidR="0017561A" w:rsidRPr="00192CCA" w:rsidRDefault="0017561A" w:rsidP="004E0520">
            <w:pPr>
              <w:rPr>
                <w:sz w:val="20"/>
                <w:szCs w:val="20"/>
              </w:rPr>
            </w:pPr>
            <w:r w:rsidRPr="00192CCA">
              <w:rPr>
                <w:b/>
                <w:bCs/>
                <w:sz w:val="20"/>
                <w:szCs w:val="20"/>
              </w:rPr>
              <w:t>Ethnicity</w:t>
            </w:r>
          </w:p>
        </w:tc>
        <w:tc>
          <w:tcPr>
            <w:tcW w:w="1417" w:type="dxa"/>
          </w:tcPr>
          <w:p w14:paraId="3A6C0A43" w14:textId="77777777" w:rsidR="0017561A" w:rsidRPr="00192CCA" w:rsidRDefault="0017561A" w:rsidP="004E0520">
            <w:pPr>
              <w:rPr>
                <w:sz w:val="20"/>
                <w:szCs w:val="20"/>
              </w:rPr>
            </w:pPr>
          </w:p>
        </w:tc>
        <w:tc>
          <w:tcPr>
            <w:tcW w:w="1418" w:type="dxa"/>
          </w:tcPr>
          <w:p w14:paraId="5DD277A4" w14:textId="77777777" w:rsidR="0017561A" w:rsidRPr="00192CCA" w:rsidRDefault="0017561A" w:rsidP="004E0520">
            <w:pPr>
              <w:rPr>
                <w:sz w:val="20"/>
                <w:szCs w:val="20"/>
              </w:rPr>
            </w:pPr>
          </w:p>
        </w:tc>
        <w:tc>
          <w:tcPr>
            <w:tcW w:w="992" w:type="dxa"/>
          </w:tcPr>
          <w:p w14:paraId="6E44BD78" w14:textId="77777777" w:rsidR="0017561A" w:rsidRPr="00192CCA" w:rsidRDefault="0017561A" w:rsidP="004E0520">
            <w:pPr>
              <w:rPr>
                <w:sz w:val="20"/>
                <w:szCs w:val="20"/>
              </w:rPr>
            </w:pPr>
          </w:p>
          <w:p w14:paraId="5E259E33" w14:textId="77777777" w:rsidR="0017561A" w:rsidRPr="00192CCA" w:rsidRDefault="0017561A" w:rsidP="004E0520">
            <w:pPr>
              <w:rPr>
                <w:sz w:val="20"/>
                <w:szCs w:val="20"/>
              </w:rPr>
            </w:pPr>
            <w:r w:rsidRPr="00192CCA">
              <w:rPr>
                <w:sz w:val="20"/>
                <w:szCs w:val="20"/>
              </w:rPr>
              <w:t>&lt;0.001</w:t>
            </w:r>
          </w:p>
        </w:tc>
        <w:tc>
          <w:tcPr>
            <w:tcW w:w="709" w:type="dxa"/>
          </w:tcPr>
          <w:p w14:paraId="6433033C" w14:textId="77777777" w:rsidR="0017561A" w:rsidRPr="00192CCA" w:rsidRDefault="0017561A" w:rsidP="004E0520">
            <w:pPr>
              <w:rPr>
                <w:sz w:val="20"/>
                <w:szCs w:val="20"/>
              </w:rPr>
            </w:pPr>
          </w:p>
        </w:tc>
        <w:tc>
          <w:tcPr>
            <w:tcW w:w="1417" w:type="dxa"/>
          </w:tcPr>
          <w:p w14:paraId="1410068B" w14:textId="77777777" w:rsidR="0017561A" w:rsidRPr="00192CCA" w:rsidRDefault="0017561A" w:rsidP="004E0520">
            <w:pPr>
              <w:rPr>
                <w:sz w:val="20"/>
                <w:szCs w:val="20"/>
              </w:rPr>
            </w:pPr>
          </w:p>
        </w:tc>
        <w:tc>
          <w:tcPr>
            <w:tcW w:w="992" w:type="dxa"/>
          </w:tcPr>
          <w:p w14:paraId="45D7ABA2" w14:textId="77777777" w:rsidR="0017561A" w:rsidRPr="00192CCA" w:rsidRDefault="0017561A" w:rsidP="004E0520">
            <w:pPr>
              <w:rPr>
                <w:b/>
                <w:bCs/>
                <w:sz w:val="20"/>
                <w:szCs w:val="20"/>
              </w:rPr>
            </w:pPr>
          </w:p>
          <w:p w14:paraId="7DE034F9" w14:textId="77777777" w:rsidR="0017561A" w:rsidRPr="00192CCA" w:rsidRDefault="0017561A" w:rsidP="004E0520">
            <w:pPr>
              <w:rPr>
                <w:b/>
                <w:bCs/>
                <w:sz w:val="20"/>
                <w:szCs w:val="20"/>
              </w:rPr>
            </w:pPr>
            <w:r w:rsidRPr="00192CCA">
              <w:rPr>
                <w:b/>
                <w:bCs/>
                <w:sz w:val="20"/>
                <w:szCs w:val="20"/>
              </w:rPr>
              <w:t>&lt;0.001</w:t>
            </w:r>
          </w:p>
        </w:tc>
        <w:tc>
          <w:tcPr>
            <w:tcW w:w="709" w:type="dxa"/>
          </w:tcPr>
          <w:p w14:paraId="1D5D2D78" w14:textId="77777777" w:rsidR="0017561A" w:rsidRPr="00192CCA" w:rsidRDefault="0017561A" w:rsidP="004E0520">
            <w:pPr>
              <w:rPr>
                <w:sz w:val="20"/>
                <w:szCs w:val="20"/>
              </w:rPr>
            </w:pPr>
          </w:p>
        </w:tc>
        <w:tc>
          <w:tcPr>
            <w:tcW w:w="1418" w:type="dxa"/>
          </w:tcPr>
          <w:p w14:paraId="1AA6158F" w14:textId="77777777" w:rsidR="0017561A" w:rsidRPr="00192CCA" w:rsidRDefault="0017561A" w:rsidP="004E0520">
            <w:pPr>
              <w:rPr>
                <w:sz w:val="20"/>
                <w:szCs w:val="20"/>
              </w:rPr>
            </w:pPr>
          </w:p>
        </w:tc>
        <w:tc>
          <w:tcPr>
            <w:tcW w:w="992" w:type="dxa"/>
          </w:tcPr>
          <w:p w14:paraId="7095D4EE" w14:textId="77777777" w:rsidR="0017561A" w:rsidRPr="00192CCA" w:rsidRDefault="0017561A" w:rsidP="004E0520">
            <w:pPr>
              <w:rPr>
                <w:b/>
                <w:bCs/>
                <w:sz w:val="20"/>
                <w:szCs w:val="20"/>
              </w:rPr>
            </w:pPr>
          </w:p>
          <w:p w14:paraId="3F16A154" w14:textId="77777777" w:rsidR="0017561A" w:rsidRPr="00192CCA" w:rsidRDefault="0017561A" w:rsidP="004E0520">
            <w:pPr>
              <w:rPr>
                <w:b/>
                <w:bCs/>
                <w:sz w:val="20"/>
                <w:szCs w:val="20"/>
              </w:rPr>
            </w:pPr>
            <w:r w:rsidRPr="00192CCA">
              <w:rPr>
                <w:b/>
                <w:bCs/>
                <w:sz w:val="20"/>
                <w:szCs w:val="20"/>
              </w:rPr>
              <w:t>&lt;0.001</w:t>
            </w:r>
          </w:p>
        </w:tc>
      </w:tr>
      <w:tr w:rsidR="0017561A" w:rsidRPr="00AB4B54" w14:paraId="4C02644D" w14:textId="77777777" w:rsidTr="004E0520">
        <w:trPr>
          <w:jc w:val="center"/>
        </w:trPr>
        <w:tc>
          <w:tcPr>
            <w:tcW w:w="3823" w:type="dxa"/>
          </w:tcPr>
          <w:p w14:paraId="137A71B0" w14:textId="77777777" w:rsidR="0017561A" w:rsidRPr="00192CCA" w:rsidRDefault="0017561A" w:rsidP="004E0520">
            <w:pPr>
              <w:rPr>
                <w:b/>
                <w:bCs/>
                <w:sz w:val="20"/>
                <w:szCs w:val="20"/>
              </w:rPr>
            </w:pPr>
            <w:r w:rsidRPr="00192CCA">
              <w:rPr>
                <w:sz w:val="20"/>
                <w:szCs w:val="20"/>
              </w:rPr>
              <w:t>White</w:t>
            </w:r>
          </w:p>
        </w:tc>
        <w:tc>
          <w:tcPr>
            <w:tcW w:w="1417" w:type="dxa"/>
          </w:tcPr>
          <w:p w14:paraId="5B681AB8" w14:textId="77777777" w:rsidR="0017561A" w:rsidRPr="00192CCA" w:rsidRDefault="0017561A" w:rsidP="004E0520">
            <w:pPr>
              <w:rPr>
                <w:sz w:val="20"/>
                <w:szCs w:val="20"/>
              </w:rPr>
            </w:pPr>
            <w:r>
              <w:rPr>
                <w:sz w:val="20"/>
                <w:szCs w:val="20"/>
              </w:rPr>
              <w:t>13,720 (44.98)</w:t>
            </w:r>
          </w:p>
        </w:tc>
        <w:tc>
          <w:tcPr>
            <w:tcW w:w="1418" w:type="dxa"/>
          </w:tcPr>
          <w:p w14:paraId="43D5DE02" w14:textId="77777777" w:rsidR="0017561A" w:rsidRPr="00192CCA" w:rsidRDefault="0017561A" w:rsidP="004E0520">
            <w:pPr>
              <w:rPr>
                <w:sz w:val="20"/>
                <w:szCs w:val="20"/>
              </w:rPr>
            </w:pPr>
            <w:r>
              <w:rPr>
                <w:sz w:val="20"/>
                <w:szCs w:val="20"/>
              </w:rPr>
              <w:t>16,780 (55.02)</w:t>
            </w:r>
          </w:p>
        </w:tc>
        <w:tc>
          <w:tcPr>
            <w:tcW w:w="992" w:type="dxa"/>
          </w:tcPr>
          <w:p w14:paraId="7EB2D268" w14:textId="77777777" w:rsidR="0017561A" w:rsidRPr="00192CCA" w:rsidRDefault="0017561A" w:rsidP="004E0520">
            <w:pPr>
              <w:rPr>
                <w:sz w:val="20"/>
                <w:szCs w:val="20"/>
              </w:rPr>
            </w:pPr>
          </w:p>
        </w:tc>
        <w:tc>
          <w:tcPr>
            <w:tcW w:w="709" w:type="dxa"/>
          </w:tcPr>
          <w:p w14:paraId="2D3EDE43" w14:textId="77777777" w:rsidR="0017561A" w:rsidRPr="00192CCA" w:rsidRDefault="0017561A" w:rsidP="004E0520">
            <w:pPr>
              <w:rPr>
                <w:sz w:val="20"/>
                <w:szCs w:val="20"/>
              </w:rPr>
            </w:pPr>
            <w:r w:rsidRPr="00192CCA">
              <w:rPr>
                <w:sz w:val="20"/>
                <w:szCs w:val="20"/>
              </w:rPr>
              <w:t>1.00</w:t>
            </w:r>
          </w:p>
        </w:tc>
        <w:tc>
          <w:tcPr>
            <w:tcW w:w="1417" w:type="dxa"/>
          </w:tcPr>
          <w:p w14:paraId="5FE17B31" w14:textId="77777777" w:rsidR="0017561A" w:rsidRPr="00192CCA" w:rsidRDefault="0017561A" w:rsidP="004E0520">
            <w:pPr>
              <w:rPr>
                <w:sz w:val="20"/>
                <w:szCs w:val="20"/>
              </w:rPr>
            </w:pPr>
            <w:r w:rsidRPr="00192CCA">
              <w:rPr>
                <w:sz w:val="20"/>
                <w:szCs w:val="20"/>
              </w:rPr>
              <w:t>-----     -----</w:t>
            </w:r>
          </w:p>
        </w:tc>
        <w:tc>
          <w:tcPr>
            <w:tcW w:w="992" w:type="dxa"/>
          </w:tcPr>
          <w:p w14:paraId="683FF23F" w14:textId="77777777" w:rsidR="0017561A" w:rsidRPr="00192CCA" w:rsidRDefault="0017561A" w:rsidP="004E0520">
            <w:pPr>
              <w:rPr>
                <w:sz w:val="20"/>
                <w:szCs w:val="20"/>
              </w:rPr>
            </w:pPr>
            <w:r>
              <w:rPr>
                <w:sz w:val="20"/>
                <w:szCs w:val="20"/>
              </w:rPr>
              <w:t xml:space="preserve">  </w:t>
            </w:r>
            <w:r w:rsidRPr="00192CCA">
              <w:rPr>
                <w:sz w:val="20"/>
                <w:szCs w:val="20"/>
              </w:rPr>
              <w:t>-------</w:t>
            </w:r>
          </w:p>
        </w:tc>
        <w:tc>
          <w:tcPr>
            <w:tcW w:w="709" w:type="dxa"/>
          </w:tcPr>
          <w:p w14:paraId="783D46DB" w14:textId="77777777" w:rsidR="0017561A" w:rsidRPr="00192CCA" w:rsidRDefault="0017561A" w:rsidP="004E0520">
            <w:pPr>
              <w:rPr>
                <w:sz w:val="20"/>
                <w:szCs w:val="20"/>
              </w:rPr>
            </w:pPr>
            <w:r w:rsidRPr="00192CCA">
              <w:rPr>
                <w:sz w:val="20"/>
                <w:szCs w:val="20"/>
              </w:rPr>
              <w:t>1.00</w:t>
            </w:r>
          </w:p>
        </w:tc>
        <w:tc>
          <w:tcPr>
            <w:tcW w:w="1418" w:type="dxa"/>
          </w:tcPr>
          <w:p w14:paraId="61D435F2" w14:textId="77777777" w:rsidR="0017561A" w:rsidRPr="00192CCA" w:rsidRDefault="0017561A" w:rsidP="004E0520">
            <w:pPr>
              <w:rPr>
                <w:sz w:val="20"/>
                <w:szCs w:val="20"/>
              </w:rPr>
            </w:pPr>
            <w:r w:rsidRPr="00192CCA">
              <w:rPr>
                <w:sz w:val="20"/>
                <w:szCs w:val="20"/>
              </w:rPr>
              <w:t>-----     -----</w:t>
            </w:r>
          </w:p>
        </w:tc>
        <w:tc>
          <w:tcPr>
            <w:tcW w:w="992" w:type="dxa"/>
          </w:tcPr>
          <w:p w14:paraId="25265E75" w14:textId="77777777" w:rsidR="0017561A" w:rsidRPr="00192CCA" w:rsidRDefault="0017561A" w:rsidP="004E0520">
            <w:pPr>
              <w:rPr>
                <w:sz w:val="20"/>
                <w:szCs w:val="20"/>
              </w:rPr>
            </w:pPr>
            <w:r>
              <w:rPr>
                <w:sz w:val="20"/>
                <w:szCs w:val="20"/>
              </w:rPr>
              <w:t xml:space="preserve">  </w:t>
            </w:r>
            <w:r w:rsidRPr="00192CCA">
              <w:rPr>
                <w:sz w:val="20"/>
                <w:szCs w:val="20"/>
              </w:rPr>
              <w:t>-------</w:t>
            </w:r>
          </w:p>
        </w:tc>
      </w:tr>
      <w:tr w:rsidR="0017561A" w:rsidRPr="00AB4B54" w14:paraId="64538676" w14:textId="77777777" w:rsidTr="004E0520">
        <w:trPr>
          <w:jc w:val="center"/>
        </w:trPr>
        <w:tc>
          <w:tcPr>
            <w:tcW w:w="3823" w:type="dxa"/>
          </w:tcPr>
          <w:p w14:paraId="12CEC7D9" w14:textId="77777777" w:rsidR="0017561A" w:rsidRPr="00192CCA" w:rsidRDefault="0017561A" w:rsidP="004E0520">
            <w:pPr>
              <w:rPr>
                <w:sz w:val="20"/>
                <w:szCs w:val="20"/>
              </w:rPr>
            </w:pPr>
            <w:r w:rsidRPr="00192CCA">
              <w:rPr>
                <w:sz w:val="20"/>
                <w:szCs w:val="20"/>
              </w:rPr>
              <w:t>Other Ethnic Group</w:t>
            </w:r>
            <w:r>
              <w:rPr>
                <w:sz w:val="20"/>
                <w:szCs w:val="20"/>
                <w:vertAlign w:val="superscript"/>
              </w:rPr>
              <w:t>d</w:t>
            </w:r>
          </w:p>
        </w:tc>
        <w:tc>
          <w:tcPr>
            <w:tcW w:w="1417" w:type="dxa"/>
          </w:tcPr>
          <w:p w14:paraId="21D59C90" w14:textId="77777777" w:rsidR="0017561A" w:rsidRPr="00192CCA" w:rsidRDefault="0017561A" w:rsidP="004E0520">
            <w:pPr>
              <w:rPr>
                <w:sz w:val="20"/>
                <w:szCs w:val="20"/>
              </w:rPr>
            </w:pPr>
            <w:r>
              <w:rPr>
                <w:sz w:val="20"/>
                <w:szCs w:val="20"/>
              </w:rPr>
              <w:t>1,393 (52.51)</w:t>
            </w:r>
          </w:p>
        </w:tc>
        <w:tc>
          <w:tcPr>
            <w:tcW w:w="1418" w:type="dxa"/>
          </w:tcPr>
          <w:p w14:paraId="1AE3F3CA" w14:textId="77777777" w:rsidR="0017561A" w:rsidRPr="00192CCA" w:rsidRDefault="0017561A" w:rsidP="004E0520">
            <w:pPr>
              <w:rPr>
                <w:sz w:val="20"/>
                <w:szCs w:val="20"/>
              </w:rPr>
            </w:pPr>
            <w:r>
              <w:rPr>
                <w:sz w:val="20"/>
                <w:szCs w:val="20"/>
              </w:rPr>
              <w:t>1,260 (47.49)</w:t>
            </w:r>
          </w:p>
        </w:tc>
        <w:tc>
          <w:tcPr>
            <w:tcW w:w="992" w:type="dxa"/>
          </w:tcPr>
          <w:p w14:paraId="360C5E0E" w14:textId="77777777" w:rsidR="0017561A" w:rsidRPr="00192CCA" w:rsidRDefault="0017561A" w:rsidP="004E0520">
            <w:pPr>
              <w:rPr>
                <w:sz w:val="20"/>
                <w:szCs w:val="20"/>
              </w:rPr>
            </w:pPr>
          </w:p>
        </w:tc>
        <w:tc>
          <w:tcPr>
            <w:tcW w:w="709" w:type="dxa"/>
          </w:tcPr>
          <w:p w14:paraId="1381187A" w14:textId="77777777" w:rsidR="0017561A" w:rsidRPr="00192CCA" w:rsidRDefault="0017561A" w:rsidP="004E0520">
            <w:pPr>
              <w:rPr>
                <w:sz w:val="20"/>
                <w:szCs w:val="20"/>
              </w:rPr>
            </w:pPr>
            <w:r w:rsidRPr="00192CCA">
              <w:rPr>
                <w:sz w:val="20"/>
                <w:szCs w:val="20"/>
              </w:rPr>
              <w:t>1.</w:t>
            </w:r>
            <w:r>
              <w:rPr>
                <w:sz w:val="20"/>
                <w:szCs w:val="20"/>
              </w:rPr>
              <w:t>35</w:t>
            </w:r>
          </w:p>
        </w:tc>
        <w:tc>
          <w:tcPr>
            <w:tcW w:w="1417" w:type="dxa"/>
          </w:tcPr>
          <w:p w14:paraId="5A94CE8B" w14:textId="77777777" w:rsidR="0017561A" w:rsidRPr="00192CCA" w:rsidRDefault="0017561A" w:rsidP="004E0520">
            <w:pPr>
              <w:rPr>
                <w:sz w:val="20"/>
                <w:szCs w:val="20"/>
              </w:rPr>
            </w:pPr>
            <w:r w:rsidRPr="00192CCA">
              <w:rPr>
                <w:sz w:val="20"/>
                <w:szCs w:val="20"/>
              </w:rPr>
              <w:t>1.</w:t>
            </w:r>
            <w:r>
              <w:rPr>
                <w:sz w:val="20"/>
                <w:szCs w:val="20"/>
              </w:rPr>
              <w:t>25</w:t>
            </w:r>
            <w:r w:rsidRPr="00192CCA">
              <w:rPr>
                <w:sz w:val="20"/>
                <w:szCs w:val="20"/>
              </w:rPr>
              <w:t xml:space="preserve"> – </w:t>
            </w:r>
            <w:r>
              <w:rPr>
                <w:sz w:val="20"/>
                <w:szCs w:val="20"/>
              </w:rPr>
              <w:t>1.46</w:t>
            </w:r>
          </w:p>
        </w:tc>
        <w:tc>
          <w:tcPr>
            <w:tcW w:w="992" w:type="dxa"/>
          </w:tcPr>
          <w:p w14:paraId="19C49C9D" w14:textId="77777777" w:rsidR="0017561A" w:rsidRPr="00192CCA" w:rsidRDefault="0017561A" w:rsidP="004E0520">
            <w:pPr>
              <w:rPr>
                <w:sz w:val="20"/>
                <w:szCs w:val="20"/>
              </w:rPr>
            </w:pPr>
            <w:r w:rsidRPr="00192CCA">
              <w:rPr>
                <w:sz w:val="20"/>
                <w:szCs w:val="20"/>
              </w:rPr>
              <w:t>&lt;0.001</w:t>
            </w:r>
          </w:p>
        </w:tc>
        <w:tc>
          <w:tcPr>
            <w:tcW w:w="709" w:type="dxa"/>
          </w:tcPr>
          <w:p w14:paraId="26B8FF04" w14:textId="77777777" w:rsidR="0017561A" w:rsidRPr="00192CCA" w:rsidRDefault="0017561A" w:rsidP="004E0520">
            <w:pPr>
              <w:rPr>
                <w:sz w:val="20"/>
                <w:szCs w:val="20"/>
              </w:rPr>
            </w:pPr>
            <w:r>
              <w:rPr>
                <w:sz w:val="20"/>
                <w:szCs w:val="20"/>
              </w:rPr>
              <w:t>0.93</w:t>
            </w:r>
          </w:p>
        </w:tc>
        <w:tc>
          <w:tcPr>
            <w:tcW w:w="1418" w:type="dxa"/>
          </w:tcPr>
          <w:p w14:paraId="221BF6F9" w14:textId="77777777" w:rsidR="0017561A" w:rsidRPr="00192CCA" w:rsidRDefault="0017561A" w:rsidP="004E0520">
            <w:pPr>
              <w:rPr>
                <w:sz w:val="20"/>
                <w:szCs w:val="20"/>
              </w:rPr>
            </w:pPr>
            <w:r w:rsidRPr="00192CCA">
              <w:rPr>
                <w:sz w:val="20"/>
                <w:szCs w:val="20"/>
              </w:rPr>
              <w:t>0.</w:t>
            </w:r>
            <w:r>
              <w:rPr>
                <w:sz w:val="20"/>
                <w:szCs w:val="20"/>
              </w:rPr>
              <w:t>84</w:t>
            </w:r>
            <w:r w:rsidRPr="00192CCA">
              <w:rPr>
                <w:sz w:val="20"/>
                <w:szCs w:val="20"/>
              </w:rPr>
              <w:t xml:space="preserve"> – 1.</w:t>
            </w:r>
            <w:r>
              <w:rPr>
                <w:sz w:val="20"/>
                <w:szCs w:val="20"/>
              </w:rPr>
              <w:t>02</w:t>
            </w:r>
          </w:p>
        </w:tc>
        <w:tc>
          <w:tcPr>
            <w:tcW w:w="992" w:type="dxa"/>
          </w:tcPr>
          <w:p w14:paraId="25DE82FA"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110</w:t>
            </w:r>
          </w:p>
        </w:tc>
      </w:tr>
      <w:tr w:rsidR="0017561A" w:rsidRPr="00AB4B54" w14:paraId="0194F4D0" w14:textId="77777777" w:rsidTr="004E0520">
        <w:trPr>
          <w:jc w:val="center"/>
        </w:trPr>
        <w:tc>
          <w:tcPr>
            <w:tcW w:w="3823" w:type="dxa"/>
          </w:tcPr>
          <w:p w14:paraId="735A4E4E" w14:textId="77777777" w:rsidR="0017561A" w:rsidRPr="00192CCA" w:rsidRDefault="0017561A" w:rsidP="004E0520">
            <w:pPr>
              <w:rPr>
                <w:sz w:val="20"/>
                <w:szCs w:val="20"/>
              </w:rPr>
            </w:pPr>
            <w:r>
              <w:rPr>
                <w:sz w:val="20"/>
                <w:szCs w:val="20"/>
              </w:rPr>
              <w:t>U</w:t>
            </w:r>
            <w:r w:rsidRPr="00192CCA">
              <w:rPr>
                <w:sz w:val="20"/>
                <w:szCs w:val="20"/>
              </w:rPr>
              <w:t>nknown</w:t>
            </w:r>
            <w:r>
              <w:rPr>
                <w:sz w:val="20"/>
                <w:szCs w:val="20"/>
                <w:vertAlign w:val="superscript"/>
              </w:rPr>
              <w:t>e</w:t>
            </w:r>
          </w:p>
        </w:tc>
        <w:tc>
          <w:tcPr>
            <w:tcW w:w="1417" w:type="dxa"/>
          </w:tcPr>
          <w:p w14:paraId="6A7B06B0" w14:textId="77777777" w:rsidR="0017561A" w:rsidRPr="00192CCA" w:rsidRDefault="0017561A" w:rsidP="004E0520">
            <w:pPr>
              <w:rPr>
                <w:sz w:val="20"/>
                <w:szCs w:val="20"/>
              </w:rPr>
            </w:pPr>
            <w:r>
              <w:rPr>
                <w:sz w:val="20"/>
                <w:szCs w:val="20"/>
              </w:rPr>
              <w:t>454 (31.03)</w:t>
            </w:r>
          </w:p>
        </w:tc>
        <w:tc>
          <w:tcPr>
            <w:tcW w:w="1418" w:type="dxa"/>
          </w:tcPr>
          <w:p w14:paraId="0CBC6DA0" w14:textId="77777777" w:rsidR="0017561A" w:rsidRPr="00192CCA" w:rsidRDefault="0017561A" w:rsidP="004E0520">
            <w:pPr>
              <w:rPr>
                <w:sz w:val="20"/>
                <w:szCs w:val="20"/>
              </w:rPr>
            </w:pPr>
            <w:r>
              <w:rPr>
                <w:sz w:val="20"/>
                <w:szCs w:val="20"/>
              </w:rPr>
              <w:t>1,009 (68.97)</w:t>
            </w:r>
          </w:p>
        </w:tc>
        <w:tc>
          <w:tcPr>
            <w:tcW w:w="992" w:type="dxa"/>
          </w:tcPr>
          <w:p w14:paraId="33C644E1" w14:textId="77777777" w:rsidR="0017561A" w:rsidRPr="00192CCA" w:rsidRDefault="0017561A" w:rsidP="004E0520">
            <w:pPr>
              <w:rPr>
                <w:sz w:val="20"/>
                <w:szCs w:val="20"/>
              </w:rPr>
            </w:pPr>
          </w:p>
        </w:tc>
        <w:tc>
          <w:tcPr>
            <w:tcW w:w="709" w:type="dxa"/>
          </w:tcPr>
          <w:p w14:paraId="584D3697" w14:textId="77777777" w:rsidR="0017561A" w:rsidRPr="00192CCA" w:rsidRDefault="0017561A" w:rsidP="004E0520">
            <w:pPr>
              <w:rPr>
                <w:sz w:val="20"/>
                <w:szCs w:val="20"/>
              </w:rPr>
            </w:pPr>
            <w:r w:rsidRPr="00192CCA">
              <w:rPr>
                <w:sz w:val="20"/>
                <w:szCs w:val="20"/>
              </w:rPr>
              <w:t>0.</w:t>
            </w:r>
            <w:r>
              <w:rPr>
                <w:sz w:val="20"/>
                <w:szCs w:val="20"/>
              </w:rPr>
              <w:t>55</w:t>
            </w:r>
          </w:p>
        </w:tc>
        <w:tc>
          <w:tcPr>
            <w:tcW w:w="1417" w:type="dxa"/>
          </w:tcPr>
          <w:p w14:paraId="25342A4E" w14:textId="77777777" w:rsidR="0017561A" w:rsidRPr="00192CCA" w:rsidRDefault="0017561A" w:rsidP="004E0520">
            <w:pPr>
              <w:rPr>
                <w:sz w:val="20"/>
                <w:szCs w:val="20"/>
              </w:rPr>
            </w:pPr>
            <w:r w:rsidRPr="00192CCA">
              <w:rPr>
                <w:sz w:val="20"/>
                <w:szCs w:val="20"/>
              </w:rPr>
              <w:t>0.</w:t>
            </w:r>
            <w:r>
              <w:rPr>
                <w:sz w:val="20"/>
                <w:szCs w:val="20"/>
              </w:rPr>
              <w:t>49</w:t>
            </w:r>
            <w:r w:rsidRPr="00192CCA">
              <w:rPr>
                <w:sz w:val="20"/>
                <w:szCs w:val="20"/>
              </w:rPr>
              <w:t xml:space="preserve"> – </w:t>
            </w:r>
            <w:r>
              <w:rPr>
                <w:sz w:val="20"/>
                <w:szCs w:val="20"/>
              </w:rPr>
              <w:t>0.62</w:t>
            </w:r>
          </w:p>
        </w:tc>
        <w:tc>
          <w:tcPr>
            <w:tcW w:w="992" w:type="dxa"/>
          </w:tcPr>
          <w:p w14:paraId="5D47B7F1" w14:textId="77777777" w:rsidR="0017561A" w:rsidRPr="00192CCA" w:rsidRDefault="0017561A" w:rsidP="004E0520">
            <w:pPr>
              <w:rPr>
                <w:sz w:val="20"/>
                <w:szCs w:val="20"/>
              </w:rPr>
            </w:pPr>
            <w:r w:rsidRPr="00192CCA">
              <w:rPr>
                <w:sz w:val="20"/>
                <w:szCs w:val="20"/>
              </w:rPr>
              <w:t>&lt;0.001</w:t>
            </w:r>
          </w:p>
        </w:tc>
        <w:tc>
          <w:tcPr>
            <w:tcW w:w="709" w:type="dxa"/>
          </w:tcPr>
          <w:p w14:paraId="23688EF1" w14:textId="77777777" w:rsidR="0017561A" w:rsidRPr="00192CCA" w:rsidRDefault="0017561A" w:rsidP="004E0520">
            <w:pPr>
              <w:rPr>
                <w:sz w:val="20"/>
                <w:szCs w:val="20"/>
              </w:rPr>
            </w:pPr>
            <w:r w:rsidRPr="00192CCA">
              <w:rPr>
                <w:sz w:val="20"/>
                <w:szCs w:val="20"/>
              </w:rPr>
              <w:t>0.4</w:t>
            </w:r>
            <w:r>
              <w:rPr>
                <w:sz w:val="20"/>
                <w:szCs w:val="20"/>
              </w:rPr>
              <w:t>7</w:t>
            </w:r>
          </w:p>
        </w:tc>
        <w:tc>
          <w:tcPr>
            <w:tcW w:w="1418" w:type="dxa"/>
          </w:tcPr>
          <w:p w14:paraId="7D4066B9" w14:textId="77777777" w:rsidR="0017561A" w:rsidRPr="00192CCA" w:rsidRDefault="0017561A" w:rsidP="004E0520">
            <w:pPr>
              <w:rPr>
                <w:sz w:val="20"/>
                <w:szCs w:val="20"/>
              </w:rPr>
            </w:pPr>
            <w:r w:rsidRPr="00192CCA">
              <w:rPr>
                <w:sz w:val="20"/>
                <w:szCs w:val="20"/>
              </w:rPr>
              <w:t>0.</w:t>
            </w:r>
            <w:r>
              <w:rPr>
                <w:sz w:val="20"/>
                <w:szCs w:val="20"/>
              </w:rPr>
              <w:t>41</w:t>
            </w:r>
            <w:r w:rsidRPr="00192CCA">
              <w:rPr>
                <w:sz w:val="20"/>
                <w:szCs w:val="20"/>
              </w:rPr>
              <w:t xml:space="preserve"> – 0.</w:t>
            </w:r>
            <w:r>
              <w:rPr>
                <w:sz w:val="20"/>
                <w:szCs w:val="20"/>
              </w:rPr>
              <w:t>53</w:t>
            </w:r>
          </w:p>
        </w:tc>
        <w:tc>
          <w:tcPr>
            <w:tcW w:w="992" w:type="dxa"/>
          </w:tcPr>
          <w:p w14:paraId="2AB1C9BC" w14:textId="77777777" w:rsidR="0017561A" w:rsidRPr="00192CCA" w:rsidRDefault="0017561A" w:rsidP="004E0520">
            <w:pPr>
              <w:rPr>
                <w:sz w:val="20"/>
                <w:szCs w:val="20"/>
              </w:rPr>
            </w:pPr>
            <w:r w:rsidRPr="00192CCA">
              <w:rPr>
                <w:sz w:val="20"/>
                <w:szCs w:val="20"/>
              </w:rPr>
              <w:t>&lt;0.001</w:t>
            </w:r>
          </w:p>
        </w:tc>
      </w:tr>
      <w:tr w:rsidR="0017561A" w:rsidRPr="00AB4B54" w14:paraId="677D49D6" w14:textId="77777777" w:rsidTr="004E0520">
        <w:trPr>
          <w:jc w:val="center"/>
        </w:trPr>
        <w:tc>
          <w:tcPr>
            <w:tcW w:w="3823" w:type="dxa"/>
          </w:tcPr>
          <w:p w14:paraId="4A8075ED" w14:textId="77777777" w:rsidR="0017561A" w:rsidRPr="00192CCA" w:rsidRDefault="0017561A" w:rsidP="004E0520">
            <w:pPr>
              <w:rPr>
                <w:sz w:val="20"/>
                <w:szCs w:val="20"/>
              </w:rPr>
            </w:pPr>
          </w:p>
        </w:tc>
        <w:tc>
          <w:tcPr>
            <w:tcW w:w="1417" w:type="dxa"/>
          </w:tcPr>
          <w:p w14:paraId="3D38DEF0" w14:textId="77777777" w:rsidR="0017561A" w:rsidRPr="00192CCA" w:rsidRDefault="0017561A" w:rsidP="004E0520">
            <w:pPr>
              <w:rPr>
                <w:sz w:val="20"/>
                <w:szCs w:val="20"/>
              </w:rPr>
            </w:pPr>
          </w:p>
        </w:tc>
        <w:tc>
          <w:tcPr>
            <w:tcW w:w="1418" w:type="dxa"/>
          </w:tcPr>
          <w:p w14:paraId="49CD7A53" w14:textId="77777777" w:rsidR="0017561A" w:rsidRPr="00192CCA" w:rsidRDefault="0017561A" w:rsidP="004E0520">
            <w:pPr>
              <w:rPr>
                <w:sz w:val="20"/>
                <w:szCs w:val="20"/>
              </w:rPr>
            </w:pPr>
          </w:p>
        </w:tc>
        <w:tc>
          <w:tcPr>
            <w:tcW w:w="992" w:type="dxa"/>
          </w:tcPr>
          <w:p w14:paraId="6ADA9386" w14:textId="77777777" w:rsidR="0017561A" w:rsidRPr="00192CCA" w:rsidRDefault="0017561A" w:rsidP="004E0520">
            <w:pPr>
              <w:rPr>
                <w:sz w:val="20"/>
                <w:szCs w:val="20"/>
              </w:rPr>
            </w:pPr>
          </w:p>
        </w:tc>
        <w:tc>
          <w:tcPr>
            <w:tcW w:w="709" w:type="dxa"/>
          </w:tcPr>
          <w:p w14:paraId="5E5A5F8F" w14:textId="77777777" w:rsidR="0017561A" w:rsidRPr="00192CCA" w:rsidRDefault="0017561A" w:rsidP="004E0520">
            <w:pPr>
              <w:rPr>
                <w:sz w:val="20"/>
                <w:szCs w:val="20"/>
              </w:rPr>
            </w:pPr>
          </w:p>
        </w:tc>
        <w:tc>
          <w:tcPr>
            <w:tcW w:w="1417" w:type="dxa"/>
          </w:tcPr>
          <w:p w14:paraId="4C10CFBC" w14:textId="77777777" w:rsidR="0017561A" w:rsidRPr="00192CCA" w:rsidRDefault="0017561A" w:rsidP="004E0520">
            <w:pPr>
              <w:rPr>
                <w:sz w:val="20"/>
                <w:szCs w:val="20"/>
              </w:rPr>
            </w:pPr>
          </w:p>
        </w:tc>
        <w:tc>
          <w:tcPr>
            <w:tcW w:w="992" w:type="dxa"/>
          </w:tcPr>
          <w:p w14:paraId="3BFE3085" w14:textId="77777777" w:rsidR="0017561A" w:rsidRPr="00192CCA" w:rsidRDefault="0017561A" w:rsidP="004E0520">
            <w:pPr>
              <w:rPr>
                <w:sz w:val="20"/>
                <w:szCs w:val="20"/>
              </w:rPr>
            </w:pPr>
          </w:p>
        </w:tc>
        <w:tc>
          <w:tcPr>
            <w:tcW w:w="709" w:type="dxa"/>
          </w:tcPr>
          <w:p w14:paraId="21983443" w14:textId="77777777" w:rsidR="0017561A" w:rsidRPr="00192CCA" w:rsidRDefault="0017561A" w:rsidP="004E0520">
            <w:pPr>
              <w:rPr>
                <w:sz w:val="20"/>
                <w:szCs w:val="20"/>
              </w:rPr>
            </w:pPr>
          </w:p>
        </w:tc>
        <w:tc>
          <w:tcPr>
            <w:tcW w:w="1418" w:type="dxa"/>
          </w:tcPr>
          <w:p w14:paraId="6719AEED" w14:textId="77777777" w:rsidR="0017561A" w:rsidRPr="00192CCA" w:rsidRDefault="0017561A" w:rsidP="004E0520">
            <w:pPr>
              <w:rPr>
                <w:sz w:val="20"/>
                <w:szCs w:val="20"/>
              </w:rPr>
            </w:pPr>
          </w:p>
        </w:tc>
        <w:tc>
          <w:tcPr>
            <w:tcW w:w="992" w:type="dxa"/>
          </w:tcPr>
          <w:p w14:paraId="5F58A9F7" w14:textId="77777777" w:rsidR="0017561A" w:rsidRPr="00192CCA" w:rsidRDefault="0017561A" w:rsidP="004E0520">
            <w:pPr>
              <w:rPr>
                <w:sz w:val="20"/>
                <w:szCs w:val="20"/>
              </w:rPr>
            </w:pPr>
          </w:p>
        </w:tc>
      </w:tr>
      <w:tr w:rsidR="0017561A" w:rsidRPr="00AB4B54" w14:paraId="11D5383B" w14:textId="77777777" w:rsidTr="004E0520">
        <w:trPr>
          <w:jc w:val="center"/>
        </w:trPr>
        <w:tc>
          <w:tcPr>
            <w:tcW w:w="3823" w:type="dxa"/>
          </w:tcPr>
          <w:p w14:paraId="4C86802A" w14:textId="77777777" w:rsidR="0017561A" w:rsidRPr="00192CCA" w:rsidRDefault="0017561A" w:rsidP="004E0520">
            <w:pPr>
              <w:rPr>
                <w:sz w:val="20"/>
                <w:szCs w:val="20"/>
              </w:rPr>
            </w:pPr>
            <w:r w:rsidRPr="00192CCA">
              <w:rPr>
                <w:b/>
                <w:bCs/>
                <w:sz w:val="20"/>
                <w:szCs w:val="20"/>
              </w:rPr>
              <w:t>Rural/Urban Residence</w:t>
            </w:r>
          </w:p>
        </w:tc>
        <w:tc>
          <w:tcPr>
            <w:tcW w:w="1417" w:type="dxa"/>
          </w:tcPr>
          <w:p w14:paraId="5EEFBAE6" w14:textId="77777777" w:rsidR="0017561A" w:rsidRPr="00192CCA" w:rsidRDefault="0017561A" w:rsidP="004E0520">
            <w:pPr>
              <w:rPr>
                <w:sz w:val="20"/>
                <w:szCs w:val="20"/>
              </w:rPr>
            </w:pPr>
          </w:p>
        </w:tc>
        <w:tc>
          <w:tcPr>
            <w:tcW w:w="1418" w:type="dxa"/>
          </w:tcPr>
          <w:p w14:paraId="2DE1FC1F" w14:textId="77777777" w:rsidR="0017561A" w:rsidRPr="00192CCA" w:rsidRDefault="0017561A" w:rsidP="004E0520">
            <w:pPr>
              <w:rPr>
                <w:sz w:val="20"/>
                <w:szCs w:val="20"/>
              </w:rPr>
            </w:pPr>
          </w:p>
        </w:tc>
        <w:tc>
          <w:tcPr>
            <w:tcW w:w="992" w:type="dxa"/>
          </w:tcPr>
          <w:p w14:paraId="519200AF" w14:textId="77777777" w:rsidR="0017561A" w:rsidRPr="00192CCA" w:rsidRDefault="0017561A" w:rsidP="004E0520">
            <w:pPr>
              <w:rPr>
                <w:sz w:val="20"/>
                <w:szCs w:val="20"/>
              </w:rPr>
            </w:pPr>
            <w:r w:rsidRPr="00192CCA">
              <w:rPr>
                <w:sz w:val="20"/>
                <w:szCs w:val="20"/>
              </w:rPr>
              <w:t>&lt;0.001</w:t>
            </w:r>
          </w:p>
        </w:tc>
        <w:tc>
          <w:tcPr>
            <w:tcW w:w="709" w:type="dxa"/>
          </w:tcPr>
          <w:p w14:paraId="69312817" w14:textId="77777777" w:rsidR="0017561A" w:rsidRPr="00192CCA" w:rsidRDefault="0017561A" w:rsidP="004E0520">
            <w:pPr>
              <w:rPr>
                <w:sz w:val="20"/>
                <w:szCs w:val="20"/>
              </w:rPr>
            </w:pPr>
          </w:p>
        </w:tc>
        <w:tc>
          <w:tcPr>
            <w:tcW w:w="1417" w:type="dxa"/>
          </w:tcPr>
          <w:p w14:paraId="1DDBF77D" w14:textId="77777777" w:rsidR="0017561A" w:rsidRPr="00192CCA" w:rsidRDefault="0017561A" w:rsidP="004E0520">
            <w:pPr>
              <w:rPr>
                <w:sz w:val="20"/>
                <w:szCs w:val="20"/>
              </w:rPr>
            </w:pPr>
          </w:p>
        </w:tc>
        <w:tc>
          <w:tcPr>
            <w:tcW w:w="992" w:type="dxa"/>
          </w:tcPr>
          <w:p w14:paraId="1AB236ED" w14:textId="77777777" w:rsidR="0017561A" w:rsidRPr="00192CCA" w:rsidRDefault="0017561A" w:rsidP="004E0520">
            <w:pPr>
              <w:rPr>
                <w:sz w:val="20"/>
                <w:szCs w:val="20"/>
              </w:rPr>
            </w:pPr>
            <w:r w:rsidRPr="00192CCA">
              <w:rPr>
                <w:b/>
                <w:bCs/>
                <w:sz w:val="20"/>
                <w:szCs w:val="20"/>
              </w:rPr>
              <w:t>&lt;0.001</w:t>
            </w:r>
          </w:p>
        </w:tc>
        <w:tc>
          <w:tcPr>
            <w:tcW w:w="709" w:type="dxa"/>
          </w:tcPr>
          <w:p w14:paraId="41F1E4A2" w14:textId="77777777" w:rsidR="0017561A" w:rsidRPr="00192CCA" w:rsidRDefault="0017561A" w:rsidP="004E0520">
            <w:pPr>
              <w:rPr>
                <w:sz w:val="20"/>
                <w:szCs w:val="20"/>
              </w:rPr>
            </w:pPr>
          </w:p>
        </w:tc>
        <w:tc>
          <w:tcPr>
            <w:tcW w:w="1418" w:type="dxa"/>
          </w:tcPr>
          <w:p w14:paraId="77DD0014" w14:textId="77777777" w:rsidR="0017561A" w:rsidRPr="00192CCA" w:rsidRDefault="0017561A" w:rsidP="004E0520">
            <w:pPr>
              <w:rPr>
                <w:sz w:val="20"/>
                <w:szCs w:val="20"/>
              </w:rPr>
            </w:pPr>
          </w:p>
        </w:tc>
        <w:tc>
          <w:tcPr>
            <w:tcW w:w="992" w:type="dxa"/>
          </w:tcPr>
          <w:p w14:paraId="7458E850" w14:textId="77777777" w:rsidR="0017561A" w:rsidRPr="00192CCA" w:rsidRDefault="0017561A" w:rsidP="004E0520">
            <w:pPr>
              <w:rPr>
                <w:sz w:val="20"/>
                <w:szCs w:val="20"/>
              </w:rPr>
            </w:pPr>
            <w:r>
              <w:rPr>
                <w:b/>
                <w:bCs/>
                <w:sz w:val="20"/>
                <w:szCs w:val="20"/>
              </w:rPr>
              <w:t xml:space="preserve">  </w:t>
            </w:r>
            <w:r w:rsidRPr="00192CCA">
              <w:rPr>
                <w:b/>
                <w:bCs/>
                <w:sz w:val="20"/>
                <w:szCs w:val="20"/>
              </w:rPr>
              <w:t>0.0</w:t>
            </w:r>
            <w:r>
              <w:rPr>
                <w:b/>
                <w:bCs/>
                <w:sz w:val="20"/>
                <w:szCs w:val="20"/>
              </w:rPr>
              <w:t>00</w:t>
            </w:r>
          </w:p>
        </w:tc>
      </w:tr>
      <w:tr w:rsidR="0017561A" w:rsidRPr="00AB4B54" w14:paraId="604C862E" w14:textId="77777777" w:rsidTr="004E0520">
        <w:trPr>
          <w:jc w:val="center"/>
        </w:trPr>
        <w:tc>
          <w:tcPr>
            <w:tcW w:w="3823" w:type="dxa"/>
          </w:tcPr>
          <w:p w14:paraId="3BDAE9F4" w14:textId="77777777" w:rsidR="0017561A" w:rsidRPr="00192CCA" w:rsidRDefault="0017561A" w:rsidP="004E0520">
            <w:pPr>
              <w:rPr>
                <w:sz w:val="20"/>
                <w:szCs w:val="20"/>
              </w:rPr>
            </w:pPr>
            <w:r w:rsidRPr="00192CCA">
              <w:rPr>
                <w:sz w:val="20"/>
                <w:szCs w:val="20"/>
              </w:rPr>
              <w:t>Rural Village, Hamlet &amp; Isolated Dwellings</w:t>
            </w:r>
          </w:p>
        </w:tc>
        <w:tc>
          <w:tcPr>
            <w:tcW w:w="1417" w:type="dxa"/>
          </w:tcPr>
          <w:p w14:paraId="584E0A29" w14:textId="77777777" w:rsidR="0017561A" w:rsidRPr="00192CCA" w:rsidRDefault="0017561A" w:rsidP="004E0520">
            <w:pPr>
              <w:rPr>
                <w:sz w:val="20"/>
                <w:szCs w:val="20"/>
              </w:rPr>
            </w:pPr>
            <w:r>
              <w:rPr>
                <w:sz w:val="20"/>
                <w:szCs w:val="20"/>
              </w:rPr>
              <w:t>1,688 (44.75)</w:t>
            </w:r>
          </w:p>
        </w:tc>
        <w:tc>
          <w:tcPr>
            <w:tcW w:w="1418" w:type="dxa"/>
          </w:tcPr>
          <w:p w14:paraId="44E89C8A" w14:textId="77777777" w:rsidR="0017561A" w:rsidRPr="00192CCA" w:rsidRDefault="0017561A" w:rsidP="004E0520">
            <w:pPr>
              <w:rPr>
                <w:sz w:val="20"/>
                <w:szCs w:val="20"/>
              </w:rPr>
            </w:pPr>
            <w:r>
              <w:rPr>
                <w:sz w:val="20"/>
                <w:szCs w:val="20"/>
              </w:rPr>
              <w:t>2,084 (55.25)</w:t>
            </w:r>
          </w:p>
        </w:tc>
        <w:tc>
          <w:tcPr>
            <w:tcW w:w="992" w:type="dxa"/>
          </w:tcPr>
          <w:p w14:paraId="2ACA2536" w14:textId="77777777" w:rsidR="0017561A" w:rsidRPr="00192CCA" w:rsidRDefault="0017561A" w:rsidP="004E0520">
            <w:pPr>
              <w:rPr>
                <w:sz w:val="20"/>
                <w:szCs w:val="20"/>
              </w:rPr>
            </w:pPr>
          </w:p>
        </w:tc>
        <w:tc>
          <w:tcPr>
            <w:tcW w:w="709" w:type="dxa"/>
          </w:tcPr>
          <w:p w14:paraId="2802629C" w14:textId="77777777" w:rsidR="0017561A" w:rsidRPr="00192CCA" w:rsidRDefault="0017561A" w:rsidP="004E0520">
            <w:pPr>
              <w:rPr>
                <w:sz w:val="20"/>
                <w:szCs w:val="20"/>
              </w:rPr>
            </w:pPr>
            <w:r>
              <w:rPr>
                <w:sz w:val="20"/>
                <w:szCs w:val="20"/>
              </w:rPr>
              <w:t>1.05</w:t>
            </w:r>
          </w:p>
        </w:tc>
        <w:tc>
          <w:tcPr>
            <w:tcW w:w="1417" w:type="dxa"/>
          </w:tcPr>
          <w:p w14:paraId="7E8DB3EA" w14:textId="77777777" w:rsidR="0017561A" w:rsidRPr="00192CCA" w:rsidRDefault="0017561A" w:rsidP="004E0520">
            <w:pPr>
              <w:rPr>
                <w:sz w:val="20"/>
                <w:szCs w:val="20"/>
              </w:rPr>
            </w:pPr>
            <w:r w:rsidRPr="00192CCA">
              <w:rPr>
                <w:sz w:val="20"/>
                <w:szCs w:val="20"/>
              </w:rPr>
              <w:t>0</w:t>
            </w:r>
            <w:r>
              <w:rPr>
                <w:sz w:val="20"/>
                <w:szCs w:val="20"/>
              </w:rPr>
              <w:t>.97</w:t>
            </w:r>
            <w:r w:rsidRPr="00192CCA">
              <w:rPr>
                <w:sz w:val="20"/>
                <w:szCs w:val="20"/>
              </w:rPr>
              <w:t xml:space="preserve"> – </w:t>
            </w:r>
            <w:r>
              <w:rPr>
                <w:sz w:val="20"/>
                <w:szCs w:val="20"/>
              </w:rPr>
              <w:t>1.12</w:t>
            </w:r>
          </w:p>
        </w:tc>
        <w:tc>
          <w:tcPr>
            <w:tcW w:w="992" w:type="dxa"/>
          </w:tcPr>
          <w:p w14:paraId="1D3C0F85"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218</w:t>
            </w:r>
          </w:p>
        </w:tc>
        <w:tc>
          <w:tcPr>
            <w:tcW w:w="709" w:type="dxa"/>
          </w:tcPr>
          <w:p w14:paraId="242C305E" w14:textId="77777777" w:rsidR="0017561A" w:rsidRPr="00192CCA" w:rsidRDefault="0017561A" w:rsidP="004E0520">
            <w:pPr>
              <w:rPr>
                <w:sz w:val="20"/>
                <w:szCs w:val="20"/>
              </w:rPr>
            </w:pPr>
            <w:r>
              <w:rPr>
                <w:sz w:val="20"/>
                <w:szCs w:val="20"/>
              </w:rPr>
              <w:t>1.03</w:t>
            </w:r>
          </w:p>
        </w:tc>
        <w:tc>
          <w:tcPr>
            <w:tcW w:w="1418" w:type="dxa"/>
          </w:tcPr>
          <w:p w14:paraId="4E4851D3" w14:textId="77777777" w:rsidR="0017561A" w:rsidRPr="00192CCA" w:rsidRDefault="0017561A" w:rsidP="004E0520">
            <w:pPr>
              <w:rPr>
                <w:sz w:val="20"/>
                <w:szCs w:val="20"/>
              </w:rPr>
            </w:pPr>
            <w:r>
              <w:rPr>
                <w:sz w:val="20"/>
                <w:szCs w:val="20"/>
              </w:rPr>
              <w:t>0.95</w:t>
            </w:r>
            <w:r w:rsidRPr="00192CCA">
              <w:rPr>
                <w:sz w:val="20"/>
                <w:szCs w:val="20"/>
              </w:rPr>
              <w:t xml:space="preserve"> – </w:t>
            </w:r>
            <w:r>
              <w:rPr>
                <w:sz w:val="20"/>
                <w:szCs w:val="20"/>
              </w:rPr>
              <w:t>1.12</w:t>
            </w:r>
          </w:p>
        </w:tc>
        <w:tc>
          <w:tcPr>
            <w:tcW w:w="992" w:type="dxa"/>
          </w:tcPr>
          <w:p w14:paraId="4777F706" w14:textId="77777777" w:rsidR="0017561A" w:rsidRPr="00192CCA" w:rsidRDefault="0017561A" w:rsidP="004E0520">
            <w:pPr>
              <w:rPr>
                <w:sz w:val="10"/>
                <w:szCs w:val="10"/>
              </w:rPr>
            </w:pPr>
            <w:r>
              <w:rPr>
                <w:sz w:val="20"/>
                <w:szCs w:val="20"/>
              </w:rPr>
              <w:t xml:space="preserve">  </w:t>
            </w:r>
            <w:r w:rsidRPr="00192CCA">
              <w:rPr>
                <w:sz w:val="20"/>
                <w:szCs w:val="20"/>
              </w:rPr>
              <w:t>0</w:t>
            </w:r>
            <w:r>
              <w:rPr>
                <w:sz w:val="20"/>
                <w:szCs w:val="20"/>
              </w:rPr>
              <w:t>.466</w:t>
            </w:r>
          </w:p>
        </w:tc>
      </w:tr>
      <w:tr w:rsidR="0017561A" w:rsidRPr="00AB4B54" w14:paraId="2F78EB58" w14:textId="77777777" w:rsidTr="004E0520">
        <w:trPr>
          <w:jc w:val="center"/>
        </w:trPr>
        <w:tc>
          <w:tcPr>
            <w:tcW w:w="3823" w:type="dxa"/>
          </w:tcPr>
          <w:p w14:paraId="72C48D37" w14:textId="77777777" w:rsidR="0017561A" w:rsidRPr="00192CCA" w:rsidRDefault="0017561A" w:rsidP="004E0520">
            <w:pPr>
              <w:rPr>
                <w:sz w:val="20"/>
                <w:szCs w:val="20"/>
              </w:rPr>
            </w:pPr>
            <w:r w:rsidRPr="00192CCA">
              <w:rPr>
                <w:sz w:val="20"/>
                <w:szCs w:val="20"/>
              </w:rPr>
              <w:t>Rural Town &amp; Fringe</w:t>
            </w:r>
          </w:p>
        </w:tc>
        <w:tc>
          <w:tcPr>
            <w:tcW w:w="1417" w:type="dxa"/>
          </w:tcPr>
          <w:p w14:paraId="796A7681" w14:textId="77777777" w:rsidR="0017561A" w:rsidRPr="00192CCA" w:rsidRDefault="0017561A" w:rsidP="004E0520">
            <w:pPr>
              <w:rPr>
                <w:sz w:val="20"/>
                <w:szCs w:val="20"/>
              </w:rPr>
            </w:pPr>
            <w:r>
              <w:rPr>
                <w:sz w:val="20"/>
                <w:szCs w:val="20"/>
              </w:rPr>
              <w:t>1,627 (44.14)</w:t>
            </w:r>
          </w:p>
        </w:tc>
        <w:tc>
          <w:tcPr>
            <w:tcW w:w="1418" w:type="dxa"/>
          </w:tcPr>
          <w:p w14:paraId="045138EA" w14:textId="77777777" w:rsidR="0017561A" w:rsidRPr="00192CCA" w:rsidRDefault="0017561A" w:rsidP="004E0520">
            <w:pPr>
              <w:rPr>
                <w:sz w:val="20"/>
                <w:szCs w:val="20"/>
              </w:rPr>
            </w:pPr>
            <w:r>
              <w:rPr>
                <w:sz w:val="20"/>
                <w:szCs w:val="20"/>
              </w:rPr>
              <w:t>2,059 (55.86)</w:t>
            </w:r>
          </w:p>
        </w:tc>
        <w:tc>
          <w:tcPr>
            <w:tcW w:w="992" w:type="dxa"/>
          </w:tcPr>
          <w:p w14:paraId="3B011AD6" w14:textId="77777777" w:rsidR="0017561A" w:rsidRPr="00192CCA" w:rsidRDefault="0017561A" w:rsidP="004E0520">
            <w:pPr>
              <w:rPr>
                <w:sz w:val="20"/>
                <w:szCs w:val="20"/>
              </w:rPr>
            </w:pPr>
          </w:p>
        </w:tc>
        <w:tc>
          <w:tcPr>
            <w:tcW w:w="709" w:type="dxa"/>
          </w:tcPr>
          <w:p w14:paraId="346F5591" w14:textId="77777777" w:rsidR="0017561A" w:rsidRPr="00192CCA" w:rsidRDefault="0017561A" w:rsidP="004E0520">
            <w:pPr>
              <w:rPr>
                <w:sz w:val="20"/>
                <w:szCs w:val="20"/>
              </w:rPr>
            </w:pPr>
            <w:r>
              <w:rPr>
                <w:sz w:val="20"/>
                <w:szCs w:val="20"/>
              </w:rPr>
              <w:t>1.02</w:t>
            </w:r>
          </w:p>
        </w:tc>
        <w:tc>
          <w:tcPr>
            <w:tcW w:w="1417" w:type="dxa"/>
          </w:tcPr>
          <w:p w14:paraId="2E325CA4" w14:textId="77777777" w:rsidR="0017561A" w:rsidRPr="00192CCA" w:rsidRDefault="0017561A" w:rsidP="004E0520">
            <w:pPr>
              <w:rPr>
                <w:sz w:val="20"/>
                <w:szCs w:val="20"/>
              </w:rPr>
            </w:pPr>
            <w:r w:rsidRPr="00192CCA">
              <w:rPr>
                <w:sz w:val="20"/>
                <w:szCs w:val="20"/>
              </w:rPr>
              <w:t>0.</w:t>
            </w:r>
            <w:r>
              <w:rPr>
                <w:sz w:val="20"/>
                <w:szCs w:val="20"/>
              </w:rPr>
              <w:t>95</w:t>
            </w:r>
            <w:r w:rsidRPr="00192CCA">
              <w:rPr>
                <w:sz w:val="20"/>
                <w:szCs w:val="20"/>
              </w:rPr>
              <w:t xml:space="preserve"> – </w:t>
            </w:r>
            <w:r>
              <w:rPr>
                <w:sz w:val="20"/>
                <w:szCs w:val="20"/>
              </w:rPr>
              <w:t>1.10</w:t>
            </w:r>
          </w:p>
        </w:tc>
        <w:tc>
          <w:tcPr>
            <w:tcW w:w="992" w:type="dxa"/>
          </w:tcPr>
          <w:p w14:paraId="5D18C58F" w14:textId="77777777" w:rsidR="0017561A" w:rsidRDefault="0017561A" w:rsidP="004E0520">
            <w:pPr>
              <w:rPr>
                <w:sz w:val="20"/>
                <w:szCs w:val="20"/>
              </w:rPr>
            </w:pPr>
            <w:r>
              <w:rPr>
                <w:sz w:val="20"/>
                <w:szCs w:val="20"/>
              </w:rPr>
              <w:t xml:space="preserve">  </w:t>
            </w:r>
            <w:r w:rsidRPr="00192CCA">
              <w:rPr>
                <w:sz w:val="20"/>
                <w:szCs w:val="20"/>
              </w:rPr>
              <w:t>0.</w:t>
            </w:r>
            <w:r>
              <w:rPr>
                <w:sz w:val="20"/>
                <w:szCs w:val="20"/>
              </w:rPr>
              <w:t>584</w:t>
            </w:r>
          </w:p>
        </w:tc>
        <w:tc>
          <w:tcPr>
            <w:tcW w:w="709" w:type="dxa"/>
          </w:tcPr>
          <w:p w14:paraId="1A5FF1D1" w14:textId="77777777" w:rsidR="0017561A" w:rsidRPr="00192CCA" w:rsidRDefault="0017561A" w:rsidP="004E0520">
            <w:pPr>
              <w:rPr>
                <w:sz w:val="20"/>
                <w:szCs w:val="20"/>
              </w:rPr>
            </w:pPr>
            <w:r>
              <w:rPr>
                <w:sz w:val="20"/>
                <w:szCs w:val="20"/>
              </w:rPr>
              <w:t>1.07</w:t>
            </w:r>
          </w:p>
        </w:tc>
        <w:tc>
          <w:tcPr>
            <w:tcW w:w="1418" w:type="dxa"/>
          </w:tcPr>
          <w:p w14:paraId="6DCCA3DB" w14:textId="77777777" w:rsidR="0017561A" w:rsidRPr="00192CCA" w:rsidRDefault="0017561A" w:rsidP="004E0520">
            <w:pPr>
              <w:rPr>
                <w:sz w:val="20"/>
                <w:szCs w:val="20"/>
              </w:rPr>
            </w:pPr>
            <w:r w:rsidRPr="00192CCA">
              <w:rPr>
                <w:sz w:val="20"/>
                <w:szCs w:val="20"/>
              </w:rPr>
              <w:t>0.</w:t>
            </w:r>
            <w:r>
              <w:rPr>
                <w:sz w:val="20"/>
                <w:szCs w:val="20"/>
              </w:rPr>
              <w:t>98</w:t>
            </w:r>
            <w:r w:rsidRPr="00192CCA">
              <w:rPr>
                <w:sz w:val="20"/>
                <w:szCs w:val="20"/>
              </w:rPr>
              <w:t xml:space="preserve"> – </w:t>
            </w:r>
            <w:r>
              <w:rPr>
                <w:sz w:val="20"/>
                <w:szCs w:val="20"/>
              </w:rPr>
              <w:t>1.16</w:t>
            </w:r>
          </w:p>
        </w:tc>
        <w:tc>
          <w:tcPr>
            <w:tcW w:w="992" w:type="dxa"/>
          </w:tcPr>
          <w:p w14:paraId="5EB70CF5" w14:textId="77777777" w:rsidR="0017561A" w:rsidRDefault="0017561A" w:rsidP="004E0520">
            <w:pPr>
              <w:rPr>
                <w:sz w:val="20"/>
                <w:szCs w:val="20"/>
              </w:rPr>
            </w:pPr>
            <w:r>
              <w:rPr>
                <w:sz w:val="20"/>
                <w:szCs w:val="20"/>
              </w:rPr>
              <w:t xml:space="preserve">  </w:t>
            </w:r>
            <w:r w:rsidRPr="00192CCA">
              <w:rPr>
                <w:sz w:val="20"/>
                <w:szCs w:val="20"/>
              </w:rPr>
              <w:t>0.</w:t>
            </w:r>
            <w:r>
              <w:rPr>
                <w:sz w:val="20"/>
                <w:szCs w:val="20"/>
              </w:rPr>
              <w:t>121</w:t>
            </w:r>
          </w:p>
        </w:tc>
      </w:tr>
      <w:tr w:rsidR="0017561A" w:rsidRPr="00AB4B54" w14:paraId="439C3C39" w14:textId="77777777" w:rsidTr="004E0520">
        <w:trPr>
          <w:jc w:val="center"/>
        </w:trPr>
        <w:tc>
          <w:tcPr>
            <w:tcW w:w="3823" w:type="dxa"/>
          </w:tcPr>
          <w:p w14:paraId="4CE96EBA" w14:textId="77777777" w:rsidR="0017561A" w:rsidRPr="00192CCA" w:rsidRDefault="0017561A" w:rsidP="004E0520">
            <w:pPr>
              <w:rPr>
                <w:sz w:val="20"/>
                <w:szCs w:val="20"/>
              </w:rPr>
            </w:pPr>
            <w:r w:rsidRPr="00192CCA">
              <w:rPr>
                <w:sz w:val="20"/>
                <w:szCs w:val="20"/>
              </w:rPr>
              <w:t>Urban City &amp; Town</w:t>
            </w:r>
          </w:p>
        </w:tc>
        <w:tc>
          <w:tcPr>
            <w:tcW w:w="1417" w:type="dxa"/>
          </w:tcPr>
          <w:p w14:paraId="3249B4A8" w14:textId="77777777" w:rsidR="0017561A" w:rsidRPr="00192CCA" w:rsidRDefault="0017561A" w:rsidP="004E0520">
            <w:pPr>
              <w:rPr>
                <w:sz w:val="20"/>
                <w:szCs w:val="20"/>
              </w:rPr>
            </w:pPr>
            <w:r>
              <w:rPr>
                <w:sz w:val="20"/>
                <w:szCs w:val="20"/>
              </w:rPr>
              <w:t>6,837 (43.64)</w:t>
            </w:r>
          </w:p>
        </w:tc>
        <w:tc>
          <w:tcPr>
            <w:tcW w:w="1418" w:type="dxa"/>
          </w:tcPr>
          <w:p w14:paraId="50A457C3" w14:textId="77777777" w:rsidR="0017561A" w:rsidRPr="00192CCA" w:rsidRDefault="0017561A" w:rsidP="004E0520">
            <w:pPr>
              <w:rPr>
                <w:sz w:val="20"/>
                <w:szCs w:val="20"/>
              </w:rPr>
            </w:pPr>
            <w:r>
              <w:rPr>
                <w:sz w:val="20"/>
                <w:szCs w:val="20"/>
              </w:rPr>
              <w:t>8,829 (56.36)</w:t>
            </w:r>
          </w:p>
        </w:tc>
        <w:tc>
          <w:tcPr>
            <w:tcW w:w="992" w:type="dxa"/>
          </w:tcPr>
          <w:p w14:paraId="4BC7BFA9" w14:textId="77777777" w:rsidR="0017561A" w:rsidRPr="00192CCA" w:rsidRDefault="0017561A" w:rsidP="004E0520">
            <w:pPr>
              <w:rPr>
                <w:sz w:val="20"/>
                <w:szCs w:val="20"/>
              </w:rPr>
            </w:pPr>
          </w:p>
        </w:tc>
        <w:tc>
          <w:tcPr>
            <w:tcW w:w="709" w:type="dxa"/>
          </w:tcPr>
          <w:p w14:paraId="49109ED8" w14:textId="77777777" w:rsidR="0017561A" w:rsidRPr="00192CCA" w:rsidRDefault="0017561A" w:rsidP="004E0520">
            <w:pPr>
              <w:rPr>
                <w:sz w:val="20"/>
                <w:szCs w:val="20"/>
              </w:rPr>
            </w:pPr>
            <w:r w:rsidRPr="00192CCA">
              <w:rPr>
                <w:sz w:val="20"/>
                <w:szCs w:val="20"/>
              </w:rPr>
              <w:t>1.</w:t>
            </w:r>
            <w:r>
              <w:rPr>
                <w:sz w:val="20"/>
                <w:szCs w:val="20"/>
              </w:rPr>
              <w:t>00</w:t>
            </w:r>
          </w:p>
        </w:tc>
        <w:tc>
          <w:tcPr>
            <w:tcW w:w="1417" w:type="dxa"/>
          </w:tcPr>
          <w:p w14:paraId="1DAAA641" w14:textId="77777777" w:rsidR="0017561A" w:rsidRPr="00192CCA" w:rsidRDefault="0017561A" w:rsidP="004E0520">
            <w:pPr>
              <w:rPr>
                <w:sz w:val="20"/>
                <w:szCs w:val="20"/>
              </w:rPr>
            </w:pPr>
            <w:r w:rsidRPr="00192CCA">
              <w:rPr>
                <w:sz w:val="20"/>
                <w:szCs w:val="20"/>
              </w:rPr>
              <w:t>-----     -----</w:t>
            </w:r>
          </w:p>
        </w:tc>
        <w:tc>
          <w:tcPr>
            <w:tcW w:w="992" w:type="dxa"/>
          </w:tcPr>
          <w:p w14:paraId="36B8C0AA" w14:textId="77777777" w:rsidR="0017561A" w:rsidRDefault="0017561A" w:rsidP="004E0520">
            <w:pPr>
              <w:rPr>
                <w:sz w:val="20"/>
                <w:szCs w:val="20"/>
              </w:rPr>
            </w:pPr>
            <w:r>
              <w:rPr>
                <w:sz w:val="20"/>
                <w:szCs w:val="20"/>
              </w:rPr>
              <w:t xml:space="preserve">  </w:t>
            </w:r>
            <w:r w:rsidRPr="00192CCA">
              <w:rPr>
                <w:sz w:val="20"/>
                <w:szCs w:val="20"/>
              </w:rPr>
              <w:t>-------</w:t>
            </w:r>
          </w:p>
        </w:tc>
        <w:tc>
          <w:tcPr>
            <w:tcW w:w="709" w:type="dxa"/>
          </w:tcPr>
          <w:p w14:paraId="68C4044F" w14:textId="77777777" w:rsidR="0017561A" w:rsidRPr="00192CCA" w:rsidRDefault="0017561A" w:rsidP="004E0520">
            <w:pPr>
              <w:rPr>
                <w:sz w:val="20"/>
                <w:szCs w:val="20"/>
              </w:rPr>
            </w:pPr>
            <w:r>
              <w:rPr>
                <w:sz w:val="20"/>
                <w:szCs w:val="20"/>
              </w:rPr>
              <w:t>1.00</w:t>
            </w:r>
          </w:p>
        </w:tc>
        <w:tc>
          <w:tcPr>
            <w:tcW w:w="1418" w:type="dxa"/>
          </w:tcPr>
          <w:p w14:paraId="42E640A3" w14:textId="77777777" w:rsidR="0017561A" w:rsidRPr="00192CCA" w:rsidRDefault="0017561A" w:rsidP="004E0520">
            <w:pPr>
              <w:rPr>
                <w:sz w:val="20"/>
                <w:szCs w:val="20"/>
              </w:rPr>
            </w:pPr>
            <w:r w:rsidRPr="00192CCA">
              <w:rPr>
                <w:sz w:val="20"/>
                <w:szCs w:val="20"/>
              </w:rPr>
              <w:t>-----     -----</w:t>
            </w:r>
          </w:p>
        </w:tc>
        <w:tc>
          <w:tcPr>
            <w:tcW w:w="992" w:type="dxa"/>
          </w:tcPr>
          <w:p w14:paraId="164A834F" w14:textId="77777777" w:rsidR="0017561A" w:rsidRDefault="0017561A" w:rsidP="004E0520">
            <w:pPr>
              <w:rPr>
                <w:sz w:val="20"/>
                <w:szCs w:val="20"/>
              </w:rPr>
            </w:pPr>
            <w:r>
              <w:rPr>
                <w:sz w:val="20"/>
                <w:szCs w:val="20"/>
              </w:rPr>
              <w:t xml:space="preserve">  </w:t>
            </w:r>
            <w:r w:rsidRPr="00192CCA">
              <w:rPr>
                <w:sz w:val="20"/>
                <w:szCs w:val="20"/>
              </w:rPr>
              <w:t>-------</w:t>
            </w:r>
          </w:p>
        </w:tc>
      </w:tr>
      <w:tr w:rsidR="0017561A" w:rsidRPr="00AB4B54" w14:paraId="5591544B" w14:textId="77777777" w:rsidTr="004E0520">
        <w:trPr>
          <w:jc w:val="center"/>
        </w:trPr>
        <w:tc>
          <w:tcPr>
            <w:tcW w:w="3823" w:type="dxa"/>
          </w:tcPr>
          <w:p w14:paraId="5BBF3E55" w14:textId="77777777" w:rsidR="0017561A" w:rsidRPr="00192CCA" w:rsidRDefault="0017561A" w:rsidP="004E0520">
            <w:pPr>
              <w:rPr>
                <w:sz w:val="20"/>
                <w:szCs w:val="20"/>
              </w:rPr>
            </w:pPr>
            <w:r w:rsidRPr="00192CCA">
              <w:rPr>
                <w:sz w:val="20"/>
                <w:szCs w:val="20"/>
              </w:rPr>
              <w:t>Urban Conurbation</w:t>
            </w:r>
          </w:p>
        </w:tc>
        <w:tc>
          <w:tcPr>
            <w:tcW w:w="1417" w:type="dxa"/>
          </w:tcPr>
          <w:p w14:paraId="52C724BC" w14:textId="77777777" w:rsidR="0017561A" w:rsidRPr="00192CCA" w:rsidRDefault="0017561A" w:rsidP="004E0520">
            <w:pPr>
              <w:rPr>
                <w:sz w:val="20"/>
                <w:szCs w:val="20"/>
              </w:rPr>
            </w:pPr>
            <w:r>
              <w:rPr>
                <w:sz w:val="20"/>
                <w:szCs w:val="20"/>
              </w:rPr>
              <w:t>5,415 (47.12)</w:t>
            </w:r>
          </w:p>
        </w:tc>
        <w:tc>
          <w:tcPr>
            <w:tcW w:w="1418" w:type="dxa"/>
          </w:tcPr>
          <w:p w14:paraId="3CD922AE" w14:textId="77777777" w:rsidR="0017561A" w:rsidRPr="00192CCA" w:rsidRDefault="0017561A" w:rsidP="004E0520">
            <w:pPr>
              <w:rPr>
                <w:sz w:val="20"/>
                <w:szCs w:val="20"/>
              </w:rPr>
            </w:pPr>
            <w:r>
              <w:rPr>
                <w:sz w:val="20"/>
                <w:szCs w:val="20"/>
              </w:rPr>
              <w:t>6,077 (52.88)</w:t>
            </w:r>
          </w:p>
        </w:tc>
        <w:tc>
          <w:tcPr>
            <w:tcW w:w="992" w:type="dxa"/>
          </w:tcPr>
          <w:p w14:paraId="711433A4" w14:textId="77777777" w:rsidR="0017561A" w:rsidRPr="00192CCA" w:rsidRDefault="0017561A" w:rsidP="004E0520">
            <w:pPr>
              <w:rPr>
                <w:sz w:val="20"/>
                <w:szCs w:val="20"/>
              </w:rPr>
            </w:pPr>
          </w:p>
        </w:tc>
        <w:tc>
          <w:tcPr>
            <w:tcW w:w="709" w:type="dxa"/>
          </w:tcPr>
          <w:p w14:paraId="2F0E10E4" w14:textId="77777777" w:rsidR="0017561A" w:rsidRPr="00192CCA" w:rsidRDefault="0017561A" w:rsidP="004E0520">
            <w:pPr>
              <w:rPr>
                <w:sz w:val="20"/>
                <w:szCs w:val="20"/>
              </w:rPr>
            </w:pPr>
            <w:r w:rsidRPr="00192CCA">
              <w:rPr>
                <w:sz w:val="20"/>
                <w:szCs w:val="20"/>
              </w:rPr>
              <w:t>1.</w:t>
            </w:r>
            <w:r>
              <w:rPr>
                <w:sz w:val="20"/>
                <w:szCs w:val="20"/>
              </w:rPr>
              <w:t>15</w:t>
            </w:r>
          </w:p>
        </w:tc>
        <w:tc>
          <w:tcPr>
            <w:tcW w:w="1417" w:type="dxa"/>
          </w:tcPr>
          <w:p w14:paraId="49AACD79" w14:textId="77777777" w:rsidR="0017561A" w:rsidRPr="00192CCA" w:rsidRDefault="0017561A" w:rsidP="004E0520">
            <w:pPr>
              <w:rPr>
                <w:sz w:val="20"/>
                <w:szCs w:val="20"/>
              </w:rPr>
            </w:pPr>
            <w:r>
              <w:rPr>
                <w:sz w:val="20"/>
                <w:szCs w:val="20"/>
              </w:rPr>
              <w:t>1.10 – 1.21</w:t>
            </w:r>
          </w:p>
        </w:tc>
        <w:tc>
          <w:tcPr>
            <w:tcW w:w="992" w:type="dxa"/>
          </w:tcPr>
          <w:p w14:paraId="38998236" w14:textId="77777777" w:rsidR="0017561A" w:rsidRDefault="0017561A" w:rsidP="004E0520">
            <w:pPr>
              <w:rPr>
                <w:sz w:val="20"/>
                <w:szCs w:val="20"/>
              </w:rPr>
            </w:pPr>
            <w:r w:rsidRPr="00192CCA">
              <w:rPr>
                <w:sz w:val="20"/>
                <w:szCs w:val="20"/>
              </w:rPr>
              <w:t>&lt;0.001</w:t>
            </w:r>
          </w:p>
        </w:tc>
        <w:tc>
          <w:tcPr>
            <w:tcW w:w="709" w:type="dxa"/>
          </w:tcPr>
          <w:p w14:paraId="742510A1" w14:textId="77777777" w:rsidR="0017561A" w:rsidRPr="00192CCA" w:rsidRDefault="0017561A" w:rsidP="004E0520">
            <w:pPr>
              <w:rPr>
                <w:sz w:val="20"/>
                <w:szCs w:val="20"/>
              </w:rPr>
            </w:pPr>
            <w:r w:rsidRPr="00192CCA">
              <w:rPr>
                <w:sz w:val="20"/>
                <w:szCs w:val="20"/>
              </w:rPr>
              <w:t>1.</w:t>
            </w:r>
            <w:r>
              <w:rPr>
                <w:sz w:val="20"/>
                <w:szCs w:val="20"/>
              </w:rPr>
              <w:t>16</w:t>
            </w:r>
          </w:p>
        </w:tc>
        <w:tc>
          <w:tcPr>
            <w:tcW w:w="1418" w:type="dxa"/>
          </w:tcPr>
          <w:p w14:paraId="4CFBE779" w14:textId="77777777" w:rsidR="0017561A" w:rsidRPr="00192CCA" w:rsidRDefault="0017561A" w:rsidP="004E0520">
            <w:pPr>
              <w:rPr>
                <w:sz w:val="20"/>
                <w:szCs w:val="20"/>
              </w:rPr>
            </w:pPr>
            <w:r>
              <w:rPr>
                <w:sz w:val="20"/>
                <w:szCs w:val="20"/>
              </w:rPr>
              <w:t>1.09 – 1.25</w:t>
            </w:r>
          </w:p>
        </w:tc>
        <w:tc>
          <w:tcPr>
            <w:tcW w:w="992" w:type="dxa"/>
          </w:tcPr>
          <w:p w14:paraId="76EBF7E0" w14:textId="77777777" w:rsidR="0017561A" w:rsidRDefault="0017561A" w:rsidP="004E0520">
            <w:pPr>
              <w:rPr>
                <w:sz w:val="20"/>
                <w:szCs w:val="20"/>
              </w:rPr>
            </w:pPr>
            <w:r>
              <w:rPr>
                <w:sz w:val="20"/>
                <w:szCs w:val="20"/>
              </w:rPr>
              <w:t xml:space="preserve"> </w:t>
            </w:r>
            <w:r w:rsidRPr="00192CCA">
              <w:rPr>
                <w:sz w:val="20"/>
                <w:szCs w:val="20"/>
              </w:rPr>
              <w:t>&lt;0.001</w:t>
            </w:r>
          </w:p>
        </w:tc>
      </w:tr>
      <w:tr w:rsidR="0017561A" w:rsidRPr="00AB4B54" w14:paraId="256E186C" w14:textId="77777777" w:rsidTr="004E0520">
        <w:trPr>
          <w:jc w:val="center"/>
        </w:trPr>
        <w:tc>
          <w:tcPr>
            <w:tcW w:w="3823" w:type="dxa"/>
            <w:tcBorders>
              <w:bottom w:val="single" w:sz="4" w:space="0" w:color="auto"/>
            </w:tcBorders>
          </w:tcPr>
          <w:p w14:paraId="435BAE1E" w14:textId="77777777" w:rsidR="0017561A" w:rsidRPr="00192CCA" w:rsidRDefault="0017561A" w:rsidP="004E0520">
            <w:pPr>
              <w:rPr>
                <w:sz w:val="20"/>
                <w:szCs w:val="20"/>
              </w:rPr>
            </w:pPr>
          </w:p>
        </w:tc>
        <w:tc>
          <w:tcPr>
            <w:tcW w:w="1417" w:type="dxa"/>
            <w:tcBorders>
              <w:bottom w:val="single" w:sz="4" w:space="0" w:color="auto"/>
            </w:tcBorders>
          </w:tcPr>
          <w:p w14:paraId="2F338BD1" w14:textId="77777777" w:rsidR="0017561A" w:rsidRPr="00192CCA" w:rsidRDefault="0017561A" w:rsidP="004E0520">
            <w:pPr>
              <w:rPr>
                <w:sz w:val="20"/>
                <w:szCs w:val="20"/>
              </w:rPr>
            </w:pPr>
          </w:p>
        </w:tc>
        <w:tc>
          <w:tcPr>
            <w:tcW w:w="1418" w:type="dxa"/>
            <w:tcBorders>
              <w:bottom w:val="single" w:sz="4" w:space="0" w:color="auto"/>
            </w:tcBorders>
          </w:tcPr>
          <w:p w14:paraId="67879F60" w14:textId="77777777" w:rsidR="0017561A" w:rsidRPr="00192CCA" w:rsidRDefault="0017561A" w:rsidP="004E0520">
            <w:pPr>
              <w:rPr>
                <w:sz w:val="20"/>
                <w:szCs w:val="20"/>
              </w:rPr>
            </w:pPr>
          </w:p>
        </w:tc>
        <w:tc>
          <w:tcPr>
            <w:tcW w:w="992" w:type="dxa"/>
            <w:tcBorders>
              <w:bottom w:val="single" w:sz="4" w:space="0" w:color="auto"/>
            </w:tcBorders>
          </w:tcPr>
          <w:p w14:paraId="58FA0688" w14:textId="77777777" w:rsidR="0017561A" w:rsidRPr="00192CCA" w:rsidRDefault="0017561A" w:rsidP="004E0520">
            <w:pPr>
              <w:rPr>
                <w:sz w:val="20"/>
                <w:szCs w:val="20"/>
              </w:rPr>
            </w:pPr>
          </w:p>
        </w:tc>
        <w:tc>
          <w:tcPr>
            <w:tcW w:w="709" w:type="dxa"/>
            <w:tcBorders>
              <w:bottom w:val="single" w:sz="4" w:space="0" w:color="auto"/>
            </w:tcBorders>
          </w:tcPr>
          <w:p w14:paraId="0AD97563" w14:textId="77777777" w:rsidR="0017561A" w:rsidRPr="00192CCA" w:rsidRDefault="0017561A" w:rsidP="004E0520">
            <w:pPr>
              <w:rPr>
                <w:sz w:val="20"/>
                <w:szCs w:val="20"/>
              </w:rPr>
            </w:pPr>
          </w:p>
        </w:tc>
        <w:tc>
          <w:tcPr>
            <w:tcW w:w="1417" w:type="dxa"/>
            <w:tcBorders>
              <w:bottom w:val="single" w:sz="4" w:space="0" w:color="auto"/>
            </w:tcBorders>
          </w:tcPr>
          <w:p w14:paraId="5379129B" w14:textId="77777777" w:rsidR="0017561A" w:rsidRPr="00192CCA" w:rsidRDefault="0017561A" w:rsidP="004E0520">
            <w:pPr>
              <w:rPr>
                <w:sz w:val="20"/>
                <w:szCs w:val="20"/>
              </w:rPr>
            </w:pPr>
          </w:p>
        </w:tc>
        <w:tc>
          <w:tcPr>
            <w:tcW w:w="992" w:type="dxa"/>
            <w:tcBorders>
              <w:bottom w:val="single" w:sz="4" w:space="0" w:color="auto"/>
            </w:tcBorders>
          </w:tcPr>
          <w:p w14:paraId="66CBB4A0" w14:textId="77777777" w:rsidR="0017561A" w:rsidRDefault="0017561A" w:rsidP="004E0520">
            <w:pPr>
              <w:rPr>
                <w:sz w:val="20"/>
                <w:szCs w:val="20"/>
              </w:rPr>
            </w:pPr>
          </w:p>
        </w:tc>
        <w:tc>
          <w:tcPr>
            <w:tcW w:w="709" w:type="dxa"/>
            <w:tcBorders>
              <w:bottom w:val="single" w:sz="4" w:space="0" w:color="auto"/>
            </w:tcBorders>
          </w:tcPr>
          <w:p w14:paraId="2FDD42AE" w14:textId="77777777" w:rsidR="0017561A" w:rsidRPr="00192CCA" w:rsidRDefault="0017561A" w:rsidP="004E0520">
            <w:pPr>
              <w:rPr>
                <w:sz w:val="20"/>
                <w:szCs w:val="20"/>
              </w:rPr>
            </w:pPr>
          </w:p>
        </w:tc>
        <w:tc>
          <w:tcPr>
            <w:tcW w:w="1418" w:type="dxa"/>
            <w:tcBorders>
              <w:bottom w:val="single" w:sz="4" w:space="0" w:color="auto"/>
            </w:tcBorders>
          </w:tcPr>
          <w:p w14:paraId="5653DDE8" w14:textId="77777777" w:rsidR="0017561A" w:rsidRPr="00192CCA" w:rsidRDefault="0017561A" w:rsidP="004E0520">
            <w:pPr>
              <w:rPr>
                <w:sz w:val="20"/>
                <w:szCs w:val="20"/>
              </w:rPr>
            </w:pPr>
          </w:p>
        </w:tc>
        <w:tc>
          <w:tcPr>
            <w:tcW w:w="992" w:type="dxa"/>
            <w:tcBorders>
              <w:bottom w:val="single" w:sz="4" w:space="0" w:color="auto"/>
            </w:tcBorders>
          </w:tcPr>
          <w:p w14:paraId="6A74FF2C" w14:textId="77777777" w:rsidR="0017561A" w:rsidRDefault="0017561A" w:rsidP="004E0520">
            <w:pPr>
              <w:rPr>
                <w:sz w:val="20"/>
                <w:szCs w:val="20"/>
              </w:rPr>
            </w:pPr>
          </w:p>
        </w:tc>
      </w:tr>
    </w:tbl>
    <w:p w14:paraId="0BABAE1F" w14:textId="77777777" w:rsidR="0017561A" w:rsidRDefault="0017561A" w:rsidP="0017561A">
      <w:pPr>
        <w:spacing w:line="360" w:lineRule="auto"/>
        <w:jc w:val="both"/>
        <w:rPr>
          <w:b/>
          <w:bCs/>
          <w:sz w:val="22"/>
          <w:szCs w:val="22"/>
        </w:rPr>
      </w:pPr>
    </w:p>
    <w:p w14:paraId="5443884B" w14:textId="77777777" w:rsidR="0017561A" w:rsidRDefault="0017561A" w:rsidP="0017561A">
      <w:pPr>
        <w:spacing w:line="360" w:lineRule="auto"/>
        <w:jc w:val="both"/>
        <w:rPr>
          <w:sz w:val="22"/>
          <w:szCs w:val="22"/>
        </w:rPr>
      </w:pPr>
      <w:r w:rsidRPr="00940DA7">
        <w:rPr>
          <w:b/>
          <w:bCs/>
          <w:sz w:val="22"/>
          <w:szCs w:val="22"/>
        </w:rPr>
        <w:t xml:space="preserve">Table </w:t>
      </w:r>
      <w:r>
        <w:rPr>
          <w:b/>
          <w:bCs/>
          <w:sz w:val="22"/>
          <w:szCs w:val="22"/>
        </w:rPr>
        <w:t xml:space="preserve">2 </w:t>
      </w:r>
      <w:r w:rsidRPr="00DC2BF4">
        <w:rPr>
          <w:sz w:val="22"/>
          <w:szCs w:val="22"/>
        </w:rPr>
        <w:t>Continued</w:t>
      </w:r>
    </w:p>
    <w:tbl>
      <w:tblPr>
        <w:tblStyle w:val="TableGrid"/>
        <w:tblW w:w="139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3823"/>
        <w:gridCol w:w="1417"/>
        <w:gridCol w:w="1418"/>
        <w:gridCol w:w="992"/>
        <w:gridCol w:w="709"/>
        <w:gridCol w:w="1417"/>
        <w:gridCol w:w="992"/>
        <w:gridCol w:w="709"/>
        <w:gridCol w:w="1418"/>
        <w:gridCol w:w="992"/>
      </w:tblGrid>
      <w:tr w:rsidR="0017561A" w:rsidRPr="00842867" w14:paraId="3CCE56D4" w14:textId="77777777" w:rsidTr="004E0520">
        <w:trPr>
          <w:gridBefore w:val="1"/>
          <w:wBefore w:w="108" w:type="dxa"/>
          <w:jc w:val="center"/>
        </w:trPr>
        <w:tc>
          <w:tcPr>
            <w:tcW w:w="3823" w:type="dxa"/>
            <w:tcBorders>
              <w:top w:val="single" w:sz="4" w:space="0" w:color="auto"/>
            </w:tcBorders>
          </w:tcPr>
          <w:p w14:paraId="3DD08574" w14:textId="77777777" w:rsidR="0017561A" w:rsidRPr="007C6648" w:rsidRDefault="0017561A" w:rsidP="004E0520">
            <w:pPr>
              <w:rPr>
                <w:sz w:val="20"/>
                <w:szCs w:val="20"/>
              </w:rPr>
            </w:pPr>
          </w:p>
        </w:tc>
        <w:tc>
          <w:tcPr>
            <w:tcW w:w="1417" w:type="dxa"/>
            <w:tcBorders>
              <w:top w:val="single" w:sz="4" w:space="0" w:color="auto"/>
            </w:tcBorders>
          </w:tcPr>
          <w:p w14:paraId="039C95AD" w14:textId="77777777" w:rsidR="0017561A" w:rsidRPr="007C6648" w:rsidRDefault="0017561A" w:rsidP="004E0520">
            <w:pPr>
              <w:rPr>
                <w:sz w:val="20"/>
                <w:szCs w:val="20"/>
              </w:rPr>
            </w:pPr>
          </w:p>
        </w:tc>
        <w:tc>
          <w:tcPr>
            <w:tcW w:w="1418" w:type="dxa"/>
            <w:tcBorders>
              <w:top w:val="single" w:sz="4" w:space="0" w:color="auto"/>
            </w:tcBorders>
          </w:tcPr>
          <w:p w14:paraId="2926BBDB" w14:textId="77777777" w:rsidR="0017561A" w:rsidRPr="007C6648" w:rsidRDefault="0017561A" w:rsidP="004E0520">
            <w:pPr>
              <w:rPr>
                <w:sz w:val="20"/>
                <w:szCs w:val="20"/>
              </w:rPr>
            </w:pPr>
          </w:p>
        </w:tc>
        <w:tc>
          <w:tcPr>
            <w:tcW w:w="992" w:type="dxa"/>
            <w:tcBorders>
              <w:top w:val="single" w:sz="4" w:space="0" w:color="auto"/>
            </w:tcBorders>
          </w:tcPr>
          <w:p w14:paraId="4E018844" w14:textId="77777777" w:rsidR="0017561A" w:rsidRPr="00AB4B54" w:rsidRDefault="0017561A" w:rsidP="004E0520">
            <w:pPr>
              <w:rPr>
                <w:sz w:val="20"/>
                <w:szCs w:val="20"/>
              </w:rPr>
            </w:pPr>
          </w:p>
        </w:tc>
        <w:tc>
          <w:tcPr>
            <w:tcW w:w="3118" w:type="dxa"/>
            <w:gridSpan w:val="3"/>
            <w:tcBorders>
              <w:top w:val="single" w:sz="4" w:space="0" w:color="auto"/>
            </w:tcBorders>
          </w:tcPr>
          <w:p w14:paraId="2BD56C06" w14:textId="77777777" w:rsidR="0017561A" w:rsidRPr="001A1402" w:rsidRDefault="0017561A" w:rsidP="004E0520">
            <w:pPr>
              <w:rPr>
                <w:b/>
                <w:bCs/>
                <w:sz w:val="10"/>
                <w:szCs w:val="10"/>
              </w:rPr>
            </w:pPr>
          </w:p>
          <w:p w14:paraId="359DFB6C" w14:textId="77777777" w:rsidR="0017561A" w:rsidRDefault="0017561A" w:rsidP="004E0520">
            <w:pPr>
              <w:rPr>
                <w:b/>
                <w:bCs/>
                <w:sz w:val="20"/>
                <w:szCs w:val="20"/>
              </w:rPr>
            </w:pPr>
            <w:r w:rsidRPr="00842867">
              <w:rPr>
                <w:b/>
                <w:bCs/>
                <w:sz w:val="20"/>
                <w:szCs w:val="20"/>
              </w:rPr>
              <w:t>Unadjusted</w:t>
            </w:r>
          </w:p>
          <w:p w14:paraId="08C31E87" w14:textId="77777777" w:rsidR="0017561A" w:rsidRPr="001A1402" w:rsidRDefault="0017561A" w:rsidP="004E0520">
            <w:pPr>
              <w:rPr>
                <w:b/>
                <w:bCs/>
                <w:sz w:val="10"/>
                <w:szCs w:val="10"/>
              </w:rPr>
            </w:pPr>
          </w:p>
        </w:tc>
        <w:tc>
          <w:tcPr>
            <w:tcW w:w="3119" w:type="dxa"/>
            <w:gridSpan w:val="3"/>
            <w:tcBorders>
              <w:top w:val="single" w:sz="4" w:space="0" w:color="auto"/>
            </w:tcBorders>
          </w:tcPr>
          <w:p w14:paraId="4076CEAD" w14:textId="77777777" w:rsidR="0017561A" w:rsidRPr="001A1402" w:rsidRDefault="0017561A" w:rsidP="004E0520">
            <w:pPr>
              <w:rPr>
                <w:b/>
                <w:bCs/>
                <w:sz w:val="10"/>
                <w:szCs w:val="10"/>
              </w:rPr>
            </w:pPr>
          </w:p>
          <w:p w14:paraId="28E38E14" w14:textId="77777777" w:rsidR="0017561A" w:rsidRPr="00842867" w:rsidRDefault="0017561A" w:rsidP="004E0520">
            <w:pPr>
              <w:rPr>
                <w:b/>
                <w:bCs/>
                <w:sz w:val="20"/>
                <w:szCs w:val="20"/>
              </w:rPr>
            </w:pPr>
            <w:r w:rsidRPr="00842867">
              <w:rPr>
                <w:b/>
                <w:bCs/>
                <w:sz w:val="20"/>
                <w:szCs w:val="20"/>
              </w:rPr>
              <w:t>Adjusted</w:t>
            </w:r>
          </w:p>
        </w:tc>
      </w:tr>
      <w:tr w:rsidR="0017561A" w:rsidRPr="00AB4B54" w14:paraId="36F0E6E2" w14:textId="77777777" w:rsidTr="004E0520">
        <w:trPr>
          <w:gridBefore w:val="1"/>
          <w:wBefore w:w="108" w:type="dxa"/>
          <w:jc w:val="center"/>
        </w:trPr>
        <w:tc>
          <w:tcPr>
            <w:tcW w:w="3823" w:type="dxa"/>
            <w:tcBorders>
              <w:bottom w:val="single" w:sz="4" w:space="0" w:color="auto"/>
            </w:tcBorders>
          </w:tcPr>
          <w:p w14:paraId="52E5DA62" w14:textId="77777777" w:rsidR="0017561A" w:rsidRPr="007C6648" w:rsidRDefault="0017561A" w:rsidP="004E0520">
            <w:pPr>
              <w:rPr>
                <w:sz w:val="20"/>
                <w:szCs w:val="20"/>
              </w:rPr>
            </w:pPr>
          </w:p>
        </w:tc>
        <w:tc>
          <w:tcPr>
            <w:tcW w:w="1417" w:type="dxa"/>
            <w:tcBorders>
              <w:bottom w:val="single" w:sz="4" w:space="0" w:color="auto"/>
            </w:tcBorders>
          </w:tcPr>
          <w:p w14:paraId="56F7B37F" w14:textId="77777777" w:rsidR="0017561A" w:rsidRDefault="0017561A" w:rsidP="004E0520">
            <w:pPr>
              <w:rPr>
                <w:sz w:val="20"/>
                <w:szCs w:val="20"/>
              </w:rPr>
            </w:pPr>
            <w:r w:rsidRPr="007C6648">
              <w:rPr>
                <w:sz w:val="20"/>
                <w:szCs w:val="20"/>
              </w:rPr>
              <w:t>N</w:t>
            </w:r>
            <w:r>
              <w:rPr>
                <w:sz w:val="20"/>
                <w:szCs w:val="20"/>
              </w:rPr>
              <w:t>umber</w:t>
            </w:r>
            <w:r w:rsidRPr="007C6648">
              <w:rPr>
                <w:sz w:val="20"/>
                <w:szCs w:val="20"/>
              </w:rPr>
              <w:t xml:space="preserve"> (%) </w:t>
            </w:r>
            <w:r>
              <w:rPr>
                <w:sz w:val="20"/>
                <w:szCs w:val="20"/>
              </w:rPr>
              <w:t>Receiving</w:t>
            </w:r>
          </w:p>
          <w:p w14:paraId="77ADFD6E" w14:textId="77777777" w:rsidR="0017561A" w:rsidRDefault="0017561A" w:rsidP="004E0520">
            <w:pPr>
              <w:rPr>
                <w:sz w:val="20"/>
                <w:szCs w:val="20"/>
              </w:rPr>
            </w:pPr>
            <w:r w:rsidRPr="007C6648">
              <w:rPr>
                <w:sz w:val="20"/>
                <w:szCs w:val="20"/>
              </w:rPr>
              <w:t>Trastuzumab</w:t>
            </w:r>
          </w:p>
          <w:p w14:paraId="68E04D2F" w14:textId="77777777" w:rsidR="0017561A" w:rsidRPr="007C6648" w:rsidRDefault="0017561A" w:rsidP="004E0520">
            <w:pPr>
              <w:rPr>
                <w:sz w:val="20"/>
                <w:szCs w:val="20"/>
              </w:rPr>
            </w:pPr>
            <w:r>
              <w:rPr>
                <w:sz w:val="20"/>
                <w:szCs w:val="20"/>
              </w:rPr>
              <w:t>n = 15,567 (44.97)</w:t>
            </w:r>
          </w:p>
        </w:tc>
        <w:tc>
          <w:tcPr>
            <w:tcW w:w="1418" w:type="dxa"/>
            <w:tcBorders>
              <w:bottom w:val="single" w:sz="4" w:space="0" w:color="auto"/>
            </w:tcBorders>
          </w:tcPr>
          <w:p w14:paraId="7FFDF763" w14:textId="77777777" w:rsidR="0017561A" w:rsidRDefault="0017561A" w:rsidP="004E0520">
            <w:pPr>
              <w:rPr>
                <w:sz w:val="20"/>
                <w:szCs w:val="20"/>
              </w:rPr>
            </w:pPr>
            <w:r w:rsidRPr="007C6648">
              <w:rPr>
                <w:sz w:val="20"/>
                <w:szCs w:val="20"/>
              </w:rPr>
              <w:t xml:space="preserve">Number (%) </w:t>
            </w:r>
            <w:r>
              <w:rPr>
                <w:sz w:val="20"/>
                <w:szCs w:val="20"/>
              </w:rPr>
              <w:t>n</w:t>
            </w:r>
            <w:r w:rsidRPr="007C6648">
              <w:rPr>
                <w:sz w:val="20"/>
                <w:szCs w:val="20"/>
              </w:rPr>
              <w:t xml:space="preserve">ot </w:t>
            </w:r>
            <w:r>
              <w:rPr>
                <w:sz w:val="20"/>
                <w:szCs w:val="20"/>
              </w:rPr>
              <w:t>Receiving</w:t>
            </w:r>
            <w:r w:rsidRPr="007C6648">
              <w:rPr>
                <w:sz w:val="20"/>
                <w:szCs w:val="20"/>
              </w:rPr>
              <w:t xml:space="preserve"> Trastuzumab</w:t>
            </w:r>
          </w:p>
          <w:p w14:paraId="4D087FB5" w14:textId="77777777" w:rsidR="0017561A" w:rsidRDefault="0017561A" w:rsidP="004E0520">
            <w:pPr>
              <w:rPr>
                <w:sz w:val="20"/>
                <w:szCs w:val="20"/>
              </w:rPr>
            </w:pPr>
            <w:r>
              <w:rPr>
                <w:sz w:val="20"/>
                <w:szCs w:val="20"/>
              </w:rPr>
              <w:t>n = 19,049 (55.03)</w:t>
            </w:r>
          </w:p>
          <w:p w14:paraId="5A182E6D" w14:textId="77777777" w:rsidR="0017561A" w:rsidRPr="001A1402" w:rsidRDefault="0017561A" w:rsidP="004E0520">
            <w:pPr>
              <w:rPr>
                <w:sz w:val="10"/>
                <w:szCs w:val="10"/>
              </w:rPr>
            </w:pPr>
          </w:p>
        </w:tc>
        <w:tc>
          <w:tcPr>
            <w:tcW w:w="992" w:type="dxa"/>
            <w:tcBorders>
              <w:bottom w:val="single" w:sz="4" w:space="0" w:color="auto"/>
            </w:tcBorders>
          </w:tcPr>
          <w:p w14:paraId="6CB9E61C" w14:textId="77777777" w:rsidR="0017561A" w:rsidRPr="00AB4B54" w:rsidRDefault="0017561A" w:rsidP="004E0520">
            <w:pPr>
              <w:rPr>
                <w:sz w:val="20"/>
                <w:szCs w:val="20"/>
              </w:rPr>
            </w:pPr>
            <w:r w:rsidRPr="00AB4B54">
              <w:rPr>
                <w:sz w:val="20"/>
                <w:szCs w:val="20"/>
              </w:rPr>
              <w:t>P Value</w:t>
            </w:r>
            <w:r>
              <w:rPr>
                <w:sz w:val="20"/>
                <w:szCs w:val="20"/>
                <w:vertAlign w:val="superscript"/>
              </w:rPr>
              <w:t>a</w:t>
            </w:r>
          </w:p>
        </w:tc>
        <w:tc>
          <w:tcPr>
            <w:tcW w:w="709" w:type="dxa"/>
            <w:tcBorders>
              <w:bottom w:val="single" w:sz="4" w:space="0" w:color="auto"/>
            </w:tcBorders>
          </w:tcPr>
          <w:p w14:paraId="32BDAA32" w14:textId="77777777" w:rsidR="0017561A" w:rsidRPr="007C6648" w:rsidRDefault="0017561A" w:rsidP="004E0520">
            <w:pPr>
              <w:rPr>
                <w:sz w:val="20"/>
                <w:szCs w:val="20"/>
              </w:rPr>
            </w:pPr>
            <w:r w:rsidRPr="007C6648">
              <w:rPr>
                <w:sz w:val="20"/>
                <w:szCs w:val="20"/>
              </w:rPr>
              <w:t>OR</w:t>
            </w:r>
          </w:p>
        </w:tc>
        <w:tc>
          <w:tcPr>
            <w:tcW w:w="1417" w:type="dxa"/>
            <w:tcBorders>
              <w:bottom w:val="single" w:sz="4" w:space="0" w:color="auto"/>
            </w:tcBorders>
          </w:tcPr>
          <w:p w14:paraId="31371AE7" w14:textId="77777777" w:rsidR="0017561A" w:rsidRPr="007C6648" w:rsidRDefault="0017561A" w:rsidP="004E0520">
            <w:pPr>
              <w:rPr>
                <w:sz w:val="20"/>
                <w:szCs w:val="20"/>
              </w:rPr>
            </w:pPr>
            <w:r w:rsidRPr="007C6648">
              <w:rPr>
                <w:sz w:val="20"/>
                <w:szCs w:val="20"/>
              </w:rPr>
              <w:t>95% CI</w:t>
            </w:r>
          </w:p>
        </w:tc>
        <w:tc>
          <w:tcPr>
            <w:tcW w:w="992" w:type="dxa"/>
            <w:tcBorders>
              <w:bottom w:val="single" w:sz="4" w:space="0" w:color="auto"/>
            </w:tcBorders>
          </w:tcPr>
          <w:p w14:paraId="2A0FE87C" w14:textId="77777777" w:rsidR="0017561A" w:rsidRPr="00AB4B54" w:rsidRDefault="0017561A" w:rsidP="004E0520">
            <w:pPr>
              <w:rPr>
                <w:sz w:val="20"/>
                <w:szCs w:val="20"/>
              </w:rPr>
            </w:pPr>
            <w:r w:rsidRPr="00AB4B54">
              <w:rPr>
                <w:sz w:val="20"/>
                <w:szCs w:val="20"/>
              </w:rPr>
              <w:t>P Value</w:t>
            </w:r>
            <w:r>
              <w:rPr>
                <w:sz w:val="20"/>
                <w:szCs w:val="20"/>
                <w:vertAlign w:val="superscript"/>
              </w:rPr>
              <w:t>b</w:t>
            </w:r>
          </w:p>
        </w:tc>
        <w:tc>
          <w:tcPr>
            <w:tcW w:w="709" w:type="dxa"/>
            <w:tcBorders>
              <w:bottom w:val="single" w:sz="4" w:space="0" w:color="auto"/>
            </w:tcBorders>
          </w:tcPr>
          <w:p w14:paraId="3F56AB59" w14:textId="77777777" w:rsidR="0017561A" w:rsidRPr="007C6648" w:rsidRDefault="0017561A" w:rsidP="004E0520">
            <w:pPr>
              <w:rPr>
                <w:sz w:val="20"/>
                <w:szCs w:val="20"/>
              </w:rPr>
            </w:pPr>
            <w:r w:rsidRPr="007C6648">
              <w:rPr>
                <w:sz w:val="20"/>
                <w:szCs w:val="20"/>
              </w:rPr>
              <w:t>OR</w:t>
            </w:r>
          </w:p>
        </w:tc>
        <w:tc>
          <w:tcPr>
            <w:tcW w:w="1418" w:type="dxa"/>
            <w:tcBorders>
              <w:bottom w:val="single" w:sz="4" w:space="0" w:color="auto"/>
            </w:tcBorders>
          </w:tcPr>
          <w:p w14:paraId="7AF8480D" w14:textId="77777777" w:rsidR="0017561A" w:rsidRPr="007C6648" w:rsidRDefault="0017561A" w:rsidP="004E0520">
            <w:pPr>
              <w:rPr>
                <w:sz w:val="20"/>
                <w:szCs w:val="20"/>
              </w:rPr>
            </w:pPr>
            <w:r w:rsidRPr="007C6648">
              <w:rPr>
                <w:sz w:val="20"/>
                <w:szCs w:val="20"/>
              </w:rPr>
              <w:t>95% CI</w:t>
            </w:r>
          </w:p>
        </w:tc>
        <w:tc>
          <w:tcPr>
            <w:tcW w:w="992" w:type="dxa"/>
            <w:tcBorders>
              <w:bottom w:val="single" w:sz="4" w:space="0" w:color="auto"/>
            </w:tcBorders>
          </w:tcPr>
          <w:p w14:paraId="21F108F2" w14:textId="77777777" w:rsidR="0017561A" w:rsidRPr="00AB4B54" w:rsidRDefault="0017561A" w:rsidP="004E0520">
            <w:pPr>
              <w:rPr>
                <w:sz w:val="20"/>
                <w:szCs w:val="20"/>
              </w:rPr>
            </w:pPr>
            <w:r w:rsidRPr="00AB4B54">
              <w:rPr>
                <w:sz w:val="20"/>
                <w:szCs w:val="20"/>
              </w:rPr>
              <w:t>P Value</w:t>
            </w:r>
            <w:r>
              <w:rPr>
                <w:sz w:val="20"/>
                <w:szCs w:val="20"/>
                <w:vertAlign w:val="superscript"/>
              </w:rPr>
              <w:t>b</w:t>
            </w:r>
          </w:p>
        </w:tc>
      </w:tr>
      <w:tr w:rsidR="0017561A" w:rsidRPr="00AB4B54" w14:paraId="262265B2" w14:textId="77777777" w:rsidTr="004E0520">
        <w:trPr>
          <w:gridBefore w:val="1"/>
          <w:wBefore w:w="108" w:type="dxa"/>
          <w:jc w:val="center"/>
        </w:trPr>
        <w:tc>
          <w:tcPr>
            <w:tcW w:w="3823" w:type="dxa"/>
            <w:tcBorders>
              <w:top w:val="single" w:sz="4" w:space="0" w:color="auto"/>
            </w:tcBorders>
          </w:tcPr>
          <w:p w14:paraId="52D64411" w14:textId="77777777" w:rsidR="0017561A" w:rsidRPr="007C6648" w:rsidRDefault="0017561A" w:rsidP="004E0520">
            <w:pPr>
              <w:rPr>
                <w:sz w:val="20"/>
                <w:szCs w:val="20"/>
              </w:rPr>
            </w:pPr>
          </w:p>
        </w:tc>
        <w:tc>
          <w:tcPr>
            <w:tcW w:w="1417" w:type="dxa"/>
            <w:tcBorders>
              <w:top w:val="single" w:sz="4" w:space="0" w:color="auto"/>
            </w:tcBorders>
          </w:tcPr>
          <w:p w14:paraId="00FE2376" w14:textId="77777777" w:rsidR="0017561A" w:rsidRPr="007C6648" w:rsidRDefault="0017561A" w:rsidP="004E0520">
            <w:pPr>
              <w:rPr>
                <w:sz w:val="20"/>
                <w:szCs w:val="20"/>
              </w:rPr>
            </w:pPr>
          </w:p>
        </w:tc>
        <w:tc>
          <w:tcPr>
            <w:tcW w:w="1418" w:type="dxa"/>
            <w:tcBorders>
              <w:top w:val="single" w:sz="4" w:space="0" w:color="auto"/>
            </w:tcBorders>
          </w:tcPr>
          <w:p w14:paraId="30A30CD5" w14:textId="77777777" w:rsidR="0017561A" w:rsidRPr="007C6648" w:rsidRDefault="0017561A" w:rsidP="004E0520">
            <w:pPr>
              <w:rPr>
                <w:sz w:val="20"/>
                <w:szCs w:val="20"/>
              </w:rPr>
            </w:pPr>
          </w:p>
        </w:tc>
        <w:tc>
          <w:tcPr>
            <w:tcW w:w="992" w:type="dxa"/>
            <w:tcBorders>
              <w:top w:val="single" w:sz="4" w:space="0" w:color="auto"/>
            </w:tcBorders>
          </w:tcPr>
          <w:p w14:paraId="7A300C3C" w14:textId="77777777" w:rsidR="0017561A" w:rsidRPr="00AB4B54" w:rsidRDefault="0017561A" w:rsidP="004E0520">
            <w:pPr>
              <w:rPr>
                <w:sz w:val="20"/>
                <w:szCs w:val="20"/>
              </w:rPr>
            </w:pPr>
          </w:p>
        </w:tc>
        <w:tc>
          <w:tcPr>
            <w:tcW w:w="709" w:type="dxa"/>
            <w:tcBorders>
              <w:top w:val="single" w:sz="4" w:space="0" w:color="auto"/>
            </w:tcBorders>
          </w:tcPr>
          <w:p w14:paraId="205262BB" w14:textId="77777777" w:rsidR="0017561A" w:rsidRPr="007C6648" w:rsidRDefault="0017561A" w:rsidP="004E0520">
            <w:pPr>
              <w:rPr>
                <w:sz w:val="20"/>
                <w:szCs w:val="20"/>
              </w:rPr>
            </w:pPr>
          </w:p>
        </w:tc>
        <w:tc>
          <w:tcPr>
            <w:tcW w:w="1417" w:type="dxa"/>
            <w:tcBorders>
              <w:top w:val="single" w:sz="4" w:space="0" w:color="auto"/>
            </w:tcBorders>
          </w:tcPr>
          <w:p w14:paraId="13A264A5" w14:textId="77777777" w:rsidR="0017561A" w:rsidRPr="007C6648" w:rsidRDefault="0017561A" w:rsidP="004E0520">
            <w:pPr>
              <w:rPr>
                <w:sz w:val="20"/>
                <w:szCs w:val="20"/>
              </w:rPr>
            </w:pPr>
          </w:p>
        </w:tc>
        <w:tc>
          <w:tcPr>
            <w:tcW w:w="992" w:type="dxa"/>
            <w:tcBorders>
              <w:top w:val="single" w:sz="4" w:space="0" w:color="auto"/>
            </w:tcBorders>
          </w:tcPr>
          <w:p w14:paraId="57FBD712" w14:textId="77777777" w:rsidR="0017561A" w:rsidRPr="00AB4B54" w:rsidRDefault="0017561A" w:rsidP="004E0520">
            <w:pPr>
              <w:rPr>
                <w:sz w:val="20"/>
                <w:szCs w:val="20"/>
              </w:rPr>
            </w:pPr>
          </w:p>
        </w:tc>
        <w:tc>
          <w:tcPr>
            <w:tcW w:w="709" w:type="dxa"/>
            <w:tcBorders>
              <w:top w:val="single" w:sz="4" w:space="0" w:color="auto"/>
            </w:tcBorders>
          </w:tcPr>
          <w:p w14:paraId="7376B22A" w14:textId="77777777" w:rsidR="0017561A" w:rsidRPr="007C6648" w:rsidRDefault="0017561A" w:rsidP="004E0520">
            <w:pPr>
              <w:rPr>
                <w:sz w:val="20"/>
                <w:szCs w:val="20"/>
              </w:rPr>
            </w:pPr>
          </w:p>
        </w:tc>
        <w:tc>
          <w:tcPr>
            <w:tcW w:w="1418" w:type="dxa"/>
            <w:tcBorders>
              <w:top w:val="single" w:sz="4" w:space="0" w:color="auto"/>
            </w:tcBorders>
          </w:tcPr>
          <w:p w14:paraId="2B9DF34A" w14:textId="77777777" w:rsidR="0017561A" w:rsidRPr="007C6648" w:rsidRDefault="0017561A" w:rsidP="004E0520">
            <w:pPr>
              <w:rPr>
                <w:sz w:val="20"/>
                <w:szCs w:val="20"/>
              </w:rPr>
            </w:pPr>
          </w:p>
        </w:tc>
        <w:tc>
          <w:tcPr>
            <w:tcW w:w="992" w:type="dxa"/>
            <w:tcBorders>
              <w:top w:val="single" w:sz="4" w:space="0" w:color="auto"/>
            </w:tcBorders>
          </w:tcPr>
          <w:p w14:paraId="658B254A" w14:textId="77777777" w:rsidR="0017561A" w:rsidRPr="00AB4B54" w:rsidRDefault="0017561A" w:rsidP="004E0520">
            <w:pPr>
              <w:rPr>
                <w:sz w:val="20"/>
                <w:szCs w:val="20"/>
              </w:rPr>
            </w:pPr>
          </w:p>
        </w:tc>
      </w:tr>
      <w:tr w:rsidR="0017561A" w:rsidRPr="000E6139" w14:paraId="6B53220E" w14:textId="77777777" w:rsidTr="004E0520">
        <w:trPr>
          <w:gridBefore w:val="1"/>
          <w:wBefore w:w="108" w:type="dxa"/>
          <w:jc w:val="center"/>
        </w:trPr>
        <w:tc>
          <w:tcPr>
            <w:tcW w:w="3823" w:type="dxa"/>
          </w:tcPr>
          <w:p w14:paraId="10A42107" w14:textId="77777777" w:rsidR="0017561A" w:rsidRPr="00192CCA" w:rsidRDefault="0017561A" w:rsidP="004E0520">
            <w:pPr>
              <w:rPr>
                <w:sz w:val="20"/>
                <w:szCs w:val="20"/>
              </w:rPr>
            </w:pPr>
            <w:r w:rsidRPr="00192CCA">
              <w:rPr>
                <w:b/>
                <w:bCs/>
                <w:sz w:val="20"/>
                <w:szCs w:val="20"/>
              </w:rPr>
              <w:t>Government Region</w:t>
            </w:r>
          </w:p>
        </w:tc>
        <w:tc>
          <w:tcPr>
            <w:tcW w:w="1417" w:type="dxa"/>
          </w:tcPr>
          <w:p w14:paraId="0393C856" w14:textId="77777777" w:rsidR="0017561A" w:rsidRPr="00192CCA" w:rsidRDefault="0017561A" w:rsidP="004E0520">
            <w:pPr>
              <w:rPr>
                <w:sz w:val="20"/>
                <w:szCs w:val="20"/>
              </w:rPr>
            </w:pPr>
          </w:p>
        </w:tc>
        <w:tc>
          <w:tcPr>
            <w:tcW w:w="1418" w:type="dxa"/>
          </w:tcPr>
          <w:p w14:paraId="577946F5" w14:textId="77777777" w:rsidR="0017561A" w:rsidRPr="00192CCA" w:rsidRDefault="0017561A" w:rsidP="004E0520">
            <w:pPr>
              <w:rPr>
                <w:sz w:val="20"/>
                <w:szCs w:val="20"/>
              </w:rPr>
            </w:pPr>
          </w:p>
        </w:tc>
        <w:tc>
          <w:tcPr>
            <w:tcW w:w="992" w:type="dxa"/>
          </w:tcPr>
          <w:p w14:paraId="62A41C4A" w14:textId="77777777" w:rsidR="0017561A" w:rsidRPr="00192CCA" w:rsidRDefault="0017561A" w:rsidP="004E0520">
            <w:pPr>
              <w:rPr>
                <w:sz w:val="20"/>
                <w:szCs w:val="20"/>
              </w:rPr>
            </w:pPr>
            <w:r w:rsidRPr="00192CCA">
              <w:rPr>
                <w:sz w:val="20"/>
                <w:szCs w:val="20"/>
              </w:rPr>
              <w:t>&lt;0.001</w:t>
            </w:r>
          </w:p>
        </w:tc>
        <w:tc>
          <w:tcPr>
            <w:tcW w:w="709" w:type="dxa"/>
          </w:tcPr>
          <w:p w14:paraId="4CDE2351" w14:textId="77777777" w:rsidR="0017561A" w:rsidRPr="00192CCA" w:rsidRDefault="0017561A" w:rsidP="004E0520">
            <w:pPr>
              <w:rPr>
                <w:sz w:val="20"/>
                <w:szCs w:val="20"/>
              </w:rPr>
            </w:pPr>
          </w:p>
        </w:tc>
        <w:tc>
          <w:tcPr>
            <w:tcW w:w="1417" w:type="dxa"/>
          </w:tcPr>
          <w:p w14:paraId="00FDAB81" w14:textId="77777777" w:rsidR="0017561A" w:rsidRPr="00192CCA" w:rsidRDefault="0017561A" w:rsidP="004E0520">
            <w:pPr>
              <w:rPr>
                <w:sz w:val="20"/>
                <w:szCs w:val="20"/>
              </w:rPr>
            </w:pPr>
          </w:p>
        </w:tc>
        <w:tc>
          <w:tcPr>
            <w:tcW w:w="992" w:type="dxa"/>
          </w:tcPr>
          <w:p w14:paraId="1EA91582" w14:textId="77777777" w:rsidR="0017561A" w:rsidRPr="00192CCA" w:rsidRDefault="0017561A" w:rsidP="004E0520">
            <w:pPr>
              <w:rPr>
                <w:sz w:val="20"/>
                <w:szCs w:val="20"/>
              </w:rPr>
            </w:pPr>
            <w:r w:rsidRPr="00192CCA">
              <w:rPr>
                <w:b/>
                <w:bCs/>
                <w:sz w:val="20"/>
                <w:szCs w:val="20"/>
              </w:rPr>
              <w:t>&lt;0.001</w:t>
            </w:r>
          </w:p>
        </w:tc>
        <w:tc>
          <w:tcPr>
            <w:tcW w:w="709" w:type="dxa"/>
          </w:tcPr>
          <w:p w14:paraId="57AAE50F" w14:textId="77777777" w:rsidR="0017561A" w:rsidRPr="00192CCA" w:rsidRDefault="0017561A" w:rsidP="004E0520">
            <w:pPr>
              <w:rPr>
                <w:sz w:val="20"/>
                <w:szCs w:val="20"/>
              </w:rPr>
            </w:pPr>
          </w:p>
        </w:tc>
        <w:tc>
          <w:tcPr>
            <w:tcW w:w="1418" w:type="dxa"/>
          </w:tcPr>
          <w:p w14:paraId="522244B5" w14:textId="77777777" w:rsidR="0017561A" w:rsidRPr="00192CCA" w:rsidRDefault="0017561A" w:rsidP="004E0520">
            <w:pPr>
              <w:rPr>
                <w:sz w:val="20"/>
                <w:szCs w:val="20"/>
              </w:rPr>
            </w:pPr>
          </w:p>
        </w:tc>
        <w:tc>
          <w:tcPr>
            <w:tcW w:w="992" w:type="dxa"/>
          </w:tcPr>
          <w:p w14:paraId="07B2A43B" w14:textId="77777777" w:rsidR="0017561A" w:rsidRPr="00192CCA" w:rsidRDefault="0017561A" w:rsidP="004E0520">
            <w:pPr>
              <w:rPr>
                <w:sz w:val="20"/>
                <w:szCs w:val="20"/>
              </w:rPr>
            </w:pPr>
            <w:r w:rsidRPr="00192CCA">
              <w:rPr>
                <w:b/>
                <w:bCs/>
                <w:sz w:val="20"/>
                <w:szCs w:val="20"/>
              </w:rPr>
              <w:t>&lt;0.001</w:t>
            </w:r>
          </w:p>
        </w:tc>
      </w:tr>
      <w:tr w:rsidR="0017561A" w:rsidRPr="000E6139" w14:paraId="5B406FF2" w14:textId="77777777" w:rsidTr="004E0520">
        <w:trPr>
          <w:gridBefore w:val="1"/>
          <w:wBefore w:w="108" w:type="dxa"/>
          <w:jc w:val="center"/>
        </w:trPr>
        <w:tc>
          <w:tcPr>
            <w:tcW w:w="3823" w:type="dxa"/>
          </w:tcPr>
          <w:p w14:paraId="6F4E5CE2" w14:textId="77777777" w:rsidR="0017561A" w:rsidRPr="00192CCA" w:rsidRDefault="0017561A" w:rsidP="004E0520">
            <w:pPr>
              <w:rPr>
                <w:b/>
                <w:bCs/>
                <w:sz w:val="20"/>
                <w:szCs w:val="20"/>
              </w:rPr>
            </w:pPr>
            <w:r w:rsidRPr="00192CCA">
              <w:rPr>
                <w:sz w:val="20"/>
                <w:szCs w:val="20"/>
              </w:rPr>
              <w:t>North West</w:t>
            </w:r>
          </w:p>
        </w:tc>
        <w:tc>
          <w:tcPr>
            <w:tcW w:w="1417" w:type="dxa"/>
          </w:tcPr>
          <w:p w14:paraId="2C4E363A" w14:textId="77777777" w:rsidR="0017561A" w:rsidRPr="00192CCA" w:rsidRDefault="0017561A" w:rsidP="004E0520">
            <w:pPr>
              <w:rPr>
                <w:sz w:val="20"/>
                <w:szCs w:val="20"/>
              </w:rPr>
            </w:pPr>
            <w:r>
              <w:rPr>
                <w:sz w:val="20"/>
                <w:szCs w:val="20"/>
              </w:rPr>
              <w:t>2,509 (44.94)</w:t>
            </w:r>
          </w:p>
        </w:tc>
        <w:tc>
          <w:tcPr>
            <w:tcW w:w="1418" w:type="dxa"/>
          </w:tcPr>
          <w:p w14:paraId="4F8306BE" w14:textId="77777777" w:rsidR="0017561A" w:rsidRPr="00192CCA" w:rsidRDefault="0017561A" w:rsidP="004E0520">
            <w:pPr>
              <w:rPr>
                <w:sz w:val="20"/>
                <w:szCs w:val="20"/>
              </w:rPr>
            </w:pPr>
            <w:r>
              <w:rPr>
                <w:sz w:val="20"/>
                <w:szCs w:val="20"/>
              </w:rPr>
              <w:t>3,074 (55.06)</w:t>
            </w:r>
          </w:p>
        </w:tc>
        <w:tc>
          <w:tcPr>
            <w:tcW w:w="992" w:type="dxa"/>
          </w:tcPr>
          <w:p w14:paraId="70A67F49" w14:textId="77777777" w:rsidR="0017561A" w:rsidRPr="00192CCA" w:rsidRDefault="0017561A" w:rsidP="004E0520">
            <w:pPr>
              <w:rPr>
                <w:sz w:val="20"/>
                <w:szCs w:val="20"/>
              </w:rPr>
            </w:pPr>
          </w:p>
        </w:tc>
        <w:tc>
          <w:tcPr>
            <w:tcW w:w="709" w:type="dxa"/>
          </w:tcPr>
          <w:p w14:paraId="3E6E12AC" w14:textId="77777777" w:rsidR="0017561A" w:rsidRPr="00192CCA" w:rsidRDefault="0017561A" w:rsidP="004E0520">
            <w:pPr>
              <w:rPr>
                <w:sz w:val="20"/>
                <w:szCs w:val="20"/>
              </w:rPr>
            </w:pPr>
            <w:r w:rsidRPr="00192CCA">
              <w:rPr>
                <w:sz w:val="20"/>
                <w:szCs w:val="20"/>
              </w:rPr>
              <w:t>1.00</w:t>
            </w:r>
          </w:p>
        </w:tc>
        <w:tc>
          <w:tcPr>
            <w:tcW w:w="1417" w:type="dxa"/>
          </w:tcPr>
          <w:p w14:paraId="1FCF33C4" w14:textId="77777777" w:rsidR="0017561A" w:rsidRPr="00192CCA" w:rsidRDefault="0017561A" w:rsidP="004E0520">
            <w:pPr>
              <w:rPr>
                <w:sz w:val="20"/>
                <w:szCs w:val="20"/>
              </w:rPr>
            </w:pPr>
            <w:r w:rsidRPr="00192CCA">
              <w:rPr>
                <w:sz w:val="20"/>
                <w:szCs w:val="20"/>
              </w:rPr>
              <w:t>-----     -----</w:t>
            </w:r>
          </w:p>
        </w:tc>
        <w:tc>
          <w:tcPr>
            <w:tcW w:w="992" w:type="dxa"/>
          </w:tcPr>
          <w:p w14:paraId="6B01B387" w14:textId="77777777" w:rsidR="0017561A" w:rsidRPr="00192CCA" w:rsidRDefault="0017561A" w:rsidP="004E0520">
            <w:pPr>
              <w:rPr>
                <w:b/>
                <w:bCs/>
                <w:sz w:val="20"/>
                <w:szCs w:val="20"/>
              </w:rPr>
            </w:pPr>
            <w:r>
              <w:rPr>
                <w:sz w:val="20"/>
                <w:szCs w:val="20"/>
              </w:rPr>
              <w:t xml:space="preserve">  </w:t>
            </w:r>
            <w:r w:rsidRPr="00192CCA">
              <w:rPr>
                <w:sz w:val="20"/>
                <w:szCs w:val="20"/>
              </w:rPr>
              <w:t>-------</w:t>
            </w:r>
          </w:p>
        </w:tc>
        <w:tc>
          <w:tcPr>
            <w:tcW w:w="709" w:type="dxa"/>
          </w:tcPr>
          <w:p w14:paraId="3B512D44" w14:textId="77777777" w:rsidR="0017561A" w:rsidRPr="00192CCA" w:rsidRDefault="0017561A" w:rsidP="004E0520">
            <w:pPr>
              <w:rPr>
                <w:sz w:val="20"/>
                <w:szCs w:val="20"/>
              </w:rPr>
            </w:pPr>
            <w:r w:rsidRPr="00192CCA">
              <w:rPr>
                <w:sz w:val="20"/>
                <w:szCs w:val="20"/>
              </w:rPr>
              <w:t>1.00</w:t>
            </w:r>
          </w:p>
        </w:tc>
        <w:tc>
          <w:tcPr>
            <w:tcW w:w="1418" w:type="dxa"/>
          </w:tcPr>
          <w:p w14:paraId="344260D9" w14:textId="77777777" w:rsidR="0017561A" w:rsidRPr="00192CCA" w:rsidRDefault="0017561A" w:rsidP="004E0520">
            <w:pPr>
              <w:rPr>
                <w:sz w:val="20"/>
                <w:szCs w:val="20"/>
              </w:rPr>
            </w:pPr>
            <w:r w:rsidRPr="00192CCA">
              <w:rPr>
                <w:sz w:val="20"/>
                <w:szCs w:val="20"/>
              </w:rPr>
              <w:t>-----     -----</w:t>
            </w:r>
          </w:p>
        </w:tc>
        <w:tc>
          <w:tcPr>
            <w:tcW w:w="992" w:type="dxa"/>
          </w:tcPr>
          <w:p w14:paraId="718A21D2" w14:textId="77777777" w:rsidR="0017561A" w:rsidRPr="00192CCA" w:rsidRDefault="0017561A" w:rsidP="004E0520">
            <w:pPr>
              <w:rPr>
                <w:b/>
                <w:bCs/>
                <w:sz w:val="20"/>
                <w:szCs w:val="20"/>
              </w:rPr>
            </w:pPr>
            <w:r>
              <w:rPr>
                <w:sz w:val="20"/>
                <w:szCs w:val="20"/>
              </w:rPr>
              <w:t xml:space="preserve">  </w:t>
            </w:r>
            <w:r w:rsidRPr="00192CCA">
              <w:rPr>
                <w:sz w:val="20"/>
                <w:szCs w:val="20"/>
              </w:rPr>
              <w:t>-------</w:t>
            </w:r>
          </w:p>
        </w:tc>
      </w:tr>
      <w:tr w:rsidR="0017561A" w:rsidRPr="000E6139" w14:paraId="25EFA018" w14:textId="77777777" w:rsidTr="004E0520">
        <w:trPr>
          <w:gridBefore w:val="1"/>
          <w:wBefore w:w="108" w:type="dxa"/>
          <w:jc w:val="center"/>
        </w:trPr>
        <w:tc>
          <w:tcPr>
            <w:tcW w:w="3823" w:type="dxa"/>
          </w:tcPr>
          <w:p w14:paraId="52137E17" w14:textId="77777777" w:rsidR="0017561A" w:rsidRPr="00192CCA" w:rsidRDefault="0017561A" w:rsidP="004E0520">
            <w:pPr>
              <w:rPr>
                <w:sz w:val="20"/>
                <w:szCs w:val="20"/>
              </w:rPr>
            </w:pPr>
            <w:r w:rsidRPr="00192CCA">
              <w:rPr>
                <w:sz w:val="20"/>
                <w:szCs w:val="20"/>
              </w:rPr>
              <w:t>North East</w:t>
            </w:r>
          </w:p>
        </w:tc>
        <w:tc>
          <w:tcPr>
            <w:tcW w:w="1417" w:type="dxa"/>
          </w:tcPr>
          <w:p w14:paraId="50D916C4" w14:textId="77777777" w:rsidR="0017561A" w:rsidRPr="00192CCA" w:rsidRDefault="0017561A" w:rsidP="004E0520">
            <w:pPr>
              <w:rPr>
                <w:sz w:val="20"/>
                <w:szCs w:val="20"/>
              </w:rPr>
            </w:pPr>
            <w:r>
              <w:rPr>
                <w:sz w:val="20"/>
                <w:szCs w:val="20"/>
              </w:rPr>
              <w:t>897 (39.22)</w:t>
            </w:r>
          </w:p>
        </w:tc>
        <w:tc>
          <w:tcPr>
            <w:tcW w:w="1418" w:type="dxa"/>
          </w:tcPr>
          <w:p w14:paraId="334B31F3" w14:textId="77777777" w:rsidR="0017561A" w:rsidRPr="00192CCA" w:rsidRDefault="0017561A" w:rsidP="004E0520">
            <w:pPr>
              <w:rPr>
                <w:sz w:val="20"/>
                <w:szCs w:val="20"/>
              </w:rPr>
            </w:pPr>
            <w:r>
              <w:rPr>
                <w:sz w:val="20"/>
                <w:szCs w:val="20"/>
              </w:rPr>
              <w:t>1,390 (60.78)</w:t>
            </w:r>
          </w:p>
        </w:tc>
        <w:tc>
          <w:tcPr>
            <w:tcW w:w="992" w:type="dxa"/>
          </w:tcPr>
          <w:p w14:paraId="66C7FB76" w14:textId="77777777" w:rsidR="0017561A" w:rsidRPr="00192CCA" w:rsidRDefault="0017561A" w:rsidP="004E0520">
            <w:pPr>
              <w:rPr>
                <w:sz w:val="20"/>
                <w:szCs w:val="20"/>
              </w:rPr>
            </w:pPr>
          </w:p>
        </w:tc>
        <w:tc>
          <w:tcPr>
            <w:tcW w:w="709" w:type="dxa"/>
          </w:tcPr>
          <w:p w14:paraId="2106C2F3" w14:textId="77777777" w:rsidR="0017561A" w:rsidRPr="00192CCA" w:rsidRDefault="0017561A" w:rsidP="004E0520">
            <w:pPr>
              <w:rPr>
                <w:sz w:val="20"/>
                <w:szCs w:val="20"/>
              </w:rPr>
            </w:pPr>
            <w:r w:rsidRPr="00192CCA">
              <w:rPr>
                <w:sz w:val="20"/>
                <w:szCs w:val="20"/>
              </w:rPr>
              <w:t>0.</w:t>
            </w:r>
            <w:r>
              <w:rPr>
                <w:sz w:val="20"/>
                <w:szCs w:val="20"/>
              </w:rPr>
              <w:t>79</w:t>
            </w:r>
          </w:p>
        </w:tc>
        <w:tc>
          <w:tcPr>
            <w:tcW w:w="1417" w:type="dxa"/>
          </w:tcPr>
          <w:p w14:paraId="1B719908" w14:textId="77777777" w:rsidR="0017561A" w:rsidRPr="00192CCA" w:rsidRDefault="0017561A" w:rsidP="004E0520">
            <w:pPr>
              <w:rPr>
                <w:sz w:val="20"/>
                <w:szCs w:val="20"/>
              </w:rPr>
            </w:pPr>
            <w:r w:rsidRPr="00192CCA">
              <w:rPr>
                <w:sz w:val="20"/>
                <w:szCs w:val="20"/>
              </w:rPr>
              <w:t>0.</w:t>
            </w:r>
            <w:r>
              <w:rPr>
                <w:sz w:val="20"/>
                <w:szCs w:val="20"/>
              </w:rPr>
              <w:t>72</w:t>
            </w:r>
            <w:r w:rsidRPr="00192CCA">
              <w:rPr>
                <w:sz w:val="20"/>
                <w:szCs w:val="20"/>
              </w:rPr>
              <w:t xml:space="preserve"> – </w:t>
            </w:r>
            <w:r>
              <w:rPr>
                <w:sz w:val="20"/>
                <w:szCs w:val="20"/>
              </w:rPr>
              <w:t>0.87</w:t>
            </w:r>
          </w:p>
        </w:tc>
        <w:tc>
          <w:tcPr>
            <w:tcW w:w="992" w:type="dxa"/>
          </w:tcPr>
          <w:p w14:paraId="70087695" w14:textId="77777777" w:rsidR="0017561A" w:rsidRPr="00192CCA" w:rsidRDefault="0017561A" w:rsidP="004E0520">
            <w:pPr>
              <w:rPr>
                <w:sz w:val="20"/>
                <w:szCs w:val="20"/>
              </w:rPr>
            </w:pPr>
            <w:r w:rsidRPr="00192CCA">
              <w:rPr>
                <w:sz w:val="20"/>
                <w:szCs w:val="20"/>
              </w:rPr>
              <w:t>&lt;0.001</w:t>
            </w:r>
          </w:p>
        </w:tc>
        <w:tc>
          <w:tcPr>
            <w:tcW w:w="709" w:type="dxa"/>
          </w:tcPr>
          <w:p w14:paraId="0FBA388E" w14:textId="77777777" w:rsidR="0017561A" w:rsidRPr="00192CCA" w:rsidRDefault="0017561A" w:rsidP="004E0520">
            <w:pPr>
              <w:rPr>
                <w:sz w:val="20"/>
                <w:szCs w:val="20"/>
              </w:rPr>
            </w:pPr>
            <w:r w:rsidRPr="00192CCA">
              <w:rPr>
                <w:sz w:val="20"/>
                <w:szCs w:val="20"/>
              </w:rPr>
              <w:t>0.</w:t>
            </w:r>
            <w:r>
              <w:rPr>
                <w:sz w:val="20"/>
                <w:szCs w:val="20"/>
              </w:rPr>
              <w:t>70</w:t>
            </w:r>
          </w:p>
        </w:tc>
        <w:tc>
          <w:tcPr>
            <w:tcW w:w="1418" w:type="dxa"/>
          </w:tcPr>
          <w:p w14:paraId="76184DD0" w14:textId="77777777" w:rsidR="0017561A" w:rsidRPr="00192CCA" w:rsidRDefault="0017561A" w:rsidP="004E0520">
            <w:pPr>
              <w:rPr>
                <w:sz w:val="20"/>
                <w:szCs w:val="20"/>
              </w:rPr>
            </w:pPr>
            <w:r w:rsidRPr="00192CCA">
              <w:rPr>
                <w:sz w:val="20"/>
                <w:szCs w:val="20"/>
              </w:rPr>
              <w:t>0.</w:t>
            </w:r>
            <w:r>
              <w:rPr>
                <w:sz w:val="20"/>
                <w:szCs w:val="20"/>
              </w:rPr>
              <w:t>63</w:t>
            </w:r>
            <w:r w:rsidRPr="00192CCA">
              <w:rPr>
                <w:sz w:val="20"/>
                <w:szCs w:val="20"/>
              </w:rPr>
              <w:t xml:space="preserve"> – 0.</w:t>
            </w:r>
            <w:r>
              <w:rPr>
                <w:sz w:val="20"/>
                <w:szCs w:val="20"/>
              </w:rPr>
              <w:t>79</w:t>
            </w:r>
          </w:p>
        </w:tc>
        <w:tc>
          <w:tcPr>
            <w:tcW w:w="992" w:type="dxa"/>
          </w:tcPr>
          <w:p w14:paraId="1D6E278A" w14:textId="77777777" w:rsidR="0017561A" w:rsidRPr="00192CCA" w:rsidRDefault="0017561A" w:rsidP="004E0520">
            <w:pPr>
              <w:rPr>
                <w:sz w:val="20"/>
                <w:szCs w:val="20"/>
              </w:rPr>
            </w:pPr>
            <w:r w:rsidRPr="00192CCA">
              <w:rPr>
                <w:sz w:val="20"/>
                <w:szCs w:val="20"/>
              </w:rPr>
              <w:t>&lt;0.001</w:t>
            </w:r>
          </w:p>
        </w:tc>
      </w:tr>
      <w:tr w:rsidR="0017561A" w:rsidRPr="000E6139" w14:paraId="58F28CFF" w14:textId="77777777" w:rsidTr="004E0520">
        <w:trPr>
          <w:gridBefore w:val="1"/>
          <w:wBefore w:w="108" w:type="dxa"/>
          <w:jc w:val="center"/>
        </w:trPr>
        <w:tc>
          <w:tcPr>
            <w:tcW w:w="3823" w:type="dxa"/>
          </w:tcPr>
          <w:p w14:paraId="74DD6CB7" w14:textId="77777777" w:rsidR="0017561A" w:rsidRPr="00192CCA" w:rsidRDefault="0017561A" w:rsidP="004E0520">
            <w:pPr>
              <w:rPr>
                <w:sz w:val="20"/>
                <w:szCs w:val="20"/>
              </w:rPr>
            </w:pPr>
            <w:r w:rsidRPr="00192CCA">
              <w:rPr>
                <w:sz w:val="20"/>
                <w:szCs w:val="20"/>
              </w:rPr>
              <w:t>West Midlands</w:t>
            </w:r>
          </w:p>
        </w:tc>
        <w:tc>
          <w:tcPr>
            <w:tcW w:w="1417" w:type="dxa"/>
          </w:tcPr>
          <w:p w14:paraId="6DA0AAEE" w14:textId="77777777" w:rsidR="0017561A" w:rsidRPr="00192CCA" w:rsidRDefault="0017561A" w:rsidP="004E0520">
            <w:pPr>
              <w:rPr>
                <w:sz w:val="20"/>
                <w:szCs w:val="20"/>
              </w:rPr>
            </w:pPr>
            <w:r>
              <w:rPr>
                <w:sz w:val="20"/>
                <w:szCs w:val="20"/>
              </w:rPr>
              <w:t>1,543 (41.90)</w:t>
            </w:r>
          </w:p>
        </w:tc>
        <w:tc>
          <w:tcPr>
            <w:tcW w:w="1418" w:type="dxa"/>
          </w:tcPr>
          <w:p w14:paraId="47CA4F71" w14:textId="77777777" w:rsidR="0017561A" w:rsidRPr="00192CCA" w:rsidRDefault="0017561A" w:rsidP="004E0520">
            <w:pPr>
              <w:rPr>
                <w:sz w:val="20"/>
                <w:szCs w:val="20"/>
              </w:rPr>
            </w:pPr>
            <w:r>
              <w:rPr>
                <w:sz w:val="20"/>
                <w:szCs w:val="20"/>
              </w:rPr>
              <w:t>2,140 (58.10)</w:t>
            </w:r>
          </w:p>
        </w:tc>
        <w:tc>
          <w:tcPr>
            <w:tcW w:w="992" w:type="dxa"/>
          </w:tcPr>
          <w:p w14:paraId="375679F1" w14:textId="77777777" w:rsidR="0017561A" w:rsidRPr="00192CCA" w:rsidRDefault="0017561A" w:rsidP="004E0520">
            <w:pPr>
              <w:rPr>
                <w:sz w:val="20"/>
                <w:szCs w:val="20"/>
              </w:rPr>
            </w:pPr>
          </w:p>
        </w:tc>
        <w:tc>
          <w:tcPr>
            <w:tcW w:w="709" w:type="dxa"/>
          </w:tcPr>
          <w:p w14:paraId="0B90EEDE" w14:textId="77777777" w:rsidR="0017561A" w:rsidRPr="00192CCA" w:rsidRDefault="0017561A" w:rsidP="004E0520">
            <w:pPr>
              <w:rPr>
                <w:sz w:val="20"/>
                <w:szCs w:val="20"/>
              </w:rPr>
            </w:pPr>
            <w:r w:rsidRPr="00192CCA">
              <w:rPr>
                <w:sz w:val="20"/>
                <w:szCs w:val="20"/>
              </w:rPr>
              <w:t>0.</w:t>
            </w:r>
            <w:r>
              <w:rPr>
                <w:sz w:val="20"/>
                <w:szCs w:val="20"/>
              </w:rPr>
              <w:t>88</w:t>
            </w:r>
          </w:p>
        </w:tc>
        <w:tc>
          <w:tcPr>
            <w:tcW w:w="1417" w:type="dxa"/>
          </w:tcPr>
          <w:p w14:paraId="522865BB" w14:textId="77777777" w:rsidR="0017561A" w:rsidRPr="00192CCA" w:rsidRDefault="0017561A" w:rsidP="004E0520">
            <w:pPr>
              <w:rPr>
                <w:sz w:val="20"/>
                <w:szCs w:val="20"/>
              </w:rPr>
            </w:pPr>
            <w:r w:rsidRPr="00192CCA">
              <w:rPr>
                <w:sz w:val="20"/>
                <w:szCs w:val="20"/>
              </w:rPr>
              <w:t>0.</w:t>
            </w:r>
            <w:r>
              <w:rPr>
                <w:sz w:val="20"/>
                <w:szCs w:val="20"/>
              </w:rPr>
              <w:t>81</w:t>
            </w:r>
            <w:r w:rsidRPr="00192CCA">
              <w:rPr>
                <w:sz w:val="20"/>
                <w:szCs w:val="20"/>
              </w:rPr>
              <w:t xml:space="preserve"> – 0.</w:t>
            </w:r>
            <w:r>
              <w:rPr>
                <w:sz w:val="20"/>
                <w:szCs w:val="20"/>
              </w:rPr>
              <w:t>96</w:t>
            </w:r>
          </w:p>
        </w:tc>
        <w:tc>
          <w:tcPr>
            <w:tcW w:w="992" w:type="dxa"/>
          </w:tcPr>
          <w:p w14:paraId="72D3A1C7" w14:textId="77777777" w:rsidR="0017561A" w:rsidRPr="00192CCA" w:rsidRDefault="0017561A" w:rsidP="004E0520">
            <w:pPr>
              <w:rPr>
                <w:sz w:val="20"/>
                <w:szCs w:val="20"/>
              </w:rPr>
            </w:pPr>
            <w:r>
              <w:rPr>
                <w:sz w:val="20"/>
                <w:szCs w:val="20"/>
              </w:rPr>
              <w:t xml:space="preserve">  </w:t>
            </w:r>
            <w:r w:rsidRPr="00192CCA">
              <w:rPr>
                <w:sz w:val="20"/>
                <w:szCs w:val="20"/>
              </w:rPr>
              <w:t>0.00</w:t>
            </w:r>
            <w:r>
              <w:rPr>
                <w:sz w:val="20"/>
                <w:szCs w:val="20"/>
              </w:rPr>
              <w:t>4</w:t>
            </w:r>
          </w:p>
        </w:tc>
        <w:tc>
          <w:tcPr>
            <w:tcW w:w="709" w:type="dxa"/>
          </w:tcPr>
          <w:p w14:paraId="3BF2503F" w14:textId="77777777" w:rsidR="0017561A" w:rsidRPr="00192CCA" w:rsidRDefault="0017561A" w:rsidP="004E0520">
            <w:pPr>
              <w:rPr>
                <w:sz w:val="20"/>
                <w:szCs w:val="20"/>
              </w:rPr>
            </w:pPr>
            <w:r w:rsidRPr="00192CCA">
              <w:rPr>
                <w:sz w:val="20"/>
                <w:szCs w:val="20"/>
              </w:rPr>
              <w:t>0.</w:t>
            </w:r>
            <w:r>
              <w:rPr>
                <w:sz w:val="20"/>
                <w:szCs w:val="20"/>
              </w:rPr>
              <w:t>83</w:t>
            </w:r>
          </w:p>
        </w:tc>
        <w:tc>
          <w:tcPr>
            <w:tcW w:w="1418" w:type="dxa"/>
          </w:tcPr>
          <w:p w14:paraId="59FD4B97" w14:textId="77777777" w:rsidR="0017561A" w:rsidRPr="00192CCA" w:rsidRDefault="0017561A" w:rsidP="004E0520">
            <w:pPr>
              <w:rPr>
                <w:sz w:val="20"/>
                <w:szCs w:val="20"/>
              </w:rPr>
            </w:pPr>
            <w:r w:rsidRPr="00192CCA">
              <w:rPr>
                <w:sz w:val="20"/>
                <w:szCs w:val="20"/>
              </w:rPr>
              <w:t>0.</w:t>
            </w:r>
            <w:r>
              <w:rPr>
                <w:sz w:val="20"/>
                <w:szCs w:val="20"/>
              </w:rPr>
              <w:t>75</w:t>
            </w:r>
            <w:r w:rsidRPr="00192CCA">
              <w:rPr>
                <w:sz w:val="20"/>
                <w:szCs w:val="20"/>
              </w:rPr>
              <w:t xml:space="preserve"> – 0.</w:t>
            </w:r>
            <w:r>
              <w:rPr>
                <w:sz w:val="20"/>
                <w:szCs w:val="20"/>
              </w:rPr>
              <w:t>91</w:t>
            </w:r>
          </w:p>
        </w:tc>
        <w:tc>
          <w:tcPr>
            <w:tcW w:w="992" w:type="dxa"/>
          </w:tcPr>
          <w:p w14:paraId="6549BD5D" w14:textId="77777777" w:rsidR="0017561A" w:rsidRPr="00192CCA" w:rsidRDefault="0017561A" w:rsidP="004E0520">
            <w:pPr>
              <w:rPr>
                <w:sz w:val="20"/>
                <w:szCs w:val="20"/>
              </w:rPr>
            </w:pPr>
            <w:r w:rsidRPr="00192CCA">
              <w:rPr>
                <w:sz w:val="20"/>
                <w:szCs w:val="20"/>
              </w:rPr>
              <w:t>&lt;0.001</w:t>
            </w:r>
          </w:p>
        </w:tc>
      </w:tr>
      <w:tr w:rsidR="0017561A" w:rsidRPr="000E6139" w14:paraId="344946E7" w14:textId="77777777" w:rsidTr="004E0520">
        <w:trPr>
          <w:gridBefore w:val="1"/>
          <w:wBefore w:w="108" w:type="dxa"/>
          <w:jc w:val="center"/>
        </w:trPr>
        <w:tc>
          <w:tcPr>
            <w:tcW w:w="3823" w:type="dxa"/>
          </w:tcPr>
          <w:p w14:paraId="6C180846" w14:textId="77777777" w:rsidR="0017561A" w:rsidRPr="00192CCA" w:rsidRDefault="0017561A" w:rsidP="004E0520">
            <w:pPr>
              <w:rPr>
                <w:sz w:val="20"/>
                <w:szCs w:val="20"/>
              </w:rPr>
            </w:pPr>
            <w:r w:rsidRPr="00192CCA">
              <w:rPr>
                <w:sz w:val="20"/>
                <w:szCs w:val="20"/>
              </w:rPr>
              <w:t>Yorkshire &amp; the Humber</w:t>
            </w:r>
          </w:p>
        </w:tc>
        <w:tc>
          <w:tcPr>
            <w:tcW w:w="1417" w:type="dxa"/>
          </w:tcPr>
          <w:p w14:paraId="71024602" w14:textId="77777777" w:rsidR="0017561A" w:rsidRPr="00192CCA" w:rsidRDefault="0017561A" w:rsidP="004E0520">
            <w:pPr>
              <w:rPr>
                <w:sz w:val="20"/>
                <w:szCs w:val="20"/>
              </w:rPr>
            </w:pPr>
            <w:r>
              <w:rPr>
                <w:sz w:val="20"/>
                <w:szCs w:val="20"/>
              </w:rPr>
              <w:t>1,687 (55.20)</w:t>
            </w:r>
          </w:p>
        </w:tc>
        <w:tc>
          <w:tcPr>
            <w:tcW w:w="1418" w:type="dxa"/>
          </w:tcPr>
          <w:p w14:paraId="7F44C02C" w14:textId="77777777" w:rsidR="0017561A" w:rsidRPr="00192CCA" w:rsidRDefault="0017561A" w:rsidP="004E0520">
            <w:pPr>
              <w:rPr>
                <w:sz w:val="20"/>
                <w:szCs w:val="20"/>
              </w:rPr>
            </w:pPr>
            <w:r>
              <w:rPr>
                <w:sz w:val="20"/>
                <w:szCs w:val="20"/>
              </w:rPr>
              <w:t>1,369 (44.80)</w:t>
            </w:r>
          </w:p>
        </w:tc>
        <w:tc>
          <w:tcPr>
            <w:tcW w:w="992" w:type="dxa"/>
          </w:tcPr>
          <w:p w14:paraId="0B8D4529" w14:textId="77777777" w:rsidR="0017561A" w:rsidRPr="00192CCA" w:rsidRDefault="0017561A" w:rsidP="004E0520">
            <w:pPr>
              <w:rPr>
                <w:sz w:val="20"/>
                <w:szCs w:val="20"/>
              </w:rPr>
            </w:pPr>
          </w:p>
        </w:tc>
        <w:tc>
          <w:tcPr>
            <w:tcW w:w="709" w:type="dxa"/>
          </w:tcPr>
          <w:p w14:paraId="45A2DC08" w14:textId="77777777" w:rsidR="0017561A" w:rsidRPr="00192CCA" w:rsidRDefault="0017561A" w:rsidP="004E0520">
            <w:pPr>
              <w:rPr>
                <w:sz w:val="20"/>
                <w:szCs w:val="20"/>
              </w:rPr>
            </w:pPr>
            <w:r w:rsidRPr="00192CCA">
              <w:rPr>
                <w:sz w:val="20"/>
                <w:szCs w:val="20"/>
              </w:rPr>
              <w:t>1.</w:t>
            </w:r>
            <w:r>
              <w:rPr>
                <w:sz w:val="20"/>
                <w:szCs w:val="20"/>
              </w:rPr>
              <w:t>51</w:t>
            </w:r>
          </w:p>
        </w:tc>
        <w:tc>
          <w:tcPr>
            <w:tcW w:w="1417" w:type="dxa"/>
          </w:tcPr>
          <w:p w14:paraId="13E00A35" w14:textId="77777777" w:rsidR="0017561A" w:rsidRPr="00192CCA" w:rsidRDefault="0017561A" w:rsidP="004E0520">
            <w:pPr>
              <w:rPr>
                <w:sz w:val="20"/>
                <w:szCs w:val="20"/>
              </w:rPr>
            </w:pPr>
            <w:r>
              <w:rPr>
                <w:sz w:val="20"/>
                <w:szCs w:val="20"/>
              </w:rPr>
              <w:t>1.38</w:t>
            </w:r>
            <w:r w:rsidRPr="00192CCA">
              <w:rPr>
                <w:sz w:val="20"/>
                <w:szCs w:val="20"/>
              </w:rPr>
              <w:t xml:space="preserve"> – 1.</w:t>
            </w:r>
            <w:r>
              <w:rPr>
                <w:sz w:val="20"/>
                <w:szCs w:val="20"/>
              </w:rPr>
              <w:t>65</w:t>
            </w:r>
          </w:p>
        </w:tc>
        <w:tc>
          <w:tcPr>
            <w:tcW w:w="992" w:type="dxa"/>
          </w:tcPr>
          <w:p w14:paraId="14F44AEE" w14:textId="77777777" w:rsidR="0017561A" w:rsidRPr="00192CCA" w:rsidRDefault="0017561A" w:rsidP="004E0520">
            <w:pPr>
              <w:rPr>
                <w:sz w:val="20"/>
                <w:szCs w:val="20"/>
              </w:rPr>
            </w:pPr>
            <w:r w:rsidRPr="00192CCA">
              <w:rPr>
                <w:sz w:val="20"/>
                <w:szCs w:val="20"/>
              </w:rPr>
              <w:t>&lt;0.001</w:t>
            </w:r>
          </w:p>
        </w:tc>
        <w:tc>
          <w:tcPr>
            <w:tcW w:w="709" w:type="dxa"/>
          </w:tcPr>
          <w:p w14:paraId="7AEB3E5C" w14:textId="77777777" w:rsidR="0017561A" w:rsidRPr="00192CCA" w:rsidRDefault="0017561A" w:rsidP="004E0520">
            <w:pPr>
              <w:rPr>
                <w:sz w:val="20"/>
                <w:szCs w:val="20"/>
              </w:rPr>
            </w:pPr>
            <w:r>
              <w:rPr>
                <w:sz w:val="20"/>
                <w:szCs w:val="20"/>
              </w:rPr>
              <w:t>1.41</w:t>
            </w:r>
          </w:p>
        </w:tc>
        <w:tc>
          <w:tcPr>
            <w:tcW w:w="1418" w:type="dxa"/>
          </w:tcPr>
          <w:p w14:paraId="2DC44E94" w14:textId="77777777" w:rsidR="0017561A" w:rsidRPr="00192CCA" w:rsidRDefault="0017561A" w:rsidP="004E0520">
            <w:pPr>
              <w:rPr>
                <w:sz w:val="20"/>
                <w:szCs w:val="20"/>
              </w:rPr>
            </w:pPr>
            <w:r>
              <w:rPr>
                <w:sz w:val="20"/>
                <w:szCs w:val="20"/>
              </w:rPr>
              <w:t>1.28</w:t>
            </w:r>
            <w:r w:rsidRPr="00192CCA">
              <w:rPr>
                <w:sz w:val="20"/>
                <w:szCs w:val="20"/>
              </w:rPr>
              <w:t xml:space="preserve"> – </w:t>
            </w:r>
            <w:r>
              <w:rPr>
                <w:sz w:val="20"/>
                <w:szCs w:val="20"/>
              </w:rPr>
              <w:t>1.56</w:t>
            </w:r>
          </w:p>
        </w:tc>
        <w:tc>
          <w:tcPr>
            <w:tcW w:w="992" w:type="dxa"/>
          </w:tcPr>
          <w:p w14:paraId="5F0740AE" w14:textId="77777777" w:rsidR="0017561A" w:rsidRPr="00192CCA" w:rsidRDefault="0017561A" w:rsidP="004E0520">
            <w:pPr>
              <w:rPr>
                <w:sz w:val="20"/>
                <w:szCs w:val="20"/>
              </w:rPr>
            </w:pPr>
            <w:r w:rsidRPr="00192CCA">
              <w:rPr>
                <w:sz w:val="20"/>
                <w:szCs w:val="20"/>
              </w:rPr>
              <w:t>&lt;0.001</w:t>
            </w:r>
          </w:p>
        </w:tc>
      </w:tr>
      <w:tr w:rsidR="0017561A" w:rsidRPr="000E6139" w14:paraId="113853B1" w14:textId="77777777" w:rsidTr="004E0520">
        <w:trPr>
          <w:gridBefore w:val="1"/>
          <w:wBefore w:w="108" w:type="dxa"/>
          <w:jc w:val="center"/>
        </w:trPr>
        <w:tc>
          <w:tcPr>
            <w:tcW w:w="3823" w:type="dxa"/>
          </w:tcPr>
          <w:p w14:paraId="7A31D0C6" w14:textId="77777777" w:rsidR="0017561A" w:rsidRPr="00192CCA" w:rsidRDefault="0017561A" w:rsidP="004E0520">
            <w:pPr>
              <w:rPr>
                <w:sz w:val="20"/>
                <w:szCs w:val="20"/>
              </w:rPr>
            </w:pPr>
            <w:r w:rsidRPr="00192CCA">
              <w:rPr>
                <w:sz w:val="20"/>
                <w:szCs w:val="20"/>
              </w:rPr>
              <w:t>East Midlands</w:t>
            </w:r>
          </w:p>
        </w:tc>
        <w:tc>
          <w:tcPr>
            <w:tcW w:w="1417" w:type="dxa"/>
          </w:tcPr>
          <w:p w14:paraId="6423395C" w14:textId="77777777" w:rsidR="0017561A" w:rsidRPr="00192CCA" w:rsidRDefault="0017561A" w:rsidP="004E0520">
            <w:pPr>
              <w:rPr>
                <w:sz w:val="20"/>
                <w:szCs w:val="20"/>
              </w:rPr>
            </w:pPr>
            <w:r>
              <w:rPr>
                <w:sz w:val="20"/>
                <w:szCs w:val="20"/>
              </w:rPr>
              <w:t>1,395 (47.16)</w:t>
            </w:r>
          </w:p>
        </w:tc>
        <w:tc>
          <w:tcPr>
            <w:tcW w:w="1418" w:type="dxa"/>
          </w:tcPr>
          <w:p w14:paraId="365C5ACF" w14:textId="77777777" w:rsidR="0017561A" w:rsidRPr="00192CCA" w:rsidRDefault="0017561A" w:rsidP="004E0520">
            <w:pPr>
              <w:rPr>
                <w:sz w:val="20"/>
                <w:szCs w:val="20"/>
              </w:rPr>
            </w:pPr>
            <w:r>
              <w:rPr>
                <w:sz w:val="20"/>
                <w:szCs w:val="20"/>
              </w:rPr>
              <w:t>1,563 (52.84)</w:t>
            </w:r>
          </w:p>
        </w:tc>
        <w:tc>
          <w:tcPr>
            <w:tcW w:w="992" w:type="dxa"/>
          </w:tcPr>
          <w:p w14:paraId="10148F9E" w14:textId="77777777" w:rsidR="0017561A" w:rsidRPr="00192CCA" w:rsidRDefault="0017561A" w:rsidP="004E0520">
            <w:pPr>
              <w:rPr>
                <w:sz w:val="20"/>
                <w:szCs w:val="20"/>
              </w:rPr>
            </w:pPr>
          </w:p>
        </w:tc>
        <w:tc>
          <w:tcPr>
            <w:tcW w:w="709" w:type="dxa"/>
          </w:tcPr>
          <w:p w14:paraId="7FD660C2" w14:textId="77777777" w:rsidR="0017561A" w:rsidRPr="00192CCA" w:rsidRDefault="0017561A" w:rsidP="004E0520">
            <w:pPr>
              <w:rPr>
                <w:sz w:val="20"/>
                <w:szCs w:val="20"/>
              </w:rPr>
            </w:pPr>
            <w:r w:rsidRPr="00192CCA">
              <w:rPr>
                <w:sz w:val="20"/>
                <w:szCs w:val="20"/>
              </w:rPr>
              <w:t>1.</w:t>
            </w:r>
            <w:r>
              <w:rPr>
                <w:sz w:val="20"/>
                <w:szCs w:val="20"/>
              </w:rPr>
              <w:t>09</w:t>
            </w:r>
          </w:p>
        </w:tc>
        <w:tc>
          <w:tcPr>
            <w:tcW w:w="1417" w:type="dxa"/>
          </w:tcPr>
          <w:p w14:paraId="5E4AF3CD" w14:textId="77777777" w:rsidR="0017561A" w:rsidRPr="00192CCA" w:rsidRDefault="0017561A" w:rsidP="004E0520">
            <w:pPr>
              <w:rPr>
                <w:sz w:val="20"/>
                <w:szCs w:val="20"/>
              </w:rPr>
            </w:pPr>
            <w:r>
              <w:rPr>
                <w:sz w:val="20"/>
                <w:szCs w:val="20"/>
              </w:rPr>
              <w:t>1.00</w:t>
            </w:r>
            <w:r w:rsidRPr="00192CCA">
              <w:rPr>
                <w:sz w:val="20"/>
                <w:szCs w:val="20"/>
              </w:rPr>
              <w:t xml:space="preserve"> – 1.</w:t>
            </w:r>
            <w:r>
              <w:rPr>
                <w:sz w:val="20"/>
                <w:szCs w:val="20"/>
              </w:rPr>
              <w:t>20</w:t>
            </w:r>
          </w:p>
        </w:tc>
        <w:tc>
          <w:tcPr>
            <w:tcW w:w="992" w:type="dxa"/>
          </w:tcPr>
          <w:p w14:paraId="7C77ECF1"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050</w:t>
            </w:r>
          </w:p>
        </w:tc>
        <w:tc>
          <w:tcPr>
            <w:tcW w:w="709" w:type="dxa"/>
          </w:tcPr>
          <w:p w14:paraId="1FC9C1DA" w14:textId="77777777" w:rsidR="0017561A" w:rsidRPr="00192CCA" w:rsidRDefault="0017561A" w:rsidP="004E0520">
            <w:pPr>
              <w:rPr>
                <w:sz w:val="20"/>
                <w:szCs w:val="20"/>
              </w:rPr>
            </w:pPr>
            <w:r>
              <w:rPr>
                <w:sz w:val="20"/>
                <w:szCs w:val="20"/>
              </w:rPr>
              <w:t>1.09</w:t>
            </w:r>
          </w:p>
        </w:tc>
        <w:tc>
          <w:tcPr>
            <w:tcW w:w="1418" w:type="dxa"/>
          </w:tcPr>
          <w:p w14:paraId="1A1E9C0B" w14:textId="77777777" w:rsidR="0017561A" w:rsidRPr="00192CCA" w:rsidRDefault="0017561A" w:rsidP="004E0520">
            <w:pPr>
              <w:rPr>
                <w:sz w:val="20"/>
                <w:szCs w:val="20"/>
              </w:rPr>
            </w:pPr>
            <w:r w:rsidRPr="00192CCA">
              <w:rPr>
                <w:sz w:val="20"/>
                <w:szCs w:val="20"/>
              </w:rPr>
              <w:t>0.</w:t>
            </w:r>
            <w:r>
              <w:rPr>
                <w:sz w:val="20"/>
                <w:szCs w:val="20"/>
              </w:rPr>
              <w:t>99</w:t>
            </w:r>
            <w:r w:rsidRPr="00192CCA">
              <w:rPr>
                <w:sz w:val="20"/>
                <w:szCs w:val="20"/>
              </w:rPr>
              <w:t xml:space="preserve"> – 1.</w:t>
            </w:r>
            <w:r>
              <w:rPr>
                <w:sz w:val="20"/>
                <w:szCs w:val="20"/>
              </w:rPr>
              <w:t>21</w:t>
            </w:r>
          </w:p>
        </w:tc>
        <w:tc>
          <w:tcPr>
            <w:tcW w:w="992" w:type="dxa"/>
          </w:tcPr>
          <w:p w14:paraId="23550F4A"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090</w:t>
            </w:r>
          </w:p>
        </w:tc>
      </w:tr>
      <w:tr w:rsidR="0017561A" w:rsidRPr="000E6139" w14:paraId="45C8A215" w14:textId="77777777" w:rsidTr="004E0520">
        <w:trPr>
          <w:gridBefore w:val="1"/>
          <w:wBefore w:w="108" w:type="dxa"/>
          <w:jc w:val="center"/>
        </w:trPr>
        <w:tc>
          <w:tcPr>
            <w:tcW w:w="3823" w:type="dxa"/>
          </w:tcPr>
          <w:p w14:paraId="38EF5D8E" w14:textId="77777777" w:rsidR="0017561A" w:rsidRPr="00192CCA" w:rsidRDefault="0017561A" w:rsidP="004E0520">
            <w:pPr>
              <w:rPr>
                <w:sz w:val="20"/>
                <w:szCs w:val="20"/>
              </w:rPr>
            </w:pPr>
            <w:r w:rsidRPr="00192CCA">
              <w:rPr>
                <w:sz w:val="20"/>
                <w:szCs w:val="20"/>
              </w:rPr>
              <w:t>East of England</w:t>
            </w:r>
          </w:p>
        </w:tc>
        <w:tc>
          <w:tcPr>
            <w:tcW w:w="1417" w:type="dxa"/>
          </w:tcPr>
          <w:p w14:paraId="51E4E986" w14:textId="77777777" w:rsidR="0017561A" w:rsidRPr="00192CCA" w:rsidRDefault="0017561A" w:rsidP="004E0520">
            <w:pPr>
              <w:rPr>
                <w:sz w:val="20"/>
                <w:szCs w:val="20"/>
              </w:rPr>
            </w:pPr>
            <w:r>
              <w:rPr>
                <w:sz w:val="20"/>
                <w:szCs w:val="20"/>
              </w:rPr>
              <w:t>1,983 (42.50)</w:t>
            </w:r>
          </w:p>
        </w:tc>
        <w:tc>
          <w:tcPr>
            <w:tcW w:w="1418" w:type="dxa"/>
          </w:tcPr>
          <w:p w14:paraId="55DFAAD2" w14:textId="77777777" w:rsidR="0017561A" w:rsidRPr="00192CCA" w:rsidRDefault="0017561A" w:rsidP="004E0520">
            <w:pPr>
              <w:rPr>
                <w:sz w:val="20"/>
                <w:szCs w:val="20"/>
              </w:rPr>
            </w:pPr>
            <w:r>
              <w:rPr>
                <w:sz w:val="20"/>
                <w:szCs w:val="20"/>
              </w:rPr>
              <w:t>2,683 (57.50)</w:t>
            </w:r>
          </w:p>
        </w:tc>
        <w:tc>
          <w:tcPr>
            <w:tcW w:w="992" w:type="dxa"/>
          </w:tcPr>
          <w:p w14:paraId="00A91EC6" w14:textId="77777777" w:rsidR="0017561A" w:rsidRPr="00192CCA" w:rsidRDefault="0017561A" w:rsidP="004E0520">
            <w:pPr>
              <w:rPr>
                <w:sz w:val="20"/>
                <w:szCs w:val="20"/>
              </w:rPr>
            </w:pPr>
          </w:p>
        </w:tc>
        <w:tc>
          <w:tcPr>
            <w:tcW w:w="709" w:type="dxa"/>
          </w:tcPr>
          <w:p w14:paraId="730E354B" w14:textId="77777777" w:rsidR="0017561A" w:rsidRPr="00192CCA" w:rsidRDefault="0017561A" w:rsidP="004E0520">
            <w:pPr>
              <w:rPr>
                <w:sz w:val="20"/>
                <w:szCs w:val="20"/>
              </w:rPr>
            </w:pPr>
            <w:r w:rsidRPr="00192CCA">
              <w:rPr>
                <w:sz w:val="20"/>
                <w:szCs w:val="20"/>
              </w:rPr>
              <w:t>0</w:t>
            </w:r>
            <w:r>
              <w:rPr>
                <w:sz w:val="20"/>
                <w:szCs w:val="20"/>
              </w:rPr>
              <w:t>.91</w:t>
            </w:r>
          </w:p>
        </w:tc>
        <w:tc>
          <w:tcPr>
            <w:tcW w:w="1417" w:type="dxa"/>
          </w:tcPr>
          <w:p w14:paraId="031F7443" w14:textId="77777777" w:rsidR="0017561A" w:rsidRPr="00192CCA" w:rsidRDefault="0017561A" w:rsidP="004E0520">
            <w:pPr>
              <w:rPr>
                <w:sz w:val="20"/>
                <w:szCs w:val="20"/>
              </w:rPr>
            </w:pPr>
            <w:r w:rsidRPr="00192CCA">
              <w:rPr>
                <w:sz w:val="20"/>
                <w:szCs w:val="20"/>
              </w:rPr>
              <w:t>0.</w:t>
            </w:r>
            <w:r>
              <w:rPr>
                <w:sz w:val="20"/>
                <w:szCs w:val="20"/>
              </w:rPr>
              <w:t>84</w:t>
            </w:r>
            <w:r w:rsidRPr="00192CCA">
              <w:rPr>
                <w:sz w:val="20"/>
                <w:szCs w:val="20"/>
              </w:rPr>
              <w:t xml:space="preserve"> – </w:t>
            </w:r>
            <w:r>
              <w:rPr>
                <w:sz w:val="20"/>
                <w:szCs w:val="20"/>
              </w:rPr>
              <w:t>0.98</w:t>
            </w:r>
          </w:p>
        </w:tc>
        <w:tc>
          <w:tcPr>
            <w:tcW w:w="992" w:type="dxa"/>
          </w:tcPr>
          <w:p w14:paraId="68BBF080" w14:textId="77777777" w:rsidR="0017561A" w:rsidRPr="00192CCA" w:rsidRDefault="0017561A" w:rsidP="004E0520">
            <w:pPr>
              <w:rPr>
                <w:sz w:val="20"/>
                <w:szCs w:val="20"/>
              </w:rPr>
            </w:pPr>
            <w:r>
              <w:rPr>
                <w:sz w:val="20"/>
                <w:szCs w:val="20"/>
              </w:rPr>
              <w:t xml:space="preserve">  </w:t>
            </w:r>
            <w:r w:rsidRPr="00192CCA">
              <w:rPr>
                <w:sz w:val="20"/>
                <w:szCs w:val="20"/>
              </w:rPr>
              <w:t>0.0</w:t>
            </w:r>
            <w:r>
              <w:rPr>
                <w:sz w:val="20"/>
                <w:szCs w:val="20"/>
              </w:rPr>
              <w:t>13</w:t>
            </w:r>
          </w:p>
        </w:tc>
        <w:tc>
          <w:tcPr>
            <w:tcW w:w="709" w:type="dxa"/>
          </w:tcPr>
          <w:p w14:paraId="0D064741" w14:textId="77777777" w:rsidR="0017561A" w:rsidRPr="00192CCA" w:rsidRDefault="0017561A" w:rsidP="004E0520">
            <w:pPr>
              <w:rPr>
                <w:sz w:val="20"/>
                <w:szCs w:val="20"/>
              </w:rPr>
            </w:pPr>
            <w:r w:rsidRPr="00192CCA">
              <w:rPr>
                <w:sz w:val="20"/>
                <w:szCs w:val="20"/>
              </w:rPr>
              <w:t>0.</w:t>
            </w:r>
            <w:r>
              <w:rPr>
                <w:sz w:val="20"/>
                <w:szCs w:val="20"/>
              </w:rPr>
              <w:t>88</w:t>
            </w:r>
          </w:p>
        </w:tc>
        <w:tc>
          <w:tcPr>
            <w:tcW w:w="1418" w:type="dxa"/>
          </w:tcPr>
          <w:p w14:paraId="44E8508B" w14:textId="77777777" w:rsidR="0017561A" w:rsidRPr="00192CCA" w:rsidRDefault="0017561A" w:rsidP="004E0520">
            <w:pPr>
              <w:rPr>
                <w:sz w:val="20"/>
                <w:szCs w:val="20"/>
              </w:rPr>
            </w:pPr>
            <w:r w:rsidRPr="00192CCA">
              <w:rPr>
                <w:sz w:val="20"/>
                <w:szCs w:val="20"/>
              </w:rPr>
              <w:t>0.</w:t>
            </w:r>
            <w:r>
              <w:rPr>
                <w:sz w:val="20"/>
                <w:szCs w:val="20"/>
              </w:rPr>
              <w:t>80</w:t>
            </w:r>
            <w:r w:rsidRPr="00192CCA">
              <w:rPr>
                <w:sz w:val="20"/>
                <w:szCs w:val="20"/>
              </w:rPr>
              <w:t xml:space="preserve"> – 0.</w:t>
            </w:r>
            <w:r>
              <w:rPr>
                <w:sz w:val="20"/>
                <w:szCs w:val="20"/>
              </w:rPr>
              <w:t>97</w:t>
            </w:r>
          </w:p>
        </w:tc>
        <w:tc>
          <w:tcPr>
            <w:tcW w:w="992" w:type="dxa"/>
          </w:tcPr>
          <w:p w14:paraId="1F66CCB9" w14:textId="77777777" w:rsidR="0017561A" w:rsidRPr="00192CCA" w:rsidRDefault="0017561A" w:rsidP="004E0520">
            <w:pPr>
              <w:rPr>
                <w:sz w:val="20"/>
                <w:szCs w:val="20"/>
              </w:rPr>
            </w:pPr>
            <w:r>
              <w:rPr>
                <w:sz w:val="20"/>
                <w:szCs w:val="20"/>
              </w:rPr>
              <w:t xml:space="preserve">  0</w:t>
            </w:r>
            <w:r w:rsidRPr="00192CCA">
              <w:rPr>
                <w:sz w:val="20"/>
                <w:szCs w:val="20"/>
              </w:rPr>
              <w:t>.0</w:t>
            </w:r>
            <w:r>
              <w:rPr>
                <w:sz w:val="20"/>
                <w:szCs w:val="20"/>
              </w:rPr>
              <w:t>08</w:t>
            </w:r>
          </w:p>
        </w:tc>
      </w:tr>
      <w:tr w:rsidR="0017561A" w:rsidRPr="000E6139" w14:paraId="2C28F012" w14:textId="77777777" w:rsidTr="004E0520">
        <w:trPr>
          <w:gridBefore w:val="1"/>
          <w:wBefore w:w="108" w:type="dxa"/>
          <w:jc w:val="center"/>
        </w:trPr>
        <w:tc>
          <w:tcPr>
            <w:tcW w:w="3823" w:type="dxa"/>
          </w:tcPr>
          <w:p w14:paraId="3CFEE768" w14:textId="77777777" w:rsidR="0017561A" w:rsidRPr="00192CCA" w:rsidRDefault="0017561A" w:rsidP="004E0520">
            <w:pPr>
              <w:rPr>
                <w:sz w:val="20"/>
                <w:szCs w:val="20"/>
              </w:rPr>
            </w:pPr>
            <w:r w:rsidRPr="00192CCA">
              <w:rPr>
                <w:sz w:val="20"/>
                <w:szCs w:val="20"/>
              </w:rPr>
              <w:t>South East</w:t>
            </w:r>
          </w:p>
        </w:tc>
        <w:tc>
          <w:tcPr>
            <w:tcW w:w="1417" w:type="dxa"/>
          </w:tcPr>
          <w:p w14:paraId="1A004A37" w14:textId="77777777" w:rsidR="0017561A" w:rsidRPr="00192CCA" w:rsidRDefault="0017561A" w:rsidP="004E0520">
            <w:pPr>
              <w:rPr>
                <w:sz w:val="20"/>
                <w:szCs w:val="20"/>
              </w:rPr>
            </w:pPr>
            <w:r>
              <w:rPr>
                <w:sz w:val="20"/>
                <w:szCs w:val="20"/>
              </w:rPr>
              <w:t>2,346 (44.13)</w:t>
            </w:r>
          </w:p>
        </w:tc>
        <w:tc>
          <w:tcPr>
            <w:tcW w:w="1418" w:type="dxa"/>
          </w:tcPr>
          <w:p w14:paraId="182BD3C2" w14:textId="77777777" w:rsidR="0017561A" w:rsidRPr="00192CCA" w:rsidRDefault="0017561A" w:rsidP="004E0520">
            <w:pPr>
              <w:rPr>
                <w:sz w:val="20"/>
                <w:szCs w:val="20"/>
              </w:rPr>
            </w:pPr>
            <w:r>
              <w:rPr>
                <w:sz w:val="20"/>
                <w:szCs w:val="20"/>
              </w:rPr>
              <w:t>2,970 (55.87)</w:t>
            </w:r>
          </w:p>
        </w:tc>
        <w:tc>
          <w:tcPr>
            <w:tcW w:w="992" w:type="dxa"/>
          </w:tcPr>
          <w:p w14:paraId="646780A8" w14:textId="77777777" w:rsidR="0017561A" w:rsidRPr="00192CCA" w:rsidRDefault="0017561A" w:rsidP="004E0520">
            <w:pPr>
              <w:rPr>
                <w:sz w:val="20"/>
                <w:szCs w:val="20"/>
              </w:rPr>
            </w:pPr>
          </w:p>
        </w:tc>
        <w:tc>
          <w:tcPr>
            <w:tcW w:w="709" w:type="dxa"/>
          </w:tcPr>
          <w:p w14:paraId="71BF9C4C" w14:textId="77777777" w:rsidR="0017561A" w:rsidRPr="00192CCA" w:rsidRDefault="0017561A" w:rsidP="004E0520">
            <w:pPr>
              <w:rPr>
                <w:sz w:val="20"/>
                <w:szCs w:val="20"/>
              </w:rPr>
            </w:pPr>
            <w:r w:rsidRPr="00192CCA">
              <w:rPr>
                <w:sz w:val="20"/>
                <w:szCs w:val="20"/>
              </w:rPr>
              <w:t>0.</w:t>
            </w:r>
            <w:r>
              <w:rPr>
                <w:sz w:val="20"/>
                <w:szCs w:val="20"/>
              </w:rPr>
              <w:t>97</w:t>
            </w:r>
          </w:p>
        </w:tc>
        <w:tc>
          <w:tcPr>
            <w:tcW w:w="1417" w:type="dxa"/>
          </w:tcPr>
          <w:p w14:paraId="5EDC05B2" w14:textId="77777777" w:rsidR="0017561A" w:rsidRPr="00192CCA" w:rsidRDefault="0017561A" w:rsidP="004E0520">
            <w:pPr>
              <w:rPr>
                <w:sz w:val="20"/>
                <w:szCs w:val="20"/>
              </w:rPr>
            </w:pPr>
            <w:r w:rsidRPr="00192CCA">
              <w:rPr>
                <w:sz w:val="20"/>
                <w:szCs w:val="20"/>
              </w:rPr>
              <w:t>0.</w:t>
            </w:r>
            <w:r>
              <w:rPr>
                <w:sz w:val="20"/>
                <w:szCs w:val="20"/>
              </w:rPr>
              <w:t>90</w:t>
            </w:r>
            <w:r w:rsidRPr="00192CCA">
              <w:rPr>
                <w:sz w:val="20"/>
                <w:szCs w:val="20"/>
              </w:rPr>
              <w:t xml:space="preserve"> – 1</w:t>
            </w:r>
            <w:r>
              <w:rPr>
                <w:sz w:val="20"/>
                <w:szCs w:val="20"/>
              </w:rPr>
              <w:t>.04</w:t>
            </w:r>
          </w:p>
        </w:tc>
        <w:tc>
          <w:tcPr>
            <w:tcW w:w="992" w:type="dxa"/>
          </w:tcPr>
          <w:p w14:paraId="39D361B2"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396</w:t>
            </w:r>
          </w:p>
        </w:tc>
        <w:tc>
          <w:tcPr>
            <w:tcW w:w="709" w:type="dxa"/>
          </w:tcPr>
          <w:p w14:paraId="7D57AFF2" w14:textId="77777777" w:rsidR="0017561A" w:rsidRPr="00192CCA" w:rsidRDefault="0017561A" w:rsidP="004E0520">
            <w:pPr>
              <w:rPr>
                <w:sz w:val="20"/>
                <w:szCs w:val="20"/>
              </w:rPr>
            </w:pPr>
            <w:r>
              <w:rPr>
                <w:sz w:val="20"/>
                <w:szCs w:val="20"/>
              </w:rPr>
              <w:t>1.00</w:t>
            </w:r>
          </w:p>
        </w:tc>
        <w:tc>
          <w:tcPr>
            <w:tcW w:w="1418" w:type="dxa"/>
          </w:tcPr>
          <w:p w14:paraId="2805BF4A" w14:textId="77777777" w:rsidR="0017561A" w:rsidRPr="00192CCA" w:rsidRDefault="0017561A" w:rsidP="004E0520">
            <w:pPr>
              <w:rPr>
                <w:sz w:val="20"/>
                <w:szCs w:val="20"/>
              </w:rPr>
            </w:pPr>
            <w:r w:rsidRPr="00192CCA">
              <w:rPr>
                <w:sz w:val="20"/>
                <w:szCs w:val="20"/>
              </w:rPr>
              <w:t>0.</w:t>
            </w:r>
            <w:r>
              <w:rPr>
                <w:sz w:val="20"/>
                <w:szCs w:val="20"/>
              </w:rPr>
              <w:t>92</w:t>
            </w:r>
            <w:r w:rsidRPr="00192CCA">
              <w:rPr>
                <w:sz w:val="20"/>
                <w:szCs w:val="20"/>
              </w:rPr>
              <w:t xml:space="preserve"> – </w:t>
            </w:r>
            <w:r>
              <w:rPr>
                <w:sz w:val="20"/>
                <w:szCs w:val="20"/>
              </w:rPr>
              <w:t>1.10</w:t>
            </w:r>
          </w:p>
        </w:tc>
        <w:tc>
          <w:tcPr>
            <w:tcW w:w="992" w:type="dxa"/>
          </w:tcPr>
          <w:p w14:paraId="7F8854C4"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945</w:t>
            </w:r>
          </w:p>
        </w:tc>
      </w:tr>
      <w:tr w:rsidR="0017561A" w:rsidRPr="000E6139" w14:paraId="3DA9D44A" w14:textId="77777777" w:rsidTr="004E0520">
        <w:trPr>
          <w:gridBefore w:val="1"/>
          <w:wBefore w:w="108" w:type="dxa"/>
          <w:jc w:val="center"/>
        </w:trPr>
        <w:tc>
          <w:tcPr>
            <w:tcW w:w="3823" w:type="dxa"/>
          </w:tcPr>
          <w:p w14:paraId="398EA899" w14:textId="77777777" w:rsidR="0017561A" w:rsidRPr="00192CCA" w:rsidRDefault="0017561A" w:rsidP="004E0520">
            <w:pPr>
              <w:rPr>
                <w:sz w:val="20"/>
                <w:szCs w:val="20"/>
              </w:rPr>
            </w:pPr>
            <w:r w:rsidRPr="00192CCA">
              <w:rPr>
                <w:sz w:val="20"/>
                <w:szCs w:val="20"/>
              </w:rPr>
              <w:t>South West</w:t>
            </w:r>
          </w:p>
        </w:tc>
        <w:tc>
          <w:tcPr>
            <w:tcW w:w="1417" w:type="dxa"/>
          </w:tcPr>
          <w:p w14:paraId="30E6C90E" w14:textId="77777777" w:rsidR="0017561A" w:rsidRPr="00192CCA" w:rsidRDefault="0017561A" w:rsidP="004E0520">
            <w:pPr>
              <w:rPr>
                <w:sz w:val="20"/>
                <w:szCs w:val="20"/>
              </w:rPr>
            </w:pPr>
            <w:r>
              <w:rPr>
                <w:sz w:val="20"/>
                <w:szCs w:val="20"/>
              </w:rPr>
              <w:t>1,685 (43.93)</w:t>
            </w:r>
          </w:p>
        </w:tc>
        <w:tc>
          <w:tcPr>
            <w:tcW w:w="1418" w:type="dxa"/>
          </w:tcPr>
          <w:p w14:paraId="20BBDEE7" w14:textId="77777777" w:rsidR="0017561A" w:rsidRPr="00192CCA" w:rsidRDefault="0017561A" w:rsidP="004E0520">
            <w:pPr>
              <w:rPr>
                <w:sz w:val="20"/>
                <w:szCs w:val="20"/>
              </w:rPr>
            </w:pPr>
            <w:r>
              <w:rPr>
                <w:sz w:val="20"/>
                <w:szCs w:val="20"/>
              </w:rPr>
              <w:t>2,151 (56.07)</w:t>
            </w:r>
          </w:p>
        </w:tc>
        <w:tc>
          <w:tcPr>
            <w:tcW w:w="992" w:type="dxa"/>
          </w:tcPr>
          <w:p w14:paraId="6262FBF6" w14:textId="77777777" w:rsidR="0017561A" w:rsidRPr="00192CCA" w:rsidRDefault="0017561A" w:rsidP="004E0520">
            <w:pPr>
              <w:rPr>
                <w:sz w:val="20"/>
                <w:szCs w:val="20"/>
              </w:rPr>
            </w:pPr>
          </w:p>
        </w:tc>
        <w:tc>
          <w:tcPr>
            <w:tcW w:w="709" w:type="dxa"/>
          </w:tcPr>
          <w:p w14:paraId="0A69077A" w14:textId="77777777" w:rsidR="0017561A" w:rsidRPr="00192CCA" w:rsidRDefault="0017561A" w:rsidP="004E0520">
            <w:pPr>
              <w:rPr>
                <w:sz w:val="20"/>
                <w:szCs w:val="20"/>
              </w:rPr>
            </w:pPr>
            <w:r>
              <w:rPr>
                <w:sz w:val="20"/>
                <w:szCs w:val="20"/>
              </w:rPr>
              <w:t>0.96</w:t>
            </w:r>
          </w:p>
        </w:tc>
        <w:tc>
          <w:tcPr>
            <w:tcW w:w="1417" w:type="dxa"/>
          </w:tcPr>
          <w:p w14:paraId="7A509780" w14:textId="77777777" w:rsidR="0017561A" w:rsidRPr="00192CCA" w:rsidRDefault="0017561A" w:rsidP="004E0520">
            <w:pPr>
              <w:rPr>
                <w:sz w:val="20"/>
                <w:szCs w:val="20"/>
              </w:rPr>
            </w:pPr>
            <w:r w:rsidRPr="00192CCA">
              <w:rPr>
                <w:sz w:val="20"/>
                <w:szCs w:val="20"/>
              </w:rPr>
              <w:t>0.</w:t>
            </w:r>
            <w:r>
              <w:rPr>
                <w:sz w:val="20"/>
                <w:szCs w:val="20"/>
              </w:rPr>
              <w:t>88</w:t>
            </w:r>
            <w:r w:rsidRPr="00192CCA">
              <w:rPr>
                <w:sz w:val="20"/>
                <w:szCs w:val="20"/>
              </w:rPr>
              <w:t xml:space="preserve"> – 1.</w:t>
            </w:r>
            <w:r>
              <w:rPr>
                <w:sz w:val="20"/>
                <w:szCs w:val="20"/>
              </w:rPr>
              <w:t>04</w:t>
            </w:r>
          </w:p>
        </w:tc>
        <w:tc>
          <w:tcPr>
            <w:tcW w:w="992" w:type="dxa"/>
          </w:tcPr>
          <w:p w14:paraId="00D114F2"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331</w:t>
            </w:r>
          </w:p>
        </w:tc>
        <w:tc>
          <w:tcPr>
            <w:tcW w:w="709" w:type="dxa"/>
          </w:tcPr>
          <w:p w14:paraId="701D3CBC" w14:textId="77777777" w:rsidR="0017561A" w:rsidRPr="00192CCA" w:rsidRDefault="0017561A" w:rsidP="004E0520">
            <w:pPr>
              <w:rPr>
                <w:sz w:val="20"/>
                <w:szCs w:val="20"/>
              </w:rPr>
            </w:pPr>
            <w:r>
              <w:rPr>
                <w:sz w:val="20"/>
                <w:szCs w:val="20"/>
              </w:rPr>
              <w:t>1.07</w:t>
            </w:r>
          </w:p>
        </w:tc>
        <w:tc>
          <w:tcPr>
            <w:tcW w:w="1418" w:type="dxa"/>
          </w:tcPr>
          <w:p w14:paraId="2CAFFAAD" w14:textId="77777777" w:rsidR="0017561A" w:rsidRPr="00192CCA" w:rsidRDefault="0017561A" w:rsidP="004E0520">
            <w:pPr>
              <w:rPr>
                <w:sz w:val="20"/>
                <w:szCs w:val="20"/>
              </w:rPr>
            </w:pPr>
            <w:r w:rsidRPr="00192CCA">
              <w:rPr>
                <w:sz w:val="20"/>
                <w:szCs w:val="20"/>
              </w:rPr>
              <w:t>0.</w:t>
            </w:r>
            <w:r>
              <w:rPr>
                <w:sz w:val="20"/>
                <w:szCs w:val="20"/>
              </w:rPr>
              <w:t>97</w:t>
            </w:r>
            <w:r w:rsidRPr="00192CCA">
              <w:rPr>
                <w:sz w:val="20"/>
                <w:szCs w:val="20"/>
              </w:rPr>
              <w:t xml:space="preserve"> – 1.</w:t>
            </w:r>
            <w:r>
              <w:rPr>
                <w:sz w:val="20"/>
                <w:szCs w:val="20"/>
              </w:rPr>
              <w:t>18</w:t>
            </w:r>
          </w:p>
        </w:tc>
        <w:tc>
          <w:tcPr>
            <w:tcW w:w="992" w:type="dxa"/>
          </w:tcPr>
          <w:p w14:paraId="76307FF5"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186</w:t>
            </w:r>
          </w:p>
        </w:tc>
      </w:tr>
      <w:tr w:rsidR="0017561A" w:rsidRPr="000E6139" w14:paraId="3F9CC784" w14:textId="77777777" w:rsidTr="004E0520">
        <w:trPr>
          <w:gridBefore w:val="1"/>
          <w:wBefore w:w="108" w:type="dxa"/>
          <w:jc w:val="center"/>
        </w:trPr>
        <w:tc>
          <w:tcPr>
            <w:tcW w:w="3823" w:type="dxa"/>
          </w:tcPr>
          <w:p w14:paraId="3741DF25" w14:textId="77777777" w:rsidR="0017561A" w:rsidRPr="00192CCA" w:rsidRDefault="0017561A" w:rsidP="004E0520">
            <w:pPr>
              <w:rPr>
                <w:sz w:val="20"/>
                <w:szCs w:val="20"/>
              </w:rPr>
            </w:pPr>
            <w:r w:rsidRPr="00192CCA">
              <w:rPr>
                <w:sz w:val="20"/>
                <w:szCs w:val="20"/>
              </w:rPr>
              <w:t>London</w:t>
            </w:r>
          </w:p>
        </w:tc>
        <w:tc>
          <w:tcPr>
            <w:tcW w:w="1417" w:type="dxa"/>
          </w:tcPr>
          <w:p w14:paraId="751A541F" w14:textId="77777777" w:rsidR="0017561A" w:rsidRPr="00192CCA" w:rsidRDefault="0017561A" w:rsidP="004E0520">
            <w:pPr>
              <w:rPr>
                <w:sz w:val="20"/>
                <w:szCs w:val="20"/>
              </w:rPr>
            </w:pPr>
            <w:r>
              <w:rPr>
                <w:sz w:val="20"/>
                <w:szCs w:val="20"/>
              </w:rPr>
              <w:t>1,522 (47.11)</w:t>
            </w:r>
          </w:p>
        </w:tc>
        <w:tc>
          <w:tcPr>
            <w:tcW w:w="1418" w:type="dxa"/>
          </w:tcPr>
          <w:p w14:paraId="0E1A269F" w14:textId="77777777" w:rsidR="0017561A" w:rsidRPr="00192CCA" w:rsidRDefault="0017561A" w:rsidP="004E0520">
            <w:pPr>
              <w:rPr>
                <w:sz w:val="20"/>
                <w:szCs w:val="20"/>
              </w:rPr>
            </w:pPr>
            <w:r>
              <w:rPr>
                <w:sz w:val="20"/>
                <w:szCs w:val="20"/>
              </w:rPr>
              <w:t>1,709 (52.89)</w:t>
            </w:r>
          </w:p>
        </w:tc>
        <w:tc>
          <w:tcPr>
            <w:tcW w:w="992" w:type="dxa"/>
          </w:tcPr>
          <w:p w14:paraId="1C4850E5" w14:textId="77777777" w:rsidR="0017561A" w:rsidRPr="00192CCA" w:rsidRDefault="0017561A" w:rsidP="004E0520">
            <w:pPr>
              <w:rPr>
                <w:sz w:val="20"/>
                <w:szCs w:val="20"/>
              </w:rPr>
            </w:pPr>
          </w:p>
        </w:tc>
        <w:tc>
          <w:tcPr>
            <w:tcW w:w="709" w:type="dxa"/>
          </w:tcPr>
          <w:p w14:paraId="1D541E56" w14:textId="77777777" w:rsidR="0017561A" w:rsidRPr="00192CCA" w:rsidRDefault="0017561A" w:rsidP="004E0520">
            <w:pPr>
              <w:rPr>
                <w:sz w:val="20"/>
                <w:szCs w:val="20"/>
              </w:rPr>
            </w:pPr>
            <w:r>
              <w:rPr>
                <w:sz w:val="20"/>
                <w:szCs w:val="20"/>
              </w:rPr>
              <w:t>1.09</w:t>
            </w:r>
          </w:p>
        </w:tc>
        <w:tc>
          <w:tcPr>
            <w:tcW w:w="1417" w:type="dxa"/>
          </w:tcPr>
          <w:p w14:paraId="3F1C851C" w14:textId="77777777" w:rsidR="0017561A" w:rsidRPr="00192CCA" w:rsidRDefault="0017561A" w:rsidP="004E0520">
            <w:pPr>
              <w:rPr>
                <w:sz w:val="20"/>
                <w:szCs w:val="20"/>
              </w:rPr>
            </w:pPr>
            <w:r>
              <w:rPr>
                <w:sz w:val="20"/>
                <w:szCs w:val="20"/>
              </w:rPr>
              <w:t>1.00</w:t>
            </w:r>
            <w:r w:rsidRPr="00192CCA">
              <w:rPr>
                <w:sz w:val="20"/>
                <w:szCs w:val="20"/>
              </w:rPr>
              <w:t xml:space="preserve"> – 1.</w:t>
            </w:r>
            <w:r>
              <w:rPr>
                <w:sz w:val="20"/>
                <w:szCs w:val="20"/>
              </w:rPr>
              <w:t>19</w:t>
            </w:r>
          </w:p>
        </w:tc>
        <w:tc>
          <w:tcPr>
            <w:tcW w:w="992" w:type="dxa"/>
          </w:tcPr>
          <w:p w14:paraId="442B6208"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049</w:t>
            </w:r>
          </w:p>
        </w:tc>
        <w:tc>
          <w:tcPr>
            <w:tcW w:w="709" w:type="dxa"/>
          </w:tcPr>
          <w:p w14:paraId="4F5CA519" w14:textId="77777777" w:rsidR="0017561A" w:rsidRPr="00192CCA" w:rsidRDefault="0017561A" w:rsidP="004E0520">
            <w:pPr>
              <w:rPr>
                <w:sz w:val="20"/>
                <w:szCs w:val="20"/>
              </w:rPr>
            </w:pPr>
            <w:r w:rsidRPr="00192CCA">
              <w:rPr>
                <w:sz w:val="20"/>
                <w:szCs w:val="20"/>
              </w:rPr>
              <w:t>0.</w:t>
            </w:r>
            <w:r>
              <w:rPr>
                <w:sz w:val="20"/>
                <w:szCs w:val="20"/>
              </w:rPr>
              <w:t>92</w:t>
            </w:r>
          </w:p>
        </w:tc>
        <w:tc>
          <w:tcPr>
            <w:tcW w:w="1418" w:type="dxa"/>
          </w:tcPr>
          <w:p w14:paraId="303681E8" w14:textId="77777777" w:rsidR="0017561A" w:rsidRPr="00192CCA" w:rsidRDefault="0017561A" w:rsidP="004E0520">
            <w:pPr>
              <w:rPr>
                <w:sz w:val="20"/>
                <w:szCs w:val="20"/>
              </w:rPr>
            </w:pPr>
            <w:r w:rsidRPr="00192CCA">
              <w:rPr>
                <w:sz w:val="20"/>
                <w:szCs w:val="20"/>
              </w:rPr>
              <w:t>0.</w:t>
            </w:r>
            <w:r>
              <w:rPr>
                <w:sz w:val="20"/>
                <w:szCs w:val="20"/>
              </w:rPr>
              <w:t>83</w:t>
            </w:r>
            <w:r w:rsidRPr="00192CCA">
              <w:rPr>
                <w:sz w:val="20"/>
                <w:szCs w:val="20"/>
              </w:rPr>
              <w:t xml:space="preserve"> – </w:t>
            </w:r>
            <w:r>
              <w:rPr>
                <w:sz w:val="20"/>
                <w:szCs w:val="20"/>
              </w:rPr>
              <w:t>1.03</w:t>
            </w:r>
          </w:p>
        </w:tc>
        <w:tc>
          <w:tcPr>
            <w:tcW w:w="992" w:type="dxa"/>
          </w:tcPr>
          <w:p w14:paraId="3622623F"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139</w:t>
            </w:r>
          </w:p>
          <w:p w14:paraId="601FD0DE" w14:textId="77777777" w:rsidR="0017561A" w:rsidRPr="00192CCA" w:rsidRDefault="0017561A" w:rsidP="004E0520">
            <w:pPr>
              <w:rPr>
                <w:sz w:val="10"/>
                <w:szCs w:val="10"/>
              </w:rPr>
            </w:pPr>
          </w:p>
        </w:tc>
      </w:tr>
      <w:tr w:rsidR="0017561A" w:rsidRPr="000E6139" w14:paraId="32F6BD77" w14:textId="77777777" w:rsidTr="004E0520">
        <w:trPr>
          <w:gridBefore w:val="1"/>
          <w:wBefore w:w="108" w:type="dxa"/>
          <w:jc w:val="center"/>
        </w:trPr>
        <w:tc>
          <w:tcPr>
            <w:tcW w:w="3823" w:type="dxa"/>
          </w:tcPr>
          <w:p w14:paraId="7C9ED7E2" w14:textId="77777777" w:rsidR="0017561A" w:rsidRPr="00192CCA" w:rsidRDefault="0017561A" w:rsidP="004E0520">
            <w:pPr>
              <w:rPr>
                <w:sz w:val="20"/>
                <w:szCs w:val="20"/>
              </w:rPr>
            </w:pPr>
          </w:p>
        </w:tc>
        <w:tc>
          <w:tcPr>
            <w:tcW w:w="1417" w:type="dxa"/>
          </w:tcPr>
          <w:p w14:paraId="74CCFD7F" w14:textId="77777777" w:rsidR="0017561A" w:rsidRDefault="0017561A" w:rsidP="004E0520">
            <w:pPr>
              <w:rPr>
                <w:sz w:val="20"/>
                <w:szCs w:val="20"/>
              </w:rPr>
            </w:pPr>
          </w:p>
        </w:tc>
        <w:tc>
          <w:tcPr>
            <w:tcW w:w="1418" w:type="dxa"/>
          </w:tcPr>
          <w:p w14:paraId="7725EFD6" w14:textId="77777777" w:rsidR="0017561A" w:rsidRDefault="0017561A" w:rsidP="004E0520">
            <w:pPr>
              <w:rPr>
                <w:sz w:val="20"/>
                <w:szCs w:val="20"/>
              </w:rPr>
            </w:pPr>
          </w:p>
        </w:tc>
        <w:tc>
          <w:tcPr>
            <w:tcW w:w="992" w:type="dxa"/>
          </w:tcPr>
          <w:p w14:paraId="056EEAF1" w14:textId="77777777" w:rsidR="0017561A" w:rsidRPr="00192CCA" w:rsidRDefault="0017561A" w:rsidP="004E0520">
            <w:pPr>
              <w:rPr>
                <w:sz w:val="20"/>
                <w:szCs w:val="20"/>
              </w:rPr>
            </w:pPr>
          </w:p>
        </w:tc>
        <w:tc>
          <w:tcPr>
            <w:tcW w:w="709" w:type="dxa"/>
          </w:tcPr>
          <w:p w14:paraId="0B37DF51" w14:textId="77777777" w:rsidR="0017561A" w:rsidRDefault="0017561A" w:rsidP="004E0520">
            <w:pPr>
              <w:rPr>
                <w:sz w:val="20"/>
                <w:szCs w:val="20"/>
              </w:rPr>
            </w:pPr>
          </w:p>
        </w:tc>
        <w:tc>
          <w:tcPr>
            <w:tcW w:w="1417" w:type="dxa"/>
          </w:tcPr>
          <w:p w14:paraId="797EF001" w14:textId="77777777" w:rsidR="0017561A" w:rsidRDefault="0017561A" w:rsidP="004E0520">
            <w:pPr>
              <w:rPr>
                <w:sz w:val="20"/>
                <w:szCs w:val="20"/>
              </w:rPr>
            </w:pPr>
          </w:p>
        </w:tc>
        <w:tc>
          <w:tcPr>
            <w:tcW w:w="992" w:type="dxa"/>
          </w:tcPr>
          <w:p w14:paraId="15CA3E71" w14:textId="77777777" w:rsidR="0017561A" w:rsidRDefault="0017561A" w:rsidP="004E0520">
            <w:pPr>
              <w:rPr>
                <w:sz w:val="20"/>
                <w:szCs w:val="20"/>
              </w:rPr>
            </w:pPr>
          </w:p>
        </w:tc>
        <w:tc>
          <w:tcPr>
            <w:tcW w:w="709" w:type="dxa"/>
          </w:tcPr>
          <w:p w14:paraId="0ACA3412" w14:textId="77777777" w:rsidR="0017561A" w:rsidRPr="00192CCA" w:rsidRDefault="0017561A" w:rsidP="004E0520">
            <w:pPr>
              <w:rPr>
                <w:sz w:val="20"/>
                <w:szCs w:val="20"/>
              </w:rPr>
            </w:pPr>
          </w:p>
        </w:tc>
        <w:tc>
          <w:tcPr>
            <w:tcW w:w="1418" w:type="dxa"/>
          </w:tcPr>
          <w:p w14:paraId="0A3C40CD" w14:textId="77777777" w:rsidR="0017561A" w:rsidRPr="00192CCA" w:rsidRDefault="0017561A" w:rsidP="004E0520">
            <w:pPr>
              <w:rPr>
                <w:sz w:val="20"/>
                <w:szCs w:val="20"/>
              </w:rPr>
            </w:pPr>
          </w:p>
        </w:tc>
        <w:tc>
          <w:tcPr>
            <w:tcW w:w="992" w:type="dxa"/>
          </w:tcPr>
          <w:p w14:paraId="448EBD08" w14:textId="77777777" w:rsidR="0017561A" w:rsidRDefault="0017561A" w:rsidP="004E0520">
            <w:pPr>
              <w:rPr>
                <w:sz w:val="20"/>
                <w:szCs w:val="20"/>
              </w:rPr>
            </w:pPr>
          </w:p>
        </w:tc>
      </w:tr>
      <w:tr w:rsidR="0017561A" w:rsidRPr="00192CCA" w14:paraId="1737CCA3" w14:textId="77777777" w:rsidTr="004E0520">
        <w:trPr>
          <w:jc w:val="center"/>
        </w:trPr>
        <w:tc>
          <w:tcPr>
            <w:tcW w:w="3931" w:type="dxa"/>
            <w:gridSpan w:val="2"/>
          </w:tcPr>
          <w:p w14:paraId="3ECF44BD" w14:textId="77777777" w:rsidR="0017561A" w:rsidRPr="00192CCA" w:rsidRDefault="0017561A" w:rsidP="004E0520">
            <w:pPr>
              <w:rPr>
                <w:sz w:val="20"/>
                <w:szCs w:val="20"/>
              </w:rPr>
            </w:pPr>
            <w:r>
              <w:rPr>
                <w:b/>
                <w:bCs/>
                <w:sz w:val="20"/>
                <w:szCs w:val="20"/>
              </w:rPr>
              <w:t xml:space="preserve">  Stage at Diagnosis</w:t>
            </w:r>
          </w:p>
        </w:tc>
        <w:tc>
          <w:tcPr>
            <w:tcW w:w="1417" w:type="dxa"/>
          </w:tcPr>
          <w:p w14:paraId="308CDD94" w14:textId="77777777" w:rsidR="0017561A" w:rsidRPr="00192CCA" w:rsidRDefault="0017561A" w:rsidP="004E0520">
            <w:pPr>
              <w:rPr>
                <w:sz w:val="20"/>
                <w:szCs w:val="20"/>
              </w:rPr>
            </w:pPr>
          </w:p>
        </w:tc>
        <w:tc>
          <w:tcPr>
            <w:tcW w:w="1418" w:type="dxa"/>
          </w:tcPr>
          <w:p w14:paraId="271D4538" w14:textId="77777777" w:rsidR="0017561A" w:rsidRPr="00192CCA" w:rsidRDefault="0017561A" w:rsidP="004E0520">
            <w:pPr>
              <w:rPr>
                <w:sz w:val="20"/>
                <w:szCs w:val="20"/>
              </w:rPr>
            </w:pPr>
          </w:p>
        </w:tc>
        <w:tc>
          <w:tcPr>
            <w:tcW w:w="992" w:type="dxa"/>
          </w:tcPr>
          <w:p w14:paraId="28F52FA4" w14:textId="77777777" w:rsidR="0017561A" w:rsidRPr="00192CCA" w:rsidRDefault="0017561A" w:rsidP="004E0520">
            <w:pPr>
              <w:rPr>
                <w:sz w:val="20"/>
                <w:szCs w:val="20"/>
              </w:rPr>
            </w:pPr>
            <w:r w:rsidRPr="00192CCA">
              <w:rPr>
                <w:sz w:val="20"/>
                <w:szCs w:val="20"/>
              </w:rPr>
              <w:t>&lt;0.001</w:t>
            </w:r>
          </w:p>
        </w:tc>
        <w:tc>
          <w:tcPr>
            <w:tcW w:w="709" w:type="dxa"/>
          </w:tcPr>
          <w:p w14:paraId="61316631" w14:textId="77777777" w:rsidR="0017561A" w:rsidRPr="00192CCA" w:rsidRDefault="0017561A" w:rsidP="004E0520">
            <w:pPr>
              <w:rPr>
                <w:sz w:val="20"/>
                <w:szCs w:val="20"/>
              </w:rPr>
            </w:pPr>
          </w:p>
        </w:tc>
        <w:tc>
          <w:tcPr>
            <w:tcW w:w="1417" w:type="dxa"/>
          </w:tcPr>
          <w:p w14:paraId="3F2A47CF" w14:textId="77777777" w:rsidR="0017561A" w:rsidRPr="00192CCA" w:rsidRDefault="0017561A" w:rsidP="004E0520">
            <w:pPr>
              <w:rPr>
                <w:sz w:val="20"/>
                <w:szCs w:val="20"/>
              </w:rPr>
            </w:pPr>
          </w:p>
        </w:tc>
        <w:tc>
          <w:tcPr>
            <w:tcW w:w="992" w:type="dxa"/>
          </w:tcPr>
          <w:p w14:paraId="54119A27" w14:textId="77777777" w:rsidR="0017561A" w:rsidRPr="00192CCA" w:rsidRDefault="0017561A" w:rsidP="004E0520">
            <w:pPr>
              <w:rPr>
                <w:sz w:val="20"/>
                <w:szCs w:val="20"/>
              </w:rPr>
            </w:pPr>
            <w:r w:rsidRPr="00192CCA">
              <w:rPr>
                <w:b/>
                <w:bCs/>
                <w:sz w:val="20"/>
                <w:szCs w:val="20"/>
              </w:rPr>
              <w:t>&lt;0.001</w:t>
            </w:r>
          </w:p>
        </w:tc>
        <w:tc>
          <w:tcPr>
            <w:tcW w:w="709" w:type="dxa"/>
          </w:tcPr>
          <w:p w14:paraId="4253AEB9" w14:textId="77777777" w:rsidR="0017561A" w:rsidRPr="00192CCA" w:rsidRDefault="0017561A" w:rsidP="004E0520">
            <w:pPr>
              <w:rPr>
                <w:sz w:val="20"/>
                <w:szCs w:val="20"/>
              </w:rPr>
            </w:pPr>
          </w:p>
        </w:tc>
        <w:tc>
          <w:tcPr>
            <w:tcW w:w="1418" w:type="dxa"/>
          </w:tcPr>
          <w:p w14:paraId="1F62BFE8" w14:textId="77777777" w:rsidR="0017561A" w:rsidRPr="00192CCA" w:rsidRDefault="0017561A" w:rsidP="004E0520">
            <w:pPr>
              <w:rPr>
                <w:sz w:val="20"/>
                <w:szCs w:val="20"/>
              </w:rPr>
            </w:pPr>
          </w:p>
        </w:tc>
        <w:tc>
          <w:tcPr>
            <w:tcW w:w="992" w:type="dxa"/>
          </w:tcPr>
          <w:p w14:paraId="2A68F2D0" w14:textId="77777777" w:rsidR="0017561A" w:rsidRPr="00192CCA" w:rsidRDefault="0017561A" w:rsidP="004E0520">
            <w:pPr>
              <w:rPr>
                <w:sz w:val="20"/>
                <w:szCs w:val="20"/>
              </w:rPr>
            </w:pPr>
            <w:r>
              <w:rPr>
                <w:b/>
                <w:bCs/>
                <w:sz w:val="20"/>
                <w:szCs w:val="20"/>
              </w:rPr>
              <w:t xml:space="preserve"> </w:t>
            </w:r>
            <w:r w:rsidRPr="00192CCA">
              <w:rPr>
                <w:b/>
                <w:bCs/>
                <w:sz w:val="20"/>
                <w:szCs w:val="20"/>
              </w:rPr>
              <w:t>&lt;0.001</w:t>
            </w:r>
          </w:p>
        </w:tc>
      </w:tr>
      <w:tr w:rsidR="0017561A" w:rsidRPr="00192CCA" w14:paraId="30653F07" w14:textId="77777777" w:rsidTr="004E0520">
        <w:trPr>
          <w:jc w:val="center"/>
        </w:trPr>
        <w:tc>
          <w:tcPr>
            <w:tcW w:w="3931" w:type="dxa"/>
            <w:gridSpan w:val="2"/>
          </w:tcPr>
          <w:p w14:paraId="52B25019" w14:textId="77777777" w:rsidR="0017561A" w:rsidRPr="00192CCA" w:rsidRDefault="0017561A" w:rsidP="004E0520">
            <w:pPr>
              <w:rPr>
                <w:b/>
                <w:bCs/>
                <w:sz w:val="20"/>
                <w:szCs w:val="20"/>
              </w:rPr>
            </w:pPr>
            <w:r>
              <w:rPr>
                <w:sz w:val="20"/>
                <w:szCs w:val="20"/>
              </w:rPr>
              <w:t xml:space="preserve">  I</w:t>
            </w:r>
          </w:p>
        </w:tc>
        <w:tc>
          <w:tcPr>
            <w:tcW w:w="1417" w:type="dxa"/>
          </w:tcPr>
          <w:p w14:paraId="1DB7A27B" w14:textId="77777777" w:rsidR="0017561A" w:rsidRPr="00192CCA" w:rsidRDefault="0017561A" w:rsidP="004E0520">
            <w:pPr>
              <w:rPr>
                <w:sz w:val="20"/>
                <w:szCs w:val="20"/>
              </w:rPr>
            </w:pPr>
            <w:r>
              <w:rPr>
                <w:sz w:val="20"/>
                <w:szCs w:val="20"/>
              </w:rPr>
              <w:t>4,680 (35.74)</w:t>
            </w:r>
          </w:p>
        </w:tc>
        <w:tc>
          <w:tcPr>
            <w:tcW w:w="1418" w:type="dxa"/>
          </w:tcPr>
          <w:p w14:paraId="28E10288" w14:textId="77777777" w:rsidR="0017561A" w:rsidRPr="00192CCA" w:rsidRDefault="0017561A" w:rsidP="004E0520">
            <w:pPr>
              <w:rPr>
                <w:sz w:val="20"/>
                <w:szCs w:val="20"/>
              </w:rPr>
            </w:pPr>
            <w:r>
              <w:rPr>
                <w:sz w:val="20"/>
                <w:szCs w:val="20"/>
              </w:rPr>
              <w:t>8,414 (64.26)</w:t>
            </w:r>
          </w:p>
        </w:tc>
        <w:tc>
          <w:tcPr>
            <w:tcW w:w="992" w:type="dxa"/>
          </w:tcPr>
          <w:p w14:paraId="5B2AD793" w14:textId="77777777" w:rsidR="0017561A" w:rsidRPr="00192CCA" w:rsidRDefault="0017561A" w:rsidP="004E0520">
            <w:pPr>
              <w:rPr>
                <w:sz w:val="20"/>
                <w:szCs w:val="20"/>
              </w:rPr>
            </w:pPr>
          </w:p>
        </w:tc>
        <w:tc>
          <w:tcPr>
            <w:tcW w:w="709" w:type="dxa"/>
          </w:tcPr>
          <w:p w14:paraId="159CF6C6" w14:textId="77777777" w:rsidR="0017561A" w:rsidRPr="00192CCA" w:rsidRDefault="0017561A" w:rsidP="004E0520">
            <w:pPr>
              <w:rPr>
                <w:sz w:val="20"/>
                <w:szCs w:val="20"/>
              </w:rPr>
            </w:pPr>
            <w:r>
              <w:rPr>
                <w:sz w:val="20"/>
                <w:szCs w:val="20"/>
              </w:rPr>
              <w:t>1.00</w:t>
            </w:r>
          </w:p>
        </w:tc>
        <w:tc>
          <w:tcPr>
            <w:tcW w:w="1417" w:type="dxa"/>
          </w:tcPr>
          <w:p w14:paraId="41B3D1A3" w14:textId="77777777" w:rsidR="0017561A" w:rsidRPr="00192CCA" w:rsidRDefault="0017561A" w:rsidP="004E0520">
            <w:pPr>
              <w:rPr>
                <w:sz w:val="20"/>
                <w:szCs w:val="20"/>
              </w:rPr>
            </w:pPr>
            <w:r w:rsidRPr="00192CCA">
              <w:rPr>
                <w:sz w:val="20"/>
                <w:szCs w:val="20"/>
              </w:rPr>
              <w:t>-----     -----</w:t>
            </w:r>
          </w:p>
        </w:tc>
        <w:tc>
          <w:tcPr>
            <w:tcW w:w="992" w:type="dxa"/>
          </w:tcPr>
          <w:p w14:paraId="2A7E2D89" w14:textId="77777777" w:rsidR="0017561A" w:rsidRPr="00192CCA" w:rsidRDefault="0017561A" w:rsidP="004E0520">
            <w:pPr>
              <w:rPr>
                <w:b/>
                <w:bCs/>
                <w:sz w:val="20"/>
                <w:szCs w:val="20"/>
              </w:rPr>
            </w:pPr>
            <w:r>
              <w:rPr>
                <w:sz w:val="20"/>
                <w:szCs w:val="20"/>
              </w:rPr>
              <w:t xml:space="preserve">  </w:t>
            </w:r>
            <w:r w:rsidRPr="00192CCA">
              <w:rPr>
                <w:sz w:val="20"/>
                <w:szCs w:val="20"/>
              </w:rPr>
              <w:t>-------</w:t>
            </w:r>
          </w:p>
        </w:tc>
        <w:tc>
          <w:tcPr>
            <w:tcW w:w="709" w:type="dxa"/>
          </w:tcPr>
          <w:p w14:paraId="45A5BA02" w14:textId="77777777" w:rsidR="0017561A" w:rsidRPr="00192CCA" w:rsidRDefault="0017561A" w:rsidP="004E0520">
            <w:pPr>
              <w:rPr>
                <w:sz w:val="20"/>
                <w:szCs w:val="20"/>
              </w:rPr>
            </w:pPr>
            <w:r w:rsidRPr="00192CCA">
              <w:rPr>
                <w:sz w:val="20"/>
                <w:szCs w:val="20"/>
              </w:rPr>
              <w:t>1.00</w:t>
            </w:r>
          </w:p>
        </w:tc>
        <w:tc>
          <w:tcPr>
            <w:tcW w:w="1418" w:type="dxa"/>
          </w:tcPr>
          <w:p w14:paraId="01DDC562" w14:textId="77777777" w:rsidR="0017561A" w:rsidRPr="00192CCA" w:rsidRDefault="0017561A" w:rsidP="004E0520">
            <w:pPr>
              <w:rPr>
                <w:sz w:val="20"/>
                <w:szCs w:val="20"/>
              </w:rPr>
            </w:pPr>
            <w:r w:rsidRPr="00192CCA">
              <w:rPr>
                <w:sz w:val="20"/>
                <w:szCs w:val="20"/>
              </w:rPr>
              <w:t>-----     -----</w:t>
            </w:r>
          </w:p>
        </w:tc>
        <w:tc>
          <w:tcPr>
            <w:tcW w:w="992" w:type="dxa"/>
          </w:tcPr>
          <w:p w14:paraId="33E9EE3C" w14:textId="77777777" w:rsidR="0017561A" w:rsidRPr="00192CCA" w:rsidRDefault="0017561A" w:rsidP="004E0520">
            <w:pPr>
              <w:rPr>
                <w:b/>
                <w:bCs/>
                <w:sz w:val="20"/>
                <w:szCs w:val="20"/>
              </w:rPr>
            </w:pPr>
            <w:r>
              <w:rPr>
                <w:sz w:val="20"/>
                <w:szCs w:val="20"/>
              </w:rPr>
              <w:t xml:space="preserve">   </w:t>
            </w:r>
            <w:r w:rsidRPr="00192CCA">
              <w:rPr>
                <w:sz w:val="20"/>
                <w:szCs w:val="20"/>
              </w:rPr>
              <w:t>-------</w:t>
            </w:r>
          </w:p>
        </w:tc>
      </w:tr>
      <w:tr w:rsidR="0017561A" w:rsidRPr="00192CCA" w14:paraId="27B5020C" w14:textId="77777777" w:rsidTr="004E0520">
        <w:trPr>
          <w:jc w:val="center"/>
        </w:trPr>
        <w:tc>
          <w:tcPr>
            <w:tcW w:w="3931" w:type="dxa"/>
            <w:gridSpan w:val="2"/>
          </w:tcPr>
          <w:p w14:paraId="372FC81C" w14:textId="77777777" w:rsidR="0017561A" w:rsidRPr="00192CCA" w:rsidRDefault="0017561A" w:rsidP="004E0520">
            <w:pPr>
              <w:rPr>
                <w:sz w:val="20"/>
                <w:szCs w:val="20"/>
              </w:rPr>
            </w:pPr>
            <w:r>
              <w:rPr>
                <w:sz w:val="20"/>
                <w:szCs w:val="20"/>
              </w:rPr>
              <w:t xml:space="preserve">  II</w:t>
            </w:r>
          </w:p>
        </w:tc>
        <w:tc>
          <w:tcPr>
            <w:tcW w:w="1417" w:type="dxa"/>
          </w:tcPr>
          <w:p w14:paraId="3F1CA879" w14:textId="77777777" w:rsidR="0017561A" w:rsidRPr="00192CCA" w:rsidRDefault="0017561A" w:rsidP="004E0520">
            <w:pPr>
              <w:rPr>
                <w:sz w:val="20"/>
                <w:szCs w:val="20"/>
              </w:rPr>
            </w:pPr>
            <w:r>
              <w:rPr>
                <w:sz w:val="20"/>
                <w:szCs w:val="20"/>
              </w:rPr>
              <w:t>8,189 (49.14)</w:t>
            </w:r>
          </w:p>
        </w:tc>
        <w:tc>
          <w:tcPr>
            <w:tcW w:w="1418" w:type="dxa"/>
          </w:tcPr>
          <w:p w14:paraId="4977FCAD" w14:textId="77777777" w:rsidR="0017561A" w:rsidRPr="00192CCA" w:rsidRDefault="0017561A" w:rsidP="004E0520">
            <w:pPr>
              <w:rPr>
                <w:sz w:val="20"/>
                <w:szCs w:val="20"/>
              </w:rPr>
            </w:pPr>
            <w:r>
              <w:rPr>
                <w:sz w:val="20"/>
                <w:szCs w:val="20"/>
              </w:rPr>
              <w:t>8,474 (50.86)</w:t>
            </w:r>
          </w:p>
        </w:tc>
        <w:tc>
          <w:tcPr>
            <w:tcW w:w="992" w:type="dxa"/>
          </w:tcPr>
          <w:p w14:paraId="1B256712" w14:textId="77777777" w:rsidR="0017561A" w:rsidRPr="00192CCA" w:rsidRDefault="0017561A" w:rsidP="004E0520">
            <w:pPr>
              <w:rPr>
                <w:sz w:val="20"/>
                <w:szCs w:val="20"/>
              </w:rPr>
            </w:pPr>
          </w:p>
        </w:tc>
        <w:tc>
          <w:tcPr>
            <w:tcW w:w="709" w:type="dxa"/>
          </w:tcPr>
          <w:p w14:paraId="04EFD870" w14:textId="77777777" w:rsidR="0017561A" w:rsidRPr="00192CCA" w:rsidRDefault="0017561A" w:rsidP="004E0520">
            <w:pPr>
              <w:rPr>
                <w:sz w:val="20"/>
                <w:szCs w:val="20"/>
              </w:rPr>
            </w:pPr>
            <w:r>
              <w:rPr>
                <w:sz w:val="20"/>
                <w:szCs w:val="20"/>
              </w:rPr>
              <w:t>1.74</w:t>
            </w:r>
          </w:p>
        </w:tc>
        <w:tc>
          <w:tcPr>
            <w:tcW w:w="1417" w:type="dxa"/>
          </w:tcPr>
          <w:p w14:paraId="004EEB53" w14:textId="77777777" w:rsidR="0017561A" w:rsidRPr="00192CCA" w:rsidRDefault="0017561A" w:rsidP="004E0520">
            <w:pPr>
              <w:rPr>
                <w:sz w:val="20"/>
                <w:szCs w:val="20"/>
              </w:rPr>
            </w:pPr>
            <w:r>
              <w:rPr>
                <w:sz w:val="20"/>
                <w:szCs w:val="20"/>
              </w:rPr>
              <w:t xml:space="preserve">1.66 </w:t>
            </w:r>
            <w:r w:rsidRPr="00192CCA">
              <w:rPr>
                <w:sz w:val="20"/>
                <w:szCs w:val="20"/>
              </w:rPr>
              <w:t xml:space="preserve">– </w:t>
            </w:r>
            <w:r>
              <w:rPr>
                <w:sz w:val="20"/>
                <w:szCs w:val="20"/>
              </w:rPr>
              <w:t>1.82</w:t>
            </w:r>
          </w:p>
        </w:tc>
        <w:tc>
          <w:tcPr>
            <w:tcW w:w="992" w:type="dxa"/>
          </w:tcPr>
          <w:p w14:paraId="6EA69030" w14:textId="77777777" w:rsidR="0017561A" w:rsidRPr="00192CCA" w:rsidRDefault="0017561A" w:rsidP="004E0520">
            <w:pPr>
              <w:rPr>
                <w:sz w:val="20"/>
                <w:szCs w:val="20"/>
              </w:rPr>
            </w:pPr>
            <w:r w:rsidRPr="00192CCA">
              <w:rPr>
                <w:sz w:val="20"/>
                <w:szCs w:val="20"/>
              </w:rPr>
              <w:t>&lt;0.001</w:t>
            </w:r>
          </w:p>
        </w:tc>
        <w:tc>
          <w:tcPr>
            <w:tcW w:w="709" w:type="dxa"/>
          </w:tcPr>
          <w:p w14:paraId="06F674C2" w14:textId="77777777" w:rsidR="0017561A" w:rsidRPr="00192CCA" w:rsidRDefault="0017561A" w:rsidP="004E0520">
            <w:pPr>
              <w:rPr>
                <w:sz w:val="20"/>
                <w:szCs w:val="20"/>
              </w:rPr>
            </w:pPr>
            <w:r>
              <w:rPr>
                <w:sz w:val="20"/>
                <w:szCs w:val="20"/>
              </w:rPr>
              <w:t>1.91</w:t>
            </w:r>
          </w:p>
        </w:tc>
        <w:tc>
          <w:tcPr>
            <w:tcW w:w="1418" w:type="dxa"/>
          </w:tcPr>
          <w:p w14:paraId="37E9E6CE" w14:textId="77777777" w:rsidR="0017561A" w:rsidRPr="00192CCA" w:rsidRDefault="0017561A" w:rsidP="004E0520">
            <w:pPr>
              <w:rPr>
                <w:sz w:val="20"/>
                <w:szCs w:val="20"/>
              </w:rPr>
            </w:pPr>
            <w:r>
              <w:rPr>
                <w:sz w:val="20"/>
                <w:szCs w:val="20"/>
              </w:rPr>
              <w:t>1.81</w:t>
            </w:r>
            <w:r w:rsidRPr="00192CCA">
              <w:rPr>
                <w:sz w:val="20"/>
                <w:szCs w:val="20"/>
              </w:rPr>
              <w:t xml:space="preserve"> – </w:t>
            </w:r>
            <w:r>
              <w:rPr>
                <w:sz w:val="20"/>
                <w:szCs w:val="20"/>
              </w:rPr>
              <w:t>2.01</w:t>
            </w:r>
          </w:p>
        </w:tc>
        <w:tc>
          <w:tcPr>
            <w:tcW w:w="992" w:type="dxa"/>
          </w:tcPr>
          <w:p w14:paraId="23484CBF" w14:textId="77777777" w:rsidR="0017561A" w:rsidRPr="00192CCA" w:rsidRDefault="0017561A" w:rsidP="004E0520">
            <w:pPr>
              <w:rPr>
                <w:sz w:val="20"/>
                <w:szCs w:val="20"/>
              </w:rPr>
            </w:pPr>
            <w:r>
              <w:rPr>
                <w:sz w:val="20"/>
                <w:szCs w:val="20"/>
              </w:rPr>
              <w:t xml:space="preserve"> </w:t>
            </w:r>
            <w:r w:rsidRPr="00192CCA">
              <w:rPr>
                <w:sz w:val="20"/>
                <w:szCs w:val="20"/>
              </w:rPr>
              <w:t>&lt;0.001</w:t>
            </w:r>
          </w:p>
        </w:tc>
      </w:tr>
      <w:tr w:rsidR="0017561A" w:rsidRPr="00192CCA" w14:paraId="2A67A700" w14:textId="77777777" w:rsidTr="004E0520">
        <w:trPr>
          <w:jc w:val="center"/>
        </w:trPr>
        <w:tc>
          <w:tcPr>
            <w:tcW w:w="3931" w:type="dxa"/>
            <w:gridSpan w:val="2"/>
          </w:tcPr>
          <w:p w14:paraId="661C44D9" w14:textId="77777777" w:rsidR="0017561A" w:rsidRPr="00192CCA" w:rsidRDefault="0017561A" w:rsidP="004E0520">
            <w:pPr>
              <w:rPr>
                <w:sz w:val="20"/>
                <w:szCs w:val="20"/>
              </w:rPr>
            </w:pPr>
            <w:r>
              <w:rPr>
                <w:sz w:val="20"/>
                <w:szCs w:val="20"/>
              </w:rPr>
              <w:t xml:space="preserve">  III</w:t>
            </w:r>
          </w:p>
        </w:tc>
        <w:tc>
          <w:tcPr>
            <w:tcW w:w="1417" w:type="dxa"/>
          </w:tcPr>
          <w:p w14:paraId="658A2567" w14:textId="77777777" w:rsidR="0017561A" w:rsidRPr="00192CCA" w:rsidRDefault="0017561A" w:rsidP="004E0520">
            <w:pPr>
              <w:rPr>
                <w:sz w:val="20"/>
                <w:szCs w:val="20"/>
              </w:rPr>
            </w:pPr>
            <w:r>
              <w:rPr>
                <w:sz w:val="20"/>
                <w:szCs w:val="20"/>
              </w:rPr>
              <w:t>2,698 (55.53)</w:t>
            </w:r>
          </w:p>
        </w:tc>
        <w:tc>
          <w:tcPr>
            <w:tcW w:w="1418" w:type="dxa"/>
          </w:tcPr>
          <w:p w14:paraId="7FC9C1D2" w14:textId="77777777" w:rsidR="0017561A" w:rsidRPr="00192CCA" w:rsidRDefault="0017561A" w:rsidP="004E0520">
            <w:pPr>
              <w:rPr>
                <w:sz w:val="20"/>
                <w:szCs w:val="20"/>
              </w:rPr>
            </w:pPr>
            <w:r>
              <w:rPr>
                <w:sz w:val="20"/>
                <w:szCs w:val="20"/>
              </w:rPr>
              <w:t>2,161 (44.47)</w:t>
            </w:r>
          </w:p>
        </w:tc>
        <w:tc>
          <w:tcPr>
            <w:tcW w:w="992" w:type="dxa"/>
          </w:tcPr>
          <w:p w14:paraId="7A1D9A95" w14:textId="77777777" w:rsidR="0017561A" w:rsidRPr="00192CCA" w:rsidRDefault="0017561A" w:rsidP="004E0520">
            <w:pPr>
              <w:rPr>
                <w:sz w:val="20"/>
                <w:szCs w:val="20"/>
              </w:rPr>
            </w:pPr>
          </w:p>
        </w:tc>
        <w:tc>
          <w:tcPr>
            <w:tcW w:w="709" w:type="dxa"/>
          </w:tcPr>
          <w:p w14:paraId="5CC04BBA" w14:textId="77777777" w:rsidR="0017561A" w:rsidRPr="00192CCA" w:rsidRDefault="0017561A" w:rsidP="004E0520">
            <w:pPr>
              <w:rPr>
                <w:sz w:val="20"/>
                <w:szCs w:val="20"/>
              </w:rPr>
            </w:pPr>
            <w:r>
              <w:rPr>
                <w:sz w:val="20"/>
                <w:szCs w:val="20"/>
              </w:rPr>
              <w:t>2.24</w:t>
            </w:r>
          </w:p>
        </w:tc>
        <w:tc>
          <w:tcPr>
            <w:tcW w:w="1417" w:type="dxa"/>
          </w:tcPr>
          <w:p w14:paraId="5825F350" w14:textId="77777777" w:rsidR="0017561A" w:rsidRPr="00192CCA" w:rsidRDefault="0017561A" w:rsidP="004E0520">
            <w:pPr>
              <w:rPr>
                <w:sz w:val="20"/>
                <w:szCs w:val="20"/>
              </w:rPr>
            </w:pPr>
            <w:r>
              <w:rPr>
                <w:sz w:val="20"/>
                <w:szCs w:val="20"/>
              </w:rPr>
              <w:t>2.10 – 2.40</w:t>
            </w:r>
          </w:p>
        </w:tc>
        <w:tc>
          <w:tcPr>
            <w:tcW w:w="992" w:type="dxa"/>
          </w:tcPr>
          <w:p w14:paraId="42F42E9C" w14:textId="77777777" w:rsidR="0017561A" w:rsidRPr="00192CCA" w:rsidRDefault="0017561A" w:rsidP="004E0520">
            <w:pPr>
              <w:rPr>
                <w:sz w:val="20"/>
                <w:szCs w:val="20"/>
              </w:rPr>
            </w:pPr>
            <w:r w:rsidRPr="00192CCA">
              <w:rPr>
                <w:sz w:val="20"/>
                <w:szCs w:val="20"/>
              </w:rPr>
              <w:t>&lt;0.001</w:t>
            </w:r>
          </w:p>
        </w:tc>
        <w:tc>
          <w:tcPr>
            <w:tcW w:w="709" w:type="dxa"/>
          </w:tcPr>
          <w:p w14:paraId="2CACFBC0" w14:textId="77777777" w:rsidR="0017561A" w:rsidRPr="00192CCA" w:rsidRDefault="0017561A" w:rsidP="004E0520">
            <w:pPr>
              <w:rPr>
                <w:sz w:val="20"/>
                <w:szCs w:val="20"/>
              </w:rPr>
            </w:pPr>
            <w:r>
              <w:rPr>
                <w:sz w:val="20"/>
                <w:szCs w:val="20"/>
              </w:rPr>
              <w:t>2.57</w:t>
            </w:r>
          </w:p>
        </w:tc>
        <w:tc>
          <w:tcPr>
            <w:tcW w:w="1418" w:type="dxa"/>
          </w:tcPr>
          <w:p w14:paraId="0342CFDE" w14:textId="77777777" w:rsidR="0017561A" w:rsidRPr="00192CCA" w:rsidRDefault="0017561A" w:rsidP="004E0520">
            <w:pPr>
              <w:rPr>
                <w:sz w:val="20"/>
                <w:szCs w:val="20"/>
              </w:rPr>
            </w:pPr>
            <w:r>
              <w:rPr>
                <w:sz w:val="20"/>
                <w:szCs w:val="20"/>
              </w:rPr>
              <w:t>2.38</w:t>
            </w:r>
            <w:r w:rsidRPr="00192CCA">
              <w:rPr>
                <w:sz w:val="20"/>
                <w:szCs w:val="20"/>
              </w:rPr>
              <w:t xml:space="preserve">    </w:t>
            </w:r>
            <w:r>
              <w:rPr>
                <w:sz w:val="20"/>
                <w:szCs w:val="20"/>
              </w:rPr>
              <w:t>2.77</w:t>
            </w:r>
          </w:p>
        </w:tc>
        <w:tc>
          <w:tcPr>
            <w:tcW w:w="992" w:type="dxa"/>
          </w:tcPr>
          <w:p w14:paraId="352D2654" w14:textId="77777777" w:rsidR="0017561A" w:rsidRDefault="0017561A" w:rsidP="004E0520">
            <w:pPr>
              <w:rPr>
                <w:sz w:val="20"/>
                <w:szCs w:val="20"/>
              </w:rPr>
            </w:pPr>
            <w:r>
              <w:rPr>
                <w:sz w:val="20"/>
                <w:szCs w:val="20"/>
              </w:rPr>
              <w:t xml:space="preserve"> </w:t>
            </w:r>
            <w:r w:rsidRPr="00192CCA">
              <w:rPr>
                <w:sz w:val="20"/>
                <w:szCs w:val="20"/>
              </w:rPr>
              <w:t>&lt;0.001</w:t>
            </w:r>
          </w:p>
          <w:p w14:paraId="20244494" w14:textId="77777777" w:rsidR="0017561A" w:rsidRPr="00192CCA" w:rsidRDefault="0017561A" w:rsidP="004E0520">
            <w:pPr>
              <w:rPr>
                <w:sz w:val="20"/>
                <w:szCs w:val="20"/>
              </w:rPr>
            </w:pPr>
          </w:p>
        </w:tc>
      </w:tr>
      <w:tr w:rsidR="0017561A" w:rsidRPr="000E6139" w14:paraId="49718760" w14:textId="77777777" w:rsidTr="004E0520">
        <w:trPr>
          <w:gridBefore w:val="1"/>
          <w:wBefore w:w="108" w:type="dxa"/>
          <w:jc w:val="center"/>
        </w:trPr>
        <w:tc>
          <w:tcPr>
            <w:tcW w:w="3823" w:type="dxa"/>
          </w:tcPr>
          <w:p w14:paraId="657E7E8B" w14:textId="77777777" w:rsidR="0017561A" w:rsidRPr="00192CCA" w:rsidRDefault="0017561A" w:rsidP="004E0520">
            <w:pPr>
              <w:rPr>
                <w:sz w:val="20"/>
                <w:szCs w:val="20"/>
              </w:rPr>
            </w:pPr>
            <w:r w:rsidRPr="00192CCA">
              <w:rPr>
                <w:b/>
                <w:bCs/>
                <w:sz w:val="20"/>
                <w:szCs w:val="20"/>
              </w:rPr>
              <w:t>Grade</w:t>
            </w:r>
          </w:p>
        </w:tc>
        <w:tc>
          <w:tcPr>
            <w:tcW w:w="1417" w:type="dxa"/>
          </w:tcPr>
          <w:p w14:paraId="40C988A4" w14:textId="77777777" w:rsidR="0017561A" w:rsidRDefault="0017561A" w:rsidP="004E0520">
            <w:pPr>
              <w:rPr>
                <w:sz w:val="20"/>
                <w:szCs w:val="20"/>
              </w:rPr>
            </w:pPr>
          </w:p>
        </w:tc>
        <w:tc>
          <w:tcPr>
            <w:tcW w:w="1418" w:type="dxa"/>
          </w:tcPr>
          <w:p w14:paraId="0E8BD5DF" w14:textId="77777777" w:rsidR="0017561A" w:rsidRDefault="0017561A" w:rsidP="004E0520">
            <w:pPr>
              <w:rPr>
                <w:sz w:val="20"/>
                <w:szCs w:val="20"/>
              </w:rPr>
            </w:pPr>
          </w:p>
        </w:tc>
        <w:tc>
          <w:tcPr>
            <w:tcW w:w="992" w:type="dxa"/>
          </w:tcPr>
          <w:p w14:paraId="25987AC5" w14:textId="77777777" w:rsidR="0017561A" w:rsidRPr="00192CCA" w:rsidRDefault="0017561A" w:rsidP="004E0520">
            <w:pPr>
              <w:rPr>
                <w:sz w:val="20"/>
                <w:szCs w:val="20"/>
              </w:rPr>
            </w:pPr>
            <w:r w:rsidRPr="00192CCA">
              <w:rPr>
                <w:sz w:val="20"/>
                <w:szCs w:val="20"/>
              </w:rPr>
              <w:t>&lt;0.001</w:t>
            </w:r>
          </w:p>
        </w:tc>
        <w:tc>
          <w:tcPr>
            <w:tcW w:w="709" w:type="dxa"/>
          </w:tcPr>
          <w:p w14:paraId="65AA983A" w14:textId="77777777" w:rsidR="0017561A" w:rsidRDefault="0017561A" w:rsidP="004E0520">
            <w:pPr>
              <w:rPr>
                <w:sz w:val="20"/>
                <w:szCs w:val="20"/>
              </w:rPr>
            </w:pPr>
          </w:p>
        </w:tc>
        <w:tc>
          <w:tcPr>
            <w:tcW w:w="1417" w:type="dxa"/>
          </w:tcPr>
          <w:p w14:paraId="5C9EDFE8" w14:textId="77777777" w:rsidR="0017561A" w:rsidRDefault="0017561A" w:rsidP="004E0520">
            <w:pPr>
              <w:rPr>
                <w:sz w:val="20"/>
                <w:szCs w:val="20"/>
              </w:rPr>
            </w:pPr>
          </w:p>
        </w:tc>
        <w:tc>
          <w:tcPr>
            <w:tcW w:w="992" w:type="dxa"/>
          </w:tcPr>
          <w:p w14:paraId="5600A444" w14:textId="77777777" w:rsidR="0017561A" w:rsidRDefault="0017561A" w:rsidP="004E0520">
            <w:pPr>
              <w:rPr>
                <w:sz w:val="20"/>
                <w:szCs w:val="20"/>
              </w:rPr>
            </w:pPr>
            <w:r w:rsidRPr="00192CCA">
              <w:rPr>
                <w:b/>
                <w:bCs/>
                <w:sz w:val="20"/>
                <w:szCs w:val="20"/>
              </w:rPr>
              <w:t>&lt;0.001</w:t>
            </w:r>
          </w:p>
        </w:tc>
        <w:tc>
          <w:tcPr>
            <w:tcW w:w="709" w:type="dxa"/>
          </w:tcPr>
          <w:p w14:paraId="71AAAE80" w14:textId="77777777" w:rsidR="0017561A" w:rsidRPr="00192CCA" w:rsidRDefault="0017561A" w:rsidP="004E0520">
            <w:pPr>
              <w:rPr>
                <w:sz w:val="20"/>
                <w:szCs w:val="20"/>
              </w:rPr>
            </w:pPr>
          </w:p>
        </w:tc>
        <w:tc>
          <w:tcPr>
            <w:tcW w:w="1418" w:type="dxa"/>
          </w:tcPr>
          <w:p w14:paraId="3BF5509F" w14:textId="77777777" w:rsidR="0017561A" w:rsidRPr="00192CCA" w:rsidRDefault="0017561A" w:rsidP="004E0520">
            <w:pPr>
              <w:rPr>
                <w:sz w:val="20"/>
                <w:szCs w:val="20"/>
              </w:rPr>
            </w:pPr>
          </w:p>
        </w:tc>
        <w:tc>
          <w:tcPr>
            <w:tcW w:w="992" w:type="dxa"/>
          </w:tcPr>
          <w:p w14:paraId="4D22C1CC" w14:textId="11A042D7" w:rsidR="0017561A" w:rsidRDefault="0017561A" w:rsidP="004E0520">
            <w:pPr>
              <w:rPr>
                <w:sz w:val="20"/>
                <w:szCs w:val="20"/>
              </w:rPr>
            </w:pPr>
            <w:r>
              <w:rPr>
                <w:b/>
                <w:bCs/>
                <w:sz w:val="20"/>
                <w:szCs w:val="20"/>
              </w:rPr>
              <w:t xml:space="preserve"> </w:t>
            </w:r>
            <w:r w:rsidRPr="00192CCA">
              <w:rPr>
                <w:sz w:val="20"/>
                <w:szCs w:val="20"/>
              </w:rPr>
              <w:t>-------</w:t>
            </w:r>
            <w:r w:rsidR="002C63C5" w:rsidRPr="00887E7E">
              <w:rPr>
                <w:sz w:val="20"/>
                <w:szCs w:val="20"/>
                <w:vertAlign w:val="superscript"/>
              </w:rPr>
              <w:t>l</w:t>
            </w:r>
          </w:p>
        </w:tc>
      </w:tr>
      <w:tr w:rsidR="0017561A" w:rsidRPr="000E6139" w14:paraId="5E4A6BAE" w14:textId="77777777" w:rsidTr="004E0520">
        <w:trPr>
          <w:gridBefore w:val="1"/>
          <w:wBefore w:w="108" w:type="dxa"/>
          <w:jc w:val="center"/>
        </w:trPr>
        <w:tc>
          <w:tcPr>
            <w:tcW w:w="3823" w:type="dxa"/>
          </w:tcPr>
          <w:p w14:paraId="236346AB" w14:textId="77777777" w:rsidR="0017561A" w:rsidRPr="00192CCA" w:rsidRDefault="0017561A" w:rsidP="004E0520">
            <w:pPr>
              <w:rPr>
                <w:sz w:val="20"/>
                <w:szCs w:val="20"/>
              </w:rPr>
            </w:pPr>
            <w:r w:rsidRPr="00192CCA">
              <w:rPr>
                <w:sz w:val="20"/>
                <w:szCs w:val="20"/>
              </w:rPr>
              <w:t xml:space="preserve">Well Differentiated </w:t>
            </w:r>
          </w:p>
        </w:tc>
        <w:tc>
          <w:tcPr>
            <w:tcW w:w="1417" w:type="dxa"/>
          </w:tcPr>
          <w:p w14:paraId="329ACAF7" w14:textId="77777777" w:rsidR="0017561A" w:rsidRDefault="0017561A" w:rsidP="004E0520">
            <w:pPr>
              <w:rPr>
                <w:sz w:val="20"/>
                <w:szCs w:val="20"/>
              </w:rPr>
            </w:pPr>
            <w:r>
              <w:rPr>
                <w:sz w:val="20"/>
                <w:szCs w:val="20"/>
              </w:rPr>
              <w:t>232 (11.61)</w:t>
            </w:r>
          </w:p>
        </w:tc>
        <w:tc>
          <w:tcPr>
            <w:tcW w:w="1418" w:type="dxa"/>
          </w:tcPr>
          <w:p w14:paraId="77692C16" w14:textId="77777777" w:rsidR="0017561A" w:rsidRDefault="0017561A" w:rsidP="004E0520">
            <w:pPr>
              <w:rPr>
                <w:sz w:val="20"/>
                <w:szCs w:val="20"/>
              </w:rPr>
            </w:pPr>
            <w:r>
              <w:rPr>
                <w:sz w:val="20"/>
                <w:szCs w:val="20"/>
              </w:rPr>
              <w:t>1,767 (88.39)</w:t>
            </w:r>
          </w:p>
        </w:tc>
        <w:tc>
          <w:tcPr>
            <w:tcW w:w="992" w:type="dxa"/>
          </w:tcPr>
          <w:p w14:paraId="18CD3757" w14:textId="77777777" w:rsidR="0017561A" w:rsidRPr="00192CCA" w:rsidRDefault="0017561A" w:rsidP="004E0520">
            <w:pPr>
              <w:rPr>
                <w:sz w:val="20"/>
                <w:szCs w:val="20"/>
              </w:rPr>
            </w:pPr>
          </w:p>
        </w:tc>
        <w:tc>
          <w:tcPr>
            <w:tcW w:w="709" w:type="dxa"/>
          </w:tcPr>
          <w:p w14:paraId="13D0B4F0" w14:textId="77777777" w:rsidR="0017561A" w:rsidRDefault="0017561A" w:rsidP="004E0520">
            <w:pPr>
              <w:rPr>
                <w:sz w:val="20"/>
                <w:szCs w:val="20"/>
              </w:rPr>
            </w:pPr>
            <w:r w:rsidRPr="00192CCA">
              <w:rPr>
                <w:sz w:val="20"/>
                <w:szCs w:val="20"/>
              </w:rPr>
              <w:t>0.</w:t>
            </w:r>
            <w:r>
              <w:rPr>
                <w:sz w:val="20"/>
                <w:szCs w:val="20"/>
              </w:rPr>
              <w:t>10</w:t>
            </w:r>
          </w:p>
        </w:tc>
        <w:tc>
          <w:tcPr>
            <w:tcW w:w="1417" w:type="dxa"/>
          </w:tcPr>
          <w:p w14:paraId="48BA14BB" w14:textId="77777777" w:rsidR="0017561A" w:rsidRDefault="0017561A" w:rsidP="004E0520">
            <w:pPr>
              <w:rPr>
                <w:sz w:val="20"/>
                <w:szCs w:val="20"/>
              </w:rPr>
            </w:pPr>
            <w:r w:rsidRPr="00192CCA">
              <w:rPr>
                <w:sz w:val="20"/>
                <w:szCs w:val="20"/>
              </w:rPr>
              <w:t>0.</w:t>
            </w:r>
            <w:r>
              <w:rPr>
                <w:sz w:val="20"/>
                <w:szCs w:val="20"/>
              </w:rPr>
              <w:t>09</w:t>
            </w:r>
            <w:r w:rsidRPr="00192CCA">
              <w:rPr>
                <w:sz w:val="20"/>
                <w:szCs w:val="20"/>
              </w:rPr>
              <w:t xml:space="preserve"> – 0.</w:t>
            </w:r>
            <w:r>
              <w:rPr>
                <w:sz w:val="20"/>
                <w:szCs w:val="20"/>
              </w:rPr>
              <w:t>12</w:t>
            </w:r>
          </w:p>
        </w:tc>
        <w:tc>
          <w:tcPr>
            <w:tcW w:w="992" w:type="dxa"/>
          </w:tcPr>
          <w:p w14:paraId="25BA36F5" w14:textId="77777777" w:rsidR="0017561A" w:rsidRDefault="0017561A" w:rsidP="004E0520">
            <w:pPr>
              <w:rPr>
                <w:sz w:val="20"/>
                <w:szCs w:val="20"/>
              </w:rPr>
            </w:pPr>
            <w:r w:rsidRPr="00192CCA">
              <w:rPr>
                <w:sz w:val="20"/>
                <w:szCs w:val="20"/>
              </w:rPr>
              <w:t>&lt;0.001</w:t>
            </w:r>
          </w:p>
        </w:tc>
        <w:tc>
          <w:tcPr>
            <w:tcW w:w="709" w:type="dxa"/>
          </w:tcPr>
          <w:p w14:paraId="73DB137E" w14:textId="77777777" w:rsidR="0017561A" w:rsidRPr="00192CCA" w:rsidRDefault="0017561A" w:rsidP="004E0520">
            <w:pPr>
              <w:rPr>
                <w:sz w:val="20"/>
                <w:szCs w:val="20"/>
              </w:rPr>
            </w:pPr>
            <w:r w:rsidRPr="00192CCA">
              <w:rPr>
                <w:sz w:val="20"/>
                <w:szCs w:val="20"/>
              </w:rPr>
              <w:t>-------</w:t>
            </w:r>
          </w:p>
        </w:tc>
        <w:tc>
          <w:tcPr>
            <w:tcW w:w="1418" w:type="dxa"/>
          </w:tcPr>
          <w:p w14:paraId="3687B558" w14:textId="77777777" w:rsidR="0017561A" w:rsidRPr="00192CCA" w:rsidRDefault="0017561A" w:rsidP="004E0520">
            <w:pPr>
              <w:rPr>
                <w:sz w:val="20"/>
                <w:szCs w:val="20"/>
              </w:rPr>
            </w:pPr>
            <w:r w:rsidRPr="00192CCA">
              <w:rPr>
                <w:sz w:val="20"/>
                <w:szCs w:val="20"/>
              </w:rPr>
              <w:t>-----     -----</w:t>
            </w:r>
          </w:p>
        </w:tc>
        <w:tc>
          <w:tcPr>
            <w:tcW w:w="992" w:type="dxa"/>
          </w:tcPr>
          <w:p w14:paraId="0F44D274" w14:textId="77777777" w:rsidR="0017561A" w:rsidRDefault="0017561A" w:rsidP="004E0520">
            <w:pPr>
              <w:rPr>
                <w:sz w:val="20"/>
                <w:szCs w:val="20"/>
              </w:rPr>
            </w:pPr>
            <w:r>
              <w:rPr>
                <w:sz w:val="20"/>
                <w:szCs w:val="20"/>
              </w:rPr>
              <w:t xml:space="preserve">  </w:t>
            </w:r>
            <w:r w:rsidRPr="00192CCA">
              <w:rPr>
                <w:sz w:val="20"/>
                <w:szCs w:val="20"/>
              </w:rPr>
              <w:t>-------</w:t>
            </w:r>
          </w:p>
        </w:tc>
      </w:tr>
      <w:tr w:rsidR="0017561A" w:rsidRPr="000E6139" w14:paraId="568DE344" w14:textId="77777777" w:rsidTr="004E0520">
        <w:trPr>
          <w:gridBefore w:val="1"/>
          <w:wBefore w:w="108" w:type="dxa"/>
          <w:jc w:val="center"/>
        </w:trPr>
        <w:tc>
          <w:tcPr>
            <w:tcW w:w="3823" w:type="dxa"/>
          </w:tcPr>
          <w:p w14:paraId="6811CD3F" w14:textId="77777777" w:rsidR="0017561A" w:rsidRPr="00192CCA" w:rsidRDefault="0017561A" w:rsidP="004E0520">
            <w:pPr>
              <w:rPr>
                <w:sz w:val="20"/>
                <w:szCs w:val="20"/>
              </w:rPr>
            </w:pPr>
            <w:r w:rsidRPr="00192CCA">
              <w:rPr>
                <w:sz w:val="20"/>
                <w:szCs w:val="20"/>
              </w:rPr>
              <w:t>Moderately Differentiated</w:t>
            </w:r>
          </w:p>
        </w:tc>
        <w:tc>
          <w:tcPr>
            <w:tcW w:w="1417" w:type="dxa"/>
          </w:tcPr>
          <w:p w14:paraId="0DFBDE54" w14:textId="77777777" w:rsidR="0017561A" w:rsidRDefault="0017561A" w:rsidP="004E0520">
            <w:pPr>
              <w:rPr>
                <w:sz w:val="20"/>
                <w:szCs w:val="20"/>
              </w:rPr>
            </w:pPr>
            <w:r>
              <w:rPr>
                <w:sz w:val="20"/>
                <w:szCs w:val="20"/>
              </w:rPr>
              <w:t>5,575 (36.87)</w:t>
            </w:r>
          </w:p>
        </w:tc>
        <w:tc>
          <w:tcPr>
            <w:tcW w:w="1418" w:type="dxa"/>
          </w:tcPr>
          <w:p w14:paraId="128CFA56" w14:textId="77777777" w:rsidR="0017561A" w:rsidRDefault="0017561A" w:rsidP="004E0520">
            <w:pPr>
              <w:rPr>
                <w:sz w:val="20"/>
                <w:szCs w:val="20"/>
              </w:rPr>
            </w:pPr>
            <w:r>
              <w:rPr>
                <w:sz w:val="20"/>
                <w:szCs w:val="20"/>
              </w:rPr>
              <w:t>9,547 (63.13)</w:t>
            </w:r>
          </w:p>
        </w:tc>
        <w:tc>
          <w:tcPr>
            <w:tcW w:w="992" w:type="dxa"/>
          </w:tcPr>
          <w:p w14:paraId="456C6319" w14:textId="77777777" w:rsidR="0017561A" w:rsidRPr="00192CCA" w:rsidRDefault="0017561A" w:rsidP="004E0520">
            <w:pPr>
              <w:rPr>
                <w:sz w:val="20"/>
                <w:szCs w:val="20"/>
              </w:rPr>
            </w:pPr>
          </w:p>
        </w:tc>
        <w:tc>
          <w:tcPr>
            <w:tcW w:w="709" w:type="dxa"/>
          </w:tcPr>
          <w:p w14:paraId="6A229636" w14:textId="77777777" w:rsidR="0017561A" w:rsidRDefault="0017561A" w:rsidP="004E0520">
            <w:pPr>
              <w:rPr>
                <w:sz w:val="20"/>
                <w:szCs w:val="20"/>
              </w:rPr>
            </w:pPr>
            <w:r w:rsidRPr="00192CCA">
              <w:rPr>
                <w:sz w:val="20"/>
                <w:szCs w:val="20"/>
              </w:rPr>
              <w:t>0.</w:t>
            </w:r>
            <w:r>
              <w:rPr>
                <w:sz w:val="20"/>
                <w:szCs w:val="20"/>
              </w:rPr>
              <w:t>46</w:t>
            </w:r>
          </w:p>
        </w:tc>
        <w:tc>
          <w:tcPr>
            <w:tcW w:w="1417" w:type="dxa"/>
          </w:tcPr>
          <w:p w14:paraId="4BE9978B" w14:textId="77777777" w:rsidR="0017561A" w:rsidRDefault="0017561A" w:rsidP="004E0520">
            <w:pPr>
              <w:rPr>
                <w:sz w:val="20"/>
                <w:szCs w:val="20"/>
              </w:rPr>
            </w:pPr>
            <w:r w:rsidRPr="00192CCA">
              <w:rPr>
                <w:sz w:val="20"/>
                <w:szCs w:val="20"/>
              </w:rPr>
              <w:t>0.</w:t>
            </w:r>
            <w:r>
              <w:rPr>
                <w:sz w:val="20"/>
                <w:szCs w:val="20"/>
              </w:rPr>
              <w:t>44</w:t>
            </w:r>
            <w:r w:rsidRPr="00192CCA">
              <w:rPr>
                <w:sz w:val="20"/>
                <w:szCs w:val="20"/>
              </w:rPr>
              <w:t xml:space="preserve"> – 0.</w:t>
            </w:r>
            <w:r>
              <w:rPr>
                <w:sz w:val="20"/>
                <w:szCs w:val="20"/>
              </w:rPr>
              <w:t>48</w:t>
            </w:r>
          </w:p>
        </w:tc>
        <w:tc>
          <w:tcPr>
            <w:tcW w:w="992" w:type="dxa"/>
          </w:tcPr>
          <w:p w14:paraId="5B6787FC" w14:textId="77777777" w:rsidR="0017561A" w:rsidRDefault="0017561A" w:rsidP="004E0520">
            <w:pPr>
              <w:rPr>
                <w:sz w:val="20"/>
                <w:szCs w:val="20"/>
              </w:rPr>
            </w:pPr>
            <w:r w:rsidRPr="00192CCA">
              <w:rPr>
                <w:sz w:val="20"/>
                <w:szCs w:val="20"/>
              </w:rPr>
              <w:t>&lt;0.001</w:t>
            </w:r>
          </w:p>
        </w:tc>
        <w:tc>
          <w:tcPr>
            <w:tcW w:w="709" w:type="dxa"/>
          </w:tcPr>
          <w:p w14:paraId="2DD8BC3E" w14:textId="77777777" w:rsidR="0017561A" w:rsidRPr="00192CCA" w:rsidRDefault="0017561A" w:rsidP="004E0520">
            <w:pPr>
              <w:rPr>
                <w:sz w:val="20"/>
                <w:szCs w:val="20"/>
              </w:rPr>
            </w:pPr>
            <w:r w:rsidRPr="00192CCA">
              <w:rPr>
                <w:sz w:val="20"/>
                <w:szCs w:val="20"/>
              </w:rPr>
              <w:t>-------</w:t>
            </w:r>
          </w:p>
        </w:tc>
        <w:tc>
          <w:tcPr>
            <w:tcW w:w="1418" w:type="dxa"/>
          </w:tcPr>
          <w:p w14:paraId="6EBA6D5D" w14:textId="77777777" w:rsidR="0017561A" w:rsidRPr="00192CCA" w:rsidRDefault="0017561A" w:rsidP="004E0520">
            <w:pPr>
              <w:rPr>
                <w:sz w:val="20"/>
                <w:szCs w:val="20"/>
              </w:rPr>
            </w:pPr>
            <w:r w:rsidRPr="00192CCA">
              <w:rPr>
                <w:sz w:val="20"/>
                <w:szCs w:val="20"/>
              </w:rPr>
              <w:t>-----     -----</w:t>
            </w:r>
          </w:p>
        </w:tc>
        <w:tc>
          <w:tcPr>
            <w:tcW w:w="992" w:type="dxa"/>
          </w:tcPr>
          <w:p w14:paraId="010276A2" w14:textId="77777777" w:rsidR="0017561A" w:rsidRDefault="0017561A" w:rsidP="004E0520">
            <w:pPr>
              <w:rPr>
                <w:sz w:val="20"/>
                <w:szCs w:val="20"/>
              </w:rPr>
            </w:pPr>
            <w:r>
              <w:rPr>
                <w:sz w:val="20"/>
                <w:szCs w:val="20"/>
              </w:rPr>
              <w:t xml:space="preserve">  </w:t>
            </w:r>
            <w:r w:rsidRPr="00192CCA">
              <w:rPr>
                <w:sz w:val="20"/>
                <w:szCs w:val="20"/>
              </w:rPr>
              <w:t>-------</w:t>
            </w:r>
          </w:p>
        </w:tc>
      </w:tr>
      <w:tr w:rsidR="0017561A" w:rsidRPr="000E6139" w14:paraId="38CD7580" w14:textId="77777777" w:rsidTr="004E0520">
        <w:trPr>
          <w:gridBefore w:val="1"/>
          <w:wBefore w:w="108" w:type="dxa"/>
          <w:jc w:val="center"/>
        </w:trPr>
        <w:tc>
          <w:tcPr>
            <w:tcW w:w="3823" w:type="dxa"/>
          </w:tcPr>
          <w:p w14:paraId="1C548D4F" w14:textId="77777777" w:rsidR="0017561A" w:rsidRPr="00192CCA" w:rsidRDefault="0017561A" w:rsidP="004E0520">
            <w:pPr>
              <w:rPr>
                <w:sz w:val="20"/>
                <w:szCs w:val="20"/>
              </w:rPr>
            </w:pPr>
            <w:r w:rsidRPr="00192CCA">
              <w:rPr>
                <w:sz w:val="20"/>
                <w:szCs w:val="20"/>
              </w:rPr>
              <w:t>Poorly Differentiated</w:t>
            </w:r>
          </w:p>
        </w:tc>
        <w:tc>
          <w:tcPr>
            <w:tcW w:w="1417" w:type="dxa"/>
          </w:tcPr>
          <w:p w14:paraId="72BDDA53" w14:textId="77777777" w:rsidR="0017561A" w:rsidRDefault="0017561A" w:rsidP="004E0520">
            <w:pPr>
              <w:rPr>
                <w:sz w:val="20"/>
                <w:szCs w:val="20"/>
              </w:rPr>
            </w:pPr>
            <w:r>
              <w:rPr>
                <w:sz w:val="20"/>
                <w:szCs w:val="20"/>
              </w:rPr>
              <w:t>9,533 (56.11)</w:t>
            </w:r>
          </w:p>
        </w:tc>
        <w:tc>
          <w:tcPr>
            <w:tcW w:w="1418" w:type="dxa"/>
          </w:tcPr>
          <w:p w14:paraId="786D9F0E" w14:textId="77777777" w:rsidR="0017561A" w:rsidRDefault="0017561A" w:rsidP="004E0520">
            <w:pPr>
              <w:rPr>
                <w:sz w:val="20"/>
                <w:szCs w:val="20"/>
              </w:rPr>
            </w:pPr>
            <w:r>
              <w:rPr>
                <w:sz w:val="20"/>
                <w:szCs w:val="20"/>
              </w:rPr>
              <w:t>7,456 (43.89)</w:t>
            </w:r>
          </w:p>
        </w:tc>
        <w:tc>
          <w:tcPr>
            <w:tcW w:w="992" w:type="dxa"/>
          </w:tcPr>
          <w:p w14:paraId="207BD47F" w14:textId="77777777" w:rsidR="0017561A" w:rsidRPr="00192CCA" w:rsidRDefault="0017561A" w:rsidP="004E0520">
            <w:pPr>
              <w:rPr>
                <w:sz w:val="20"/>
                <w:szCs w:val="20"/>
              </w:rPr>
            </w:pPr>
          </w:p>
        </w:tc>
        <w:tc>
          <w:tcPr>
            <w:tcW w:w="709" w:type="dxa"/>
          </w:tcPr>
          <w:p w14:paraId="4993E214" w14:textId="77777777" w:rsidR="0017561A" w:rsidRDefault="0017561A" w:rsidP="004E0520">
            <w:pPr>
              <w:rPr>
                <w:sz w:val="20"/>
                <w:szCs w:val="20"/>
              </w:rPr>
            </w:pPr>
            <w:r w:rsidRPr="00192CCA">
              <w:rPr>
                <w:sz w:val="20"/>
                <w:szCs w:val="20"/>
              </w:rPr>
              <w:t>1.00</w:t>
            </w:r>
          </w:p>
        </w:tc>
        <w:tc>
          <w:tcPr>
            <w:tcW w:w="1417" w:type="dxa"/>
          </w:tcPr>
          <w:p w14:paraId="49550038" w14:textId="77777777" w:rsidR="0017561A" w:rsidRDefault="0017561A" w:rsidP="004E0520">
            <w:pPr>
              <w:rPr>
                <w:sz w:val="20"/>
                <w:szCs w:val="20"/>
              </w:rPr>
            </w:pPr>
            <w:r w:rsidRPr="00192CCA">
              <w:rPr>
                <w:sz w:val="20"/>
                <w:szCs w:val="20"/>
              </w:rPr>
              <w:t>-----     -----</w:t>
            </w:r>
          </w:p>
        </w:tc>
        <w:tc>
          <w:tcPr>
            <w:tcW w:w="992" w:type="dxa"/>
          </w:tcPr>
          <w:p w14:paraId="5CF62DD9" w14:textId="77777777" w:rsidR="0017561A" w:rsidRDefault="0017561A" w:rsidP="004E0520">
            <w:pPr>
              <w:rPr>
                <w:sz w:val="20"/>
                <w:szCs w:val="20"/>
              </w:rPr>
            </w:pPr>
            <w:r>
              <w:rPr>
                <w:sz w:val="20"/>
                <w:szCs w:val="20"/>
              </w:rPr>
              <w:t xml:space="preserve">  </w:t>
            </w:r>
            <w:r w:rsidRPr="00192CCA">
              <w:rPr>
                <w:sz w:val="20"/>
                <w:szCs w:val="20"/>
              </w:rPr>
              <w:t>-------</w:t>
            </w:r>
          </w:p>
        </w:tc>
        <w:tc>
          <w:tcPr>
            <w:tcW w:w="709" w:type="dxa"/>
          </w:tcPr>
          <w:p w14:paraId="6B49BEF0" w14:textId="77777777" w:rsidR="0017561A" w:rsidRPr="00192CCA" w:rsidRDefault="0017561A" w:rsidP="004E0520">
            <w:pPr>
              <w:rPr>
                <w:sz w:val="20"/>
                <w:szCs w:val="20"/>
              </w:rPr>
            </w:pPr>
            <w:r w:rsidRPr="00192CCA">
              <w:rPr>
                <w:sz w:val="20"/>
                <w:szCs w:val="20"/>
              </w:rPr>
              <w:t>-------</w:t>
            </w:r>
          </w:p>
        </w:tc>
        <w:tc>
          <w:tcPr>
            <w:tcW w:w="1418" w:type="dxa"/>
          </w:tcPr>
          <w:p w14:paraId="072EE69E" w14:textId="77777777" w:rsidR="0017561A" w:rsidRPr="00192CCA" w:rsidRDefault="0017561A" w:rsidP="004E0520">
            <w:pPr>
              <w:rPr>
                <w:sz w:val="20"/>
                <w:szCs w:val="20"/>
              </w:rPr>
            </w:pPr>
            <w:r w:rsidRPr="00192CCA">
              <w:rPr>
                <w:sz w:val="20"/>
                <w:szCs w:val="20"/>
              </w:rPr>
              <w:t>-----     -----</w:t>
            </w:r>
          </w:p>
        </w:tc>
        <w:tc>
          <w:tcPr>
            <w:tcW w:w="992" w:type="dxa"/>
          </w:tcPr>
          <w:p w14:paraId="2D51DE64" w14:textId="77777777" w:rsidR="0017561A" w:rsidRDefault="0017561A" w:rsidP="004E0520">
            <w:pPr>
              <w:rPr>
                <w:sz w:val="20"/>
                <w:szCs w:val="20"/>
              </w:rPr>
            </w:pPr>
            <w:r>
              <w:rPr>
                <w:sz w:val="20"/>
                <w:szCs w:val="20"/>
              </w:rPr>
              <w:t xml:space="preserve">  </w:t>
            </w:r>
            <w:r w:rsidRPr="00192CCA">
              <w:rPr>
                <w:sz w:val="20"/>
                <w:szCs w:val="20"/>
              </w:rPr>
              <w:t>-------</w:t>
            </w:r>
          </w:p>
        </w:tc>
      </w:tr>
      <w:tr w:rsidR="0017561A" w:rsidRPr="000E6139" w14:paraId="38C5101D" w14:textId="77777777" w:rsidTr="004E0520">
        <w:trPr>
          <w:gridBefore w:val="1"/>
          <w:wBefore w:w="108" w:type="dxa"/>
          <w:jc w:val="center"/>
        </w:trPr>
        <w:tc>
          <w:tcPr>
            <w:tcW w:w="3823" w:type="dxa"/>
          </w:tcPr>
          <w:p w14:paraId="3D217ACE" w14:textId="77777777" w:rsidR="0017561A" w:rsidRPr="00192CCA" w:rsidRDefault="0017561A" w:rsidP="004E0520">
            <w:pPr>
              <w:rPr>
                <w:sz w:val="20"/>
                <w:szCs w:val="20"/>
              </w:rPr>
            </w:pPr>
            <w:r w:rsidRPr="00192CCA">
              <w:rPr>
                <w:sz w:val="20"/>
                <w:szCs w:val="20"/>
              </w:rPr>
              <w:t>Other</w:t>
            </w:r>
            <w:r>
              <w:rPr>
                <w:sz w:val="20"/>
                <w:szCs w:val="20"/>
                <w:vertAlign w:val="superscript"/>
              </w:rPr>
              <w:t>f</w:t>
            </w:r>
          </w:p>
        </w:tc>
        <w:tc>
          <w:tcPr>
            <w:tcW w:w="1417" w:type="dxa"/>
          </w:tcPr>
          <w:p w14:paraId="4870F95E" w14:textId="77777777" w:rsidR="0017561A" w:rsidRDefault="0017561A" w:rsidP="004E0520">
            <w:pPr>
              <w:rPr>
                <w:sz w:val="20"/>
                <w:szCs w:val="20"/>
              </w:rPr>
            </w:pPr>
            <w:r>
              <w:rPr>
                <w:sz w:val="20"/>
                <w:szCs w:val="20"/>
              </w:rPr>
              <w:t>227 (44.86)</w:t>
            </w:r>
          </w:p>
        </w:tc>
        <w:tc>
          <w:tcPr>
            <w:tcW w:w="1418" w:type="dxa"/>
          </w:tcPr>
          <w:p w14:paraId="311B5E65" w14:textId="77777777" w:rsidR="0017561A" w:rsidRDefault="0017561A" w:rsidP="004E0520">
            <w:pPr>
              <w:rPr>
                <w:sz w:val="20"/>
                <w:szCs w:val="20"/>
              </w:rPr>
            </w:pPr>
            <w:r>
              <w:rPr>
                <w:sz w:val="20"/>
                <w:szCs w:val="20"/>
              </w:rPr>
              <w:t>279 (55.14)</w:t>
            </w:r>
          </w:p>
        </w:tc>
        <w:tc>
          <w:tcPr>
            <w:tcW w:w="992" w:type="dxa"/>
          </w:tcPr>
          <w:p w14:paraId="02011AF7" w14:textId="77777777" w:rsidR="0017561A" w:rsidRPr="00192CCA" w:rsidRDefault="0017561A" w:rsidP="004E0520">
            <w:pPr>
              <w:rPr>
                <w:sz w:val="20"/>
                <w:szCs w:val="20"/>
              </w:rPr>
            </w:pPr>
          </w:p>
        </w:tc>
        <w:tc>
          <w:tcPr>
            <w:tcW w:w="709" w:type="dxa"/>
          </w:tcPr>
          <w:p w14:paraId="7F743A23" w14:textId="77777777" w:rsidR="0017561A" w:rsidRDefault="0017561A" w:rsidP="004E0520">
            <w:pPr>
              <w:rPr>
                <w:sz w:val="20"/>
                <w:szCs w:val="20"/>
              </w:rPr>
            </w:pPr>
            <w:r w:rsidRPr="00192CCA">
              <w:rPr>
                <w:sz w:val="20"/>
                <w:szCs w:val="20"/>
              </w:rPr>
              <w:t>0.</w:t>
            </w:r>
            <w:r>
              <w:rPr>
                <w:sz w:val="20"/>
                <w:szCs w:val="20"/>
              </w:rPr>
              <w:t>64</w:t>
            </w:r>
          </w:p>
        </w:tc>
        <w:tc>
          <w:tcPr>
            <w:tcW w:w="1417" w:type="dxa"/>
          </w:tcPr>
          <w:p w14:paraId="28E74AB4" w14:textId="77777777" w:rsidR="0017561A" w:rsidRDefault="0017561A" w:rsidP="004E0520">
            <w:pPr>
              <w:rPr>
                <w:sz w:val="20"/>
                <w:szCs w:val="20"/>
              </w:rPr>
            </w:pPr>
            <w:r w:rsidRPr="00192CCA">
              <w:rPr>
                <w:sz w:val="20"/>
                <w:szCs w:val="20"/>
              </w:rPr>
              <w:t>0.</w:t>
            </w:r>
            <w:r>
              <w:rPr>
                <w:sz w:val="20"/>
                <w:szCs w:val="20"/>
              </w:rPr>
              <w:t>53</w:t>
            </w:r>
            <w:r w:rsidRPr="00192CCA">
              <w:rPr>
                <w:sz w:val="20"/>
                <w:szCs w:val="20"/>
              </w:rPr>
              <w:t xml:space="preserve"> – 0.</w:t>
            </w:r>
            <w:r>
              <w:rPr>
                <w:sz w:val="20"/>
                <w:szCs w:val="20"/>
              </w:rPr>
              <w:t>76</w:t>
            </w:r>
          </w:p>
        </w:tc>
        <w:tc>
          <w:tcPr>
            <w:tcW w:w="992" w:type="dxa"/>
          </w:tcPr>
          <w:p w14:paraId="4C299AB4" w14:textId="77777777" w:rsidR="0017561A" w:rsidRDefault="0017561A" w:rsidP="004E0520">
            <w:pPr>
              <w:rPr>
                <w:sz w:val="20"/>
                <w:szCs w:val="20"/>
              </w:rPr>
            </w:pPr>
            <w:r w:rsidRPr="00192CCA">
              <w:rPr>
                <w:sz w:val="20"/>
                <w:szCs w:val="20"/>
              </w:rPr>
              <w:t>&lt;0.001</w:t>
            </w:r>
          </w:p>
        </w:tc>
        <w:tc>
          <w:tcPr>
            <w:tcW w:w="709" w:type="dxa"/>
          </w:tcPr>
          <w:p w14:paraId="7320D7E2" w14:textId="77777777" w:rsidR="0017561A" w:rsidRPr="00192CCA" w:rsidRDefault="0017561A" w:rsidP="004E0520">
            <w:pPr>
              <w:rPr>
                <w:sz w:val="20"/>
                <w:szCs w:val="20"/>
              </w:rPr>
            </w:pPr>
            <w:r w:rsidRPr="00192CCA">
              <w:rPr>
                <w:sz w:val="20"/>
                <w:szCs w:val="20"/>
              </w:rPr>
              <w:t>-------</w:t>
            </w:r>
          </w:p>
        </w:tc>
        <w:tc>
          <w:tcPr>
            <w:tcW w:w="1418" w:type="dxa"/>
          </w:tcPr>
          <w:p w14:paraId="4E06F9E7" w14:textId="77777777" w:rsidR="0017561A" w:rsidRPr="00192CCA" w:rsidRDefault="0017561A" w:rsidP="004E0520">
            <w:pPr>
              <w:rPr>
                <w:sz w:val="20"/>
                <w:szCs w:val="20"/>
              </w:rPr>
            </w:pPr>
            <w:r w:rsidRPr="00192CCA">
              <w:rPr>
                <w:sz w:val="20"/>
                <w:szCs w:val="20"/>
              </w:rPr>
              <w:t>-----     -----</w:t>
            </w:r>
          </w:p>
        </w:tc>
        <w:tc>
          <w:tcPr>
            <w:tcW w:w="992" w:type="dxa"/>
          </w:tcPr>
          <w:p w14:paraId="7CADF60B" w14:textId="77777777" w:rsidR="0017561A" w:rsidRDefault="0017561A" w:rsidP="004E0520">
            <w:pPr>
              <w:rPr>
                <w:sz w:val="20"/>
                <w:szCs w:val="20"/>
              </w:rPr>
            </w:pPr>
            <w:r>
              <w:rPr>
                <w:sz w:val="20"/>
                <w:szCs w:val="20"/>
              </w:rPr>
              <w:t xml:space="preserve">  </w:t>
            </w:r>
            <w:r w:rsidRPr="00192CCA">
              <w:rPr>
                <w:sz w:val="20"/>
                <w:szCs w:val="20"/>
              </w:rPr>
              <w:t>-------</w:t>
            </w:r>
          </w:p>
        </w:tc>
      </w:tr>
      <w:tr w:rsidR="0017561A" w:rsidRPr="000E6139" w14:paraId="3923F617" w14:textId="77777777" w:rsidTr="004E0520">
        <w:trPr>
          <w:gridBefore w:val="1"/>
          <w:wBefore w:w="108" w:type="dxa"/>
          <w:jc w:val="center"/>
        </w:trPr>
        <w:tc>
          <w:tcPr>
            <w:tcW w:w="3823" w:type="dxa"/>
          </w:tcPr>
          <w:p w14:paraId="7B07F5A2" w14:textId="77777777" w:rsidR="0017561A" w:rsidRPr="00192CCA" w:rsidRDefault="0017561A" w:rsidP="004E0520">
            <w:pPr>
              <w:rPr>
                <w:sz w:val="20"/>
                <w:szCs w:val="20"/>
              </w:rPr>
            </w:pPr>
          </w:p>
        </w:tc>
        <w:tc>
          <w:tcPr>
            <w:tcW w:w="1417" w:type="dxa"/>
          </w:tcPr>
          <w:p w14:paraId="7B674487" w14:textId="77777777" w:rsidR="0017561A" w:rsidRDefault="0017561A" w:rsidP="004E0520">
            <w:pPr>
              <w:rPr>
                <w:sz w:val="20"/>
                <w:szCs w:val="20"/>
              </w:rPr>
            </w:pPr>
          </w:p>
        </w:tc>
        <w:tc>
          <w:tcPr>
            <w:tcW w:w="1418" w:type="dxa"/>
          </w:tcPr>
          <w:p w14:paraId="43BCF8D6" w14:textId="77777777" w:rsidR="0017561A" w:rsidRDefault="0017561A" w:rsidP="004E0520">
            <w:pPr>
              <w:rPr>
                <w:sz w:val="20"/>
                <w:szCs w:val="20"/>
              </w:rPr>
            </w:pPr>
          </w:p>
        </w:tc>
        <w:tc>
          <w:tcPr>
            <w:tcW w:w="992" w:type="dxa"/>
          </w:tcPr>
          <w:p w14:paraId="43A30514" w14:textId="77777777" w:rsidR="0017561A" w:rsidRPr="00192CCA" w:rsidRDefault="0017561A" w:rsidP="004E0520">
            <w:pPr>
              <w:rPr>
                <w:sz w:val="20"/>
                <w:szCs w:val="20"/>
              </w:rPr>
            </w:pPr>
          </w:p>
        </w:tc>
        <w:tc>
          <w:tcPr>
            <w:tcW w:w="709" w:type="dxa"/>
          </w:tcPr>
          <w:p w14:paraId="6006BA36" w14:textId="77777777" w:rsidR="0017561A" w:rsidRDefault="0017561A" w:rsidP="004E0520">
            <w:pPr>
              <w:rPr>
                <w:sz w:val="20"/>
                <w:szCs w:val="20"/>
              </w:rPr>
            </w:pPr>
          </w:p>
        </w:tc>
        <w:tc>
          <w:tcPr>
            <w:tcW w:w="1417" w:type="dxa"/>
          </w:tcPr>
          <w:p w14:paraId="7D22A3AC" w14:textId="77777777" w:rsidR="0017561A" w:rsidRDefault="0017561A" w:rsidP="004E0520">
            <w:pPr>
              <w:rPr>
                <w:sz w:val="20"/>
                <w:szCs w:val="20"/>
              </w:rPr>
            </w:pPr>
          </w:p>
        </w:tc>
        <w:tc>
          <w:tcPr>
            <w:tcW w:w="992" w:type="dxa"/>
          </w:tcPr>
          <w:p w14:paraId="34EDF991" w14:textId="77777777" w:rsidR="0017561A" w:rsidRDefault="0017561A" w:rsidP="004E0520">
            <w:pPr>
              <w:rPr>
                <w:sz w:val="20"/>
                <w:szCs w:val="20"/>
              </w:rPr>
            </w:pPr>
          </w:p>
        </w:tc>
        <w:tc>
          <w:tcPr>
            <w:tcW w:w="709" w:type="dxa"/>
          </w:tcPr>
          <w:p w14:paraId="288C01B9" w14:textId="77777777" w:rsidR="0017561A" w:rsidRPr="00192CCA" w:rsidRDefault="0017561A" w:rsidP="004E0520">
            <w:pPr>
              <w:rPr>
                <w:sz w:val="20"/>
                <w:szCs w:val="20"/>
              </w:rPr>
            </w:pPr>
          </w:p>
        </w:tc>
        <w:tc>
          <w:tcPr>
            <w:tcW w:w="1418" w:type="dxa"/>
          </w:tcPr>
          <w:p w14:paraId="1E2AEC14" w14:textId="77777777" w:rsidR="0017561A" w:rsidRPr="00192CCA" w:rsidRDefault="0017561A" w:rsidP="004E0520">
            <w:pPr>
              <w:rPr>
                <w:sz w:val="20"/>
                <w:szCs w:val="20"/>
              </w:rPr>
            </w:pPr>
          </w:p>
        </w:tc>
        <w:tc>
          <w:tcPr>
            <w:tcW w:w="992" w:type="dxa"/>
          </w:tcPr>
          <w:p w14:paraId="6FAF74E2" w14:textId="77777777" w:rsidR="0017561A" w:rsidRDefault="0017561A" w:rsidP="004E0520">
            <w:pPr>
              <w:rPr>
                <w:sz w:val="20"/>
                <w:szCs w:val="20"/>
              </w:rPr>
            </w:pPr>
          </w:p>
        </w:tc>
      </w:tr>
      <w:tr w:rsidR="0017561A" w:rsidRPr="000E6139" w14:paraId="3FE58832" w14:textId="77777777" w:rsidTr="004E0520">
        <w:trPr>
          <w:gridBefore w:val="1"/>
          <w:wBefore w:w="108" w:type="dxa"/>
          <w:jc w:val="center"/>
        </w:trPr>
        <w:tc>
          <w:tcPr>
            <w:tcW w:w="3823" w:type="dxa"/>
          </w:tcPr>
          <w:p w14:paraId="33A4B117" w14:textId="77777777" w:rsidR="0017561A" w:rsidRPr="0084392A" w:rsidRDefault="0017561A" w:rsidP="004E0520">
            <w:pPr>
              <w:rPr>
                <w:b/>
                <w:bCs/>
                <w:sz w:val="20"/>
                <w:szCs w:val="20"/>
              </w:rPr>
            </w:pPr>
            <w:r w:rsidRPr="0084392A">
              <w:rPr>
                <w:b/>
                <w:bCs/>
                <w:sz w:val="20"/>
                <w:szCs w:val="20"/>
              </w:rPr>
              <w:t>Received Surgery</w:t>
            </w:r>
            <w:r>
              <w:rPr>
                <w:b/>
                <w:bCs/>
                <w:sz w:val="20"/>
                <w:szCs w:val="20"/>
              </w:rPr>
              <w:t xml:space="preserve"> within 6 Months of Diagnosis</w:t>
            </w:r>
            <w:r>
              <w:rPr>
                <w:b/>
                <w:bCs/>
                <w:sz w:val="20"/>
                <w:szCs w:val="20"/>
                <w:vertAlign w:val="superscript"/>
              </w:rPr>
              <w:t>g</w:t>
            </w:r>
          </w:p>
        </w:tc>
        <w:tc>
          <w:tcPr>
            <w:tcW w:w="1417" w:type="dxa"/>
          </w:tcPr>
          <w:p w14:paraId="502A85F0" w14:textId="77777777" w:rsidR="0017561A" w:rsidRDefault="0017561A" w:rsidP="004E0520">
            <w:pPr>
              <w:rPr>
                <w:sz w:val="20"/>
                <w:szCs w:val="20"/>
              </w:rPr>
            </w:pPr>
          </w:p>
        </w:tc>
        <w:tc>
          <w:tcPr>
            <w:tcW w:w="1418" w:type="dxa"/>
          </w:tcPr>
          <w:p w14:paraId="0A612614" w14:textId="77777777" w:rsidR="0017561A" w:rsidRDefault="0017561A" w:rsidP="004E0520">
            <w:pPr>
              <w:rPr>
                <w:sz w:val="20"/>
                <w:szCs w:val="20"/>
              </w:rPr>
            </w:pPr>
          </w:p>
        </w:tc>
        <w:tc>
          <w:tcPr>
            <w:tcW w:w="992" w:type="dxa"/>
          </w:tcPr>
          <w:p w14:paraId="4BFE713B" w14:textId="77777777" w:rsidR="0017561A" w:rsidRPr="00192CCA" w:rsidRDefault="0017561A" w:rsidP="004E0520">
            <w:pPr>
              <w:rPr>
                <w:sz w:val="20"/>
                <w:szCs w:val="20"/>
              </w:rPr>
            </w:pPr>
            <w:r w:rsidRPr="00192CCA">
              <w:rPr>
                <w:sz w:val="20"/>
                <w:szCs w:val="20"/>
              </w:rPr>
              <w:t>&lt;0.001</w:t>
            </w:r>
          </w:p>
        </w:tc>
        <w:tc>
          <w:tcPr>
            <w:tcW w:w="709" w:type="dxa"/>
          </w:tcPr>
          <w:p w14:paraId="7B4AC576" w14:textId="77777777" w:rsidR="0017561A" w:rsidRDefault="0017561A" w:rsidP="004E0520">
            <w:pPr>
              <w:rPr>
                <w:sz w:val="20"/>
                <w:szCs w:val="20"/>
              </w:rPr>
            </w:pPr>
          </w:p>
        </w:tc>
        <w:tc>
          <w:tcPr>
            <w:tcW w:w="1417" w:type="dxa"/>
          </w:tcPr>
          <w:p w14:paraId="7E8648AF" w14:textId="77777777" w:rsidR="0017561A" w:rsidRPr="00192CCA" w:rsidRDefault="0017561A" w:rsidP="004E0520">
            <w:pPr>
              <w:rPr>
                <w:sz w:val="20"/>
                <w:szCs w:val="20"/>
              </w:rPr>
            </w:pPr>
          </w:p>
        </w:tc>
        <w:tc>
          <w:tcPr>
            <w:tcW w:w="992" w:type="dxa"/>
          </w:tcPr>
          <w:p w14:paraId="009F5558" w14:textId="77777777" w:rsidR="0017561A" w:rsidRDefault="0017561A" w:rsidP="004E0520">
            <w:pPr>
              <w:rPr>
                <w:sz w:val="20"/>
                <w:szCs w:val="20"/>
              </w:rPr>
            </w:pPr>
            <w:r w:rsidRPr="00192CCA">
              <w:rPr>
                <w:b/>
                <w:bCs/>
                <w:sz w:val="20"/>
                <w:szCs w:val="20"/>
              </w:rPr>
              <w:t>&lt;0.001</w:t>
            </w:r>
          </w:p>
        </w:tc>
        <w:tc>
          <w:tcPr>
            <w:tcW w:w="709" w:type="dxa"/>
          </w:tcPr>
          <w:p w14:paraId="7B99B681" w14:textId="77777777" w:rsidR="0017561A" w:rsidRPr="00192CCA" w:rsidRDefault="0017561A" w:rsidP="004E0520">
            <w:pPr>
              <w:rPr>
                <w:sz w:val="20"/>
                <w:szCs w:val="20"/>
              </w:rPr>
            </w:pPr>
          </w:p>
        </w:tc>
        <w:tc>
          <w:tcPr>
            <w:tcW w:w="1418" w:type="dxa"/>
          </w:tcPr>
          <w:p w14:paraId="52FB7324" w14:textId="77777777" w:rsidR="0017561A" w:rsidRPr="00192CCA" w:rsidRDefault="0017561A" w:rsidP="004E0520">
            <w:pPr>
              <w:rPr>
                <w:sz w:val="20"/>
                <w:szCs w:val="20"/>
              </w:rPr>
            </w:pPr>
          </w:p>
        </w:tc>
        <w:tc>
          <w:tcPr>
            <w:tcW w:w="992" w:type="dxa"/>
          </w:tcPr>
          <w:p w14:paraId="137D1043" w14:textId="77777777" w:rsidR="0017561A" w:rsidRDefault="0017561A" w:rsidP="004E0520">
            <w:pPr>
              <w:rPr>
                <w:sz w:val="20"/>
                <w:szCs w:val="20"/>
              </w:rPr>
            </w:pPr>
            <w:r>
              <w:rPr>
                <w:b/>
                <w:bCs/>
                <w:sz w:val="20"/>
                <w:szCs w:val="20"/>
              </w:rPr>
              <w:t xml:space="preserve"> </w:t>
            </w:r>
            <w:r w:rsidRPr="00192CCA">
              <w:rPr>
                <w:b/>
                <w:bCs/>
                <w:sz w:val="20"/>
                <w:szCs w:val="20"/>
              </w:rPr>
              <w:t>&lt;0.001</w:t>
            </w:r>
          </w:p>
        </w:tc>
      </w:tr>
      <w:tr w:rsidR="0017561A" w:rsidRPr="000E6139" w14:paraId="612075AB" w14:textId="77777777" w:rsidTr="004E0520">
        <w:trPr>
          <w:gridBefore w:val="1"/>
          <w:wBefore w:w="108" w:type="dxa"/>
          <w:jc w:val="center"/>
        </w:trPr>
        <w:tc>
          <w:tcPr>
            <w:tcW w:w="3823" w:type="dxa"/>
          </w:tcPr>
          <w:p w14:paraId="63A6C64C" w14:textId="77777777" w:rsidR="0017561A" w:rsidRPr="00192CCA" w:rsidRDefault="0017561A" w:rsidP="004E0520">
            <w:pPr>
              <w:rPr>
                <w:sz w:val="20"/>
                <w:szCs w:val="20"/>
              </w:rPr>
            </w:pPr>
            <w:r>
              <w:rPr>
                <w:sz w:val="20"/>
                <w:szCs w:val="20"/>
              </w:rPr>
              <w:t>Yes</w:t>
            </w:r>
          </w:p>
        </w:tc>
        <w:tc>
          <w:tcPr>
            <w:tcW w:w="1417" w:type="dxa"/>
          </w:tcPr>
          <w:p w14:paraId="10122D2D" w14:textId="77777777" w:rsidR="0017561A" w:rsidRDefault="0017561A" w:rsidP="004E0520">
            <w:pPr>
              <w:rPr>
                <w:sz w:val="20"/>
                <w:szCs w:val="20"/>
              </w:rPr>
            </w:pPr>
            <w:r>
              <w:rPr>
                <w:sz w:val="20"/>
                <w:szCs w:val="20"/>
              </w:rPr>
              <w:t>12,536 (44.31)</w:t>
            </w:r>
          </w:p>
        </w:tc>
        <w:tc>
          <w:tcPr>
            <w:tcW w:w="1418" w:type="dxa"/>
          </w:tcPr>
          <w:p w14:paraId="245BC97A" w14:textId="77777777" w:rsidR="0017561A" w:rsidRDefault="0017561A" w:rsidP="004E0520">
            <w:pPr>
              <w:rPr>
                <w:sz w:val="20"/>
                <w:szCs w:val="20"/>
              </w:rPr>
            </w:pPr>
            <w:r>
              <w:rPr>
                <w:sz w:val="20"/>
                <w:szCs w:val="20"/>
              </w:rPr>
              <w:t>15,758 (55.69)</w:t>
            </w:r>
          </w:p>
        </w:tc>
        <w:tc>
          <w:tcPr>
            <w:tcW w:w="992" w:type="dxa"/>
          </w:tcPr>
          <w:p w14:paraId="704D14A6" w14:textId="77777777" w:rsidR="0017561A" w:rsidRPr="00192CCA" w:rsidRDefault="0017561A" w:rsidP="004E0520">
            <w:pPr>
              <w:rPr>
                <w:sz w:val="20"/>
                <w:szCs w:val="20"/>
              </w:rPr>
            </w:pPr>
          </w:p>
        </w:tc>
        <w:tc>
          <w:tcPr>
            <w:tcW w:w="709" w:type="dxa"/>
          </w:tcPr>
          <w:p w14:paraId="581E2182" w14:textId="77777777" w:rsidR="0017561A" w:rsidRDefault="0017561A" w:rsidP="004E0520">
            <w:pPr>
              <w:rPr>
                <w:sz w:val="20"/>
                <w:szCs w:val="20"/>
              </w:rPr>
            </w:pPr>
            <w:r>
              <w:rPr>
                <w:sz w:val="20"/>
                <w:szCs w:val="20"/>
              </w:rPr>
              <w:t>1.00</w:t>
            </w:r>
          </w:p>
        </w:tc>
        <w:tc>
          <w:tcPr>
            <w:tcW w:w="1417" w:type="dxa"/>
          </w:tcPr>
          <w:p w14:paraId="16F86626" w14:textId="77777777" w:rsidR="0017561A" w:rsidRPr="00192CCA" w:rsidRDefault="0017561A" w:rsidP="004E0520">
            <w:pPr>
              <w:rPr>
                <w:sz w:val="20"/>
                <w:szCs w:val="20"/>
              </w:rPr>
            </w:pPr>
            <w:r w:rsidRPr="00192CCA">
              <w:rPr>
                <w:sz w:val="20"/>
                <w:szCs w:val="20"/>
              </w:rPr>
              <w:t>-----     -----</w:t>
            </w:r>
          </w:p>
        </w:tc>
        <w:tc>
          <w:tcPr>
            <w:tcW w:w="992" w:type="dxa"/>
          </w:tcPr>
          <w:p w14:paraId="52738530" w14:textId="77777777" w:rsidR="0017561A" w:rsidRDefault="0017561A" w:rsidP="004E0520">
            <w:pPr>
              <w:rPr>
                <w:sz w:val="20"/>
                <w:szCs w:val="20"/>
              </w:rPr>
            </w:pPr>
            <w:r>
              <w:rPr>
                <w:sz w:val="20"/>
                <w:szCs w:val="20"/>
              </w:rPr>
              <w:t xml:space="preserve">  </w:t>
            </w:r>
            <w:r w:rsidRPr="00192CCA">
              <w:rPr>
                <w:sz w:val="20"/>
                <w:szCs w:val="20"/>
              </w:rPr>
              <w:t>-------</w:t>
            </w:r>
          </w:p>
        </w:tc>
        <w:tc>
          <w:tcPr>
            <w:tcW w:w="709" w:type="dxa"/>
          </w:tcPr>
          <w:p w14:paraId="34C963EC" w14:textId="77777777" w:rsidR="0017561A" w:rsidRPr="00192CCA" w:rsidRDefault="0017561A" w:rsidP="004E0520">
            <w:pPr>
              <w:rPr>
                <w:sz w:val="20"/>
                <w:szCs w:val="20"/>
              </w:rPr>
            </w:pPr>
            <w:r>
              <w:rPr>
                <w:sz w:val="20"/>
                <w:szCs w:val="20"/>
              </w:rPr>
              <w:t>1.00</w:t>
            </w:r>
          </w:p>
        </w:tc>
        <w:tc>
          <w:tcPr>
            <w:tcW w:w="1418" w:type="dxa"/>
          </w:tcPr>
          <w:p w14:paraId="2D0B1446" w14:textId="77777777" w:rsidR="0017561A" w:rsidRPr="00192CCA" w:rsidRDefault="0017561A" w:rsidP="004E0520">
            <w:pPr>
              <w:rPr>
                <w:sz w:val="20"/>
                <w:szCs w:val="20"/>
              </w:rPr>
            </w:pPr>
            <w:r w:rsidRPr="00192CCA">
              <w:rPr>
                <w:sz w:val="20"/>
                <w:szCs w:val="20"/>
              </w:rPr>
              <w:t>-----     -----</w:t>
            </w:r>
          </w:p>
        </w:tc>
        <w:tc>
          <w:tcPr>
            <w:tcW w:w="992" w:type="dxa"/>
          </w:tcPr>
          <w:p w14:paraId="1D159C78" w14:textId="77777777" w:rsidR="0017561A" w:rsidRDefault="0017561A" w:rsidP="004E0520">
            <w:pPr>
              <w:rPr>
                <w:sz w:val="20"/>
                <w:szCs w:val="20"/>
              </w:rPr>
            </w:pPr>
            <w:r>
              <w:rPr>
                <w:sz w:val="20"/>
                <w:szCs w:val="20"/>
              </w:rPr>
              <w:t xml:space="preserve">  </w:t>
            </w:r>
            <w:r w:rsidRPr="00192CCA">
              <w:rPr>
                <w:sz w:val="20"/>
                <w:szCs w:val="20"/>
              </w:rPr>
              <w:t>-------</w:t>
            </w:r>
          </w:p>
        </w:tc>
      </w:tr>
      <w:tr w:rsidR="0017561A" w:rsidRPr="000E6139" w14:paraId="2198BA95" w14:textId="77777777" w:rsidTr="004E0520">
        <w:trPr>
          <w:gridBefore w:val="1"/>
          <w:wBefore w:w="108" w:type="dxa"/>
          <w:jc w:val="center"/>
        </w:trPr>
        <w:tc>
          <w:tcPr>
            <w:tcW w:w="3823" w:type="dxa"/>
            <w:tcBorders>
              <w:bottom w:val="single" w:sz="4" w:space="0" w:color="auto"/>
            </w:tcBorders>
          </w:tcPr>
          <w:p w14:paraId="354F054D" w14:textId="77777777" w:rsidR="0017561A" w:rsidRPr="00192CCA" w:rsidRDefault="0017561A" w:rsidP="004E0520">
            <w:pPr>
              <w:rPr>
                <w:sz w:val="20"/>
                <w:szCs w:val="20"/>
              </w:rPr>
            </w:pPr>
            <w:r>
              <w:rPr>
                <w:sz w:val="20"/>
                <w:szCs w:val="20"/>
              </w:rPr>
              <w:t>No</w:t>
            </w:r>
          </w:p>
        </w:tc>
        <w:tc>
          <w:tcPr>
            <w:tcW w:w="1417" w:type="dxa"/>
            <w:tcBorders>
              <w:bottom w:val="single" w:sz="4" w:space="0" w:color="auto"/>
            </w:tcBorders>
          </w:tcPr>
          <w:p w14:paraId="338B2F31" w14:textId="77777777" w:rsidR="0017561A" w:rsidRDefault="0017561A" w:rsidP="004E0520">
            <w:pPr>
              <w:rPr>
                <w:sz w:val="20"/>
                <w:szCs w:val="20"/>
              </w:rPr>
            </w:pPr>
            <w:r>
              <w:rPr>
                <w:sz w:val="20"/>
                <w:szCs w:val="20"/>
              </w:rPr>
              <w:t>3,031 (47.94)</w:t>
            </w:r>
          </w:p>
        </w:tc>
        <w:tc>
          <w:tcPr>
            <w:tcW w:w="1418" w:type="dxa"/>
            <w:tcBorders>
              <w:bottom w:val="single" w:sz="4" w:space="0" w:color="auto"/>
            </w:tcBorders>
          </w:tcPr>
          <w:p w14:paraId="7D9E4AEE" w14:textId="77777777" w:rsidR="0017561A" w:rsidRDefault="0017561A" w:rsidP="004E0520">
            <w:pPr>
              <w:rPr>
                <w:sz w:val="20"/>
                <w:szCs w:val="20"/>
              </w:rPr>
            </w:pPr>
            <w:r>
              <w:rPr>
                <w:sz w:val="20"/>
                <w:szCs w:val="20"/>
              </w:rPr>
              <w:t>3,291 (52.06)</w:t>
            </w:r>
          </w:p>
        </w:tc>
        <w:tc>
          <w:tcPr>
            <w:tcW w:w="992" w:type="dxa"/>
            <w:tcBorders>
              <w:bottom w:val="single" w:sz="4" w:space="0" w:color="auto"/>
            </w:tcBorders>
          </w:tcPr>
          <w:p w14:paraId="3CAD8E63" w14:textId="77777777" w:rsidR="0017561A" w:rsidRPr="00192CCA" w:rsidRDefault="0017561A" w:rsidP="004E0520">
            <w:pPr>
              <w:rPr>
                <w:sz w:val="20"/>
                <w:szCs w:val="20"/>
              </w:rPr>
            </w:pPr>
          </w:p>
        </w:tc>
        <w:tc>
          <w:tcPr>
            <w:tcW w:w="709" w:type="dxa"/>
            <w:tcBorders>
              <w:bottom w:val="single" w:sz="4" w:space="0" w:color="auto"/>
            </w:tcBorders>
          </w:tcPr>
          <w:p w14:paraId="693C4474" w14:textId="77777777" w:rsidR="0017561A" w:rsidRDefault="0017561A" w:rsidP="004E0520">
            <w:pPr>
              <w:rPr>
                <w:sz w:val="20"/>
                <w:szCs w:val="20"/>
              </w:rPr>
            </w:pPr>
            <w:r>
              <w:rPr>
                <w:sz w:val="20"/>
                <w:szCs w:val="20"/>
              </w:rPr>
              <w:t>1.16</w:t>
            </w:r>
          </w:p>
        </w:tc>
        <w:tc>
          <w:tcPr>
            <w:tcW w:w="1417" w:type="dxa"/>
            <w:tcBorders>
              <w:bottom w:val="single" w:sz="4" w:space="0" w:color="auto"/>
            </w:tcBorders>
          </w:tcPr>
          <w:p w14:paraId="481B03D6" w14:textId="77777777" w:rsidR="0017561A" w:rsidRPr="00192CCA" w:rsidRDefault="0017561A" w:rsidP="004E0520">
            <w:pPr>
              <w:rPr>
                <w:sz w:val="20"/>
                <w:szCs w:val="20"/>
              </w:rPr>
            </w:pPr>
            <w:r>
              <w:rPr>
                <w:sz w:val="20"/>
                <w:szCs w:val="20"/>
              </w:rPr>
              <w:t>1.10 – 1.22</w:t>
            </w:r>
          </w:p>
        </w:tc>
        <w:tc>
          <w:tcPr>
            <w:tcW w:w="992" w:type="dxa"/>
            <w:tcBorders>
              <w:bottom w:val="single" w:sz="4" w:space="0" w:color="auto"/>
            </w:tcBorders>
          </w:tcPr>
          <w:p w14:paraId="4F6EFF95" w14:textId="77777777" w:rsidR="0017561A" w:rsidRDefault="0017561A" w:rsidP="004E0520">
            <w:pPr>
              <w:rPr>
                <w:sz w:val="20"/>
                <w:szCs w:val="20"/>
              </w:rPr>
            </w:pPr>
            <w:r>
              <w:rPr>
                <w:sz w:val="20"/>
                <w:szCs w:val="20"/>
              </w:rPr>
              <w:t xml:space="preserve"> </w:t>
            </w:r>
            <w:r w:rsidRPr="00192CCA">
              <w:rPr>
                <w:sz w:val="20"/>
                <w:szCs w:val="20"/>
              </w:rPr>
              <w:t>&lt;0.001</w:t>
            </w:r>
          </w:p>
        </w:tc>
        <w:tc>
          <w:tcPr>
            <w:tcW w:w="709" w:type="dxa"/>
            <w:tcBorders>
              <w:bottom w:val="single" w:sz="4" w:space="0" w:color="auto"/>
            </w:tcBorders>
          </w:tcPr>
          <w:p w14:paraId="704FE4F9" w14:textId="77777777" w:rsidR="0017561A" w:rsidRPr="00192CCA" w:rsidRDefault="0017561A" w:rsidP="004E0520">
            <w:pPr>
              <w:rPr>
                <w:sz w:val="20"/>
                <w:szCs w:val="20"/>
              </w:rPr>
            </w:pPr>
            <w:r>
              <w:rPr>
                <w:sz w:val="20"/>
                <w:szCs w:val="20"/>
              </w:rPr>
              <w:t>1.36</w:t>
            </w:r>
          </w:p>
        </w:tc>
        <w:tc>
          <w:tcPr>
            <w:tcW w:w="1418" w:type="dxa"/>
            <w:tcBorders>
              <w:bottom w:val="single" w:sz="4" w:space="0" w:color="auto"/>
            </w:tcBorders>
          </w:tcPr>
          <w:p w14:paraId="4410093C" w14:textId="77777777" w:rsidR="0017561A" w:rsidRPr="00192CCA" w:rsidRDefault="0017561A" w:rsidP="004E0520">
            <w:pPr>
              <w:rPr>
                <w:sz w:val="20"/>
                <w:szCs w:val="20"/>
              </w:rPr>
            </w:pPr>
            <w:r>
              <w:rPr>
                <w:sz w:val="20"/>
                <w:szCs w:val="20"/>
              </w:rPr>
              <w:t>1.27 – 1.45</w:t>
            </w:r>
          </w:p>
        </w:tc>
        <w:tc>
          <w:tcPr>
            <w:tcW w:w="992" w:type="dxa"/>
            <w:tcBorders>
              <w:bottom w:val="single" w:sz="4" w:space="0" w:color="auto"/>
            </w:tcBorders>
          </w:tcPr>
          <w:p w14:paraId="363F287A" w14:textId="77777777" w:rsidR="0017561A" w:rsidRDefault="0017561A" w:rsidP="004E0520">
            <w:pPr>
              <w:rPr>
                <w:sz w:val="20"/>
                <w:szCs w:val="20"/>
              </w:rPr>
            </w:pPr>
            <w:r>
              <w:rPr>
                <w:sz w:val="20"/>
                <w:szCs w:val="20"/>
              </w:rPr>
              <w:t xml:space="preserve"> </w:t>
            </w:r>
            <w:r w:rsidRPr="00192CCA">
              <w:rPr>
                <w:sz w:val="20"/>
                <w:szCs w:val="20"/>
              </w:rPr>
              <w:t>&lt;0.001</w:t>
            </w:r>
          </w:p>
          <w:p w14:paraId="30009674" w14:textId="77777777" w:rsidR="0017561A" w:rsidRPr="003E4101" w:rsidRDefault="0017561A" w:rsidP="004E0520">
            <w:pPr>
              <w:rPr>
                <w:sz w:val="16"/>
                <w:szCs w:val="16"/>
              </w:rPr>
            </w:pPr>
          </w:p>
        </w:tc>
      </w:tr>
      <w:tr w:rsidR="0017561A" w:rsidRPr="000E6139" w14:paraId="4595101C" w14:textId="77777777" w:rsidTr="004E0520">
        <w:trPr>
          <w:gridBefore w:val="1"/>
          <w:wBefore w:w="108" w:type="dxa"/>
          <w:jc w:val="center"/>
        </w:trPr>
        <w:tc>
          <w:tcPr>
            <w:tcW w:w="3823" w:type="dxa"/>
            <w:tcBorders>
              <w:top w:val="single" w:sz="4" w:space="0" w:color="auto"/>
            </w:tcBorders>
          </w:tcPr>
          <w:p w14:paraId="7B3AA2D1" w14:textId="77777777" w:rsidR="0017561A" w:rsidRPr="007C6648" w:rsidRDefault="0017561A" w:rsidP="004E0520">
            <w:pPr>
              <w:rPr>
                <w:sz w:val="20"/>
                <w:szCs w:val="20"/>
              </w:rPr>
            </w:pPr>
          </w:p>
        </w:tc>
        <w:tc>
          <w:tcPr>
            <w:tcW w:w="1417" w:type="dxa"/>
            <w:tcBorders>
              <w:top w:val="single" w:sz="4" w:space="0" w:color="auto"/>
            </w:tcBorders>
          </w:tcPr>
          <w:p w14:paraId="13853114" w14:textId="77777777" w:rsidR="0017561A" w:rsidRDefault="0017561A" w:rsidP="004E0520">
            <w:pPr>
              <w:rPr>
                <w:sz w:val="20"/>
                <w:szCs w:val="20"/>
              </w:rPr>
            </w:pPr>
          </w:p>
        </w:tc>
        <w:tc>
          <w:tcPr>
            <w:tcW w:w="1418" w:type="dxa"/>
            <w:tcBorders>
              <w:top w:val="single" w:sz="4" w:space="0" w:color="auto"/>
            </w:tcBorders>
          </w:tcPr>
          <w:p w14:paraId="77B87732" w14:textId="77777777" w:rsidR="0017561A" w:rsidRDefault="0017561A" w:rsidP="004E0520">
            <w:pPr>
              <w:rPr>
                <w:sz w:val="20"/>
                <w:szCs w:val="20"/>
              </w:rPr>
            </w:pPr>
          </w:p>
        </w:tc>
        <w:tc>
          <w:tcPr>
            <w:tcW w:w="992" w:type="dxa"/>
            <w:tcBorders>
              <w:top w:val="single" w:sz="4" w:space="0" w:color="auto"/>
            </w:tcBorders>
          </w:tcPr>
          <w:p w14:paraId="7AC1BC6F" w14:textId="77777777" w:rsidR="0017561A" w:rsidRPr="000E6139" w:rsidRDefault="0017561A" w:rsidP="004E0520"/>
        </w:tc>
        <w:tc>
          <w:tcPr>
            <w:tcW w:w="709" w:type="dxa"/>
            <w:tcBorders>
              <w:top w:val="single" w:sz="4" w:space="0" w:color="auto"/>
            </w:tcBorders>
          </w:tcPr>
          <w:p w14:paraId="7566F784" w14:textId="77777777" w:rsidR="0017561A" w:rsidRDefault="0017561A" w:rsidP="004E0520">
            <w:pPr>
              <w:rPr>
                <w:sz w:val="20"/>
                <w:szCs w:val="20"/>
              </w:rPr>
            </w:pPr>
          </w:p>
        </w:tc>
        <w:tc>
          <w:tcPr>
            <w:tcW w:w="1417" w:type="dxa"/>
            <w:tcBorders>
              <w:top w:val="single" w:sz="4" w:space="0" w:color="auto"/>
            </w:tcBorders>
          </w:tcPr>
          <w:p w14:paraId="0A327346" w14:textId="77777777" w:rsidR="0017561A" w:rsidRDefault="0017561A" w:rsidP="004E0520">
            <w:pPr>
              <w:rPr>
                <w:sz w:val="20"/>
                <w:szCs w:val="20"/>
              </w:rPr>
            </w:pPr>
          </w:p>
        </w:tc>
        <w:tc>
          <w:tcPr>
            <w:tcW w:w="992" w:type="dxa"/>
            <w:tcBorders>
              <w:top w:val="single" w:sz="4" w:space="0" w:color="auto"/>
            </w:tcBorders>
          </w:tcPr>
          <w:p w14:paraId="4C7D02B2" w14:textId="77777777" w:rsidR="0017561A" w:rsidRPr="00AB4B54" w:rsidRDefault="0017561A" w:rsidP="004E0520">
            <w:pPr>
              <w:rPr>
                <w:sz w:val="20"/>
                <w:szCs w:val="20"/>
              </w:rPr>
            </w:pPr>
          </w:p>
        </w:tc>
        <w:tc>
          <w:tcPr>
            <w:tcW w:w="709" w:type="dxa"/>
            <w:tcBorders>
              <w:top w:val="single" w:sz="4" w:space="0" w:color="auto"/>
            </w:tcBorders>
          </w:tcPr>
          <w:p w14:paraId="72DD3E54" w14:textId="77777777" w:rsidR="0017561A" w:rsidRDefault="0017561A" w:rsidP="004E0520">
            <w:pPr>
              <w:rPr>
                <w:sz w:val="20"/>
                <w:szCs w:val="20"/>
              </w:rPr>
            </w:pPr>
          </w:p>
        </w:tc>
        <w:tc>
          <w:tcPr>
            <w:tcW w:w="1418" w:type="dxa"/>
            <w:tcBorders>
              <w:top w:val="single" w:sz="4" w:space="0" w:color="auto"/>
            </w:tcBorders>
          </w:tcPr>
          <w:p w14:paraId="2CAD0A49" w14:textId="77777777" w:rsidR="0017561A" w:rsidRDefault="0017561A" w:rsidP="004E0520">
            <w:pPr>
              <w:rPr>
                <w:sz w:val="20"/>
                <w:szCs w:val="20"/>
              </w:rPr>
            </w:pPr>
          </w:p>
        </w:tc>
        <w:tc>
          <w:tcPr>
            <w:tcW w:w="992" w:type="dxa"/>
            <w:tcBorders>
              <w:top w:val="single" w:sz="4" w:space="0" w:color="auto"/>
            </w:tcBorders>
          </w:tcPr>
          <w:p w14:paraId="05707069" w14:textId="77777777" w:rsidR="0017561A" w:rsidRPr="00256ACB" w:rsidRDefault="0017561A" w:rsidP="004E0520">
            <w:pPr>
              <w:rPr>
                <w:sz w:val="20"/>
                <w:szCs w:val="20"/>
              </w:rPr>
            </w:pPr>
          </w:p>
        </w:tc>
      </w:tr>
    </w:tbl>
    <w:p w14:paraId="0297E335" w14:textId="77777777" w:rsidR="0017561A" w:rsidRDefault="0017561A" w:rsidP="0017561A">
      <w:pPr>
        <w:spacing w:line="360" w:lineRule="auto"/>
        <w:jc w:val="both"/>
        <w:rPr>
          <w:sz w:val="22"/>
          <w:szCs w:val="22"/>
        </w:rPr>
      </w:pPr>
      <w:r w:rsidRPr="00940DA7">
        <w:rPr>
          <w:b/>
          <w:bCs/>
          <w:sz w:val="22"/>
          <w:szCs w:val="22"/>
        </w:rPr>
        <w:t xml:space="preserve">Table </w:t>
      </w:r>
      <w:r>
        <w:rPr>
          <w:b/>
          <w:bCs/>
          <w:sz w:val="22"/>
          <w:szCs w:val="22"/>
        </w:rPr>
        <w:t xml:space="preserve">2 </w:t>
      </w:r>
      <w:r w:rsidRPr="00DC2BF4">
        <w:rPr>
          <w:sz w:val="22"/>
          <w:szCs w:val="22"/>
        </w:rPr>
        <w:t>Continued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417"/>
        <w:gridCol w:w="1418"/>
        <w:gridCol w:w="992"/>
        <w:gridCol w:w="709"/>
        <w:gridCol w:w="1417"/>
        <w:gridCol w:w="992"/>
        <w:gridCol w:w="709"/>
        <w:gridCol w:w="1418"/>
        <w:gridCol w:w="992"/>
      </w:tblGrid>
      <w:tr w:rsidR="0017561A" w:rsidRPr="00842867" w14:paraId="1099380D" w14:textId="77777777" w:rsidTr="004E0520">
        <w:trPr>
          <w:jc w:val="center"/>
        </w:trPr>
        <w:tc>
          <w:tcPr>
            <w:tcW w:w="3823" w:type="dxa"/>
            <w:tcBorders>
              <w:top w:val="single" w:sz="4" w:space="0" w:color="auto"/>
            </w:tcBorders>
          </w:tcPr>
          <w:p w14:paraId="17F42459" w14:textId="77777777" w:rsidR="0017561A" w:rsidRPr="007C6648" w:rsidRDefault="0017561A" w:rsidP="004E0520">
            <w:pPr>
              <w:rPr>
                <w:sz w:val="20"/>
                <w:szCs w:val="20"/>
              </w:rPr>
            </w:pPr>
          </w:p>
        </w:tc>
        <w:tc>
          <w:tcPr>
            <w:tcW w:w="1417" w:type="dxa"/>
            <w:tcBorders>
              <w:top w:val="single" w:sz="4" w:space="0" w:color="auto"/>
            </w:tcBorders>
          </w:tcPr>
          <w:p w14:paraId="0C2337BD" w14:textId="77777777" w:rsidR="0017561A" w:rsidRPr="007C6648" w:rsidRDefault="0017561A" w:rsidP="004E0520">
            <w:pPr>
              <w:rPr>
                <w:sz w:val="20"/>
                <w:szCs w:val="20"/>
              </w:rPr>
            </w:pPr>
          </w:p>
        </w:tc>
        <w:tc>
          <w:tcPr>
            <w:tcW w:w="1418" w:type="dxa"/>
            <w:tcBorders>
              <w:top w:val="single" w:sz="4" w:space="0" w:color="auto"/>
            </w:tcBorders>
          </w:tcPr>
          <w:p w14:paraId="3E1E0A21" w14:textId="77777777" w:rsidR="0017561A" w:rsidRPr="007C6648" w:rsidRDefault="0017561A" w:rsidP="004E0520">
            <w:pPr>
              <w:rPr>
                <w:sz w:val="20"/>
                <w:szCs w:val="20"/>
              </w:rPr>
            </w:pPr>
          </w:p>
        </w:tc>
        <w:tc>
          <w:tcPr>
            <w:tcW w:w="992" w:type="dxa"/>
            <w:tcBorders>
              <w:top w:val="single" w:sz="4" w:space="0" w:color="auto"/>
            </w:tcBorders>
          </w:tcPr>
          <w:p w14:paraId="21775DDF" w14:textId="77777777" w:rsidR="0017561A" w:rsidRPr="00AB4B54" w:rsidRDefault="0017561A" w:rsidP="004E0520">
            <w:pPr>
              <w:rPr>
                <w:sz w:val="20"/>
                <w:szCs w:val="20"/>
              </w:rPr>
            </w:pPr>
          </w:p>
        </w:tc>
        <w:tc>
          <w:tcPr>
            <w:tcW w:w="3118" w:type="dxa"/>
            <w:gridSpan w:val="3"/>
            <w:tcBorders>
              <w:top w:val="single" w:sz="4" w:space="0" w:color="auto"/>
            </w:tcBorders>
          </w:tcPr>
          <w:p w14:paraId="7B58EB3B" w14:textId="77777777" w:rsidR="0017561A" w:rsidRPr="001A1402" w:rsidRDefault="0017561A" w:rsidP="004E0520">
            <w:pPr>
              <w:rPr>
                <w:b/>
                <w:bCs/>
                <w:sz w:val="10"/>
                <w:szCs w:val="10"/>
              </w:rPr>
            </w:pPr>
          </w:p>
          <w:p w14:paraId="1D45319E" w14:textId="77777777" w:rsidR="0017561A" w:rsidRDefault="0017561A" w:rsidP="004E0520">
            <w:pPr>
              <w:rPr>
                <w:b/>
                <w:bCs/>
                <w:sz w:val="20"/>
                <w:szCs w:val="20"/>
              </w:rPr>
            </w:pPr>
            <w:r w:rsidRPr="00842867">
              <w:rPr>
                <w:b/>
                <w:bCs/>
                <w:sz w:val="20"/>
                <w:szCs w:val="20"/>
              </w:rPr>
              <w:t>Unadjusted</w:t>
            </w:r>
          </w:p>
          <w:p w14:paraId="028D458E" w14:textId="77777777" w:rsidR="0017561A" w:rsidRPr="001A1402" w:rsidRDefault="0017561A" w:rsidP="004E0520">
            <w:pPr>
              <w:rPr>
                <w:b/>
                <w:bCs/>
                <w:sz w:val="10"/>
                <w:szCs w:val="10"/>
              </w:rPr>
            </w:pPr>
          </w:p>
        </w:tc>
        <w:tc>
          <w:tcPr>
            <w:tcW w:w="3119" w:type="dxa"/>
            <w:gridSpan w:val="3"/>
            <w:tcBorders>
              <w:top w:val="single" w:sz="4" w:space="0" w:color="auto"/>
            </w:tcBorders>
          </w:tcPr>
          <w:p w14:paraId="00B2132F" w14:textId="77777777" w:rsidR="0017561A" w:rsidRPr="001A1402" w:rsidRDefault="0017561A" w:rsidP="004E0520">
            <w:pPr>
              <w:rPr>
                <w:b/>
                <w:bCs/>
                <w:sz w:val="10"/>
                <w:szCs w:val="10"/>
              </w:rPr>
            </w:pPr>
          </w:p>
          <w:p w14:paraId="4A96A733" w14:textId="77777777" w:rsidR="0017561A" w:rsidRPr="00842867" w:rsidRDefault="0017561A" w:rsidP="004E0520">
            <w:pPr>
              <w:rPr>
                <w:b/>
                <w:bCs/>
                <w:sz w:val="20"/>
                <w:szCs w:val="20"/>
              </w:rPr>
            </w:pPr>
            <w:r w:rsidRPr="00842867">
              <w:rPr>
                <w:b/>
                <w:bCs/>
                <w:sz w:val="20"/>
                <w:szCs w:val="20"/>
              </w:rPr>
              <w:t>Adjusted</w:t>
            </w:r>
          </w:p>
        </w:tc>
      </w:tr>
      <w:tr w:rsidR="0017561A" w:rsidRPr="00AB4B54" w14:paraId="266FBB90" w14:textId="77777777" w:rsidTr="004E0520">
        <w:trPr>
          <w:jc w:val="center"/>
        </w:trPr>
        <w:tc>
          <w:tcPr>
            <w:tcW w:w="3823" w:type="dxa"/>
            <w:tcBorders>
              <w:bottom w:val="single" w:sz="4" w:space="0" w:color="auto"/>
            </w:tcBorders>
          </w:tcPr>
          <w:p w14:paraId="6107FA00" w14:textId="77777777" w:rsidR="0017561A" w:rsidRPr="007C6648" w:rsidRDefault="0017561A" w:rsidP="004E0520">
            <w:pPr>
              <w:rPr>
                <w:sz w:val="20"/>
                <w:szCs w:val="20"/>
              </w:rPr>
            </w:pPr>
          </w:p>
        </w:tc>
        <w:tc>
          <w:tcPr>
            <w:tcW w:w="1417" w:type="dxa"/>
            <w:tcBorders>
              <w:bottom w:val="single" w:sz="4" w:space="0" w:color="auto"/>
            </w:tcBorders>
          </w:tcPr>
          <w:p w14:paraId="0A0EC372" w14:textId="77777777" w:rsidR="0017561A" w:rsidRDefault="0017561A" w:rsidP="004E0520">
            <w:pPr>
              <w:rPr>
                <w:sz w:val="20"/>
                <w:szCs w:val="20"/>
              </w:rPr>
            </w:pPr>
            <w:r w:rsidRPr="007C6648">
              <w:rPr>
                <w:sz w:val="20"/>
                <w:szCs w:val="20"/>
              </w:rPr>
              <w:t>N</w:t>
            </w:r>
            <w:r>
              <w:rPr>
                <w:sz w:val="20"/>
                <w:szCs w:val="20"/>
              </w:rPr>
              <w:t>umber</w:t>
            </w:r>
            <w:r w:rsidRPr="007C6648">
              <w:rPr>
                <w:sz w:val="20"/>
                <w:szCs w:val="20"/>
              </w:rPr>
              <w:t xml:space="preserve"> (%) </w:t>
            </w:r>
            <w:r>
              <w:rPr>
                <w:sz w:val="20"/>
                <w:szCs w:val="20"/>
              </w:rPr>
              <w:t>Receiving</w:t>
            </w:r>
          </w:p>
          <w:p w14:paraId="736CA009" w14:textId="77777777" w:rsidR="0017561A" w:rsidRDefault="0017561A" w:rsidP="004E0520">
            <w:pPr>
              <w:rPr>
                <w:sz w:val="20"/>
                <w:szCs w:val="20"/>
              </w:rPr>
            </w:pPr>
            <w:r w:rsidRPr="007C6648">
              <w:rPr>
                <w:sz w:val="20"/>
                <w:szCs w:val="20"/>
              </w:rPr>
              <w:t>Trastuzumab</w:t>
            </w:r>
          </w:p>
          <w:p w14:paraId="29447F3E" w14:textId="77777777" w:rsidR="0017561A" w:rsidRPr="007C6648" w:rsidRDefault="0017561A" w:rsidP="004E0520">
            <w:pPr>
              <w:rPr>
                <w:sz w:val="20"/>
                <w:szCs w:val="20"/>
              </w:rPr>
            </w:pPr>
            <w:r>
              <w:rPr>
                <w:sz w:val="20"/>
                <w:szCs w:val="20"/>
              </w:rPr>
              <w:t>n = 15,567 (44.97)</w:t>
            </w:r>
          </w:p>
        </w:tc>
        <w:tc>
          <w:tcPr>
            <w:tcW w:w="1418" w:type="dxa"/>
            <w:tcBorders>
              <w:bottom w:val="single" w:sz="4" w:space="0" w:color="auto"/>
            </w:tcBorders>
          </w:tcPr>
          <w:p w14:paraId="43D23EAC" w14:textId="77777777" w:rsidR="0017561A" w:rsidRDefault="0017561A" w:rsidP="004E0520">
            <w:pPr>
              <w:rPr>
                <w:sz w:val="20"/>
                <w:szCs w:val="20"/>
              </w:rPr>
            </w:pPr>
            <w:r w:rsidRPr="007C6648">
              <w:rPr>
                <w:sz w:val="20"/>
                <w:szCs w:val="20"/>
              </w:rPr>
              <w:t xml:space="preserve">Number (%) </w:t>
            </w:r>
            <w:r>
              <w:rPr>
                <w:sz w:val="20"/>
                <w:szCs w:val="20"/>
              </w:rPr>
              <w:t>n</w:t>
            </w:r>
            <w:r w:rsidRPr="007C6648">
              <w:rPr>
                <w:sz w:val="20"/>
                <w:szCs w:val="20"/>
              </w:rPr>
              <w:t xml:space="preserve">ot </w:t>
            </w:r>
            <w:r>
              <w:rPr>
                <w:sz w:val="20"/>
                <w:szCs w:val="20"/>
              </w:rPr>
              <w:t>Receiving</w:t>
            </w:r>
            <w:r w:rsidRPr="007C6648">
              <w:rPr>
                <w:sz w:val="20"/>
                <w:szCs w:val="20"/>
              </w:rPr>
              <w:t xml:space="preserve"> Trastuzumab</w:t>
            </w:r>
          </w:p>
          <w:p w14:paraId="73BB1B75" w14:textId="77777777" w:rsidR="0017561A" w:rsidRDefault="0017561A" w:rsidP="004E0520">
            <w:pPr>
              <w:rPr>
                <w:sz w:val="20"/>
                <w:szCs w:val="20"/>
              </w:rPr>
            </w:pPr>
            <w:r>
              <w:rPr>
                <w:sz w:val="20"/>
                <w:szCs w:val="20"/>
              </w:rPr>
              <w:t>n = 19,049 (55.03)</w:t>
            </w:r>
          </w:p>
          <w:p w14:paraId="6C194293" w14:textId="77777777" w:rsidR="0017561A" w:rsidRPr="001A1402" w:rsidRDefault="0017561A" w:rsidP="004E0520">
            <w:pPr>
              <w:rPr>
                <w:sz w:val="10"/>
                <w:szCs w:val="10"/>
              </w:rPr>
            </w:pPr>
          </w:p>
        </w:tc>
        <w:tc>
          <w:tcPr>
            <w:tcW w:w="992" w:type="dxa"/>
            <w:tcBorders>
              <w:bottom w:val="single" w:sz="4" w:space="0" w:color="auto"/>
            </w:tcBorders>
          </w:tcPr>
          <w:p w14:paraId="201BF0F9" w14:textId="77777777" w:rsidR="0017561A" w:rsidRPr="00AB4B54" w:rsidRDefault="0017561A" w:rsidP="004E0520">
            <w:pPr>
              <w:rPr>
                <w:sz w:val="20"/>
                <w:szCs w:val="20"/>
              </w:rPr>
            </w:pPr>
            <w:r w:rsidRPr="00AB4B54">
              <w:rPr>
                <w:sz w:val="20"/>
                <w:szCs w:val="20"/>
              </w:rPr>
              <w:t>P Value</w:t>
            </w:r>
            <w:r>
              <w:rPr>
                <w:sz w:val="20"/>
                <w:szCs w:val="20"/>
                <w:vertAlign w:val="superscript"/>
              </w:rPr>
              <w:t>a</w:t>
            </w:r>
          </w:p>
        </w:tc>
        <w:tc>
          <w:tcPr>
            <w:tcW w:w="709" w:type="dxa"/>
            <w:tcBorders>
              <w:bottom w:val="single" w:sz="4" w:space="0" w:color="auto"/>
            </w:tcBorders>
          </w:tcPr>
          <w:p w14:paraId="6AF845C3" w14:textId="77777777" w:rsidR="0017561A" w:rsidRPr="007C6648" w:rsidRDefault="0017561A" w:rsidP="004E0520">
            <w:pPr>
              <w:rPr>
                <w:sz w:val="20"/>
                <w:szCs w:val="20"/>
              </w:rPr>
            </w:pPr>
            <w:r w:rsidRPr="007C6648">
              <w:rPr>
                <w:sz w:val="20"/>
                <w:szCs w:val="20"/>
              </w:rPr>
              <w:t>OR</w:t>
            </w:r>
          </w:p>
        </w:tc>
        <w:tc>
          <w:tcPr>
            <w:tcW w:w="1417" w:type="dxa"/>
            <w:tcBorders>
              <w:bottom w:val="single" w:sz="4" w:space="0" w:color="auto"/>
            </w:tcBorders>
          </w:tcPr>
          <w:p w14:paraId="51994AB7" w14:textId="77777777" w:rsidR="0017561A" w:rsidRPr="007C6648" w:rsidRDefault="0017561A" w:rsidP="004E0520">
            <w:pPr>
              <w:rPr>
                <w:sz w:val="20"/>
                <w:szCs w:val="20"/>
              </w:rPr>
            </w:pPr>
            <w:r w:rsidRPr="007C6648">
              <w:rPr>
                <w:sz w:val="20"/>
                <w:szCs w:val="20"/>
              </w:rPr>
              <w:t>95% CI</w:t>
            </w:r>
          </w:p>
        </w:tc>
        <w:tc>
          <w:tcPr>
            <w:tcW w:w="992" w:type="dxa"/>
            <w:tcBorders>
              <w:bottom w:val="single" w:sz="4" w:space="0" w:color="auto"/>
            </w:tcBorders>
          </w:tcPr>
          <w:p w14:paraId="00D43882" w14:textId="77777777" w:rsidR="0017561A" w:rsidRPr="00AB4B54" w:rsidRDefault="0017561A" w:rsidP="004E0520">
            <w:pPr>
              <w:rPr>
                <w:sz w:val="20"/>
                <w:szCs w:val="20"/>
              </w:rPr>
            </w:pPr>
            <w:r w:rsidRPr="00AB4B54">
              <w:rPr>
                <w:sz w:val="20"/>
                <w:szCs w:val="20"/>
              </w:rPr>
              <w:t>P Value</w:t>
            </w:r>
            <w:r>
              <w:rPr>
                <w:sz w:val="20"/>
                <w:szCs w:val="20"/>
                <w:vertAlign w:val="superscript"/>
              </w:rPr>
              <w:t>b</w:t>
            </w:r>
          </w:p>
        </w:tc>
        <w:tc>
          <w:tcPr>
            <w:tcW w:w="709" w:type="dxa"/>
            <w:tcBorders>
              <w:bottom w:val="single" w:sz="4" w:space="0" w:color="auto"/>
            </w:tcBorders>
          </w:tcPr>
          <w:p w14:paraId="68888786" w14:textId="77777777" w:rsidR="0017561A" w:rsidRPr="007C6648" w:rsidRDefault="0017561A" w:rsidP="004E0520">
            <w:pPr>
              <w:rPr>
                <w:sz w:val="20"/>
                <w:szCs w:val="20"/>
              </w:rPr>
            </w:pPr>
            <w:r w:rsidRPr="007C6648">
              <w:rPr>
                <w:sz w:val="20"/>
                <w:szCs w:val="20"/>
              </w:rPr>
              <w:t>OR</w:t>
            </w:r>
          </w:p>
        </w:tc>
        <w:tc>
          <w:tcPr>
            <w:tcW w:w="1418" w:type="dxa"/>
            <w:tcBorders>
              <w:bottom w:val="single" w:sz="4" w:space="0" w:color="auto"/>
            </w:tcBorders>
          </w:tcPr>
          <w:p w14:paraId="58C417A4" w14:textId="77777777" w:rsidR="0017561A" w:rsidRPr="007C6648" w:rsidRDefault="0017561A" w:rsidP="004E0520">
            <w:pPr>
              <w:rPr>
                <w:sz w:val="20"/>
                <w:szCs w:val="20"/>
              </w:rPr>
            </w:pPr>
            <w:r w:rsidRPr="007C6648">
              <w:rPr>
                <w:sz w:val="20"/>
                <w:szCs w:val="20"/>
              </w:rPr>
              <w:t>95% CI</w:t>
            </w:r>
          </w:p>
        </w:tc>
        <w:tc>
          <w:tcPr>
            <w:tcW w:w="992" w:type="dxa"/>
            <w:tcBorders>
              <w:bottom w:val="single" w:sz="4" w:space="0" w:color="auto"/>
            </w:tcBorders>
          </w:tcPr>
          <w:p w14:paraId="75CBCC76" w14:textId="77777777" w:rsidR="0017561A" w:rsidRPr="00AB4B54" w:rsidRDefault="0017561A" w:rsidP="004E0520">
            <w:pPr>
              <w:rPr>
                <w:sz w:val="20"/>
                <w:szCs w:val="20"/>
              </w:rPr>
            </w:pPr>
            <w:r w:rsidRPr="00AB4B54">
              <w:rPr>
                <w:sz w:val="20"/>
                <w:szCs w:val="20"/>
              </w:rPr>
              <w:t>P Value</w:t>
            </w:r>
            <w:r>
              <w:rPr>
                <w:sz w:val="20"/>
                <w:szCs w:val="20"/>
                <w:vertAlign w:val="superscript"/>
              </w:rPr>
              <w:t>b</w:t>
            </w:r>
          </w:p>
        </w:tc>
      </w:tr>
      <w:tr w:rsidR="0017561A" w:rsidRPr="000E6139" w14:paraId="69D1212B" w14:textId="77777777" w:rsidTr="004E0520">
        <w:trPr>
          <w:trHeight w:val="100"/>
          <w:jc w:val="center"/>
        </w:trPr>
        <w:tc>
          <w:tcPr>
            <w:tcW w:w="3823" w:type="dxa"/>
          </w:tcPr>
          <w:p w14:paraId="277B3DFC" w14:textId="77777777" w:rsidR="0017561A" w:rsidRPr="00192CCA" w:rsidRDefault="0017561A" w:rsidP="004E0520">
            <w:pPr>
              <w:rPr>
                <w:b/>
                <w:bCs/>
                <w:sz w:val="20"/>
                <w:szCs w:val="20"/>
              </w:rPr>
            </w:pPr>
          </w:p>
          <w:p w14:paraId="3E05A8A4" w14:textId="77777777" w:rsidR="0017561A" w:rsidRPr="00192CCA" w:rsidRDefault="0017561A" w:rsidP="004E0520">
            <w:pPr>
              <w:rPr>
                <w:sz w:val="20"/>
                <w:szCs w:val="20"/>
              </w:rPr>
            </w:pPr>
            <w:r w:rsidRPr="00192CCA">
              <w:rPr>
                <w:b/>
                <w:bCs/>
                <w:sz w:val="20"/>
                <w:szCs w:val="20"/>
              </w:rPr>
              <w:t xml:space="preserve">Multiple </w:t>
            </w:r>
            <w:r>
              <w:rPr>
                <w:b/>
                <w:bCs/>
                <w:sz w:val="20"/>
                <w:szCs w:val="20"/>
              </w:rPr>
              <w:t>Tumors</w:t>
            </w:r>
            <w:r>
              <w:rPr>
                <w:b/>
                <w:bCs/>
                <w:sz w:val="20"/>
                <w:szCs w:val="20"/>
                <w:vertAlign w:val="superscript"/>
              </w:rPr>
              <w:t>h</w:t>
            </w:r>
          </w:p>
        </w:tc>
        <w:tc>
          <w:tcPr>
            <w:tcW w:w="1417" w:type="dxa"/>
          </w:tcPr>
          <w:p w14:paraId="7A2368FA" w14:textId="77777777" w:rsidR="0017561A" w:rsidRPr="00192CCA" w:rsidRDefault="0017561A" w:rsidP="004E0520">
            <w:pPr>
              <w:rPr>
                <w:sz w:val="20"/>
                <w:szCs w:val="20"/>
              </w:rPr>
            </w:pPr>
          </w:p>
        </w:tc>
        <w:tc>
          <w:tcPr>
            <w:tcW w:w="1418" w:type="dxa"/>
          </w:tcPr>
          <w:p w14:paraId="3B7F3103" w14:textId="77777777" w:rsidR="0017561A" w:rsidRPr="00192CCA" w:rsidRDefault="0017561A" w:rsidP="004E0520">
            <w:pPr>
              <w:rPr>
                <w:sz w:val="20"/>
                <w:szCs w:val="20"/>
              </w:rPr>
            </w:pPr>
          </w:p>
        </w:tc>
        <w:tc>
          <w:tcPr>
            <w:tcW w:w="992" w:type="dxa"/>
          </w:tcPr>
          <w:p w14:paraId="1988130A" w14:textId="77777777" w:rsidR="0017561A" w:rsidRPr="00192CCA" w:rsidRDefault="0017561A" w:rsidP="004E0520">
            <w:pPr>
              <w:rPr>
                <w:sz w:val="20"/>
                <w:szCs w:val="20"/>
              </w:rPr>
            </w:pPr>
          </w:p>
          <w:p w14:paraId="144F1D09" w14:textId="77777777" w:rsidR="0017561A" w:rsidRPr="00192CCA" w:rsidRDefault="0017561A" w:rsidP="004E0520">
            <w:pPr>
              <w:rPr>
                <w:sz w:val="20"/>
                <w:szCs w:val="20"/>
              </w:rPr>
            </w:pPr>
            <w:r w:rsidRPr="00192CCA">
              <w:rPr>
                <w:sz w:val="20"/>
                <w:szCs w:val="20"/>
              </w:rPr>
              <w:t>&lt;0.001</w:t>
            </w:r>
          </w:p>
        </w:tc>
        <w:tc>
          <w:tcPr>
            <w:tcW w:w="709" w:type="dxa"/>
          </w:tcPr>
          <w:p w14:paraId="3A1990CD" w14:textId="77777777" w:rsidR="0017561A" w:rsidRPr="00192CCA" w:rsidRDefault="0017561A" w:rsidP="004E0520">
            <w:pPr>
              <w:rPr>
                <w:sz w:val="20"/>
                <w:szCs w:val="20"/>
              </w:rPr>
            </w:pPr>
          </w:p>
        </w:tc>
        <w:tc>
          <w:tcPr>
            <w:tcW w:w="1417" w:type="dxa"/>
          </w:tcPr>
          <w:p w14:paraId="01D4DA99" w14:textId="77777777" w:rsidR="0017561A" w:rsidRPr="00192CCA" w:rsidRDefault="0017561A" w:rsidP="004E0520">
            <w:pPr>
              <w:rPr>
                <w:sz w:val="20"/>
                <w:szCs w:val="20"/>
              </w:rPr>
            </w:pPr>
          </w:p>
        </w:tc>
        <w:tc>
          <w:tcPr>
            <w:tcW w:w="992" w:type="dxa"/>
          </w:tcPr>
          <w:p w14:paraId="5DD2D60E" w14:textId="77777777" w:rsidR="0017561A" w:rsidRPr="00192CCA" w:rsidRDefault="0017561A" w:rsidP="004E0520">
            <w:pPr>
              <w:rPr>
                <w:b/>
                <w:bCs/>
                <w:sz w:val="20"/>
                <w:szCs w:val="20"/>
              </w:rPr>
            </w:pPr>
          </w:p>
          <w:p w14:paraId="7C6AB2F2" w14:textId="77777777" w:rsidR="0017561A" w:rsidRPr="00192CCA" w:rsidRDefault="0017561A" w:rsidP="004E0520">
            <w:pPr>
              <w:rPr>
                <w:sz w:val="20"/>
                <w:szCs w:val="20"/>
              </w:rPr>
            </w:pPr>
            <w:r w:rsidRPr="00192CCA">
              <w:rPr>
                <w:b/>
                <w:bCs/>
                <w:sz w:val="20"/>
                <w:szCs w:val="20"/>
              </w:rPr>
              <w:t>&lt;0.001</w:t>
            </w:r>
          </w:p>
        </w:tc>
        <w:tc>
          <w:tcPr>
            <w:tcW w:w="709" w:type="dxa"/>
          </w:tcPr>
          <w:p w14:paraId="245FF948" w14:textId="77777777" w:rsidR="0017561A" w:rsidRPr="00192CCA" w:rsidRDefault="0017561A" w:rsidP="004E0520">
            <w:pPr>
              <w:rPr>
                <w:sz w:val="20"/>
                <w:szCs w:val="20"/>
              </w:rPr>
            </w:pPr>
          </w:p>
        </w:tc>
        <w:tc>
          <w:tcPr>
            <w:tcW w:w="1418" w:type="dxa"/>
          </w:tcPr>
          <w:p w14:paraId="10EB134E" w14:textId="77777777" w:rsidR="0017561A" w:rsidRPr="00192CCA" w:rsidRDefault="0017561A" w:rsidP="004E0520">
            <w:pPr>
              <w:rPr>
                <w:sz w:val="20"/>
                <w:szCs w:val="20"/>
              </w:rPr>
            </w:pPr>
          </w:p>
        </w:tc>
        <w:tc>
          <w:tcPr>
            <w:tcW w:w="992" w:type="dxa"/>
          </w:tcPr>
          <w:p w14:paraId="25504A24" w14:textId="77777777" w:rsidR="0017561A" w:rsidRPr="00192CCA" w:rsidRDefault="0017561A" w:rsidP="004E0520">
            <w:pPr>
              <w:rPr>
                <w:sz w:val="20"/>
                <w:szCs w:val="20"/>
              </w:rPr>
            </w:pPr>
          </w:p>
          <w:p w14:paraId="14390067" w14:textId="3A7A417F" w:rsidR="0017561A" w:rsidRPr="00192CCA" w:rsidRDefault="0017561A" w:rsidP="004E0520">
            <w:pPr>
              <w:rPr>
                <w:sz w:val="20"/>
                <w:szCs w:val="20"/>
              </w:rPr>
            </w:pPr>
            <w:r>
              <w:rPr>
                <w:sz w:val="20"/>
                <w:szCs w:val="20"/>
              </w:rPr>
              <w:t xml:space="preserve"> </w:t>
            </w:r>
            <w:r w:rsidRPr="00192CCA">
              <w:rPr>
                <w:sz w:val="20"/>
                <w:szCs w:val="20"/>
              </w:rPr>
              <w:t>-------</w:t>
            </w:r>
            <w:r w:rsidR="002C63C5" w:rsidRPr="00887E7E">
              <w:rPr>
                <w:sz w:val="20"/>
                <w:szCs w:val="20"/>
                <w:vertAlign w:val="superscript"/>
              </w:rPr>
              <w:t>l</w:t>
            </w:r>
          </w:p>
        </w:tc>
      </w:tr>
      <w:tr w:rsidR="0017561A" w:rsidRPr="000E6139" w14:paraId="2D93EC3B" w14:textId="77777777" w:rsidTr="004E0520">
        <w:trPr>
          <w:jc w:val="center"/>
        </w:trPr>
        <w:tc>
          <w:tcPr>
            <w:tcW w:w="3823" w:type="dxa"/>
          </w:tcPr>
          <w:p w14:paraId="16F25FD7" w14:textId="77777777" w:rsidR="0017561A" w:rsidRPr="00192CCA" w:rsidRDefault="0017561A" w:rsidP="004E0520">
            <w:pPr>
              <w:rPr>
                <w:b/>
                <w:bCs/>
                <w:sz w:val="20"/>
                <w:szCs w:val="20"/>
              </w:rPr>
            </w:pPr>
            <w:r w:rsidRPr="00192CCA">
              <w:rPr>
                <w:sz w:val="20"/>
                <w:szCs w:val="20"/>
              </w:rPr>
              <w:t>1</w:t>
            </w:r>
            <w:r>
              <w:rPr>
                <w:sz w:val="20"/>
                <w:szCs w:val="20"/>
              </w:rPr>
              <w:t xml:space="preserve"> Tumor Only</w:t>
            </w:r>
          </w:p>
        </w:tc>
        <w:tc>
          <w:tcPr>
            <w:tcW w:w="1417" w:type="dxa"/>
          </w:tcPr>
          <w:p w14:paraId="6B538030" w14:textId="77777777" w:rsidR="0017561A" w:rsidRPr="00192CCA" w:rsidRDefault="0017561A" w:rsidP="004E0520">
            <w:pPr>
              <w:rPr>
                <w:sz w:val="20"/>
                <w:szCs w:val="20"/>
              </w:rPr>
            </w:pPr>
            <w:r>
              <w:rPr>
                <w:sz w:val="20"/>
                <w:szCs w:val="20"/>
              </w:rPr>
              <w:t>14,135 (46.29)</w:t>
            </w:r>
          </w:p>
        </w:tc>
        <w:tc>
          <w:tcPr>
            <w:tcW w:w="1418" w:type="dxa"/>
          </w:tcPr>
          <w:p w14:paraId="7D699D68" w14:textId="77777777" w:rsidR="0017561A" w:rsidRPr="00192CCA" w:rsidRDefault="0017561A" w:rsidP="004E0520">
            <w:pPr>
              <w:rPr>
                <w:sz w:val="20"/>
                <w:szCs w:val="20"/>
              </w:rPr>
            </w:pPr>
            <w:r>
              <w:rPr>
                <w:sz w:val="20"/>
                <w:szCs w:val="20"/>
              </w:rPr>
              <w:t>16,398 (53.71)</w:t>
            </w:r>
          </w:p>
        </w:tc>
        <w:tc>
          <w:tcPr>
            <w:tcW w:w="992" w:type="dxa"/>
          </w:tcPr>
          <w:p w14:paraId="57C8953E" w14:textId="77777777" w:rsidR="0017561A" w:rsidRPr="00192CCA" w:rsidRDefault="0017561A" w:rsidP="004E0520">
            <w:pPr>
              <w:rPr>
                <w:sz w:val="20"/>
                <w:szCs w:val="20"/>
              </w:rPr>
            </w:pPr>
          </w:p>
        </w:tc>
        <w:tc>
          <w:tcPr>
            <w:tcW w:w="709" w:type="dxa"/>
          </w:tcPr>
          <w:p w14:paraId="45124C1B" w14:textId="77777777" w:rsidR="0017561A" w:rsidRPr="00192CCA" w:rsidRDefault="0017561A" w:rsidP="004E0520">
            <w:pPr>
              <w:rPr>
                <w:sz w:val="20"/>
                <w:szCs w:val="20"/>
              </w:rPr>
            </w:pPr>
            <w:r w:rsidRPr="00192CCA">
              <w:rPr>
                <w:sz w:val="20"/>
                <w:szCs w:val="20"/>
              </w:rPr>
              <w:t>1.00</w:t>
            </w:r>
          </w:p>
        </w:tc>
        <w:tc>
          <w:tcPr>
            <w:tcW w:w="1417" w:type="dxa"/>
          </w:tcPr>
          <w:p w14:paraId="69FE86D1" w14:textId="77777777" w:rsidR="0017561A" w:rsidRPr="00192CCA" w:rsidRDefault="0017561A" w:rsidP="004E0520">
            <w:pPr>
              <w:rPr>
                <w:sz w:val="20"/>
                <w:szCs w:val="20"/>
              </w:rPr>
            </w:pPr>
            <w:r w:rsidRPr="00192CCA">
              <w:rPr>
                <w:sz w:val="20"/>
                <w:szCs w:val="20"/>
              </w:rPr>
              <w:t>-----     -----</w:t>
            </w:r>
          </w:p>
        </w:tc>
        <w:tc>
          <w:tcPr>
            <w:tcW w:w="992" w:type="dxa"/>
          </w:tcPr>
          <w:p w14:paraId="6486E60D" w14:textId="77777777" w:rsidR="0017561A" w:rsidRPr="00192CCA" w:rsidRDefault="0017561A" w:rsidP="004E0520">
            <w:pPr>
              <w:rPr>
                <w:b/>
                <w:bCs/>
                <w:sz w:val="20"/>
                <w:szCs w:val="20"/>
              </w:rPr>
            </w:pPr>
            <w:r>
              <w:rPr>
                <w:sz w:val="20"/>
                <w:szCs w:val="20"/>
              </w:rPr>
              <w:t xml:space="preserve">  </w:t>
            </w:r>
            <w:r w:rsidRPr="00192CCA">
              <w:rPr>
                <w:sz w:val="20"/>
                <w:szCs w:val="20"/>
              </w:rPr>
              <w:t>-------</w:t>
            </w:r>
          </w:p>
        </w:tc>
        <w:tc>
          <w:tcPr>
            <w:tcW w:w="709" w:type="dxa"/>
          </w:tcPr>
          <w:p w14:paraId="263470AB" w14:textId="77777777" w:rsidR="0017561A" w:rsidRPr="00192CCA" w:rsidRDefault="0017561A" w:rsidP="004E0520">
            <w:pPr>
              <w:rPr>
                <w:sz w:val="20"/>
                <w:szCs w:val="20"/>
              </w:rPr>
            </w:pPr>
            <w:r w:rsidRPr="00192CCA">
              <w:rPr>
                <w:sz w:val="20"/>
                <w:szCs w:val="20"/>
              </w:rPr>
              <w:t>-------</w:t>
            </w:r>
          </w:p>
        </w:tc>
        <w:tc>
          <w:tcPr>
            <w:tcW w:w="1418" w:type="dxa"/>
          </w:tcPr>
          <w:p w14:paraId="44D311D5" w14:textId="77777777" w:rsidR="0017561A" w:rsidRPr="00192CCA" w:rsidRDefault="0017561A" w:rsidP="004E0520">
            <w:pPr>
              <w:rPr>
                <w:sz w:val="20"/>
                <w:szCs w:val="20"/>
              </w:rPr>
            </w:pPr>
            <w:r w:rsidRPr="00192CCA">
              <w:rPr>
                <w:sz w:val="20"/>
                <w:szCs w:val="20"/>
              </w:rPr>
              <w:t>-----     -----</w:t>
            </w:r>
          </w:p>
        </w:tc>
        <w:tc>
          <w:tcPr>
            <w:tcW w:w="992" w:type="dxa"/>
          </w:tcPr>
          <w:p w14:paraId="705FFDAE" w14:textId="77777777" w:rsidR="0017561A" w:rsidRPr="00192CCA" w:rsidRDefault="0017561A" w:rsidP="004E0520">
            <w:pPr>
              <w:rPr>
                <w:sz w:val="20"/>
                <w:szCs w:val="20"/>
              </w:rPr>
            </w:pPr>
            <w:r>
              <w:rPr>
                <w:sz w:val="20"/>
                <w:szCs w:val="20"/>
              </w:rPr>
              <w:t xml:space="preserve">  </w:t>
            </w:r>
            <w:r w:rsidRPr="00192CCA">
              <w:rPr>
                <w:sz w:val="20"/>
                <w:szCs w:val="20"/>
              </w:rPr>
              <w:t>-------</w:t>
            </w:r>
          </w:p>
        </w:tc>
      </w:tr>
      <w:tr w:rsidR="0017561A" w:rsidRPr="000E6139" w14:paraId="20E645D6" w14:textId="77777777" w:rsidTr="004E0520">
        <w:trPr>
          <w:jc w:val="center"/>
        </w:trPr>
        <w:tc>
          <w:tcPr>
            <w:tcW w:w="3823" w:type="dxa"/>
          </w:tcPr>
          <w:p w14:paraId="1EDA5C31" w14:textId="77777777" w:rsidR="0017561A" w:rsidRPr="00192CCA" w:rsidRDefault="0017561A" w:rsidP="004E0520">
            <w:pPr>
              <w:rPr>
                <w:sz w:val="20"/>
                <w:szCs w:val="20"/>
              </w:rPr>
            </w:pPr>
            <w:r w:rsidRPr="00192CCA">
              <w:rPr>
                <w:sz w:val="20"/>
                <w:szCs w:val="20"/>
              </w:rPr>
              <w:t>&gt;1</w:t>
            </w:r>
            <w:r>
              <w:rPr>
                <w:sz w:val="20"/>
                <w:szCs w:val="20"/>
              </w:rPr>
              <w:t xml:space="preserve"> Tumors</w:t>
            </w:r>
          </w:p>
        </w:tc>
        <w:tc>
          <w:tcPr>
            <w:tcW w:w="1417" w:type="dxa"/>
          </w:tcPr>
          <w:p w14:paraId="3A0F8597" w14:textId="77777777" w:rsidR="0017561A" w:rsidRPr="00192CCA" w:rsidRDefault="0017561A" w:rsidP="004E0520">
            <w:pPr>
              <w:rPr>
                <w:sz w:val="20"/>
                <w:szCs w:val="20"/>
              </w:rPr>
            </w:pPr>
            <w:r>
              <w:rPr>
                <w:sz w:val="20"/>
                <w:szCs w:val="20"/>
              </w:rPr>
              <w:t>1,432 (35.07)</w:t>
            </w:r>
          </w:p>
        </w:tc>
        <w:tc>
          <w:tcPr>
            <w:tcW w:w="1418" w:type="dxa"/>
          </w:tcPr>
          <w:p w14:paraId="0084B7C5" w14:textId="77777777" w:rsidR="0017561A" w:rsidRPr="00192CCA" w:rsidRDefault="0017561A" w:rsidP="004E0520">
            <w:pPr>
              <w:rPr>
                <w:sz w:val="20"/>
                <w:szCs w:val="20"/>
              </w:rPr>
            </w:pPr>
            <w:r>
              <w:rPr>
                <w:sz w:val="20"/>
                <w:szCs w:val="20"/>
              </w:rPr>
              <w:t>2,651 (64.93)</w:t>
            </w:r>
          </w:p>
        </w:tc>
        <w:tc>
          <w:tcPr>
            <w:tcW w:w="992" w:type="dxa"/>
          </w:tcPr>
          <w:p w14:paraId="7E8A9FBC" w14:textId="77777777" w:rsidR="0017561A" w:rsidRPr="00192CCA" w:rsidRDefault="0017561A" w:rsidP="004E0520">
            <w:pPr>
              <w:rPr>
                <w:sz w:val="20"/>
                <w:szCs w:val="20"/>
              </w:rPr>
            </w:pPr>
          </w:p>
        </w:tc>
        <w:tc>
          <w:tcPr>
            <w:tcW w:w="709" w:type="dxa"/>
          </w:tcPr>
          <w:p w14:paraId="271EDEB8" w14:textId="77777777" w:rsidR="0017561A" w:rsidRPr="00192CCA" w:rsidRDefault="0017561A" w:rsidP="004E0520">
            <w:pPr>
              <w:rPr>
                <w:sz w:val="20"/>
                <w:szCs w:val="20"/>
              </w:rPr>
            </w:pPr>
            <w:r w:rsidRPr="00192CCA">
              <w:rPr>
                <w:sz w:val="20"/>
                <w:szCs w:val="20"/>
              </w:rPr>
              <w:t>0.6</w:t>
            </w:r>
            <w:r>
              <w:rPr>
                <w:sz w:val="20"/>
                <w:szCs w:val="20"/>
              </w:rPr>
              <w:t>3</w:t>
            </w:r>
          </w:p>
        </w:tc>
        <w:tc>
          <w:tcPr>
            <w:tcW w:w="1417" w:type="dxa"/>
          </w:tcPr>
          <w:p w14:paraId="6652FB9A" w14:textId="77777777" w:rsidR="0017561A" w:rsidRPr="00192CCA" w:rsidRDefault="0017561A" w:rsidP="004E0520">
            <w:pPr>
              <w:rPr>
                <w:sz w:val="20"/>
                <w:szCs w:val="20"/>
              </w:rPr>
            </w:pPr>
            <w:r w:rsidRPr="00192CCA">
              <w:rPr>
                <w:sz w:val="20"/>
                <w:szCs w:val="20"/>
              </w:rPr>
              <w:t>0.</w:t>
            </w:r>
            <w:r>
              <w:rPr>
                <w:sz w:val="20"/>
                <w:szCs w:val="20"/>
              </w:rPr>
              <w:t>58</w:t>
            </w:r>
            <w:r w:rsidRPr="00192CCA">
              <w:rPr>
                <w:sz w:val="20"/>
                <w:szCs w:val="20"/>
              </w:rPr>
              <w:t xml:space="preserve"> – 0.</w:t>
            </w:r>
            <w:r>
              <w:rPr>
                <w:sz w:val="20"/>
                <w:szCs w:val="20"/>
              </w:rPr>
              <w:t>67</w:t>
            </w:r>
          </w:p>
        </w:tc>
        <w:tc>
          <w:tcPr>
            <w:tcW w:w="992" w:type="dxa"/>
          </w:tcPr>
          <w:p w14:paraId="188B3D15" w14:textId="77777777" w:rsidR="0017561A" w:rsidRPr="00192CCA" w:rsidRDefault="0017561A" w:rsidP="004E0520">
            <w:pPr>
              <w:rPr>
                <w:sz w:val="20"/>
                <w:szCs w:val="20"/>
              </w:rPr>
            </w:pPr>
            <w:r w:rsidRPr="00192CCA">
              <w:rPr>
                <w:sz w:val="20"/>
                <w:szCs w:val="20"/>
              </w:rPr>
              <w:t>&lt;0.001</w:t>
            </w:r>
          </w:p>
        </w:tc>
        <w:tc>
          <w:tcPr>
            <w:tcW w:w="709" w:type="dxa"/>
          </w:tcPr>
          <w:p w14:paraId="30B304F4" w14:textId="77777777" w:rsidR="0017561A" w:rsidRPr="00192CCA" w:rsidRDefault="0017561A" w:rsidP="004E0520">
            <w:pPr>
              <w:rPr>
                <w:sz w:val="20"/>
                <w:szCs w:val="20"/>
              </w:rPr>
            </w:pPr>
            <w:r w:rsidRPr="00192CCA">
              <w:rPr>
                <w:sz w:val="20"/>
                <w:szCs w:val="20"/>
              </w:rPr>
              <w:t>-------</w:t>
            </w:r>
          </w:p>
        </w:tc>
        <w:tc>
          <w:tcPr>
            <w:tcW w:w="1418" w:type="dxa"/>
          </w:tcPr>
          <w:p w14:paraId="5ED1D291" w14:textId="77777777" w:rsidR="0017561A" w:rsidRPr="00192CCA" w:rsidRDefault="0017561A" w:rsidP="004E0520">
            <w:pPr>
              <w:rPr>
                <w:sz w:val="20"/>
                <w:szCs w:val="20"/>
              </w:rPr>
            </w:pPr>
            <w:r w:rsidRPr="00192CCA">
              <w:rPr>
                <w:sz w:val="20"/>
                <w:szCs w:val="20"/>
              </w:rPr>
              <w:t>-----     -----</w:t>
            </w:r>
          </w:p>
        </w:tc>
        <w:tc>
          <w:tcPr>
            <w:tcW w:w="992" w:type="dxa"/>
          </w:tcPr>
          <w:p w14:paraId="3287DAEB" w14:textId="77777777" w:rsidR="0017561A" w:rsidRPr="00192CCA" w:rsidRDefault="0017561A" w:rsidP="004E0520">
            <w:pPr>
              <w:rPr>
                <w:sz w:val="20"/>
                <w:szCs w:val="20"/>
              </w:rPr>
            </w:pPr>
            <w:r>
              <w:rPr>
                <w:sz w:val="20"/>
                <w:szCs w:val="20"/>
              </w:rPr>
              <w:t xml:space="preserve">  </w:t>
            </w:r>
            <w:r w:rsidRPr="00192CCA">
              <w:rPr>
                <w:sz w:val="20"/>
                <w:szCs w:val="20"/>
              </w:rPr>
              <w:t>-------</w:t>
            </w:r>
          </w:p>
        </w:tc>
      </w:tr>
      <w:tr w:rsidR="0017561A" w:rsidRPr="000E6139" w14:paraId="3072B742" w14:textId="77777777" w:rsidTr="004E0520">
        <w:trPr>
          <w:jc w:val="center"/>
        </w:trPr>
        <w:tc>
          <w:tcPr>
            <w:tcW w:w="3823" w:type="dxa"/>
          </w:tcPr>
          <w:p w14:paraId="3D11DBC3" w14:textId="77777777" w:rsidR="0017561A" w:rsidRPr="00192CCA" w:rsidRDefault="0017561A" w:rsidP="004E0520">
            <w:pPr>
              <w:rPr>
                <w:sz w:val="20"/>
                <w:szCs w:val="20"/>
              </w:rPr>
            </w:pPr>
          </w:p>
        </w:tc>
        <w:tc>
          <w:tcPr>
            <w:tcW w:w="1417" w:type="dxa"/>
          </w:tcPr>
          <w:p w14:paraId="7128AA71" w14:textId="77777777" w:rsidR="0017561A" w:rsidRPr="00192CCA" w:rsidRDefault="0017561A" w:rsidP="004E0520">
            <w:pPr>
              <w:rPr>
                <w:sz w:val="20"/>
                <w:szCs w:val="20"/>
              </w:rPr>
            </w:pPr>
          </w:p>
        </w:tc>
        <w:tc>
          <w:tcPr>
            <w:tcW w:w="1418" w:type="dxa"/>
          </w:tcPr>
          <w:p w14:paraId="401FB2C1" w14:textId="77777777" w:rsidR="0017561A" w:rsidRPr="00192CCA" w:rsidRDefault="0017561A" w:rsidP="004E0520">
            <w:pPr>
              <w:rPr>
                <w:sz w:val="20"/>
                <w:szCs w:val="20"/>
              </w:rPr>
            </w:pPr>
          </w:p>
        </w:tc>
        <w:tc>
          <w:tcPr>
            <w:tcW w:w="992" w:type="dxa"/>
          </w:tcPr>
          <w:p w14:paraId="1B1959C7" w14:textId="77777777" w:rsidR="0017561A" w:rsidRPr="00192CCA" w:rsidRDefault="0017561A" w:rsidP="004E0520">
            <w:pPr>
              <w:rPr>
                <w:sz w:val="20"/>
                <w:szCs w:val="20"/>
              </w:rPr>
            </w:pPr>
          </w:p>
        </w:tc>
        <w:tc>
          <w:tcPr>
            <w:tcW w:w="709" w:type="dxa"/>
          </w:tcPr>
          <w:p w14:paraId="3695DB98" w14:textId="77777777" w:rsidR="0017561A" w:rsidRPr="00192CCA" w:rsidRDefault="0017561A" w:rsidP="004E0520">
            <w:pPr>
              <w:rPr>
                <w:sz w:val="20"/>
                <w:szCs w:val="20"/>
              </w:rPr>
            </w:pPr>
          </w:p>
        </w:tc>
        <w:tc>
          <w:tcPr>
            <w:tcW w:w="1417" w:type="dxa"/>
          </w:tcPr>
          <w:p w14:paraId="2E1627D1" w14:textId="77777777" w:rsidR="0017561A" w:rsidRPr="00192CCA" w:rsidRDefault="0017561A" w:rsidP="004E0520">
            <w:pPr>
              <w:rPr>
                <w:sz w:val="20"/>
                <w:szCs w:val="20"/>
              </w:rPr>
            </w:pPr>
          </w:p>
        </w:tc>
        <w:tc>
          <w:tcPr>
            <w:tcW w:w="992" w:type="dxa"/>
          </w:tcPr>
          <w:p w14:paraId="23024F59" w14:textId="77777777" w:rsidR="0017561A" w:rsidRPr="00192CCA" w:rsidRDefault="0017561A" w:rsidP="004E0520">
            <w:pPr>
              <w:rPr>
                <w:sz w:val="20"/>
                <w:szCs w:val="20"/>
              </w:rPr>
            </w:pPr>
          </w:p>
        </w:tc>
        <w:tc>
          <w:tcPr>
            <w:tcW w:w="709" w:type="dxa"/>
          </w:tcPr>
          <w:p w14:paraId="2AAADBAE" w14:textId="77777777" w:rsidR="0017561A" w:rsidRPr="00192CCA" w:rsidRDefault="0017561A" w:rsidP="004E0520">
            <w:pPr>
              <w:rPr>
                <w:sz w:val="20"/>
                <w:szCs w:val="20"/>
              </w:rPr>
            </w:pPr>
          </w:p>
        </w:tc>
        <w:tc>
          <w:tcPr>
            <w:tcW w:w="1418" w:type="dxa"/>
          </w:tcPr>
          <w:p w14:paraId="77BA6D96" w14:textId="77777777" w:rsidR="0017561A" w:rsidRPr="00192CCA" w:rsidRDefault="0017561A" w:rsidP="004E0520">
            <w:pPr>
              <w:rPr>
                <w:sz w:val="20"/>
                <w:szCs w:val="20"/>
              </w:rPr>
            </w:pPr>
          </w:p>
        </w:tc>
        <w:tc>
          <w:tcPr>
            <w:tcW w:w="992" w:type="dxa"/>
          </w:tcPr>
          <w:p w14:paraId="460B095B" w14:textId="77777777" w:rsidR="0017561A" w:rsidRPr="00192CCA" w:rsidRDefault="0017561A" w:rsidP="004E0520">
            <w:pPr>
              <w:rPr>
                <w:sz w:val="20"/>
                <w:szCs w:val="20"/>
              </w:rPr>
            </w:pPr>
          </w:p>
        </w:tc>
      </w:tr>
      <w:tr w:rsidR="0017561A" w:rsidRPr="000E6139" w14:paraId="4B5BF08A" w14:textId="77777777" w:rsidTr="004E0520">
        <w:trPr>
          <w:jc w:val="center"/>
        </w:trPr>
        <w:tc>
          <w:tcPr>
            <w:tcW w:w="3823" w:type="dxa"/>
          </w:tcPr>
          <w:p w14:paraId="3BED3897" w14:textId="77777777" w:rsidR="0017561A" w:rsidRPr="00192CCA" w:rsidRDefault="0017561A" w:rsidP="004E0520">
            <w:pPr>
              <w:rPr>
                <w:sz w:val="20"/>
                <w:szCs w:val="20"/>
              </w:rPr>
            </w:pPr>
            <w:r w:rsidRPr="00192CCA">
              <w:rPr>
                <w:b/>
                <w:bCs/>
                <w:sz w:val="20"/>
                <w:szCs w:val="20"/>
              </w:rPr>
              <w:t>ER Status</w:t>
            </w:r>
          </w:p>
        </w:tc>
        <w:tc>
          <w:tcPr>
            <w:tcW w:w="1417" w:type="dxa"/>
          </w:tcPr>
          <w:p w14:paraId="16A0DBFD" w14:textId="77777777" w:rsidR="0017561A" w:rsidRPr="00192CCA" w:rsidRDefault="0017561A" w:rsidP="004E0520">
            <w:pPr>
              <w:rPr>
                <w:sz w:val="20"/>
                <w:szCs w:val="20"/>
              </w:rPr>
            </w:pPr>
          </w:p>
        </w:tc>
        <w:tc>
          <w:tcPr>
            <w:tcW w:w="1418" w:type="dxa"/>
          </w:tcPr>
          <w:p w14:paraId="3424384D" w14:textId="77777777" w:rsidR="0017561A" w:rsidRPr="00192CCA" w:rsidRDefault="0017561A" w:rsidP="004E0520">
            <w:pPr>
              <w:rPr>
                <w:sz w:val="20"/>
                <w:szCs w:val="20"/>
              </w:rPr>
            </w:pPr>
          </w:p>
        </w:tc>
        <w:tc>
          <w:tcPr>
            <w:tcW w:w="992" w:type="dxa"/>
          </w:tcPr>
          <w:p w14:paraId="6C90AF12" w14:textId="77777777" w:rsidR="0017561A" w:rsidRPr="00192CCA" w:rsidRDefault="0017561A" w:rsidP="004E0520">
            <w:pPr>
              <w:rPr>
                <w:sz w:val="20"/>
                <w:szCs w:val="20"/>
              </w:rPr>
            </w:pPr>
            <w:r w:rsidRPr="00192CCA">
              <w:rPr>
                <w:sz w:val="20"/>
                <w:szCs w:val="20"/>
              </w:rPr>
              <w:t>&lt;0.001</w:t>
            </w:r>
          </w:p>
        </w:tc>
        <w:tc>
          <w:tcPr>
            <w:tcW w:w="709" w:type="dxa"/>
          </w:tcPr>
          <w:p w14:paraId="05994239" w14:textId="77777777" w:rsidR="0017561A" w:rsidRPr="00192CCA" w:rsidRDefault="0017561A" w:rsidP="004E0520">
            <w:pPr>
              <w:rPr>
                <w:sz w:val="20"/>
                <w:szCs w:val="20"/>
              </w:rPr>
            </w:pPr>
          </w:p>
        </w:tc>
        <w:tc>
          <w:tcPr>
            <w:tcW w:w="1417" w:type="dxa"/>
          </w:tcPr>
          <w:p w14:paraId="638E41C6" w14:textId="77777777" w:rsidR="0017561A" w:rsidRPr="00192CCA" w:rsidRDefault="0017561A" w:rsidP="004E0520">
            <w:pPr>
              <w:rPr>
                <w:sz w:val="20"/>
                <w:szCs w:val="20"/>
              </w:rPr>
            </w:pPr>
          </w:p>
        </w:tc>
        <w:tc>
          <w:tcPr>
            <w:tcW w:w="992" w:type="dxa"/>
          </w:tcPr>
          <w:p w14:paraId="637E2431" w14:textId="77777777" w:rsidR="0017561A" w:rsidRPr="00192CCA" w:rsidRDefault="0017561A" w:rsidP="004E0520">
            <w:pPr>
              <w:rPr>
                <w:sz w:val="20"/>
                <w:szCs w:val="20"/>
              </w:rPr>
            </w:pPr>
            <w:r w:rsidRPr="00192CCA">
              <w:rPr>
                <w:b/>
                <w:bCs/>
                <w:sz w:val="20"/>
                <w:szCs w:val="20"/>
              </w:rPr>
              <w:t>&lt;0.001</w:t>
            </w:r>
          </w:p>
        </w:tc>
        <w:tc>
          <w:tcPr>
            <w:tcW w:w="709" w:type="dxa"/>
          </w:tcPr>
          <w:p w14:paraId="793F4EC7" w14:textId="77777777" w:rsidR="0017561A" w:rsidRPr="00192CCA" w:rsidRDefault="0017561A" w:rsidP="004E0520">
            <w:pPr>
              <w:rPr>
                <w:sz w:val="20"/>
                <w:szCs w:val="20"/>
              </w:rPr>
            </w:pPr>
          </w:p>
        </w:tc>
        <w:tc>
          <w:tcPr>
            <w:tcW w:w="1418" w:type="dxa"/>
          </w:tcPr>
          <w:p w14:paraId="0CBE267A" w14:textId="77777777" w:rsidR="0017561A" w:rsidRPr="00192CCA" w:rsidRDefault="0017561A" w:rsidP="004E0520">
            <w:pPr>
              <w:rPr>
                <w:sz w:val="20"/>
                <w:szCs w:val="20"/>
              </w:rPr>
            </w:pPr>
          </w:p>
        </w:tc>
        <w:tc>
          <w:tcPr>
            <w:tcW w:w="992" w:type="dxa"/>
          </w:tcPr>
          <w:p w14:paraId="75D6C54C" w14:textId="77777777" w:rsidR="0017561A" w:rsidRPr="00192CCA" w:rsidRDefault="0017561A" w:rsidP="004E0520">
            <w:pPr>
              <w:rPr>
                <w:sz w:val="20"/>
                <w:szCs w:val="20"/>
              </w:rPr>
            </w:pPr>
            <w:r w:rsidRPr="00192CCA">
              <w:rPr>
                <w:b/>
                <w:bCs/>
                <w:sz w:val="20"/>
                <w:szCs w:val="20"/>
              </w:rPr>
              <w:t>&lt;0.001</w:t>
            </w:r>
          </w:p>
        </w:tc>
      </w:tr>
      <w:tr w:rsidR="0017561A" w:rsidRPr="000E6139" w14:paraId="62EE4A54" w14:textId="77777777" w:rsidTr="004E0520">
        <w:trPr>
          <w:jc w:val="center"/>
        </w:trPr>
        <w:tc>
          <w:tcPr>
            <w:tcW w:w="3823" w:type="dxa"/>
          </w:tcPr>
          <w:p w14:paraId="2127C89C" w14:textId="77777777" w:rsidR="0017561A" w:rsidRPr="00192CCA" w:rsidRDefault="0017561A" w:rsidP="004E0520">
            <w:pPr>
              <w:rPr>
                <w:b/>
                <w:bCs/>
                <w:sz w:val="20"/>
                <w:szCs w:val="20"/>
              </w:rPr>
            </w:pPr>
            <w:r w:rsidRPr="00192CCA">
              <w:rPr>
                <w:sz w:val="20"/>
                <w:szCs w:val="20"/>
              </w:rPr>
              <w:t>Positive</w:t>
            </w:r>
            <w:r>
              <w:rPr>
                <w:sz w:val="20"/>
                <w:szCs w:val="20"/>
                <w:vertAlign w:val="superscript"/>
              </w:rPr>
              <w:t>i</w:t>
            </w:r>
          </w:p>
        </w:tc>
        <w:tc>
          <w:tcPr>
            <w:tcW w:w="1417" w:type="dxa"/>
          </w:tcPr>
          <w:p w14:paraId="0E47C06C" w14:textId="77777777" w:rsidR="0017561A" w:rsidRPr="00192CCA" w:rsidRDefault="0017561A" w:rsidP="004E0520">
            <w:pPr>
              <w:rPr>
                <w:sz w:val="20"/>
                <w:szCs w:val="20"/>
              </w:rPr>
            </w:pPr>
            <w:r>
              <w:rPr>
                <w:sz w:val="20"/>
                <w:szCs w:val="20"/>
              </w:rPr>
              <w:t>8,859 (39.73)</w:t>
            </w:r>
          </w:p>
        </w:tc>
        <w:tc>
          <w:tcPr>
            <w:tcW w:w="1418" w:type="dxa"/>
          </w:tcPr>
          <w:p w14:paraId="71ADA81A" w14:textId="77777777" w:rsidR="0017561A" w:rsidRPr="00192CCA" w:rsidRDefault="0017561A" w:rsidP="004E0520">
            <w:pPr>
              <w:rPr>
                <w:sz w:val="20"/>
                <w:szCs w:val="20"/>
              </w:rPr>
            </w:pPr>
            <w:r>
              <w:rPr>
                <w:sz w:val="20"/>
                <w:szCs w:val="20"/>
              </w:rPr>
              <w:t>13,440 (60.27)</w:t>
            </w:r>
          </w:p>
        </w:tc>
        <w:tc>
          <w:tcPr>
            <w:tcW w:w="992" w:type="dxa"/>
          </w:tcPr>
          <w:p w14:paraId="2E16E87B" w14:textId="77777777" w:rsidR="0017561A" w:rsidRPr="00192CCA" w:rsidRDefault="0017561A" w:rsidP="004E0520">
            <w:pPr>
              <w:rPr>
                <w:sz w:val="20"/>
                <w:szCs w:val="20"/>
              </w:rPr>
            </w:pPr>
          </w:p>
        </w:tc>
        <w:tc>
          <w:tcPr>
            <w:tcW w:w="709" w:type="dxa"/>
          </w:tcPr>
          <w:p w14:paraId="3FE173E6" w14:textId="77777777" w:rsidR="0017561A" w:rsidRPr="00192CCA" w:rsidRDefault="0017561A" w:rsidP="004E0520">
            <w:pPr>
              <w:rPr>
                <w:sz w:val="20"/>
                <w:szCs w:val="20"/>
              </w:rPr>
            </w:pPr>
            <w:r w:rsidRPr="00192CCA">
              <w:rPr>
                <w:sz w:val="20"/>
                <w:szCs w:val="20"/>
              </w:rPr>
              <w:t>1.00</w:t>
            </w:r>
          </w:p>
        </w:tc>
        <w:tc>
          <w:tcPr>
            <w:tcW w:w="1417" w:type="dxa"/>
          </w:tcPr>
          <w:p w14:paraId="472827C1" w14:textId="77777777" w:rsidR="0017561A" w:rsidRPr="00192CCA" w:rsidRDefault="0017561A" w:rsidP="004E0520">
            <w:pPr>
              <w:rPr>
                <w:sz w:val="20"/>
                <w:szCs w:val="20"/>
              </w:rPr>
            </w:pPr>
            <w:r w:rsidRPr="00192CCA">
              <w:rPr>
                <w:sz w:val="20"/>
                <w:szCs w:val="20"/>
              </w:rPr>
              <w:t>-----     -----</w:t>
            </w:r>
          </w:p>
        </w:tc>
        <w:tc>
          <w:tcPr>
            <w:tcW w:w="992" w:type="dxa"/>
          </w:tcPr>
          <w:p w14:paraId="6A89F1D9" w14:textId="77777777" w:rsidR="0017561A" w:rsidRPr="00192CCA" w:rsidRDefault="0017561A" w:rsidP="004E0520">
            <w:pPr>
              <w:rPr>
                <w:b/>
                <w:bCs/>
                <w:sz w:val="20"/>
                <w:szCs w:val="20"/>
              </w:rPr>
            </w:pPr>
            <w:r w:rsidRPr="00192CCA">
              <w:rPr>
                <w:sz w:val="20"/>
                <w:szCs w:val="20"/>
              </w:rPr>
              <w:t>-------</w:t>
            </w:r>
          </w:p>
        </w:tc>
        <w:tc>
          <w:tcPr>
            <w:tcW w:w="709" w:type="dxa"/>
          </w:tcPr>
          <w:p w14:paraId="491010C3" w14:textId="77777777" w:rsidR="0017561A" w:rsidRPr="00192CCA" w:rsidRDefault="0017561A" w:rsidP="004E0520">
            <w:pPr>
              <w:rPr>
                <w:sz w:val="20"/>
                <w:szCs w:val="20"/>
              </w:rPr>
            </w:pPr>
            <w:r w:rsidRPr="00192CCA">
              <w:rPr>
                <w:sz w:val="20"/>
                <w:szCs w:val="20"/>
              </w:rPr>
              <w:t>1.00</w:t>
            </w:r>
          </w:p>
        </w:tc>
        <w:tc>
          <w:tcPr>
            <w:tcW w:w="1418" w:type="dxa"/>
          </w:tcPr>
          <w:p w14:paraId="085FD725" w14:textId="77777777" w:rsidR="0017561A" w:rsidRPr="00192CCA" w:rsidRDefault="0017561A" w:rsidP="004E0520">
            <w:pPr>
              <w:rPr>
                <w:sz w:val="20"/>
                <w:szCs w:val="20"/>
              </w:rPr>
            </w:pPr>
            <w:r w:rsidRPr="00192CCA">
              <w:rPr>
                <w:sz w:val="20"/>
                <w:szCs w:val="20"/>
              </w:rPr>
              <w:t>-----     -----</w:t>
            </w:r>
          </w:p>
        </w:tc>
        <w:tc>
          <w:tcPr>
            <w:tcW w:w="992" w:type="dxa"/>
          </w:tcPr>
          <w:p w14:paraId="5FCD52CC" w14:textId="77777777" w:rsidR="0017561A" w:rsidRPr="00192CCA" w:rsidRDefault="0017561A" w:rsidP="004E0520">
            <w:pPr>
              <w:rPr>
                <w:b/>
                <w:bCs/>
                <w:sz w:val="20"/>
                <w:szCs w:val="20"/>
              </w:rPr>
            </w:pPr>
            <w:r>
              <w:rPr>
                <w:sz w:val="20"/>
                <w:szCs w:val="20"/>
              </w:rPr>
              <w:t xml:space="preserve">  </w:t>
            </w:r>
            <w:r w:rsidRPr="00192CCA">
              <w:rPr>
                <w:sz w:val="20"/>
                <w:szCs w:val="20"/>
              </w:rPr>
              <w:t>-------</w:t>
            </w:r>
          </w:p>
        </w:tc>
      </w:tr>
      <w:tr w:rsidR="0017561A" w:rsidRPr="000E6139" w14:paraId="16EADEC6" w14:textId="77777777" w:rsidTr="004E0520">
        <w:trPr>
          <w:jc w:val="center"/>
        </w:trPr>
        <w:tc>
          <w:tcPr>
            <w:tcW w:w="3823" w:type="dxa"/>
          </w:tcPr>
          <w:p w14:paraId="6AA659C5" w14:textId="77777777" w:rsidR="0017561A" w:rsidRPr="00192CCA" w:rsidRDefault="0017561A" w:rsidP="004E0520">
            <w:pPr>
              <w:rPr>
                <w:sz w:val="20"/>
                <w:szCs w:val="20"/>
              </w:rPr>
            </w:pPr>
            <w:r w:rsidRPr="00192CCA">
              <w:rPr>
                <w:sz w:val="20"/>
                <w:szCs w:val="20"/>
              </w:rPr>
              <w:t>Negative</w:t>
            </w:r>
          </w:p>
        </w:tc>
        <w:tc>
          <w:tcPr>
            <w:tcW w:w="1417" w:type="dxa"/>
          </w:tcPr>
          <w:p w14:paraId="0ACED1EE" w14:textId="77777777" w:rsidR="0017561A" w:rsidRPr="00192CCA" w:rsidRDefault="0017561A" w:rsidP="004E0520">
            <w:pPr>
              <w:rPr>
                <w:sz w:val="20"/>
                <w:szCs w:val="20"/>
              </w:rPr>
            </w:pPr>
            <w:r>
              <w:rPr>
                <w:sz w:val="20"/>
                <w:szCs w:val="20"/>
              </w:rPr>
              <w:t>4,204 (58.12)</w:t>
            </w:r>
          </w:p>
        </w:tc>
        <w:tc>
          <w:tcPr>
            <w:tcW w:w="1418" w:type="dxa"/>
          </w:tcPr>
          <w:p w14:paraId="3B585880" w14:textId="77777777" w:rsidR="0017561A" w:rsidRPr="00192CCA" w:rsidRDefault="0017561A" w:rsidP="004E0520">
            <w:pPr>
              <w:rPr>
                <w:sz w:val="20"/>
                <w:szCs w:val="20"/>
              </w:rPr>
            </w:pPr>
            <w:r>
              <w:rPr>
                <w:sz w:val="20"/>
                <w:szCs w:val="20"/>
              </w:rPr>
              <w:t>3,029 (41.88)</w:t>
            </w:r>
          </w:p>
        </w:tc>
        <w:tc>
          <w:tcPr>
            <w:tcW w:w="992" w:type="dxa"/>
          </w:tcPr>
          <w:p w14:paraId="4747F374" w14:textId="77777777" w:rsidR="0017561A" w:rsidRPr="00192CCA" w:rsidRDefault="0017561A" w:rsidP="004E0520">
            <w:pPr>
              <w:rPr>
                <w:sz w:val="20"/>
                <w:szCs w:val="20"/>
              </w:rPr>
            </w:pPr>
          </w:p>
        </w:tc>
        <w:tc>
          <w:tcPr>
            <w:tcW w:w="709" w:type="dxa"/>
          </w:tcPr>
          <w:p w14:paraId="2E537186" w14:textId="77777777" w:rsidR="0017561A" w:rsidRPr="00192CCA" w:rsidRDefault="0017561A" w:rsidP="004E0520">
            <w:pPr>
              <w:rPr>
                <w:sz w:val="20"/>
                <w:szCs w:val="20"/>
              </w:rPr>
            </w:pPr>
            <w:r>
              <w:rPr>
                <w:sz w:val="20"/>
                <w:szCs w:val="20"/>
              </w:rPr>
              <w:t>2.11</w:t>
            </w:r>
          </w:p>
        </w:tc>
        <w:tc>
          <w:tcPr>
            <w:tcW w:w="1417" w:type="dxa"/>
          </w:tcPr>
          <w:p w14:paraId="5236E6FD" w14:textId="77777777" w:rsidR="0017561A" w:rsidRPr="00192CCA" w:rsidRDefault="0017561A" w:rsidP="004E0520">
            <w:pPr>
              <w:rPr>
                <w:sz w:val="20"/>
                <w:szCs w:val="20"/>
              </w:rPr>
            </w:pPr>
            <w:r>
              <w:rPr>
                <w:sz w:val="20"/>
                <w:szCs w:val="20"/>
              </w:rPr>
              <w:t>2.00</w:t>
            </w:r>
            <w:r w:rsidRPr="00192CCA">
              <w:rPr>
                <w:sz w:val="20"/>
                <w:szCs w:val="20"/>
              </w:rPr>
              <w:t xml:space="preserve"> – 2.</w:t>
            </w:r>
            <w:r>
              <w:rPr>
                <w:sz w:val="20"/>
                <w:szCs w:val="20"/>
              </w:rPr>
              <w:t>22</w:t>
            </w:r>
          </w:p>
        </w:tc>
        <w:tc>
          <w:tcPr>
            <w:tcW w:w="992" w:type="dxa"/>
          </w:tcPr>
          <w:p w14:paraId="1F48526D" w14:textId="77777777" w:rsidR="0017561A" w:rsidRPr="00192CCA" w:rsidRDefault="0017561A" w:rsidP="004E0520">
            <w:pPr>
              <w:rPr>
                <w:sz w:val="20"/>
                <w:szCs w:val="20"/>
              </w:rPr>
            </w:pPr>
            <w:r w:rsidRPr="00192CCA">
              <w:rPr>
                <w:sz w:val="20"/>
                <w:szCs w:val="20"/>
              </w:rPr>
              <w:t>&lt;0.001</w:t>
            </w:r>
          </w:p>
        </w:tc>
        <w:tc>
          <w:tcPr>
            <w:tcW w:w="709" w:type="dxa"/>
          </w:tcPr>
          <w:p w14:paraId="348EE342" w14:textId="77777777" w:rsidR="0017561A" w:rsidRPr="00192CCA" w:rsidRDefault="0017561A" w:rsidP="004E0520">
            <w:pPr>
              <w:rPr>
                <w:sz w:val="20"/>
                <w:szCs w:val="20"/>
              </w:rPr>
            </w:pPr>
            <w:r>
              <w:rPr>
                <w:sz w:val="20"/>
                <w:szCs w:val="20"/>
              </w:rPr>
              <w:t>2.29</w:t>
            </w:r>
          </w:p>
        </w:tc>
        <w:tc>
          <w:tcPr>
            <w:tcW w:w="1418" w:type="dxa"/>
          </w:tcPr>
          <w:p w14:paraId="68B135A3" w14:textId="77777777" w:rsidR="0017561A" w:rsidRPr="00192CCA" w:rsidRDefault="0017561A" w:rsidP="004E0520">
            <w:pPr>
              <w:rPr>
                <w:sz w:val="20"/>
                <w:szCs w:val="20"/>
              </w:rPr>
            </w:pPr>
            <w:r>
              <w:rPr>
                <w:sz w:val="20"/>
                <w:szCs w:val="20"/>
              </w:rPr>
              <w:t>2.16</w:t>
            </w:r>
            <w:r w:rsidRPr="00192CCA">
              <w:rPr>
                <w:sz w:val="20"/>
                <w:szCs w:val="20"/>
              </w:rPr>
              <w:t xml:space="preserve"> – </w:t>
            </w:r>
            <w:r>
              <w:rPr>
                <w:sz w:val="20"/>
                <w:szCs w:val="20"/>
              </w:rPr>
              <w:t>2.43</w:t>
            </w:r>
          </w:p>
        </w:tc>
        <w:tc>
          <w:tcPr>
            <w:tcW w:w="992" w:type="dxa"/>
          </w:tcPr>
          <w:p w14:paraId="7163A62C" w14:textId="77777777" w:rsidR="0017561A" w:rsidRPr="00192CCA" w:rsidRDefault="0017561A" w:rsidP="004E0520">
            <w:pPr>
              <w:rPr>
                <w:sz w:val="20"/>
                <w:szCs w:val="20"/>
              </w:rPr>
            </w:pPr>
            <w:r w:rsidRPr="00192CCA">
              <w:rPr>
                <w:sz w:val="20"/>
                <w:szCs w:val="20"/>
              </w:rPr>
              <w:t>&lt;0.001</w:t>
            </w:r>
          </w:p>
        </w:tc>
      </w:tr>
      <w:tr w:rsidR="0017561A" w:rsidRPr="000E6139" w14:paraId="23FEE84B" w14:textId="77777777" w:rsidTr="004E0520">
        <w:trPr>
          <w:jc w:val="center"/>
        </w:trPr>
        <w:tc>
          <w:tcPr>
            <w:tcW w:w="3823" w:type="dxa"/>
          </w:tcPr>
          <w:p w14:paraId="4B70FDEA" w14:textId="77777777" w:rsidR="0017561A" w:rsidRPr="00192CCA" w:rsidRDefault="0017561A" w:rsidP="004E0520">
            <w:pPr>
              <w:rPr>
                <w:sz w:val="20"/>
                <w:szCs w:val="20"/>
              </w:rPr>
            </w:pPr>
            <w:r>
              <w:rPr>
                <w:sz w:val="20"/>
                <w:szCs w:val="20"/>
              </w:rPr>
              <w:t>Unknown</w:t>
            </w:r>
            <w:r>
              <w:rPr>
                <w:color w:val="000000" w:themeColor="text1"/>
                <w:sz w:val="20"/>
                <w:szCs w:val="20"/>
                <w:vertAlign w:val="superscript"/>
              </w:rPr>
              <w:t>j</w:t>
            </w:r>
          </w:p>
        </w:tc>
        <w:tc>
          <w:tcPr>
            <w:tcW w:w="1417" w:type="dxa"/>
          </w:tcPr>
          <w:p w14:paraId="48C9C563" w14:textId="77777777" w:rsidR="0017561A" w:rsidRDefault="0017561A" w:rsidP="004E0520">
            <w:pPr>
              <w:rPr>
                <w:sz w:val="20"/>
                <w:szCs w:val="20"/>
              </w:rPr>
            </w:pPr>
            <w:r>
              <w:rPr>
                <w:sz w:val="20"/>
                <w:szCs w:val="20"/>
              </w:rPr>
              <w:t>2,504 (49.25)</w:t>
            </w:r>
          </w:p>
        </w:tc>
        <w:tc>
          <w:tcPr>
            <w:tcW w:w="1418" w:type="dxa"/>
          </w:tcPr>
          <w:p w14:paraId="7FA63676" w14:textId="77777777" w:rsidR="0017561A" w:rsidRDefault="0017561A" w:rsidP="004E0520">
            <w:pPr>
              <w:rPr>
                <w:sz w:val="20"/>
                <w:szCs w:val="20"/>
              </w:rPr>
            </w:pPr>
            <w:r>
              <w:rPr>
                <w:sz w:val="20"/>
                <w:szCs w:val="20"/>
              </w:rPr>
              <w:t>2,580 (50.75)</w:t>
            </w:r>
          </w:p>
        </w:tc>
        <w:tc>
          <w:tcPr>
            <w:tcW w:w="992" w:type="dxa"/>
          </w:tcPr>
          <w:p w14:paraId="2684425B" w14:textId="77777777" w:rsidR="0017561A" w:rsidRPr="00192CCA" w:rsidRDefault="0017561A" w:rsidP="004E0520">
            <w:pPr>
              <w:rPr>
                <w:sz w:val="20"/>
                <w:szCs w:val="20"/>
              </w:rPr>
            </w:pPr>
          </w:p>
        </w:tc>
        <w:tc>
          <w:tcPr>
            <w:tcW w:w="709" w:type="dxa"/>
          </w:tcPr>
          <w:p w14:paraId="3AF26FB5" w14:textId="77777777" w:rsidR="0017561A" w:rsidRDefault="0017561A" w:rsidP="004E0520">
            <w:pPr>
              <w:rPr>
                <w:sz w:val="20"/>
                <w:szCs w:val="20"/>
              </w:rPr>
            </w:pPr>
            <w:r>
              <w:rPr>
                <w:sz w:val="20"/>
                <w:szCs w:val="20"/>
              </w:rPr>
              <w:t>1.47</w:t>
            </w:r>
          </w:p>
        </w:tc>
        <w:tc>
          <w:tcPr>
            <w:tcW w:w="1417" w:type="dxa"/>
          </w:tcPr>
          <w:p w14:paraId="01B433A5" w14:textId="77777777" w:rsidR="0017561A" w:rsidRDefault="0017561A" w:rsidP="004E0520">
            <w:pPr>
              <w:rPr>
                <w:sz w:val="20"/>
                <w:szCs w:val="20"/>
              </w:rPr>
            </w:pPr>
            <w:r>
              <w:rPr>
                <w:sz w:val="20"/>
                <w:szCs w:val="20"/>
              </w:rPr>
              <w:t>1.39 – 1.57</w:t>
            </w:r>
          </w:p>
        </w:tc>
        <w:tc>
          <w:tcPr>
            <w:tcW w:w="992" w:type="dxa"/>
          </w:tcPr>
          <w:p w14:paraId="792DFFF4" w14:textId="77777777" w:rsidR="0017561A" w:rsidRPr="00192CCA" w:rsidRDefault="0017561A" w:rsidP="004E0520">
            <w:pPr>
              <w:rPr>
                <w:sz w:val="20"/>
                <w:szCs w:val="20"/>
              </w:rPr>
            </w:pPr>
            <w:r w:rsidRPr="00192CCA">
              <w:rPr>
                <w:sz w:val="20"/>
                <w:szCs w:val="20"/>
              </w:rPr>
              <w:t>&lt;0.001</w:t>
            </w:r>
          </w:p>
        </w:tc>
        <w:tc>
          <w:tcPr>
            <w:tcW w:w="709" w:type="dxa"/>
          </w:tcPr>
          <w:p w14:paraId="74C12AA0" w14:textId="77777777" w:rsidR="0017561A" w:rsidRDefault="0017561A" w:rsidP="004E0520">
            <w:pPr>
              <w:rPr>
                <w:sz w:val="20"/>
                <w:szCs w:val="20"/>
              </w:rPr>
            </w:pPr>
            <w:r>
              <w:rPr>
                <w:sz w:val="20"/>
                <w:szCs w:val="20"/>
              </w:rPr>
              <w:t>1.42</w:t>
            </w:r>
          </w:p>
        </w:tc>
        <w:tc>
          <w:tcPr>
            <w:tcW w:w="1418" w:type="dxa"/>
          </w:tcPr>
          <w:p w14:paraId="318D3DFA" w14:textId="77777777" w:rsidR="0017561A" w:rsidRDefault="0017561A" w:rsidP="004E0520">
            <w:pPr>
              <w:rPr>
                <w:sz w:val="20"/>
                <w:szCs w:val="20"/>
              </w:rPr>
            </w:pPr>
            <w:r>
              <w:rPr>
                <w:sz w:val="20"/>
                <w:szCs w:val="20"/>
              </w:rPr>
              <w:t>1.33 – 1.53</w:t>
            </w:r>
          </w:p>
        </w:tc>
        <w:tc>
          <w:tcPr>
            <w:tcW w:w="992" w:type="dxa"/>
          </w:tcPr>
          <w:p w14:paraId="128F716C" w14:textId="77777777" w:rsidR="0017561A" w:rsidRPr="00192CCA" w:rsidRDefault="0017561A" w:rsidP="004E0520">
            <w:pPr>
              <w:rPr>
                <w:sz w:val="20"/>
                <w:szCs w:val="20"/>
              </w:rPr>
            </w:pPr>
            <w:r w:rsidRPr="00192CCA">
              <w:rPr>
                <w:sz w:val="20"/>
                <w:szCs w:val="20"/>
              </w:rPr>
              <w:t>&lt;0.001</w:t>
            </w:r>
          </w:p>
        </w:tc>
      </w:tr>
      <w:tr w:rsidR="0017561A" w:rsidRPr="000E6139" w14:paraId="0007B154" w14:textId="77777777" w:rsidTr="004E0520">
        <w:trPr>
          <w:jc w:val="center"/>
        </w:trPr>
        <w:tc>
          <w:tcPr>
            <w:tcW w:w="3823" w:type="dxa"/>
          </w:tcPr>
          <w:p w14:paraId="05225799" w14:textId="77777777" w:rsidR="0017561A" w:rsidRPr="00192CCA" w:rsidRDefault="0017561A" w:rsidP="004E0520">
            <w:pPr>
              <w:rPr>
                <w:b/>
                <w:bCs/>
                <w:sz w:val="20"/>
                <w:szCs w:val="20"/>
              </w:rPr>
            </w:pPr>
          </w:p>
          <w:p w14:paraId="11872D9A" w14:textId="77777777" w:rsidR="0017561A" w:rsidRPr="00192CCA" w:rsidRDefault="0017561A" w:rsidP="004E0520">
            <w:pPr>
              <w:rPr>
                <w:sz w:val="20"/>
                <w:szCs w:val="20"/>
              </w:rPr>
            </w:pPr>
            <w:r>
              <w:rPr>
                <w:b/>
                <w:bCs/>
                <w:sz w:val="20"/>
                <w:szCs w:val="20"/>
              </w:rPr>
              <w:t xml:space="preserve">No. of Comorbidities </w:t>
            </w:r>
            <w:r w:rsidRPr="00192CCA">
              <w:rPr>
                <w:b/>
                <w:bCs/>
                <w:sz w:val="20"/>
                <w:szCs w:val="20"/>
              </w:rPr>
              <w:t>(Between 78 to 6 Months Prior to Diagnosis)</w:t>
            </w:r>
            <w:r>
              <w:rPr>
                <w:b/>
                <w:bCs/>
                <w:sz w:val="20"/>
                <w:szCs w:val="20"/>
                <w:vertAlign w:val="superscript"/>
              </w:rPr>
              <w:t>k</w:t>
            </w:r>
          </w:p>
        </w:tc>
        <w:tc>
          <w:tcPr>
            <w:tcW w:w="1417" w:type="dxa"/>
          </w:tcPr>
          <w:p w14:paraId="09ED1616" w14:textId="77777777" w:rsidR="0017561A" w:rsidRDefault="0017561A" w:rsidP="004E0520">
            <w:pPr>
              <w:rPr>
                <w:sz w:val="20"/>
                <w:szCs w:val="20"/>
              </w:rPr>
            </w:pPr>
          </w:p>
        </w:tc>
        <w:tc>
          <w:tcPr>
            <w:tcW w:w="1418" w:type="dxa"/>
          </w:tcPr>
          <w:p w14:paraId="6774F2C0" w14:textId="77777777" w:rsidR="0017561A" w:rsidRDefault="0017561A" w:rsidP="004E0520">
            <w:pPr>
              <w:rPr>
                <w:sz w:val="20"/>
                <w:szCs w:val="20"/>
              </w:rPr>
            </w:pPr>
          </w:p>
        </w:tc>
        <w:tc>
          <w:tcPr>
            <w:tcW w:w="992" w:type="dxa"/>
          </w:tcPr>
          <w:p w14:paraId="0C91A8C3" w14:textId="77777777" w:rsidR="0017561A" w:rsidRPr="00192CCA" w:rsidRDefault="0017561A" w:rsidP="004E0520">
            <w:pPr>
              <w:rPr>
                <w:sz w:val="20"/>
                <w:szCs w:val="20"/>
              </w:rPr>
            </w:pPr>
          </w:p>
          <w:p w14:paraId="4B0401BA" w14:textId="77777777" w:rsidR="0017561A" w:rsidRPr="00192CCA" w:rsidRDefault="0017561A" w:rsidP="004E0520">
            <w:pPr>
              <w:rPr>
                <w:sz w:val="20"/>
                <w:szCs w:val="20"/>
              </w:rPr>
            </w:pPr>
            <w:r w:rsidRPr="00192CCA">
              <w:rPr>
                <w:sz w:val="20"/>
                <w:szCs w:val="20"/>
              </w:rPr>
              <w:t>&lt;0.001</w:t>
            </w:r>
          </w:p>
        </w:tc>
        <w:tc>
          <w:tcPr>
            <w:tcW w:w="709" w:type="dxa"/>
          </w:tcPr>
          <w:p w14:paraId="73C321F2" w14:textId="77777777" w:rsidR="0017561A" w:rsidRPr="00192CCA" w:rsidRDefault="0017561A" w:rsidP="004E0520">
            <w:pPr>
              <w:rPr>
                <w:sz w:val="20"/>
                <w:szCs w:val="20"/>
              </w:rPr>
            </w:pPr>
          </w:p>
        </w:tc>
        <w:tc>
          <w:tcPr>
            <w:tcW w:w="1417" w:type="dxa"/>
          </w:tcPr>
          <w:p w14:paraId="1FFA37E7" w14:textId="77777777" w:rsidR="0017561A" w:rsidRPr="00192CCA" w:rsidRDefault="0017561A" w:rsidP="004E0520">
            <w:pPr>
              <w:rPr>
                <w:sz w:val="20"/>
                <w:szCs w:val="20"/>
              </w:rPr>
            </w:pPr>
          </w:p>
        </w:tc>
        <w:tc>
          <w:tcPr>
            <w:tcW w:w="992" w:type="dxa"/>
          </w:tcPr>
          <w:p w14:paraId="5D3F5D7A" w14:textId="77777777" w:rsidR="0017561A" w:rsidRPr="00192CCA" w:rsidRDefault="0017561A" w:rsidP="004E0520">
            <w:pPr>
              <w:rPr>
                <w:b/>
                <w:bCs/>
                <w:sz w:val="20"/>
                <w:szCs w:val="20"/>
              </w:rPr>
            </w:pPr>
          </w:p>
          <w:p w14:paraId="62F1F2E0" w14:textId="77777777" w:rsidR="0017561A" w:rsidRPr="00192CCA" w:rsidRDefault="0017561A" w:rsidP="004E0520">
            <w:pPr>
              <w:rPr>
                <w:sz w:val="20"/>
                <w:szCs w:val="20"/>
              </w:rPr>
            </w:pPr>
            <w:r w:rsidRPr="00192CCA">
              <w:rPr>
                <w:b/>
                <w:bCs/>
                <w:sz w:val="20"/>
                <w:szCs w:val="20"/>
              </w:rPr>
              <w:t>&lt;0.001</w:t>
            </w:r>
          </w:p>
        </w:tc>
        <w:tc>
          <w:tcPr>
            <w:tcW w:w="709" w:type="dxa"/>
          </w:tcPr>
          <w:p w14:paraId="76FF683E" w14:textId="77777777" w:rsidR="0017561A" w:rsidRPr="00192CCA" w:rsidRDefault="0017561A" w:rsidP="004E0520">
            <w:pPr>
              <w:rPr>
                <w:sz w:val="20"/>
                <w:szCs w:val="20"/>
              </w:rPr>
            </w:pPr>
          </w:p>
        </w:tc>
        <w:tc>
          <w:tcPr>
            <w:tcW w:w="1418" w:type="dxa"/>
          </w:tcPr>
          <w:p w14:paraId="3F4F0FCE" w14:textId="77777777" w:rsidR="0017561A" w:rsidRPr="00192CCA" w:rsidRDefault="0017561A" w:rsidP="004E0520">
            <w:pPr>
              <w:rPr>
                <w:sz w:val="20"/>
                <w:szCs w:val="20"/>
              </w:rPr>
            </w:pPr>
          </w:p>
        </w:tc>
        <w:tc>
          <w:tcPr>
            <w:tcW w:w="992" w:type="dxa"/>
          </w:tcPr>
          <w:p w14:paraId="571E2049" w14:textId="77777777" w:rsidR="0017561A" w:rsidRPr="00192CCA" w:rsidRDefault="0017561A" w:rsidP="004E0520">
            <w:pPr>
              <w:rPr>
                <w:b/>
                <w:bCs/>
                <w:sz w:val="20"/>
                <w:szCs w:val="20"/>
              </w:rPr>
            </w:pPr>
          </w:p>
          <w:p w14:paraId="39C9712D" w14:textId="77777777" w:rsidR="0017561A" w:rsidRPr="00192CCA" w:rsidRDefault="0017561A" w:rsidP="004E0520">
            <w:pPr>
              <w:rPr>
                <w:sz w:val="20"/>
                <w:szCs w:val="20"/>
              </w:rPr>
            </w:pPr>
            <w:r w:rsidRPr="00192CCA">
              <w:rPr>
                <w:b/>
                <w:bCs/>
                <w:sz w:val="20"/>
                <w:szCs w:val="20"/>
              </w:rPr>
              <w:t>&lt;0.001</w:t>
            </w:r>
          </w:p>
        </w:tc>
      </w:tr>
      <w:tr w:rsidR="0017561A" w:rsidRPr="000E6139" w14:paraId="292697E4" w14:textId="77777777" w:rsidTr="004E0520">
        <w:trPr>
          <w:jc w:val="center"/>
        </w:trPr>
        <w:tc>
          <w:tcPr>
            <w:tcW w:w="3823" w:type="dxa"/>
          </w:tcPr>
          <w:p w14:paraId="422A9F29" w14:textId="77777777" w:rsidR="0017561A" w:rsidRPr="007C6648" w:rsidRDefault="0017561A" w:rsidP="004E0520">
            <w:pPr>
              <w:rPr>
                <w:sz w:val="20"/>
                <w:szCs w:val="20"/>
              </w:rPr>
            </w:pPr>
            <w:r w:rsidRPr="00192CCA">
              <w:rPr>
                <w:sz w:val="20"/>
                <w:szCs w:val="20"/>
              </w:rPr>
              <w:t>0</w:t>
            </w:r>
          </w:p>
        </w:tc>
        <w:tc>
          <w:tcPr>
            <w:tcW w:w="1417" w:type="dxa"/>
          </w:tcPr>
          <w:p w14:paraId="7828B1D9" w14:textId="77777777" w:rsidR="0017561A" w:rsidRDefault="0017561A" w:rsidP="004E0520">
            <w:pPr>
              <w:rPr>
                <w:sz w:val="20"/>
                <w:szCs w:val="20"/>
              </w:rPr>
            </w:pPr>
            <w:r>
              <w:rPr>
                <w:sz w:val="20"/>
                <w:szCs w:val="20"/>
              </w:rPr>
              <w:t>13,614 (47.78)</w:t>
            </w:r>
          </w:p>
        </w:tc>
        <w:tc>
          <w:tcPr>
            <w:tcW w:w="1418" w:type="dxa"/>
          </w:tcPr>
          <w:p w14:paraId="4C3BC406" w14:textId="77777777" w:rsidR="0017561A" w:rsidRDefault="0017561A" w:rsidP="004E0520">
            <w:pPr>
              <w:rPr>
                <w:sz w:val="20"/>
                <w:szCs w:val="20"/>
              </w:rPr>
            </w:pPr>
            <w:r>
              <w:rPr>
                <w:sz w:val="20"/>
                <w:szCs w:val="20"/>
              </w:rPr>
              <w:t>14,880 (52.22)</w:t>
            </w:r>
          </w:p>
        </w:tc>
        <w:tc>
          <w:tcPr>
            <w:tcW w:w="992" w:type="dxa"/>
          </w:tcPr>
          <w:p w14:paraId="2BDBED20" w14:textId="77777777" w:rsidR="0017561A" w:rsidRPr="000E6139" w:rsidRDefault="0017561A" w:rsidP="004E0520"/>
        </w:tc>
        <w:tc>
          <w:tcPr>
            <w:tcW w:w="709" w:type="dxa"/>
          </w:tcPr>
          <w:p w14:paraId="2F24C163" w14:textId="77777777" w:rsidR="0017561A" w:rsidRDefault="0017561A" w:rsidP="004E0520">
            <w:pPr>
              <w:rPr>
                <w:sz w:val="20"/>
                <w:szCs w:val="20"/>
              </w:rPr>
            </w:pPr>
            <w:r w:rsidRPr="00192CCA">
              <w:rPr>
                <w:sz w:val="20"/>
                <w:szCs w:val="20"/>
              </w:rPr>
              <w:t>1.00</w:t>
            </w:r>
          </w:p>
        </w:tc>
        <w:tc>
          <w:tcPr>
            <w:tcW w:w="1417" w:type="dxa"/>
          </w:tcPr>
          <w:p w14:paraId="301BC7DC" w14:textId="77777777" w:rsidR="0017561A" w:rsidRDefault="0017561A" w:rsidP="004E0520">
            <w:pPr>
              <w:rPr>
                <w:sz w:val="20"/>
                <w:szCs w:val="20"/>
              </w:rPr>
            </w:pPr>
            <w:r w:rsidRPr="00192CCA">
              <w:rPr>
                <w:sz w:val="20"/>
                <w:szCs w:val="20"/>
              </w:rPr>
              <w:t>-----     -----</w:t>
            </w:r>
          </w:p>
        </w:tc>
        <w:tc>
          <w:tcPr>
            <w:tcW w:w="992" w:type="dxa"/>
          </w:tcPr>
          <w:p w14:paraId="34CF150B" w14:textId="77777777" w:rsidR="0017561A" w:rsidRPr="00256ACB" w:rsidRDefault="0017561A" w:rsidP="004E0520">
            <w:pPr>
              <w:rPr>
                <w:sz w:val="20"/>
                <w:szCs w:val="20"/>
              </w:rPr>
            </w:pPr>
            <w:r>
              <w:rPr>
                <w:sz w:val="20"/>
                <w:szCs w:val="20"/>
              </w:rPr>
              <w:t xml:space="preserve">  </w:t>
            </w:r>
            <w:r w:rsidRPr="00192CCA">
              <w:rPr>
                <w:sz w:val="20"/>
                <w:szCs w:val="20"/>
              </w:rPr>
              <w:t>-------</w:t>
            </w:r>
          </w:p>
        </w:tc>
        <w:tc>
          <w:tcPr>
            <w:tcW w:w="709" w:type="dxa"/>
          </w:tcPr>
          <w:p w14:paraId="076723D6" w14:textId="77777777" w:rsidR="0017561A" w:rsidRDefault="0017561A" w:rsidP="004E0520">
            <w:pPr>
              <w:rPr>
                <w:sz w:val="20"/>
                <w:szCs w:val="20"/>
              </w:rPr>
            </w:pPr>
            <w:r w:rsidRPr="00192CCA">
              <w:rPr>
                <w:sz w:val="20"/>
                <w:szCs w:val="20"/>
              </w:rPr>
              <w:t>1.00</w:t>
            </w:r>
          </w:p>
        </w:tc>
        <w:tc>
          <w:tcPr>
            <w:tcW w:w="1418" w:type="dxa"/>
          </w:tcPr>
          <w:p w14:paraId="1AD67E3E" w14:textId="77777777" w:rsidR="0017561A" w:rsidRDefault="0017561A" w:rsidP="004E0520">
            <w:pPr>
              <w:rPr>
                <w:sz w:val="20"/>
                <w:szCs w:val="20"/>
              </w:rPr>
            </w:pPr>
            <w:r w:rsidRPr="00192CCA">
              <w:rPr>
                <w:sz w:val="20"/>
                <w:szCs w:val="20"/>
              </w:rPr>
              <w:t>-----     -----</w:t>
            </w:r>
          </w:p>
        </w:tc>
        <w:tc>
          <w:tcPr>
            <w:tcW w:w="992" w:type="dxa"/>
          </w:tcPr>
          <w:p w14:paraId="31B5DE86" w14:textId="77777777" w:rsidR="0017561A" w:rsidRPr="00256ACB" w:rsidRDefault="0017561A" w:rsidP="004E0520">
            <w:pPr>
              <w:rPr>
                <w:sz w:val="20"/>
                <w:szCs w:val="20"/>
              </w:rPr>
            </w:pPr>
            <w:r>
              <w:rPr>
                <w:sz w:val="20"/>
                <w:szCs w:val="20"/>
              </w:rPr>
              <w:t xml:space="preserve">  </w:t>
            </w:r>
            <w:r w:rsidRPr="00192CCA">
              <w:rPr>
                <w:sz w:val="20"/>
                <w:szCs w:val="20"/>
              </w:rPr>
              <w:t>-------</w:t>
            </w:r>
          </w:p>
        </w:tc>
      </w:tr>
      <w:tr w:rsidR="0017561A" w:rsidRPr="000E6139" w14:paraId="18EA4E0E" w14:textId="77777777" w:rsidTr="004E0520">
        <w:trPr>
          <w:jc w:val="center"/>
        </w:trPr>
        <w:tc>
          <w:tcPr>
            <w:tcW w:w="3823" w:type="dxa"/>
          </w:tcPr>
          <w:p w14:paraId="489DDE2B" w14:textId="77777777" w:rsidR="0017561A" w:rsidRPr="00192CCA" w:rsidRDefault="0017561A" w:rsidP="004E0520">
            <w:pPr>
              <w:rPr>
                <w:sz w:val="20"/>
                <w:szCs w:val="20"/>
              </w:rPr>
            </w:pPr>
            <w:r w:rsidRPr="00192CCA">
              <w:rPr>
                <w:sz w:val="20"/>
                <w:szCs w:val="20"/>
              </w:rPr>
              <w:t>1-2</w:t>
            </w:r>
          </w:p>
        </w:tc>
        <w:tc>
          <w:tcPr>
            <w:tcW w:w="1417" w:type="dxa"/>
          </w:tcPr>
          <w:p w14:paraId="6B60F761" w14:textId="77777777" w:rsidR="0017561A" w:rsidRPr="00192CCA" w:rsidRDefault="0017561A" w:rsidP="004E0520">
            <w:pPr>
              <w:rPr>
                <w:sz w:val="20"/>
                <w:szCs w:val="20"/>
              </w:rPr>
            </w:pPr>
            <w:r>
              <w:rPr>
                <w:sz w:val="20"/>
                <w:szCs w:val="20"/>
              </w:rPr>
              <w:t>1,776 (35.41)</w:t>
            </w:r>
          </w:p>
        </w:tc>
        <w:tc>
          <w:tcPr>
            <w:tcW w:w="1418" w:type="dxa"/>
          </w:tcPr>
          <w:p w14:paraId="01FF2354" w14:textId="77777777" w:rsidR="0017561A" w:rsidRPr="00192CCA" w:rsidRDefault="0017561A" w:rsidP="004E0520">
            <w:pPr>
              <w:rPr>
                <w:sz w:val="20"/>
                <w:szCs w:val="20"/>
              </w:rPr>
            </w:pPr>
            <w:r>
              <w:rPr>
                <w:sz w:val="20"/>
                <w:szCs w:val="20"/>
              </w:rPr>
              <w:t>3,240 (64.59)</w:t>
            </w:r>
          </w:p>
        </w:tc>
        <w:tc>
          <w:tcPr>
            <w:tcW w:w="992" w:type="dxa"/>
          </w:tcPr>
          <w:p w14:paraId="33FAEDF6" w14:textId="77777777" w:rsidR="0017561A" w:rsidRPr="000E6139" w:rsidRDefault="0017561A" w:rsidP="004E0520"/>
        </w:tc>
        <w:tc>
          <w:tcPr>
            <w:tcW w:w="709" w:type="dxa"/>
          </w:tcPr>
          <w:p w14:paraId="3C87C2CC" w14:textId="77777777" w:rsidR="0017561A" w:rsidRPr="00192CCA" w:rsidRDefault="0017561A" w:rsidP="004E0520">
            <w:pPr>
              <w:rPr>
                <w:sz w:val="20"/>
                <w:szCs w:val="20"/>
              </w:rPr>
            </w:pPr>
            <w:r w:rsidRPr="00192CCA">
              <w:rPr>
                <w:sz w:val="20"/>
                <w:szCs w:val="20"/>
              </w:rPr>
              <w:t>0.</w:t>
            </w:r>
            <w:r>
              <w:rPr>
                <w:sz w:val="20"/>
                <w:szCs w:val="20"/>
              </w:rPr>
              <w:t>60</w:t>
            </w:r>
          </w:p>
        </w:tc>
        <w:tc>
          <w:tcPr>
            <w:tcW w:w="1417" w:type="dxa"/>
          </w:tcPr>
          <w:p w14:paraId="3F48E114" w14:textId="77777777" w:rsidR="0017561A" w:rsidRPr="00192CCA" w:rsidRDefault="0017561A" w:rsidP="004E0520">
            <w:pPr>
              <w:rPr>
                <w:sz w:val="20"/>
                <w:szCs w:val="20"/>
              </w:rPr>
            </w:pPr>
            <w:r w:rsidRPr="00192CCA">
              <w:rPr>
                <w:sz w:val="20"/>
                <w:szCs w:val="20"/>
              </w:rPr>
              <w:t>0.</w:t>
            </w:r>
            <w:r>
              <w:rPr>
                <w:sz w:val="20"/>
                <w:szCs w:val="20"/>
              </w:rPr>
              <w:t>56</w:t>
            </w:r>
            <w:r w:rsidRPr="00192CCA">
              <w:rPr>
                <w:sz w:val="20"/>
                <w:szCs w:val="20"/>
              </w:rPr>
              <w:t xml:space="preserve"> – 0.</w:t>
            </w:r>
            <w:r>
              <w:rPr>
                <w:sz w:val="20"/>
                <w:szCs w:val="20"/>
              </w:rPr>
              <w:t>64</w:t>
            </w:r>
          </w:p>
        </w:tc>
        <w:tc>
          <w:tcPr>
            <w:tcW w:w="992" w:type="dxa"/>
          </w:tcPr>
          <w:p w14:paraId="69EF955A" w14:textId="77777777" w:rsidR="0017561A" w:rsidRDefault="0017561A" w:rsidP="004E0520">
            <w:pPr>
              <w:rPr>
                <w:sz w:val="20"/>
                <w:szCs w:val="20"/>
              </w:rPr>
            </w:pPr>
            <w:r w:rsidRPr="00192CCA">
              <w:rPr>
                <w:sz w:val="20"/>
                <w:szCs w:val="20"/>
              </w:rPr>
              <w:t>&lt;0.001</w:t>
            </w:r>
          </w:p>
        </w:tc>
        <w:tc>
          <w:tcPr>
            <w:tcW w:w="709" w:type="dxa"/>
          </w:tcPr>
          <w:p w14:paraId="27419CC7" w14:textId="77777777" w:rsidR="0017561A" w:rsidRPr="00192CCA" w:rsidRDefault="0017561A" w:rsidP="004E0520">
            <w:pPr>
              <w:rPr>
                <w:sz w:val="20"/>
                <w:szCs w:val="20"/>
              </w:rPr>
            </w:pPr>
            <w:r w:rsidRPr="00192CCA">
              <w:rPr>
                <w:sz w:val="20"/>
                <w:szCs w:val="20"/>
              </w:rPr>
              <w:t>0.</w:t>
            </w:r>
            <w:r>
              <w:rPr>
                <w:sz w:val="20"/>
                <w:szCs w:val="20"/>
              </w:rPr>
              <w:t>83</w:t>
            </w:r>
          </w:p>
        </w:tc>
        <w:tc>
          <w:tcPr>
            <w:tcW w:w="1418" w:type="dxa"/>
          </w:tcPr>
          <w:p w14:paraId="1B28342B" w14:textId="77777777" w:rsidR="0017561A" w:rsidRPr="00192CCA" w:rsidRDefault="0017561A" w:rsidP="004E0520">
            <w:pPr>
              <w:rPr>
                <w:sz w:val="20"/>
                <w:szCs w:val="20"/>
              </w:rPr>
            </w:pPr>
            <w:r w:rsidRPr="00192CCA">
              <w:rPr>
                <w:sz w:val="20"/>
                <w:szCs w:val="20"/>
              </w:rPr>
              <w:t>0.</w:t>
            </w:r>
            <w:r>
              <w:rPr>
                <w:sz w:val="20"/>
                <w:szCs w:val="20"/>
              </w:rPr>
              <w:t>77</w:t>
            </w:r>
            <w:r w:rsidRPr="00192CCA">
              <w:rPr>
                <w:sz w:val="20"/>
                <w:szCs w:val="20"/>
              </w:rPr>
              <w:t xml:space="preserve"> – </w:t>
            </w:r>
            <w:r>
              <w:rPr>
                <w:sz w:val="20"/>
                <w:szCs w:val="20"/>
              </w:rPr>
              <w:t>0.89</w:t>
            </w:r>
          </w:p>
        </w:tc>
        <w:tc>
          <w:tcPr>
            <w:tcW w:w="992" w:type="dxa"/>
          </w:tcPr>
          <w:p w14:paraId="70662019" w14:textId="77777777" w:rsidR="0017561A" w:rsidRDefault="0017561A" w:rsidP="004E0520">
            <w:pPr>
              <w:rPr>
                <w:sz w:val="20"/>
                <w:szCs w:val="20"/>
              </w:rPr>
            </w:pPr>
            <w:r w:rsidRPr="00192CCA">
              <w:rPr>
                <w:sz w:val="20"/>
                <w:szCs w:val="20"/>
              </w:rPr>
              <w:t>&lt;0.001</w:t>
            </w:r>
          </w:p>
        </w:tc>
      </w:tr>
      <w:tr w:rsidR="0017561A" w:rsidRPr="000E6139" w14:paraId="675D3DEF" w14:textId="77777777" w:rsidTr="004E0520">
        <w:trPr>
          <w:jc w:val="center"/>
        </w:trPr>
        <w:tc>
          <w:tcPr>
            <w:tcW w:w="3823" w:type="dxa"/>
          </w:tcPr>
          <w:p w14:paraId="6FC12302" w14:textId="77777777" w:rsidR="0017561A" w:rsidRPr="00192CCA" w:rsidRDefault="0017561A" w:rsidP="004E0520">
            <w:pPr>
              <w:rPr>
                <w:sz w:val="20"/>
                <w:szCs w:val="20"/>
              </w:rPr>
            </w:pPr>
            <w:r w:rsidRPr="00192CCA">
              <w:rPr>
                <w:sz w:val="20"/>
                <w:szCs w:val="20"/>
              </w:rPr>
              <w:t>3+</w:t>
            </w:r>
          </w:p>
        </w:tc>
        <w:tc>
          <w:tcPr>
            <w:tcW w:w="1417" w:type="dxa"/>
          </w:tcPr>
          <w:p w14:paraId="5F68FF35" w14:textId="77777777" w:rsidR="0017561A" w:rsidRPr="00192CCA" w:rsidRDefault="0017561A" w:rsidP="004E0520">
            <w:pPr>
              <w:rPr>
                <w:sz w:val="20"/>
                <w:szCs w:val="20"/>
              </w:rPr>
            </w:pPr>
            <w:r>
              <w:rPr>
                <w:sz w:val="20"/>
                <w:szCs w:val="20"/>
              </w:rPr>
              <w:t>177 (16.00)</w:t>
            </w:r>
          </w:p>
        </w:tc>
        <w:tc>
          <w:tcPr>
            <w:tcW w:w="1418" w:type="dxa"/>
          </w:tcPr>
          <w:p w14:paraId="5A137B47" w14:textId="77777777" w:rsidR="0017561A" w:rsidRPr="00192CCA" w:rsidRDefault="0017561A" w:rsidP="004E0520">
            <w:pPr>
              <w:rPr>
                <w:sz w:val="20"/>
                <w:szCs w:val="20"/>
              </w:rPr>
            </w:pPr>
            <w:r>
              <w:rPr>
                <w:sz w:val="20"/>
                <w:szCs w:val="20"/>
              </w:rPr>
              <w:t>929 (84.00)</w:t>
            </w:r>
          </w:p>
        </w:tc>
        <w:tc>
          <w:tcPr>
            <w:tcW w:w="992" w:type="dxa"/>
          </w:tcPr>
          <w:p w14:paraId="386D49A1" w14:textId="77777777" w:rsidR="0017561A" w:rsidRPr="000E6139" w:rsidRDefault="0017561A" w:rsidP="004E0520"/>
        </w:tc>
        <w:tc>
          <w:tcPr>
            <w:tcW w:w="709" w:type="dxa"/>
          </w:tcPr>
          <w:p w14:paraId="53AE8279" w14:textId="77777777" w:rsidR="0017561A" w:rsidRPr="00192CCA" w:rsidRDefault="0017561A" w:rsidP="004E0520">
            <w:pPr>
              <w:rPr>
                <w:sz w:val="20"/>
                <w:szCs w:val="20"/>
              </w:rPr>
            </w:pPr>
            <w:r w:rsidRPr="00192CCA">
              <w:rPr>
                <w:sz w:val="20"/>
                <w:szCs w:val="20"/>
              </w:rPr>
              <w:t>0.</w:t>
            </w:r>
            <w:r>
              <w:rPr>
                <w:sz w:val="20"/>
                <w:szCs w:val="20"/>
              </w:rPr>
              <w:t>21</w:t>
            </w:r>
          </w:p>
        </w:tc>
        <w:tc>
          <w:tcPr>
            <w:tcW w:w="1417" w:type="dxa"/>
          </w:tcPr>
          <w:p w14:paraId="68D045C1" w14:textId="77777777" w:rsidR="0017561A" w:rsidRPr="00192CCA" w:rsidRDefault="0017561A" w:rsidP="004E0520">
            <w:pPr>
              <w:rPr>
                <w:sz w:val="20"/>
                <w:szCs w:val="20"/>
              </w:rPr>
            </w:pPr>
            <w:r w:rsidRPr="00192CCA">
              <w:rPr>
                <w:sz w:val="20"/>
                <w:szCs w:val="20"/>
              </w:rPr>
              <w:t>0.</w:t>
            </w:r>
            <w:r>
              <w:rPr>
                <w:sz w:val="20"/>
                <w:szCs w:val="20"/>
              </w:rPr>
              <w:t>18</w:t>
            </w:r>
            <w:r w:rsidRPr="00192CCA">
              <w:rPr>
                <w:sz w:val="20"/>
                <w:szCs w:val="20"/>
              </w:rPr>
              <w:t xml:space="preserve"> – 0.</w:t>
            </w:r>
            <w:r>
              <w:rPr>
                <w:sz w:val="20"/>
                <w:szCs w:val="20"/>
              </w:rPr>
              <w:t>24</w:t>
            </w:r>
          </w:p>
        </w:tc>
        <w:tc>
          <w:tcPr>
            <w:tcW w:w="992" w:type="dxa"/>
          </w:tcPr>
          <w:p w14:paraId="1910E93D" w14:textId="77777777" w:rsidR="0017561A" w:rsidRPr="00192CCA" w:rsidRDefault="0017561A" w:rsidP="004E0520">
            <w:pPr>
              <w:rPr>
                <w:sz w:val="20"/>
                <w:szCs w:val="20"/>
              </w:rPr>
            </w:pPr>
            <w:r w:rsidRPr="00192CCA">
              <w:rPr>
                <w:sz w:val="20"/>
                <w:szCs w:val="20"/>
              </w:rPr>
              <w:t>&lt;0.001</w:t>
            </w:r>
          </w:p>
        </w:tc>
        <w:tc>
          <w:tcPr>
            <w:tcW w:w="709" w:type="dxa"/>
          </w:tcPr>
          <w:p w14:paraId="38D080C2" w14:textId="77777777" w:rsidR="0017561A" w:rsidRPr="00192CCA" w:rsidRDefault="0017561A" w:rsidP="004E0520">
            <w:pPr>
              <w:rPr>
                <w:sz w:val="20"/>
                <w:szCs w:val="20"/>
              </w:rPr>
            </w:pPr>
            <w:r w:rsidRPr="00192CCA">
              <w:rPr>
                <w:sz w:val="20"/>
                <w:szCs w:val="20"/>
              </w:rPr>
              <w:t>0.</w:t>
            </w:r>
            <w:r>
              <w:rPr>
                <w:sz w:val="20"/>
                <w:szCs w:val="20"/>
              </w:rPr>
              <w:t>38</w:t>
            </w:r>
          </w:p>
        </w:tc>
        <w:tc>
          <w:tcPr>
            <w:tcW w:w="1418" w:type="dxa"/>
          </w:tcPr>
          <w:p w14:paraId="31E863C6" w14:textId="77777777" w:rsidR="0017561A" w:rsidRPr="00192CCA" w:rsidRDefault="0017561A" w:rsidP="004E0520">
            <w:pPr>
              <w:rPr>
                <w:sz w:val="20"/>
                <w:szCs w:val="20"/>
              </w:rPr>
            </w:pPr>
            <w:r w:rsidRPr="00192CCA">
              <w:rPr>
                <w:sz w:val="20"/>
                <w:szCs w:val="20"/>
              </w:rPr>
              <w:t>0.</w:t>
            </w:r>
            <w:r>
              <w:rPr>
                <w:sz w:val="20"/>
                <w:szCs w:val="20"/>
              </w:rPr>
              <w:t>32</w:t>
            </w:r>
            <w:r w:rsidRPr="00192CCA">
              <w:rPr>
                <w:sz w:val="20"/>
                <w:szCs w:val="20"/>
              </w:rPr>
              <w:t xml:space="preserve"> – </w:t>
            </w:r>
            <w:r>
              <w:rPr>
                <w:sz w:val="20"/>
                <w:szCs w:val="20"/>
              </w:rPr>
              <w:t>0.46</w:t>
            </w:r>
          </w:p>
        </w:tc>
        <w:tc>
          <w:tcPr>
            <w:tcW w:w="992" w:type="dxa"/>
          </w:tcPr>
          <w:p w14:paraId="3B487FD7" w14:textId="77777777" w:rsidR="0017561A" w:rsidRPr="00192CCA" w:rsidRDefault="0017561A" w:rsidP="004E0520">
            <w:pPr>
              <w:rPr>
                <w:sz w:val="20"/>
                <w:szCs w:val="20"/>
              </w:rPr>
            </w:pPr>
            <w:r w:rsidRPr="00192CCA">
              <w:rPr>
                <w:sz w:val="20"/>
                <w:szCs w:val="20"/>
              </w:rPr>
              <w:t>&lt;0.001</w:t>
            </w:r>
          </w:p>
        </w:tc>
      </w:tr>
      <w:tr w:rsidR="0017561A" w:rsidRPr="00192CCA" w14:paraId="64123411"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7F1DEA10" w14:textId="77777777" w:rsidR="0017561A" w:rsidRPr="00192CCA" w:rsidRDefault="0017561A" w:rsidP="004E0520">
            <w:pPr>
              <w:rPr>
                <w:sz w:val="20"/>
                <w:szCs w:val="20"/>
              </w:rPr>
            </w:pPr>
          </w:p>
        </w:tc>
        <w:tc>
          <w:tcPr>
            <w:tcW w:w="1417" w:type="dxa"/>
            <w:tcBorders>
              <w:top w:val="nil"/>
              <w:left w:val="nil"/>
              <w:bottom w:val="nil"/>
              <w:right w:val="nil"/>
            </w:tcBorders>
          </w:tcPr>
          <w:p w14:paraId="39A96BC3" w14:textId="77777777" w:rsidR="0017561A" w:rsidRPr="00192CCA" w:rsidRDefault="0017561A" w:rsidP="004E0520">
            <w:pPr>
              <w:rPr>
                <w:sz w:val="20"/>
                <w:szCs w:val="20"/>
              </w:rPr>
            </w:pPr>
          </w:p>
        </w:tc>
        <w:tc>
          <w:tcPr>
            <w:tcW w:w="1418" w:type="dxa"/>
            <w:tcBorders>
              <w:top w:val="nil"/>
              <w:left w:val="nil"/>
              <w:bottom w:val="nil"/>
              <w:right w:val="nil"/>
            </w:tcBorders>
          </w:tcPr>
          <w:p w14:paraId="3397ECBC" w14:textId="77777777" w:rsidR="0017561A" w:rsidRPr="00192CCA" w:rsidRDefault="0017561A" w:rsidP="004E0520">
            <w:pPr>
              <w:rPr>
                <w:sz w:val="20"/>
                <w:szCs w:val="20"/>
              </w:rPr>
            </w:pPr>
          </w:p>
        </w:tc>
        <w:tc>
          <w:tcPr>
            <w:tcW w:w="992" w:type="dxa"/>
            <w:tcBorders>
              <w:top w:val="nil"/>
              <w:left w:val="nil"/>
              <w:bottom w:val="nil"/>
              <w:right w:val="nil"/>
            </w:tcBorders>
          </w:tcPr>
          <w:p w14:paraId="6661BA6B" w14:textId="77777777" w:rsidR="0017561A" w:rsidRPr="00192CCA" w:rsidRDefault="0017561A" w:rsidP="004E0520">
            <w:pPr>
              <w:rPr>
                <w:sz w:val="20"/>
                <w:szCs w:val="20"/>
              </w:rPr>
            </w:pPr>
          </w:p>
        </w:tc>
        <w:tc>
          <w:tcPr>
            <w:tcW w:w="709" w:type="dxa"/>
            <w:tcBorders>
              <w:top w:val="nil"/>
              <w:left w:val="nil"/>
              <w:bottom w:val="nil"/>
              <w:right w:val="nil"/>
            </w:tcBorders>
          </w:tcPr>
          <w:p w14:paraId="4E3977B5" w14:textId="77777777" w:rsidR="0017561A" w:rsidRPr="00192CCA" w:rsidRDefault="0017561A" w:rsidP="004E0520">
            <w:pPr>
              <w:rPr>
                <w:sz w:val="20"/>
                <w:szCs w:val="20"/>
              </w:rPr>
            </w:pPr>
          </w:p>
        </w:tc>
        <w:tc>
          <w:tcPr>
            <w:tcW w:w="1417" w:type="dxa"/>
            <w:tcBorders>
              <w:top w:val="nil"/>
              <w:left w:val="nil"/>
              <w:bottom w:val="nil"/>
              <w:right w:val="nil"/>
            </w:tcBorders>
          </w:tcPr>
          <w:p w14:paraId="0DB2369F" w14:textId="77777777" w:rsidR="0017561A" w:rsidRPr="00192CCA" w:rsidRDefault="0017561A" w:rsidP="004E0520">
            <w:pPr>
              <w:rPr>
                <w:sz w:val="20"/>
                <w:szCs w:val="20"/>
              </w:rPr>
            </w:pPr>
          </w:p>
        </w:tc>
        <w:tc>
          <w:tcPr>
            <w:tcW w:w="992" w:type="dxa"/>
            <w:tcBorders>
              <w:top w:val="nil"/>
              <w:left w:val="nil"/>
              <w:bottom w:val="nil"/>
              <w:right w:val="nil"/>
            </w:tcBorders>
          </w:tcPr>
          <w:p w14:paraId="08E61967" w14:textId="77777777" w:rsidR="0017561A" w:rsidRPr="00192CCA" w:rsidRDefault="0017561A" w:rsidP="004E0520">
            <w:pPr>
              <w:rPr>
                <w:sz w:val="20"/>
                <w:szCs w:val="20"/>
              </w:rPr>
            </w:pPr>
          </w:p>
        </w:tc>
        <w:tc>
          <w:tcPr>
            <w:tcW w:w="709" w:type="dxa"/>
            <w:tcBorders>
              <w:top w:val="nil"/>
              <w:left w:val="nil"/>
              <w:bottom w:val="nil"/>
              <w:right w:val="nil"/>
            </w:tcBorders>
          </w:tcPr>
          <w:p w14:paraId="7E693B43" w14:textId="77777777" w:rsidR="0017561A" w:rsidRPr="00192CCA" w:rsidRDefault="0017561A" w:rsidP="004E0520">
            <w:pPr>
              <w:rPr>
                <w:sz w:val="20"/>
                <w:szCs w:val="20"/>
              </w:rPr>
            </w:pPr>
          </w:p>
        </w:tc>
        <w:tc>
          <w:tcPr>
            <w:tcW w:w="1418" w:type="dxa"/>
            <w:tcBorders>
              <w:top w:val="nil"/>
              <w:left w:val="nil"/>
              <w:bottom w:val="nil"/>
              <w:right w:val="nil"/>
            </w:tcBorders>
          </w:tcPr>
          <w:p w14:paraId="2613780C" w14:textId="77777777" w:rsidR="0017561A" w:rsidRPr="00192CCA" w:rsidRDefault="0017561A" w:rsidP="004E0520">
            <w:pPr>
              <w:rPr>
                <w:sz w:val="20"/>
                <w:szCs w:val="20"/>
              </w:rPr>
            </w:pPr>
          </w:p>
        </w:tc>
        <w:tc>
          <w:tcPr>
            <w:tcW w:w="992" w:type="dxa"/>
            <w:tcBorders>
              <w:top w:val="nil"/>
              <w:left w:val="nil"/>
              <w:bottom w:val="nil"/>
              <w:right w:val="nil"/>
            </w:tcBorders>
          </w:tcPr>
          <w:p w14:paraId="53F11DD4" w14:textId="77777777" w:rsidR="0017561A" w:rsidRPr="00192CCA" w:rsidRDefault="0017561A" w:rsidP="004E0520">
            <w:pPr>
              <w:rPr>
                <w:sz w:val="20"/>
                <w:szCs w:val="20"/>
              </w:rPr>
            </w:pPr>
          </w:p>
        </w:tc>
      </w:tr>
      <w:tr w:rsidR="0017561A" w:rsidRPr="00192CCA" w14:paraId="45EBADB8"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29645927" w14:textId="77777777" w:rsidR="0017561A" w:rsidRPr="00192CCA" w:rsidRDefault="0017561A" w:rsidP="004E0520">
            <w:pPr>
              <w:rPr>
                <w:sz w:val="20"/>
                <w:szCs w:val="20"/>
              </w:rPr>
            </w:pPr>
            <w:r w:rsidRPr="00192CCA">
              <w:rPr>
                <w:b/>
                <w:bCs/>
                <w:sz w:val="20"/>
                <w:szCs w:val="20"/>
              </w:rPr>
              <w:t>Discussed at MDT</w:t>
            </w:r>
          </w:p>
        </w:tc>
        <w:tc>
          <w:tcPr>
            <w:tcW w:w="1417" w:type="dxa"/>
            <w:tcBorders>
              <w:top w:val="nil"/>
              <w:left w:val="nil"/>
              <w:bottom w:val="nil"/>
              <w:right w:val="nil"/>
            </w:tcBorders>
          </w:tcPr>
          <w:p w14:paraId="09BCF301" w14:textId="77777777" w:rsidR="0017561A" w:rsidRPr="00192CCA" w:rsidRDefault="0017561A" w:rsidP="004E0520">
            <w:pPr>
              <w:rPr>
                <w:sz w:val="20"/>
                <w:szCs w:val="20"/>
              </w:rPr>
            </w:pPr>
          </w:p>
        </w:tc>
        <w:tc>
          <w:tcPr>
            <w:tcW w:w="1418" w:type="dxa"/>
            <w:tcBorders>
              <w:top w:val="nil"/>
              <w:left w:val="nil"/>
              <w:bottom w:val="nil"/>
              <w:right w:val="nil"/>
            </w:tcBorders>
          </w:tcPr>
          <w:p w14:paraId="30C32BEE" w14:textId="77777777" w:rsidR="0017561A" w:rsidRPr="00192CCA" w:rsidRDefault="0017561A" w:rsidP="004E0520">
            <w:pPr>
              <w:rPr>
                <w:sz w:val="20"/>
                <w:szCs w:val="20"/>
              </w:rPr>
            </w:pPr>
          </w:p>
        </w:tc>
        <w:tc>
          <w:tcPr>
            <w:tcW w:w="992" w:type="dxa"/>
            <w:tcBorders>
              <w:top w:val="nil"/>
              <w:left w:val="nil"/>
              <w:bottom w:val="nil"/>
              <w:right w:val="nil"/>
            </w:tcBorders>
          </w:tcPr>
          <w:p w14:paraId="4A7916A3" w14:textId="77777777" w:rsidR="0017561A" w:rsidRPr="00192CCA" w:rsidRDefault="0017561A" w:rsidP="004E0520">
            <w:pPr>
              <w:rPr>
                <w:sz w:val="20"/>
                <w:szCs w:val="20"/>
              </w:rPr>
            </w:pPr>
            <w:r>
              <w:rPr>
                <w:sz w:val="20"/>
                <w:szCs w:val="20"/>
              </w:rPr>
              <w:t xml:space="preserve">   </w:t>
            </w:r>
            <w:r w:rsidRPr="00192CCA">
              <w:rPr>
                <w:sz w:val="20"/>
                <w:szCs w:val="20"/>
              </w:rPr>
              <w:t>&lt;0.001</w:t>
            </w:r>
          </w:p>
        </w:tc>
        <w:tc>
          <w:tcPr>
            <w:tcW w:w="709" w:type="dxa"/>
            <w:tcBorders>
              <w:top w:val="nil"/>
              <w:left w:val="nil"/>
              <w:bottom w:val="nil"/>
              <w:right w:val="nil"/>
            </w:tcBorders>
          </w:tcPr>
          <w:p w14:paraId="22664881" w14:textId="77777777" w:rsidR="0017561A" w:rsidRPr="00192CCA" w:rsidRDefault="0017561A" w:rsidP="004E0520">
            <w:pPr>
              <w:rPr>
                <w:sz w:val="20"/>
                <w:szCs w:val="20"/>
              </w:rPr>
            </w:pPr>
          </w:p>
        </w:tc>
        <w:tc>
          <w:tcPr>
            <w:tcW w:w="1417" w:type="dxa"/>
            <w:tcBorders>
              <w:top w:val="nil"/>
              <w:left w:val="nil"/>
              <w:bottom w:val="nil"/>
              <w:right w:val="nil"/>
            </w:tcBorders>
          </w:tcPr>
          <w:p w14:paraId="48F835CF" w14:textId="77777777" w:rsidR="0017561A" w:rsidRPr="00192CCA" w:rsidRDefault="0017561A" w:rsidP="004E0520">
            <w:pPr>
              <w:rPr>
                <w:sz w:val="20"/>
                <w:szCs w:val="20"/>
              </w:rPr>
            </w:pPr>
          </w:p>
        </w:tc>
        <w:tc>
          <w:tcPr>
            <w:tcW w:w="992" w:type="dxa"/>
            <w:tcBorders>
              <w:top w:val="nil"/>
              <w:left w:val="nil"/>
              <w:bottom w:val="nil"/>
              <w:right w:val="nil"/>
            </w:tcBorders>
          </w:tcPr>
          <w:p w14:paraId="753521D5" w14:textId="77777777" w:rsidR="0017561A" w:rsidRPr="00192CCA" w:rsidRDefault="0017561A" w:rsidP="004E0520">
            <w:pPr>
              <w:rPr>
                <w:sz w:val="20"/>
                <w:szCs w:val="20"/>
              </w:rPr>
            </w:pPr>
            <w:r w:rsidRPr="00192CCA">
              <w:rPr>
                <w:b/>
                <w:bCs/>
                <w:sz w:val="20"/>
                <w:szCs w:val="20"/>
              </w:rPr>
              <w:t>&lt;0.001</w:t>
            </w:r>
          </w:p>
        </w:tc>
        <w:tc>
          <w:tcPr>
            <w:tcW w:w="709" w:type="dxa"/>
            <w:tcBorders>
              <w:top w:val="nil"/>
              <w:left w:val="nil"/>
              <w:bottom w:val="nil"/>
              <w:right w:val="nil"/>
            </w:tcBorders>
          </w:tcPr>
          <w:p w14:paraId="125FEE34" w14:textId="77777777" w:rsidR="0017561A" w:rsidRPr="00192CCA" w:rsidRDefault="0017561A" w:rsidP="004E0520">
            <w:pPr>
              <w:rPr>
                <w:sz w:val="20"/>
                <w:szCs w:val="20"/>
              </w:rPr>
            </w:pPr>
          </w:p>
        </w:tc>
        <w:tc>
          <w:tcPr>
            <w:tcW w:w="1418" w:type="dxa"/>
            <w:tcBorders>
              <w:top w:val="nil"/>
              <w:left w:val="nil"/>
              <w:bottom w:val="nil"/>
              <w:right w:val="nil"/>
            </w:tcBorders>
          </w:tcPr>
          <w:p w14:paraId="0542041B" w14:textId="77777777" w:rsidR="0017561A" w:rsidRPr="00192CCA" w:rsidRDefault="0017561A" w:rsidP="004E0520">
            <w:pPr>
              <w:rPr>
                <w:sz w:val="20"/>
                <w:szCs w:val="20"/>
              </w:rPr>
            </w:pPr>
          </w:p>
        </w:tc>
        <w:tc>
          <w:tcPr>
            <w:tcW w:w="992" w:type="dxa"/>
            <w:tcBorders>
              <w:top w:val="nil"/>
              <w:left w:val="nil"/>
              <w:bottom w:val="nil"/>
              <w:right w:val="nil"/>
            </w:tcBorders>
          </w:tcPr>
          <w:p w14:paraId="50A430A9" w14:textId="77777777" w:rsidR="0017561A" w:rsidRPr="00192CCA" w:rsidRDefault="0017561A" w:rsidP="004E0520">
            <w:pPr>
              <w:rPr>
                <w:sz w:val="20"/>
                <w:szCs w:val="20"/>
              </w:rPr>
            </w:pPr>
            <w:r w:rsidRPr="00192CCA">
              <w:rPr>
                <w:b/>
                <w:bCs/>
                <w:sz w:val="20"/>
                <w:szCs w:val="20"/>
              </w:rPr>
              <w:t>&lt;0.001</w:t>
            </w:r>
          </w:p>
        </w:tc>
      </w:tr>
      <w:tr w:rsidR="0017561A" w:rsidRPr="00192CCA" w14:paraId="4AEDB58B"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7D743C03" w14:textId="77777777" w:rsidR="0017561A" w:rsidRPr="00192CCA" w:rsidRDefault="0017561A" w:rsidP="004E0520">
            <w:pPr>
              <w:rPr>
                <w:b/>
                <w:bCs/>
                <w:sz w:val="20"/>
                <w:szCs w:val="20"/>
              </w:rPr>
            </w:pPr>
            <w:r w:rsidRPr="00192CCA">
              <w:rPr>
                <w:sz w:val="20"/>
                <w:szCs w:val="20"/>
              </w:rPr>
              <w:t>Yes</w:t>
            </w:r>
          </w:p>
        </w:tc>
        <w:tc>
          <w:tcPr>
            <w:tcW w:w="1417" w:type="dxa"/>
            <w:tcBorders>
              <w:top w:val="nil"/>
              <w:left w:val="nil"/>
              <w:bottom w:val="nil"/>
              <w:right w:val="nil"/>
            </w:tcBorders>
          </w:tcPr>
          <w:p w14:paraId="6F2F4CED" w14:textId="77777777" w:rsidR="0017561A" w:rsidRPr="00192CCA" w:rsidRDefault="0017561A" w:rsidP="004E0520">
            <w:pPr>
              <w:rPr>
                <w:sz w:val="20"/>
                <w:szCs w:val="20"/>
              </w:rPr>
            </w:pPr>
            <w:r>
              <w:rPr>
                <w:sz w:val="20"/>
                <w:szCs w:val="20"/>
              </w:rPr>
              <w:t>11,584 (46.95)</w:t>
            </w:r>
          </w:p>
        </w:tc>
        <w:tc>
          <w:tcPr>
            <w:tcW w:w="1418" w:type="dxa"/>
            <w:tcBorders>
              <w:top w:val="nil"/>
              <w:left w:val="nil"/>
              <w:bottom w:val="nil"/>
              <w:right w:val="nil"/>
            </w:tcBorders>
          </w:tcPr>
          <w:p w14:paraId="04A71A76" w14:textId="77777777" w:rsidR="0017561A" w:rsidRPr="00192CCA" w:rsidRDefault="0017561A" w:rsidP="004E0520">
            <w:pPr>
              <w:rPr>
                <w:sz w:val="20"/>
                <w:szCs w:val="20"/>
              </w:rPr>
            </w:pPr>
            <w:r>
              <w:rPr>
                <w:sz w:val="20"/>
                <w:szCs w:val="20"/>
              </w:rPr>
              <w:t>13,088 (53.05)</w:t>
            </w:r>
          </w:p>
        </w:tc>
        <w:tc>
          <w:tcPr>
            <w:tcW w:w="992" w:type="dxa"/>
            <w:tcBorders>
              <w:top w:val="nil"/>
              <w:left w:val="nil"/>
              <w:bottom w:val="nil"/>
              <w:right w:val="nil"/>
            </w:tcBorders>
          </w:tcPr>
          <w:p w14:paraId="19AEC5CF" w14:textId="77777777" w:rsidR="0017561A" w:rsidRPr="00192CCA" w:rsidRDefault="0017561A" w:rsidP="004E0520">
            <w:pPr>
              <w:rPr>
                <w:sz w:val="20"/>
                <w:szCs w:val="20"/>
              </w:rPr>
            </w:pPr>
          </w:p>
        </w:tc>
        <w:tc>
          <w:tcPr>
            <w:tcW w:w="709" w:type="dxa"/>
            <w:tcBorders>
              <w:top w:val="nil"/>
              <w:left w:val="nil"/>
              <w:bottom w:val="nil"/>
              <w:right w:val="nil"/>
            </w:tcBorders>
          </w:tcPr>
          <w:p w14:paraId="60E75EBA" w14:textId="77777777" w:rsidR="0017561A" w:rsidRPr="00192CCA" w:rsidRDefault="0017561A" w:rsidP="004E0520">
            <w:pPr>
              <w:rPr>
                <w:sz w:val="20"/>
                <w:szCs w:val="20"/>
              </w:rPr>
            </w:pPr>
            <w:r w:rsidRPr="00192CCA">
              <w:rPr>
                <w:sz w:val="20"/>
                <w:szCs w:val="20"/>
              </w:rPr>
              <w:t>1.00</w:t>
            </w:r>
          </w:p>
        </w:tc>
        <w:tc>
          <w:tcPr>
            <w:tcW w:w="1417" w:type="dxa"/>
            <w:tcBorders>
              <w:top w:val="nil"/>
              <w:left w:val="nil"/>
              <w:bottom w:val="nil"/>
              <w:right w:val="nil"/>
            </w:tcBorders>
          </w:tcPr>
          <w:p w14:paraId="2729FF2E" w14:textId="77777777" w:rsidR="0017561A" w:rsidRPr="00192CCA" w:rsidRDefault="0017561A" w:rsidP="004E0520">
            <w:pPr>
              <w:rPr>
                <w:sz w:val="20"/>
                <w:szCs w:val="20"/>
              </w:rPr>
            </w:pPr>
            <w:r w:rsidRPr="00192CCA">
              <w:rPr>
                <w:sz w:val="20"/>
                <w:szCs w:val="20"/>
              </w:rPr>
              <w:t>-----     -----</w:t>
            </w:r>
          </w:p>
        </w:tc>
        <w:tc>
          <w:tcPr>
            <w:tcW w:w="992" w:type="dxa"/>
            <w:tcBorders>
              <w:top w:val="nil"/>
              <w:left w:val="nil"/>
              <w:bottom w:val="nil"/>
              <w:right w:val="nil"/>
            </w:tcBorders>
          </w:tcPr>
          <w:p w14:paraId="112F59FC" w14:textId="77777777" w:rsidR="0017561A" w:rsidRPr="00192CCA" w:rsidRDefault="0017561A" w:rsidP="004E0520">
            <w:pPr>
              <w:rPr>
                <w:b/>
                <w:bCs/>
                <w:sz w:val="20"/>
                <w:szCs w:val="20"/>
              </w:rPr>
            </w:pPr>
            <w:r>
              <w:rPr>
                <w:sz w:val="20"/>
                <w:szCs w:val="20"/>
              </w:rPr>
              <w:t xml:space="preserve">  </w:t>
            </w:r>
            <w:r w:rsidRPr="00192CCA">
              <w:rPr>
                <w:sz w:val="20"/>
                <w:szCs w:val="20"/>
              </w:rPr>
              <w:t>-------</w:t>
            </w:r>
          </w:p>
        </w:tc>
        <w:tc>
          <w:tcPr>
            <w:tcW w:w="709" w:type="dxa"/>
            <w:tcBorders>
              <w:top w:val="nil"/>
              <w:left w:val="nil"/>
              <w:bottom w:val="nil"/>
              <w:right w:val="nil"/>
            </w:tcBorders>
          </w:tcPr>
          <w:p w14:paraId="609BDCF4" w14:textId="77777777" w:rsidR="0017561A" w:rsidRPr="00192CCA" w:rsidRDefault="0017561A" w:rsidP="004E0520">
            <w:pPr>
              <w:rPr>
                <w:sz w:val="20"/>
                <w:szCs w:val="20"/>
              </w:rPr>
            </w:pPr>
            <w:r w:rsidRPr="00192CCA">
              <w:rPr>
                <w:sz w:val="20"/>
                <w:szCs w:val="20"/>
              </w:rPr>
              <w:t>1.00</w:t>
            </w:r>
          </w:p>
        </w:tc>
        <w:tc>
          <w:tcPr>
            <w:tcW w:w="1418" w:type="dxa"/>
            <w:tcBorders>
              <w:top w:val="nil"/>
              <w:left w:val="nil"/>
              <w:bottom w:val="nil"/>
              <w:right w:val="nil"/>
            </w:tcBorders>
          </w:tcPr>
          <w:p w14:paraId="5678769F" w14:textId="77777777" w:rsidR="0017561A" w:rsidRPr="00192CCA" w:rsidRDefault="0017561A" w:rsidP="004E0520">
            <w:pPr>
              <w:rPr>
                <w:sz w:val="20"/>
                <w:szCs w:val="20"/>
              </w:rPr>
            </w:pPr>
            <w:r w:rsidRPr="00192CCA">
              <w:rPr>
                <w:sz w:val="20"/>
                <w:szCs w:val="20"/>
              </w:rPr>
              <w:t>-----     -----</w:t>
            </w:r>
          </w:p>
        </w:tc>
        <w:tc>
          <w:tcPr>
            <w:tcW w:w="992" w:type="dxa"/>
            <w:tcBorders>
              <w:top w:val="nil"/>
              <w:left w:val="nil"/>
              <w:bottom w:val="nil"/>
              <w:right w:val="nil"/>
            </w:tcBorders>
          </w:tcPr>
          <w:p w14:paraId="666BA6DF" w14:textId="77777777" w:rsidR="0017561A" w:rsidRPr="00192CCA" w:rsidRDefault="0017561A" w:rsidP="004E0520">
            <w:pPr>
              <w:rPr>
                <w:b/>
                <w:bCs/>
                <w:sz w:val="20"/>
                <w:szCs w:val="20"/>
              </w:rPr>
            </w:pPr>
            <w:r>
              <w:rPr>
                <w:sz w:val="20"/>
                <w:szCs w:val="20"/>
              </w:rPr>
              <w:t xml:space="preserve">  </w:t>
            </w:r>
            <w:r w:rsidRPr="00192CCA">
              <w:rPr>
                <w:sz w:val="20"/>
                <w:szCs w:val="20"/>
              </w:rPr>
              <w:t>-------</w:t>
            </w:r>
          </w:p>
        </w:tc>
      </w:tr>
      <w:tr w:rsidR="0017561A" w:rsidRPr="00192CCA" w14:paraId="08D76CC2"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1C5A6AFE" w14:textId="77777777" w:rsidR="0017561A" w:rsidRPr="00192CCA" w:rsidRDefault="0017561A" w:rsidP="004E0520">
            <w:pPr>
              <w:rPr>
                <w:sz w:val="20"/>
                <w:szCs w:val="20"/>
              </w:rPr>
            </w:pPr>
            <w:r w:rsidRPr="00192CCA">
              <w:rPr>
                <w:sz w:val="20"/>
                <w:szCs w:val="20"/>
              </w:rPr>
              <w:t>No</w:t>
            </w:r>
          </w:p>
        </w:tc>
        <w:tc>
          <w:tcPr>
            <w:tcW w:w="1417" w:type="dxa"/>
            <w:tcBorders>
              <w:top w:val="nil"/>
              <w:left w:val="nil"/>
              <w:bottom w:val="nil"/>
              <w:right w:val="nil"/>
            </w:tcBorders>
          </w:tcPr>
          <w:p w14:paraId="53C74F6A" w14:textId="77777777" w:rsidR="0017561A" w:rsidRPr="00192CCA" w:rsidRDefault="0017561A" w:rsidP="004E0520">
            <w:pPr>
              <w:rPr>
                <w:sz w:val="20"/>
                <w:szCs w:val="20"/>
              </w:rPr>
            </w:pPr>
            <w:r>
              <w:rPr>
                <w:sz w:val="20"/>
                <w:szCs w:val="20"/>
              </w:rPr>
              <w:t>2,222 (41.52)</w:t>
            </w:r>
          </w:p>
        </w:tc>
        <w:tc>
          <w:tcPr>
            <w:tcW w:w="1418" w:type="dxa"/>
            <w:tcBorders>
              <w:top w:val="nil"/>
              <w:left w:val="nil"/>
              <w:bottom w:val="nil"/>
              <w:right w:val="nil"/>
            </w:tcBorders>
          </w:tcPr>
          <w:p w14:paraId="203E77BE" w14:textId="77777777" w:rsidR="0017561A" w:rsidRPr="00192CCA" w:rsidRDefault="0017561A" w:rsidP="004E0520">
            <w:pPr>
              <w:rPr>
                <w:sz w:val="20"/>
                <w:szCs w:val="20"/>
              </w:rPr>
            </w:pPr>
            <w:r>
              <w:rPr>
                <w:sz w:val="20"/>
                <w:szCs w:val="20"/>
              </w:rPr>
              <w:t>3,130 (58.48)</w:t>
            </w:r>
          </w:p>
        </w:tc>
        <w:tc>
          <w:tcPr>
            <w:tcW w:w="992" w:type="dxa"/>
            <w:tcBorders>
              <w:top w:val="nil"/>
              <w:left w:val="nil"/>
              <w:bottom w:val="nil"/>
              <w:right w:val="nil"/>
            </w:tcBorders>
          </w:tcPr>
          <w:p w14:paraId="17846C86" w14:textId="77777777" w:rsidR="0017561A" w:rsidRPr="00192CCA" w:rsidRDefault="0017561A" w:rsidP="004E0520">
            <w:pPr>
              <w:rPr>
                <w:sz w:val="20"/>
                <w:szCs w:val="20"/>
              </w:rPr>
            </w:pPr>
          </w:p>
        </w:tc>
        <w:tc>
          <w:tcPr>
            <w:tcW w:w="709" w:type="dxa"/>
            <w:tcBorders>
              <w:top w:val="nil"/>
              <w:left w:val="nil"/>
              <w:bottom w:val="nil"/>
              <w:right w:val="nil"/>
            </w:tcBorders>
          </w:tcPr>
          <w:p w14:paraId="4E440282" w14:textId="77777777" w:rsidR="0017561A" w:rsidRPr="00192CCA" w:rsidRDefault="0017561A" w:rsidP="004E0520">
            <w:pPr>
              <w:rPr>
                <w:sz w:val="20"/>
                <w:szCs w:val="20"/>
              </w:rPr>
            </w:pPr>
            <w:r w:rsidRPr="00192CCA">
              <w:rPr>
                <w:sz w:val="20"/>
                <w:szCs w:val="20"/>
              </w:rPr>
              <w:t>0</w:t>
            </w:r>
            <w:r>
              <w:rPr>
                <w:sz w:val="20"/>
                <w:szCs w:val="20"/>
              </w:rPr>
              <w:t>.80</w:t>
            </w:r>
          </w:p>
        </w:tc>
        <w:tc>
          <w:tcPr>
            <w:tcW w:w="1417" w:type="dxa"/>
            <w:tcBorders>
              <w:top w:val="nil"/>
              <w:left w:val="nil"/>
              <w:bottom w:val="nil"/>
              <w:right w:val="nil"/>
            </w:tcBorders>
          </w:tcPr>
          <w:p w14:paraId="2221070D" w14:textId="77777777" w:rsidR="0017561A" w:rsidRPr="00192CCA" w:rsidRDefault="0017561A" w:rsidP="004E0520">
            <w:pPr>
              <w:rPr>
                <w:sz w:val="20"/>
                <w:szCs w:val="20"/>
              </w:rPr>
            </w:pPr>
            <w:r w:rsidRPr="00192CCA">
              <w:rPr>
                <w:sz w:val="20"/>
                <w:szCs w:val="20"/>
              </w:rPr>
              <w:t>0.</w:t>
            </w:r>
            <w:r>
              <w:rPr>
                <w:sz w:val="20"/>
                <w:szCs w:val="20"/>
              </w:rPr>
              <w:t>76</w:t>
            </w:r>
            <w:r w:rsidRPr="00192CCA">
              <w:rPr>
                <w:sz w:val="20"/>
                <w:szCs w:val="20"/>
              </w:rPr>
              <w:t xml:space="preserve"> – </w:t>
            </w:r>
            <w:r>
              <w:rPr>
                <w:sz w:val="20"/>
                <w:szCs w:val="20"/>
              </w:rPr>
              <w:t>0.85</w:t>
            </w:r>
          </w:p>
        </w:tc>
        <w:tc>
          <w:tcPr>
            <w:tcW w:w="992" w:type="dxa"/>
            <w:tcBorders>
              <w:top w:val="nil"/>
              <w:left w:val="nil"/>
              <w:bottom w:val="nil"/>
              <w:right w:val="nil"/>
            </w:tcBorders>
          </w:tcPr>
          <w:p w14:paraId="68183EAF" w14:textId="77777777" w:rsidR="0017561A" w:rsidRPr="00192CCA" w:rsidRDefault="0017561A" w:rsidP="004E0520">
            <w:pPr>
              <w:rPr>
                <w:sz w:val="20"/>
                <w:szCs w:val="20"/>
              </w:rPr>
            </w:pPr>
            <w:r w:rsidRPr="00192CCA">
              <w:rPr>
                <w:sz w:val="20"/>
                <w:szCs w:val="20"/>
              </w:rPr>
              <w:t>&lt;0.001</w:t>
            </w:r>
          </w:p>
        </w:tc>
        <w:tc>
          <w:tcPr>
            <w:tcW w:w="709" w:type="dxa"/>
            <w:tcBorders>
              <w:top w:val="nil"/>
              <w:left w:val="nil"/>
              <w:bottom w:val="nil"/>
              <w:right w:val="nil"/>
            </w:tcBorders>
          </w:tcPr>
          <w:p w14:paraId="0529ABED" w14:textId="77777777" w:rsidR="0017561A" w:rsidRPr="00192CCA" w:rsidRDefault="0017561A" w:rsidP="004E0520">
            <w:pPr>
              <w:rPr>
                <w:sz w:val="20"/>
                <w:szCs w:val="20"/>
              </w:rPr>
            </w:pPr>
            <w:r w:rsidRPr="00192CCA">
              <w:rPr>
                <w:sz w:val="20"/>
                <w:szCs w:val="20"/>
              </w:rPr>
              <w:t>0.</w:t>
            </w:r>
            <w:r>
              <w:rPr>
                <w:sz w:val="20"/>
                <w:szCs w:val="20"/>
              </w:rPr>
              <w:t>81</w:t>
            </w:r>
          </w:p>
        </w:tc>
        <w:tc>
          <w:tcPr>
            <w:tcW w:w="1418" w:type="dxa"/>
            <w:tcBorders>
              <w:top w:val="nil"/>
              <w:left w:val="nil"/>
              <w:bottom w:val="nil"/>
              <w:right w:val="nil"/>
            </w:tcBorders>
          </w:tcPr>
          <w:p w14:paraId="2AB5493D" w14:textId="77777777" w:rsidR="0017561A" w:rsidRPr="00192CCA" w:rsidRDefault="0017561A" w:rsidP="004E0520">
            <w:pPr>
              <w:rPr>
                <w:sz w:val="20"/>
                <w:szCs w:val="20"/>
              </w:rPr>
            </w:pPr>
            <w:r w:rsidRPr="00192CCA">
              <w:rPr>
                <w:sz w:val="20"/>
                <w:szCs w:val="20"/>
              </w:rPr>
              <w:t>0.</w:t>
            </w:r>
            <w:r>
              <w:rPr>
                <w:sz w:val="20"/>
                <w:szCs w:val="20"/>
              </w:rPr>
              <w:t>75</w:t>
            </w:r>
            <w:r w:rsidRPr="00192CCA">
              <w:rPr>
                <w:sz w:val="20"/>
                <w:szCs w:val="20"/>
              </w:rPr>
              <w:t xml:space="preserve"> – 0.</w:t>
            </w:r>
            <w:r>
              <w:rPr>
                <w:sz w:val="20"/>
                <w:szCs w:val="20"/>
              </w:rPr>
              <w:t>87</w:t>
            </w:r>
          </w:p>
        </w:tc>
        <w:tc>
          <w:tcPr>
            <w:tcW w:w="992" w:type="dxa"/>
            <w:tcBorders>
              <w:top w:val="nil"/>
              <w:left w:val="nil"/>
              <w:bottom w:val="nil"/>
              <w:right w:val="nil"/>
            </w:tcBorders>
          </w:tcPr>
          <w:p w14:paraId="07C76E19" w14:textId="77777777" w:rsidR="0017561A" w:rsidRPr="00192CCA" w:rsidRDefault="0017561A" w:rsidP="004E0520">
            <w:pPr>
              <w:rPr>
                <w:sz w:val="20"/>
                <w:szCs w:val="20"/>
              </w:rPr>
            </w:pPr>
            <w:r w:rsidRPr="00192CCA">
              <w:rPr>
                <w:sz w:val="20"/>
                <w:szCs w:val="20"/>
              </w:rPr>
              <w:t>&lt;0.001</w:t>
            </w:r>
          </w:p>
        </w:tc>
      </w:tr>
      <w:tr w:rsidR="0017561A" w:rsidRPr="00192CCA" w14:paraId="01264EDD"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4B740061" w14:textId="77777777" w:rsidR="0017561A" w:rsidRPr="00192CCA" w:rsidRDefault="0017561A" w:rsidP="004E0520">
            <w:pPr>
              <w:rPr>
                <w:sz w:val="20"/>
                <w:szCs w:val="20"/>
              </w:rPr>
            </w:pPr>
            <w:r w:rsidRPr="00192CCA">
              <w:rPr>
                <w:sz w:val="20"/>
                <w:szCs w:val="20"/>
              </w:rPr>
              <w:t>Missing</w:t>
            </w:r>
          </w:p>
          <w:p w14:paraId="3C3F6207" w14:textId="77777777" w:rsidR="0017561A" w:rsidRPr="00192CCA" w:rsidRDefault="0017561A" w:rsidP="004E0520">
            <w:pPr>
              <w:rPr>
                <w:sz w:val="20"/>
                <w:szCs w:val="20"/>
              </w:rPr>
            </w:pPr>
          </w:p>
        </w:tc>
        <w:tc>
          <w:tcPr>
            <w:tcW w:w="1417" w:type="dxa"/>
            <w:tcBorders>
              <w:top w:val="nil"/>
              <w:left w:val="nil"/>
              <w:bottom w:val="nil"/>
              <w:right w:val="nil"/>
            </w:tcBorders>
          </w:tcPr>
          <w:p w14:paraId="66A089BF" w14:textId="77777777" w:rsidR="0017561A" w:rsidRPr="00192CCA" w:rsidRDefault="0017561A" w:rsidP="004E0520">
            <w:pPr>
              <w:rPr>
                <w:sz w:val="20"/>
                <w:szCs w:val="20"/>
              </w:rPr>
            </w:pPr>
            <w:r>
              <w:rPr>
                <w:sz w:val="20"/>
                <w:szCs w:val="20"/>
              </w:rPr>
              <w:t>1,761 (38.35)</w:t>
            </w:r>
          </w:p>
        </w:tc>
        <w:tc>
          <w:tcPr>
            <w:tcW w:w="1418" w:type="dxa"/>
            <w:tcBorders>
              <w:top w:val="nil"/>
              <w:left w:val="nil"/>
              <w:bottom w:val="nil"/>
              <w:right w:val="nil"/>
            </w:tcBorders>
          </w:tcPr>
          <w:p w14:paraId="37D1511C" w14:textId="77777777" w:rsidR="0017561A" w:rsidRPr="00192CCA" w:rsidRDefault="0017561A" w:rsidP="004E0520">
            <w:pPr>
              <w:rPr>
                <w:sz w:val="20"/>
                <w:szCs w:val="20"/>
              </w:rPr>
            </w:pPr>
            <w:r>
              <w:rPr>
                <w:sz w:val="20"/>
                <w:szCs w:val="20"/>
              </w:rPr>
              <w:t>2,831 (61.65)</w:t>
            </w:r>
          </w:p>
        </w:tc>
        <w:tc>
          <w:tcPr>
            <w:tcW w:w="992" w:type="dxa"/>
            <w:tcBorders>
              <w:top w:val="nil"/>
              <w:left w:val="nil"/>
              <w:bottom w:val="nil"/>
              <w:right w:val="nil"/>
            </w:tcBorders>
          </w:tcPr>
          <w:p w14:paraId="74216826" w14:textId="77777777" w:rsidR="0017561A" w:rsidRPr="00192CCA" w:rsidRDefault="0017561A" w:rsidP="004E0520">
            <w:pPr>
              <w:rPr>
                <w:sz w:val="20"/>
                <w:szCs w:val="20"/>
              </w:rPr>
            </w:pPr>
          </w:p>
        </w:tc>
        <w:tc>
          <w:tcPr>
            <w:tcW w:w="709" w:type="dxa"/>
            <w:tcBorders>
              <w:top w:val="nil"/>
              <w:left w:val="nil"/>
              <w:bottom w:val="nil"/>
              <w:right w:val="nil"/>
            </w:tcBorders>
          </w:tcPr>
          <w:p w14:paraId="40A576DC" w14:textId="77777777" w:rsidR="0017561A" w:rsidRPr="00192CCA" w:rsidRDefault="0017561A" w:rsidP="004E0520">
            <w:pPr>
              <w:rPr>
                <w:sz w:val="20"/>
                <w:szCs w:val="20"/>
              </w:rPr>
            </w:pPr>
            <w:r w:rsidRPr="00192CCA">
              <w:rPr>
                <w:sz w:val="20"/>
                <w:szCs w:val="20"/>
              </w:rPr>
              <w:t>0.</w:t>
            </w:r>
            <w:r>
              <w:rPr>
                <w:sz w:val="20"/>
                <w:szCs w:val="20"/>
              </w:rPr>
              <w:t>70</w:t>
            </w:r>
          </w:p>
        </w:tc>
        <w:tc>
          <w:tcPr>
            <w:tcW w:w="1417" w:type="dxa"/>
            <w:tcBorders>
              <w:top w:val="nil"/>
              <w:left w:val="nil"/>
              <w:bottom w:val="nil"/>
              <w:right w:val="nil"/>
            </w:tcBorders>
          </w:tcPr>
          <w:p w14:paraId="26CDB5E8" w14:textId="77777777" w:rsidR="0017561A" w:rsidRPr="00192CCA" w:rsidRDefault="0017561A" w:rsidP="004E0520">
            <w:pPr>
              <w:rPr>
                <w:sz w:val="20"/>
                <w:szCs w:val="20"/>
              </w:rPr>
            </w:pPr>
            <w:r w:rsidRPr="00192CCA">
              <w:rPr>
                <w:sz w:val="20"/>
                <w:szCs w:val="20"/>
              </w:rPr>
              <w:t>0.</w:t>
            </w:r>
            <w:r>
              <w:rPr>
                <w:sz w:val="20"/>
                <w:szCs w:val="20"/>
              </w:rPr>
              <w:t>66</w:t>
            </w:r>
            <w:r w:rsidRPr="00192CCA">
              <w:rPr>
                <w:sz w:val="20"/>
                <w:szCs w:val="20"/>
              </w:rPr>
              <w:t xml:space="preserve"> – 0.</w:t>
            </w:r>
            <w:r>
              <w:rPr>
                <w:sz w:val="20"/>
                <w:szCs w:val="20"/>
              </w:rPr>
              <w:t>75</w:t>
            </w:r>
          </w:p>
        </w:tc>
        <w:tc>
          <w:tcPr>
            <w:tcW w:w="992" w:type="dxa"/>
            <w:tcBorders>
              <w:top w:val="nil"/>
              <w:left w:val="nil"/>
              <w:bottom w:val="nil"/>
              <w:right w:val="nil"/>
            </w:tcBorders>
          </w:tcPr>
          <w:p w14:paraId="3CC852E8" w14:textId="77777777" w:rsidR="0017561A" w:rsidRPr="00192CCA" w:rsidRDefault="0017561A" w:rsidP="004E0520">
            <w:pPr>
              <w:rPr>
                <w:sz w:val="20"/>
                <w:szCs w:val="20"/>
              </w:rPr>
            </w:pPr>
            <w:r w:rsidRPr="00192CCA">
              <w:rPr>
                <w:sz w:val="20"/>
                <w:szCs w:val="20"/>
              </w:rPr>
              <w:t>&lt;0.001</w:t>
            </w:r>
          </w:p>
        </w:tc>
        <w:tc>
          <w:tcPr>
            <w:tcW w:w="709" w:type="dxa"/>
            <w:tcBorders>
              <w:top w:val="nil"/>
              <w:left w:val="nil"/>
              <w:bottom w:val="nil"/>
              <w:right w:val="nil"/>
            </w:tcBorders>
          </w:tcPr>
          <w:p w14:paraId="6C216F03" w14:textId="77777777" w:rsidR="0017561A" w:rsidRPr="00192CCA" w:rsidRDefault="0017561A" w:rsidP="004E0520">
            <w:pPr>
              <w:rPr>
                <w:sz w:val="20"/>
                <w:szCs w:val="20"/>
              </w:rPr>
            </w:pPr>
            <w:r w:rsidRPr="00192CCA">
              <w:rPr>
                <w:sz w:val="20"/>
                <w:szCs w:val="20"/>
              </w:rPr>
              <w:t>0.5</w:t>
            </w:r>
            <w:r>
              <w:rPr>
                <w:sz w:val="20"/>
                <w:szCs w:val="20"/>
              </w:rPr>
              <w:t>6</w:t>
            </w:r>
          </w:p>
        </w:tc>
        <w:tc>
          <w:tcPr>
            <w:tcW w:w="1418" w:type="dxa"/>
            <w:tcBorders>
              <w:top w:val="nil"/>
              <w:left w:val="nil"/>
              <w:bottom w:val="nil"/>
              <w:right w:val="nil"/>
            </w:tcBorders>
          </w:tcPr>
          <w:p w14:paraId="59ACB309" w14:textId="77777777" w:rsidR="0017561A" w:rsidRPr="00192CCA" w:rsidRDefault="0017561A" w:rsidP="004E0520">
            <w:pPr>
              <w:rPr>
                <w:sz w:val="20"/>
                <w:szCs w:val="20"/>
              </w:rPr>
            </w:pPr>
            <w:r w:rsidRPr="00192CCA">
              <w:rPr>
                <w:sz w:val="20"/>
                <w:szCs w:val="20"/>
              </w:rPr>
              <w:t>0.</w:t>
            </w:r>
            <w:r>
              <w:rPr>
                <w:sz w:val="20"/>
                <w:szCs w:val="20"/>
              </w:rPr>
              <w:t>52</w:t>
            </w:r>
            <w:r w:rsidRPr="00192CCA">
              <w:rPr>
                <w:sz w:val="20"/>
                <w:szCs w:val="20"/>
              </w:rPr>
              <w:t xml:space="preserve"> – 0.</w:t>
            </w:r>
            <w:r>
              <w:rPr>
                <w:sz w:val="20"/>
                <w:szCs w:val="20"/>
              </w:rPr>
              <w:t>60</w:t>
            </w:r>
          </w:p>
        </w:tc>
        <w:tc>
          <w:tcPr>
            <w:tcW w:w="992" w:type="dxa"/>
            <w:tcBorders>
              <w:top w:val="nil"/>
              <w:left w:val="nil"/>
              <w:bottom w:val="nil"/>
              <w:right w:val="nil"/>
            </w:tcBorders>
          </w:tcPr>
          <w:p w14:paraId="515D3E27" w14:textId="77777777" w:rsidR="0017561A" w:rsidRPr="00192CCA" w:rsidRDefault="0017561A" w:rsidP="004E0520">
            <w:pPr>
              <w:rPr>
                <w:sz w:val="20"/>
                <w:szCs w:val="20"/>
              </w:rPr>
            </w:pPr>
            <w:r w:rsidRPr="00192CCA">
              <w:rPr>
                <w:sz w:val="20"/>
                <w:szCs w:val="20"/>
              </w:rPr>
              <w:t>&lt;0.001</w:t>
            </w:r>
          </w:p>
        </w:tc>
      </w:tr>
      <w:tr w:rsidR="0017561A" w:rsidRPr="00192CCA" w14:paraId="7BD2D45D"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35AC2EF4" w14:textId="77777777" w:rsidR="0017561A" w:rsidRPr="00192CCA" w:rsidRDefault="0017561A" w:rsidP="004E0520">
            <w:pPr>
              <w:rPr>
                <w:sz w:val="20"/>
                <w:szCs w:val="20"/>
              </w:rPr>
            </w:pPr>
            <w:r w:rsidRPr="00192CCA">
              <w:rPr>
                <w:b/>
                <w:bCs/>
                <w:sz w:val="20"/>
                <w:szCs w:val="20"/>
              </w:rPr>
              <w:t>Diagnosis Year</w:t>
            </w:r>
          </w:p>
        </w:tc>
        <w:tc>
          <w:tcPr>
            <w:tcW w:w="1417" w:type="dxa"/>
            <w:tcBorders>
              <w:top w:val="nil"/>
              <w:left w:val="nil"/>
              <w:bottom w:val="nil"/>
              <w:right w:val="nil"/>
            </w:tcBorders>
          </w:tcPr>
          <w:p w14:paraId="29922919" w14:textId="77777777" w:rsidR="0017561A" w:rsidRDefault="0017561A" w:rsidP="004E0520">
            <w:pPr>
              <w:rPr>
                <w:sz w:val="20"/>
                <w:szCs w:val="20"/>
              </w:rPr>
            </w:pPr>
          </w:p>
        </w:tc>
        <w:tc>
          <w:tcPr>
            <w:tcW w:w="1418" w:type="dxa"/>
            <w:tcBorders>
              <w:top w:val="nil"/>
              <w:left w:val="nil"/>
              <w:bottom w:val="nil"/>
              <w:right w:val="nil"/>
            </w:tcBorders>
          </w:tcPr>
          <w:p w14:paraId="673F7CF2" w14:textId="77777777" w:rsidR="0017561A" w:rsidRDefault="0017561A" w:rsidP="004E0520">
            <w:pPr>
              <w:rPr>
                <w:sz w:val="20"/>
                <w:szCs w:val="20"/>
              </w:rPr>
            </w:pPr>
          </w:p>
        </w:tc>
        <w:tc>
          <w:tcPr>
            <w:tcW w:w="992" w:type="dxa"/>
            <w:tcBorders>
              <w:top w:val="nil"/>
              <w:left w:val="nil"/>
              <w:bottom w:val="nil"/>
              <w:right w:val="nil"/>
            </w:tcBorders>
          </w:tcPr>
          <w:p w14:paraId="09A93A17" w14:textId="77777777" w:rsidR="0017561A" w:rsidRPr="00192CCA" w:rsidRDefault="0017561A" w:rsidP="004E0520">
            <w:pPr>
              <w:rPr>
                <w:sz w:val="20"/>
                <w:szCs w:val="20"/>
              </w:rPr>
            </w:pPr>
            <w:r w:rsidRPr="00192CCA">
              <w:rPr>
                <w:sz w:val="20"/>
                <w:szCs w:val="20"/>
              </w:rPr>
              <w:t>&lt;0.001</w:t>
            </w:r>
          </w:p>
        </w:tc>
        <w:tc>
          <w:tcPr>
            <w:tcW w:w="709" w:type="dxa"/>
            <w:tcBorders>
              <w:top w:val="nil"/>
              <w:left w:val="nil"/>
              <w:bottom w:val="nil"/>
              <w:right w:val="nil"/>
            </w:tcBorders>
          </w:tcPr>
          <w:p w14:paraId="3C264698" w14:textId="77777777" w:rsidR="0017561A" w:rsidRPr="00192CCA" w:rsidRDefault="0017561A" w:rsidP="004E0520">
            <w:pPr>
              <w:rPr>
                <w:sz w:val="20"/>
                <w:szCs w:val="20"/>
              </w:rPr>
            </w:pPr>
          </w:p>
        </w:tc>
        <w:tc>
          <w:tcPr>
            <w:tcW w:w="1417" w:type="dxa"/>
            <w:tcBorders>
              <w:top w:val="nil"/>
              <w:left w:val="nil"/>
              <w:bottom w:val="nil"/>
              <w:right w:val="nil"/>
            </w:tcBorders>
          </w:tcPr>
          <w:p w14:paraId="236EFE93" w14:textId="77777777" w:rsidR="0017561A" w:rsidRPr="00192CCA" w:rsidRDefault="0017561A" w:rsidP="004E0520">
            <w:pPr>
              <w:rPr>
                <w:sz w:val="20"/>
                <w:szCs w:val="20"/>
              </w:rPr>
            </w:pPr>
          </w:p>
        </w:tc>
        <w:tc>
          <w:tcPr>
            <w:tcW w:w="992" w:type="dxa"/>
            <w:tcBorders>
              <w:top w:val="nil"/>
              <w:left w:val="nil"/>
              <w:bottom w:val="nil"/>
              <w:right w:val="nil"/>
            </w:tcBorders>
          </w:tcPr>
          <w:p w14:paraId="74292092" w14:textId="77777777" w:rsidR="0017561A" w:rsidRPr="00192CCA" w:rsidRDefault="0017561A" w:rsidP="004E0520">
            <w:pPr>
              <w:rPr>
                <w:sz w:val="20"/>
                <w:szCs w:val="20"/>
              </w:rPr>
            </w:pPr>
            <w:r w:rsidRPr="00192CCA">
              <w:rPr>
                <w:b/>
                <w:bCs/>
                <w:sz w:val="20"/>
                <w:szCs w:val="20"/>
              </w:rPr>
              <w:t>&lt;0.001</w:t>
            </w:r>
          </w:p>
        </w:tc>
        <w:tc>
          <w:tcPr>
            <w:tcW w:w="709" w:type="dxa"/>
            <w:tcBorders>
              <w:top w:val="nil"/>
              <w:left w:val="nil"/>
              <w:bottom w:val="nil"/>
              <w:right w:val="nil"/>
            </w:tcBorders>
          </w:tcPr>
          <w:p w14:paraId="68D372B4" w14:textId="77777777" w:rsidR="0017561A" w:rsidRPr="00192CCA" w:rsidRDefault="0017561A" w:rsidP="004E0520">
            <w:pPr>
              <w:rPr>
                <w:sz w:val="20"/>
                <w:szCs w:val="20"/>
              </w:rPr>
            </w:pPr>
          </w:p>
        </w:tc>
        <w:tc>
          <w:tcPr>
            <w:tcW w:w="1418" w:type="dxa"/>
            <w:tcBorders>
              <w:top w:val="nil"/>
              <w:left w:val="nil"/>
              <w:bottom w:val="nil"/>
              <w:right w:val="nil"/>
            </w:tcBorders>
          </w:tcPr>
          <w:p w14:paraId="12E4525D" w14:textId="77777777" w:rsidR="0017561A" w:rsidRPr="00192CCA" w:rsidRDefault="0017561A" w:rsidP="004E0520">
            <w:pPr>
              <w:rPr>
                <w:sz w:val="20"/>
                <w:szCs w:val="20"/>
              </w:rPr>
            </w:pPr>
          </w:p>
        </w:tc>
        <w:tc>
          <w:tcPr>
            <w:tcW w:w="992" w:type="dxa"/>
            <w:tcBorders>
              <w:top w:val="nil"/>
              <w:left w:val="nil"/>
              <w:bottom w:val="nil"/>
              <w:right w:val="nil"/>
            </w:tcBorders>
          </w:tcPr>
          <w:p w14:paraId="5C386DA2" w14:textId="77777777" w:rsidR="0017561A" w:rsidRPr="00192CCA" w:rsidRDefault="0017561A" w:rsidP="004E0520">
            <w:pPr>
              <w:rPr>
                <w:sz w:val="20"/>
                <w:szCs w:val="20"/>
              </w:rPr>
            </w:pPr>
            <w:r w:rsidRPr="00192CCA">
              <w:rPr>
                <w:b/>
                <w:bCs/>
                <w:sz w:val="20"/>
                <w:szCs w:val="20"/>
              </w:rPr>
              <w:t>&lt;0.001</w:t>
            </w:r>
          </w:p>
        </w:tc>
      </w:tr>
      <w:tr w:rsidR="0017561A" w:rsidRPr="00192CCA" w14:paraId="244CD1E2"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6229DEEE" w14:textId="77777777" w:rsidR="0017561A" w:rsidRPr="00192CCA" w:rsidRDefault="0017561A" w:rsidP="004E0520">
            <w:pPr>
              <w:rPr>
                <w:sz w:val="20"/>
                <w:szCs w:val="20"/>
              </w:rPr>
            </w:pPr>
            <w:r w:rsidRPr="00192CCA">
              <w:rPr>
                <w:sz w:val="20"/>
                <w:szCs w:val="20"/>
              </w:rPr>
              <w:t>2012</w:t>
            </w:r>
          </w:p>
        </w:tc>
        <w:tc>
          <w:tcPr>
            <w:tcW w:w="1417" w:type="dxa"/>
            <w:tcBorders>
              <w:top w:val="nil"/>
              <w:left w:val="nil"/>
              <w:bottom w:val="nil"/>
              <w:right w:val="nil"/>
            </w:tcBorders>
          </w:tcPr>
          <w:p w14:paraId="7B5A46EB" w14:textId="77777777" w:rsidR="0017561A" w:rsidRDefault="0017561A" w:rsidP="004E0520">
            <w:pPr>
              <w:rPr>
                <w:sz w:val="20"/>
                <w:szCs w:val="20"/>
              </w:rPr>
            </w:pPr>
            <w:r>
              <w:rPr>
                <w:sz w:val="20"/>
                <w:szCs w:val="20"/>
              </w:rPr>
              <w:t>1,299 (34.09)</w:t>
            </w:r>
          </w:p>
        </w:tc>
        <w:tc>
          <w:tcPr>
            <w:tcW w:w="1418" w:type="dxa"/>
            <w:tcBorders>
              <w:top w:val="nil"/>
              <w:left w:val="nil"/>
              <w:bottom w:val="nil"/>
              <w:right w:val="nil"/>
            </w:tcBorders>
          </w:tcPr>
          <w:p w14:paraId="515FAC3E" w14:textId="77777777" w:rsidR="0017561A" w:rsidRDefault="0017561A" w:rsidP="004E0520">
            <w:pPr>
              <w:rPr>
                <w:sz w:val="20"/>
                <w:szCs w:val="20"/>
              </w:rPr>
            </w:pPr>
            <w:r>
              <w:rPr>
                <w:sz w:val="20"/>
                <w:szCs w:val="20"/>
              </w:rPr>
              <w:t>2,511 (65.91)</w:t>
            </w:r>
          </w:p>
        </w:tc>
        <w:tc>
          <w:tcPr>
            <w:tcW w:w="992" w:type="dxa"/>
            <w:tcBorders>
              <w:top w:val="nil"/>
              <w:left w:val="nil"/>
              <w:bottom w:val="nil"/>
              <w:right w:val="nil"/>
            </w:tcBorders>
          </w:tcPr>
          <w:p w14:paraId="5E5F9E90" w14:textId="77777777" w:rsidR="0017561A" w:rsidRPr="00192CCA" w:rsidRDefault="0017561A" w:rsidP="004E0520">
            <w:pPr>
              <w:rPr>
                <w:sz w:val="20"/>
                <w:szCs w:val="20"/>
              </w:rPr>
            </w:pPr>
          </w:p>
        </w:tc>
        <w:tc>
          <w:tcPr>
            <w:tcW w:w="709" w:type="dxa"/>
            <w:tcBorders>
              <w:top w:val="nil"/>
              <w:left w:val="nil"/>
              <w:bottom w:val="nil"/>
              <w:right w:val="nil"/>
            </w:tcBorders>
          </w:tcPr>
          <w:p w14:paraId="1552E490" w14:textId="77777777" w:rsidR="0017561A" w:rsidRPr="00192CCA" w:rsidRDefault="0017561A" w:rsidP="004E0520">
            <w:pPr>
              <w:rPr>
                <w:sz w:val="20"/>
                <w:szCs w:val="20"/>
              </w:rPr>
            </w:pPr>
            <w:r>
              <w:rPr>
                <w:sz w:val="20"/>
                <w:szCs w:val="20"/>
              </w:rPr>
              <w:t>0.65</w:t>
            </w:r>
          </w:p>
        </w:tc>
        <w:tc>
          <w:tcPr>
            <w:tcW w:w="1417" w:type="dxa"/>
            <w:tcBorders>
              <w:top w:val="nil"/>
              <w:left w:val="nil"/>
              <w:bottom w:val="nil"/>
              <w:right w:val="nil"/>
            </w:tcBorders>
          </w:tcPr>
          <w:p w14:paraId="28173185" w14:textId="77777777" w:rsidR="0017561A" w:rsidRPr="00192CCA" w:rsidRDefault="0017561A" w:rsidP="004E0520">
            <w:pPr>
              <w:rPr>
                <w:sz w:val="20"/>
                <w:szCs w:val="20"/>
              </w:rPr>
            </w:pPr>
            <w:r w:rsidRPr="00192CCA">
              <w:rPr>
                <w:sz w:val="20"/>
                <w:szCs w:val="20"/>
              </w:rPr>
              <w:t>0.</w:t>
            </w:r>
            <w:r>
              <w:rPr>
                <w:sz w:val="20"/>
                <w:szCs w:val="20"/>
              </w:rPr>
              <w:t>60</w:t>
            </w:r>
            <w:r w:rsidRPr="00192CCA">
              <w:rPr>
                <w:sz w:val="20"/>
                <w:szCs w:val="20"/>
              </w:rPr>
              <w:t xml:space="preserve"> – 0.</w:t>
            </w:r>
            <w:r>
              <w:rPr>
                <w:sz w:val="20"/>
                <w:szCs w:val="20"/>
              </w:rPr>
              <w:t>71</w:t>
            </w:r>
          </w:p>
        </w:tc>
        <w:tc>
          <w:tcPr>
            <w:tcW w:w="992" w:type="dxa"/>
            <w:tcBorders>
              <w:top w:val="nil"/>
              <w:left w:val="nil"/>
              <w:bottom w:val="nil"/>
              <w:right w:val="nil"/>
            </w:tcBorders>
          </w:tcPr>
          <w:p w14:paraId="1CD3808D" w14:textId="77777777" w:rsidR="0017561A" w:rsidRPr="00192CCA" w:rsidRDefault="0017561A" w:rsidP="004E0520">
            <w:pPr>
              <w:rPr>
                <w:sz w:val="20"/>
                <w:szCs w:val="20"/>
              </w:rPr>
            </w:pPr>
            <w:r w:rsidRPr="00192CCA">
              <w:rPr>
                <w:sz w:val="20"/>
                <w:szCs w:val="20"/>
              </w:rPr>
              <w:t>&lt;0.001</w:t>
            </w:r>
          </w:p>
        </w:tc>
        <w:tc>
          <w:tcPr>
            <w:tcW w:w="709" w:type="dxa"/>
            <w:tcBorders>
              <w:top w:val="nil"/>
              <w:left w:val="nil"/>
              <w:bottom w:val="nil"/>
              <w:right w:val="nil"/>
            </w:tcBorders>
          </w:tcPr>
          <w:p w14:paraId="78F774C4" w14:textId="77777777" w:rsidR="0017561A" w:rsidRPr="00192CCA" w:rsidRDefault="0017561A" w:rsidP="004E0520">
            <w:pPr>
              <w:rPr>
                <w:sz w:val="20"/>
                <w:szCs w:val="20"/>
              </w:rPr>
            </w:pPr>
            <w:r w:rsidRPr="00192CCA">
              <w:rPr>
                <w:sz w:val="20"/>
                <w:szCs w:val="20"/>
              </w:rPr>
              <w:t>0.</w:t>
            </w:r>
            <w:r>
              <w:rPr>
                <w:sz w:val="20"/>
                <w:szCs w:val="20"/>
              </w:rPr>
              <w:t>50</w:t>
            </w:r>
          </w:p>
        </w:tc>
        <w:tc>
          <w:tcPr>
            <w:tcW w:w="1418" w:type="dxa"/>
            <w:tcBorders>
              <w:top w:val="nil"/>
              <w:left w:val="nil"/>
              <w:bottom w:val="nil"/>
              <w:right w:val="nil"/>
            </w:tcBorders>
          </w:tcPr>
          <w:p w14:paraId="48477159" w14:textId="77777777" w:rsidR="0017561A" w:rsidRPr="00192CCA" w:rsidRDefault="0017561A" w:rsidP="004E0520">
            <w:pPr>
              <w:rPr>
                <w:sz w:val="20"/>
                <w:szCs w:val="20"/>
              </w:rPr>
            </w:pPr>
            <w:r w:rsidRPr="00192CCA">
              <w:rPr>
                <w:sz w:val="20"/>
                <w:szCs w:val="20"/>
              </w:rPr>
              <w:t>0.</w:t>
            </w:r>
            <w:r>
              <w:rPr>
                <w:sz w:val="20"/>
                <w:szCs w:val="20"/>
              </w:rPr>
              <w:t xml:space="preserve">46 </w:t>
            </w:r>
            <w:r w:rsidRPr="00192CCA">
              <w:rPr>
                <w:sz w:val="20"/>
                <w:szCs w:val="20"/>
              </w:rPr>
              <w:t>– 0.</w:t>
            </w:r>
            <w:r>
              <w:rPr>
                <w:sz w:val="20"/>
                <w:szCs w:val="20"/>
              </w:rPr>
              <w:t>55</w:t>
            </w:r>
          </w:p>
        </w:tc>
        <w:tc>
          <w:tcPr>
            <w:tcW w:w="992" w:type="dxa"/>
            <w:tcBorders>
              <w:top w:val="nil"/>
              <w:left w:val="nil"/>
              <w:bottom w:val="nil"/>
              <w:right w:val="nil"/>
            </w:tcBorders>
          </w:tcPr>
          <w:p w14:paraId="77D43D9E" w14:textId="77777777" w:rsidR="0017561A" w:rsidRPr="00192CCA" w:rsidRDefault="0017561A" w:rsidP="004E0520">
            <w:pPr>
              <w:rPr>
                <w:sz w:val="20"/>
                <w:szCs w:val="20"/>
              </w:rPr>
            </w:pPr>
            <w:r w:rsidRPr="00192CCA">
              <w:rPr>
                <w:sz w:val="20"/>
                <w:szCs w:val="20"/>
              </w:rPr>
              <w:t>&lt;0.001</w:t>
            </w:r>
          </w:p>
        </w:tc>
      </w:tr>
      <w:tr w:rsidR="0017561A" w:rsidRPr="00192CCA" w14:paraId="5DA6E29E"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321C8BC4" w14:textId="77777777" w:rsidR="0017561A" w:rsidRPr="00192CCA" w:rsidRDefault="0017561A" w:rsidP="004E0520">
            <w:pPr>
              <w:rPr>
                <w:sz w:val="20"/>
                <w:szCs w:val="20"/>
              </w:rPr>
            </w:pPr>
            <w:r w:rsidRPr="00192CCA">
              <w:rPr>
                <w:sz w:val="20"/>
                <w:szCs w:val="20"/>
              </w:rPr>
              <w:t>2013</w:t>
            </w:r>
          </w:p>
        </w:tc>
        <w:tc>
          <w:tcPr>
            <w:tcW w:w="1417" w:type="dxa"/>
            <w:tcBorders>
              <w:top w:val="nil"/>
              <w:left w:val="nil"/>
              <w:bottom w:val="nil"/>
              <w:right w:val="nil"/>
            </w:tcBorders>
          </w:tcPr>
          <w:p w14:paraId="0C2AAEAE" w14:textId="77777777" w:rsidR="0017561A" w:rsidRDefault="0017561A" w:rsidP="004E0520">
            <w:pPr>
              <w:rPr>
                <w:sz w:val="20"/>
                <w:szCs w:val="20"/>
              </w:rPr>
            </w:pPr>
            <w:r>
              <w:rPr>
                <w:sz w:val="20"/>
                <w:szCs w:val="20"/>
              </w:rPr>
              <w:t>2,155 (46.46)</w:t>
            </w:r>
          </w:p>
        </w:tc>
        <w:tc>
          <w:tcPr>
            <w:tcW w:w="1418" w:type="dxa"/>
            <w:tcBorders>
              <w:top w:val="nil"/>
              <w:left w:val="nil"/>
              <w:bottom w:val="nil"/>
              <w:right w:val="nil"/>
            </w:tcBorders>
          </w:tcPr>
          <w:p w14:paraId="5C7BFFD5" w14:textId="77777777" w:rsidR="0017561A" w:rsidRDefault="0017561A" w:rsidP="004E0520">
            <w:pPr>
              <w:rPr>
                <w:sz w:val="20"/>
                <w:szCs w:val="20"/>
              </w:rPr>
            </w:pPr>
            <w:r>
              <w:rPr>
                <w:sz w:val="20"/>
                <w:szCs w:val="20"/>
              </w:rPr>
              <w:t>2,483 (53.54)</w:t>
            </w:r>
          </w:p>
        </w:tc>
        <w:tc>
          <w:tcPr>
            <w:tcW w:w="992" w:type="dxa"/>
            <w:tcBorders>
              <w:top w:val="nil"/>
              <w:left w:val="nil"/>
              <w:bottom w:val="nil"/>
              <w:right w:val="nil"/>
            </w:tcBorders>
          </w:tcPr>
          <w:p w14:paraId="1C12782E" w14:textId="77777777" w:rsidR="0017561A" w:rsidRPr="00192CCA" w:rsidRDefault="0017561A" w:rsidP="004E0520">
            <w:pPr>
              <w:rPr>
                <w:sz w:val="20"/>
                <w:szCs w:val="20"/>
              </w:rPr>
            </w:pPr>
          </w:p>
        </w:tc>
        <w:tc>
          <w:tcPr>
            <w:tcW w:w="709" w:type="dxa"/>
            <w:tcBorders>
              <w:top w:val="nil"/>
              <w:left w:val="nil"/>
              <w:bottom w:val="nil"/>
              <w:right w:val="nil"/>
            </w:tcBorders>
          </w:tcPr>
          <w:p w14:paraId="0B994279" w14:textId="77777777" w:rsidR="0017561A" w:rsidRPr="00192CCA" w:rsidRDefault="0017561A" w:rsidP="004E0520">
            <w:pPr>
              <w:rPr>
                <w:sz w:val="20"/>
                <w:szCs w:val="20"/>
              </w:rPr>
            </w:pPr>
            <w:r>
              <w:rPr>
                <w:sz w:val="20"/>
                <w:szCs w:val="20"/>
              </w:rPr>
              <w:t>1.10</w:t>
            </w:r>
          </w:p>
        </w:tc>
        <w:tc>
          <w:tcPr>
            <w:tcW w:w="1417" w:type="dxa"/>
            <w:tcBorders>
              <w:top w:val="nil"/>
              <w:left w:val="nil"/>
              <w:bottom w:val="nil"/>
              <w:right w:val="nil"/>
            </w:tcBorders>
          </w:tcPr>
          <w:p w14:paraId="1197D38F" w14:textId="77777777" w:rsidR="0017561A" w:rsidRPr="00192CCA" w:rsidRDefault="0017561A" w:rsidP="004E0520">
            <w:pPr>
              <w:rPr>
                <w:sz w:val="20"/>
                <w:szCs w:val="20"/>
              </w:rPr>
            </w:pPr>
            <w:r>
              <w:rPr>
                <w:sz w:val="20"/>
                <w:szCs w:val="20"/>
              </w:rPr>
              <w:t>1.02</w:t>
            </w:r>
            <w:r w:rsidRPr="00192CCA">
              <w:rPr>
                <w:sz w:val="20"/>
                <w:szCs w:val="20"/>
              </w:rPr>
              <w:t xml:space="preserve"> – </w:t>
            </w:r>
            <w:r>
              <w:rPr>
                <w:sz w:val="20"/>
                <w:szCs w:val="20"/>
              </w:rPr>
              <w:t>1.18</w:t>
            </w:r>
          </w:p>
        </w:tc>
        <w:tc>
          <w:tcPr>
            <w:tcW w:w="992" w:type="dxa"/>
            <w:tcBorders>
              <w:top w:val="nil"/>
              <w:left w:val="nil"/>
              <w:bottom w:val="nil"/>
              <w:right w:val="nil"/>
            </w:tcBorders>
          </w:tcPr>
          <w:p w14:paraId="089BBFE3" w14:textId="77777777" w:rsidR="0017561A" w:rsidRPr="00192CCA" w:rsidRDefault="0017561A" w:rsidP="004E0520">
            <w:pPr>
              <w:rPr>
                <w:sz w:val="20"/>
                <w:szCs w:val="20"/>
              </w:rPr>
            </w:pPr>
            <w:r>
              <w:rPr>
                <w:sz w:val="20"/>
                <w:szCs w:val="20"/>
              </w:rPr>
              <w:t xml:space="preserve">  </w:t>
            </w:r>
            <w:r w:rsidRPr="00192CCA">
              <w:rPr>
                <w:sz w:val="20"/>
                <w:szCs w:val="20"/>
              </w:rPr>
              <w:t>0.01</w:t>
            </w:r>
            <w:r>
              <w:rPr>
                <w:sz w:val="20"/>
                <w:szCs w:val="20"/>
              </w:rPr>
              <w:t>3</w:t>
            </w:r>
          </w:p>
        </w:tc>
        <w:tc>
          <w:tcPr>
            <w:tcW w:w="709" w:type="dxa"/>
            <w:tcBorders>
              <w:top w:val="nil"/>
              <w:left w:val="nil"/>
              <w:bottom w:val="nil"/>
              <w:right w:val="nil"/>
            </w:tcBorders>
          </w:tcPr>
          <w:p w14:paraId="5A1D1E03" w14:textId="77777777" w:rsidR="0017561A" w:rsidRPr="00192CCA" w:rsidRDefault="0017561A" w:rsidP="004E0520">
            <w:pPr>
              <w:rPr>
                <w:sz w:val="20"/>
                <w:szCs w:val="20"/>
              </w:rPr>
            </w:pPr>
            <w:r w:rsidRPr="00192CCA">
              <w:rPr>
                <w:sz w:val="20"/>
                <w:szCs w:val="20"/>
              </w:rPr>
              <w:t>0.</w:t>
            </w:r>
            <w:r>
              <w:rPr>
                <w:sz w:val="20"/>
                <w:szCs w:val="20"/>
              </w:rPr>
              <w:t>94</w:t>
            </w:r>
          </w:p>
        </w:tc>
        <w:tc>
          <w:tcPr>
            <w:tcW w:w="1418" w:type="dxa"/>
            <w:tcBorders>
              <w:top w:val="nil"/>
              <w:left w:val="nil"/>
              <w:bottom w:val="nil"/>
              <w:right w:val="nil"/>
            </w:tcBorders>
          </w:tcPr>
          <w:p w14:paraId="2A153BEC" w14:textId="77777777" w:rsidR="0017561A" w:rsidRPr="00192CCA" w:rsidRDefault="0017561A" w:rsidP="004E0520">
            <w:pPr>
              <w:rPr>
                <w:sz w:val="20"/>
                <w:szCs w:val="20"/>
              </w:rPr>
            </w:pPr>
            <w:r w:rsidRPr="00192CCA">
              <w:rPr>
                <w:sz w:val="20"/>
                <w:szCs w:val="20"/>
              </w:rPr>
              <w:t>0.</w:t>
            </w:r>
            <w:r>
              <w:rPr>
                <w:sz w:val="20"/>
                <w:szCs w:val="20"/>
              </w:rPr>
              <w:t>86</w:t>
            </w:r>
            <w:r w:rsidRPr="00192CCA">
              <w:rPr>
                <w:sz w:val="20"/>
                <w:szCs w:val="20"/>
              </w:rPr>
              <w:t xml:space="preserve"> – </w:t>
            </w:r>
            <w:r>
              <w:rPr>
                <w:sz w:val="20"/>
                <w:szCs w:val="20"/>
              </w:rPr>
              <w:t>1.02</w:t>
            </w:r>
          </w:p>
        </w:tc>
        <w:tc>
          <w:tcPr>
            <w:tcW w:w="992" w:type="dxa"/>
            <w:tcBorders>
              <w:top w:val="nil"/>
              <w:left w:val="nil"/>
              <w:bottom w:val="nil"/>
              <w:right w:val="nil"/>
            </w:tcBorders>
          </w:tcPr>
          <w:p w14:paraId="0BA8969E" w14:textId="77777777" w:rsidR="0017561A" w:rsidRPr="00192CCA" w:rsidRDefault="0017561A" w:rsidP="004E0520">
            <w:pPr>
              <w:rPr>
                <w:sz w:val="20"/>
                <w:szCs w:val="20"/>
              </w:rPr>
            </w:pPr>
            <w:r>
              <w:rPr>
                <w:sz w:val="20"/>
                <w:szCs w:val="20"/>
              </w:rPr>
              <w:t xml:space="preserve">  0.128</w:t>
            </w:r>
          </w:p>
        </w:tc>
      </w:tr>
      <w:tr w:rsidR="0017561A" w:rsidRPr="00192CCA" w14:paraId="59F6B7AC"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6650C294" w14:textId="77777777" w:rsidR="0017561A" w:rsidRPr="00192CCA" w:rsidRDefault="0017561A" w:rsidP="004E0520">
            <w:pPr>
              <w:rPr>
                <w:sz w:val="20"/>
                <w:szCs w:val="20"/>
              </w:rPr>
            </w:pPr>
            <w:r w:rsidRPr="00192CCA">
              <w:rPr>
                <w:sz w:val="20"/>
                <w:szCs w:val="20"/>
              </w:rPr>
              <w:t>2014</w:t>
            </w:r>
          </w:p>
        </w:tc>
        <w:tc>
          <w:tcPr>
            <w:tcW w:w="1417" w:type="dxa"/>
            <w:tcBorders>
              <w:top w:val="nil"/>
              <w:left w:val="nil"/>
              <w:bottom w:val="nil"/>
              <w:right w:val="nil"/>
            </w:tcBorders>
          </w:tcPr>
          <w:p w14:paraId="43459948" w14:textId="77777777" w:rsidR="0017561A" w:rsidRDefault="0017561A" w:rsidP="004E0520">
            <w:pPr>
              <w:rPr>
                <w:sz w:val="20"/>
                <w:szCs w:val="20"/>
              </w:rPr>
            </w:pPr>
            <w:r>
              <w:rPr>
                <w:sz w:val="20"/>
                <w:szCs w:val="20"/>
              </w:rPr>
              <w:t>2,521 (47.34)</w:t>
            </w:r>
          </w:p>
        </w:tc>
        <w:tc>
          <w:tcPr>
            <w:tcW w:w="1418" w:type="dxa"/>
            <w:tcBorders>
              <w:top w:val="nil"/>
              <w:left w:val="nil"/>
              <w:bottom w:val="nil"/>
              <w:right w:val="nil"/>
            </w:tcBorders>
          </w:tcPr>
          <w:p w14:paraId="6016401D" w14:textId="77777777" w:rsidR="0017561A" w:rsidRDefault="0017561A" w:rsidP="004E0520">
            <w:pPr>
              <w:rPr>
                <w:sz w:val="20"/>
                <w:szCs w:val="20"/>
              </w:rPr>
            </w:pPr>
            <w:r>
              <w:rPr>
                <w:sz w:val="20"/>
                <w:szCs w:val="20"/>
              </w:rPr>
              <w:t>2,804 (52.66)</w:t>
            </w:r>
          </w:p>
        </w:tc>
        <w:tc>
          <w:tcPr>
            <w:tcW w:w="992" w:type="dxa"/>
            <w:tcBorders>
              <w:top w:val="nil"/>
              <w:left w:val="nil"/>
              <w:bottom w:val="nil"/>
              <w:right w:val="nil"/>
            </w:tcBorders>
          </w:tcPr>
          <w:p w14:paraId="50A67406" w14:textId="77777777" w:rsidR="0017561A" w:rsidRPr="00192CCA" w:rsidRDefault="0017561A" w:rsidP="004E0520">
            <w:pPr>
              <w:rPr>
                <w:sz w:val="20"/>
                <w:szCs w:val="20"/>
              </w:rPr>
            </w:pPr>
          </w:p>
        </w:tc>
        <w:tc>
          <w:tcPr>
            <w:tcW w:w="709" w:type="dxa"/>
            <w:tcBorders>
              <w:top w:val="nil"/>
              <w:left w:val="nil"/>
              <w:bottom w:val="nil"/>
              <w:right w:val="nil"/>
            </w:tcBorders>
          </w:tcPr>
          <w:p w14:paraId="1CBDDBB4" w14:textId="77777777" w:rsidR="0017561A" w:rsidRPr="00192CCA" w:rsidRDefault="0017561A" w:rsidP="004E0520">
            <w:pPr>
              <w:rPr>
                <w:sz w:val="20"/>
                <w:szCs w:val="20"/>
              </w:rPr>
            </w:pPr>
            <w:r>
              <w:rPr>
                <w:sz w:val="20"/>
                <w:szCs w:val="20"/>
              </w:rPr>
              <w:t>1.14</w:t>
            </w:r>
          </w:p>
        </w:tc>
        <w:tc>
          <w:tcPr>
            <w:tcW w:w="1417" w:type="dxa"/>
            <w:tcBorders>
              <w:top w:val="nil"/>
              <w:left w:val="nil"/>
              <w:bottom w:val="nil"/>
              <w:right w:val="nil"/>
            </w:tcBorders>
          </w:tcPr>
          <w:p w14:paraId="3AA253D8" w14:textId="77777777" w:rsidR="0017561A" w:rsidRPr="00192CCA" w:rsidRDefault="0017561A" w:rsidP="004E0520">
            <w:pPr>
              <w:rPr>
                <w:sz w:val="20"/>
                <w:szCs w:val="20"/>
              </w:rPr>
            </w:pPr>
            <w:r>
              <w:rPr>
                <w:sz w:val="20"/>
                <w:szCs w:val="20"/>
              </w:rPr>
              <w:t>1.06</w:t>
            </w:r>
            <w:r w:rsidRPr="00192CCA">
              <w:rPr>
                <w:sz w:val="20"/>
                <w:szCs w:val="20"/>
              </w:rPr>
              <w:t xml:space="preserve"> – </w:t>
            </w:r>
            <w:r>
              <w:rPr>
                <w:sz w:val="20"/>
                <w:szCs w:val="20"/>
              </w:rPr>
              <w:t>1.22</w:t>
            </w:r>
          </w:p>
        </w:tc>
        <w:tc>
          <w:tcPr>
            <w:tcW w:w="992" w:type="dxa"/>
            <w:tcBorders>
              <w:top w:val="nil"/>
              <w:left w:val="nil"/>
              <w:bottom w:val="nil"/>
              <w:right w:val="nil"/>
            </w:tcBorders>
          </w:tcPr>
          <w:p w14:paraId="00775BF1" w14:textId="77777777" w:rsidR="0017561A" w:rsidRPr="00192CCA" w:rsidRDefault="0017561A" w:rsidP="004E0520">
            <w:pPr>
              <w:rPr>
                <w:sz w:val="20"/>
                <w:szCs w:val="20"/>
              </w:rPr>
            </w:pPr>
            <w:r w:rsidRPr="00192CCA">
              <w:rPr>
                <w:sz w:val="20"/>
                <w:szCs w:val="20"/>
              </w:rPr>
              <w:t>&lt;0.001</w:t>
            </w:r>
          </w:p>
        </w:tc>
        <w:tc>
          <w:tcPr>
            <w:tcW w:w="709" w:type="dxa"/>
            <w:tcBorders>
              <w:top w:val="nil"/>
              <w:left w:val="nil"/>
              <w:bottom w:val="nil"/>
              <w:right w:val="nil"/>
            </w:tcBorders>
          </w:tcPr>
          <w:p w14:paraId="7E0ED130" w14:textId="77777777" w:rsidR="0017561A" w:rsidRPr="00192CCA" w:rsidRDefault="0017561A" w:rsidP="004E0520">
            <w:pPr>
              <w:rPr>
                <w:sz w:val="20"/>
                <w:szCs w:val="20"/>
              </w:rPr>
            </w:pPr>
            <w:r>
              <w:rPr>
                <w:sz w:val="20"/>
                <w:szCs w:val="20"/>
              </w:rPr>
              <w:t>1.04</w:t>
            </w:r>
          </w:p>
        </w:tc>
        <w:tc>
          <w:tcPr>
            <w:tcW w:w="1418" w:type="dxa"/>
            <w:tcBorders>
              <w:top w:val="nil"/>
              <w:left w:val="nil"/>
              <w:bottom w:val="nil"/>
              <w:right w:val="nil"/>
            </w:tcBorders>
          </w:tcPr>
          <w:p w14:paraId="197C17D3" w14:textId="77777777" w:rsidR="0017561A" w:rsidRPr="00192CCA" w:rsidRDefault="0017561A" w:rsidP="004E0520">
            <w:pPr>
              <w:rPr>
                <w:sz w:val="20"/>
                <w:szCs w:val="20"/>
              </w:rPr>
            </w:pPr>
            <w:r w:rsidRPr="00192CCA">
              <w:rPr>
                <w:sz w:val="20"/>
                <w:szCs w:val="20"/>
              </w:rPr>
              <w:t>0.</w:t>
            </w:r>
            <w:r>
              <w:rPr>
                <w:sz w:val="20"/>
                <w:szCs w:val="20"/>
              </w:rPr>
              <w:t>96</w:t>
            </w:r>
            <w:r w:rsidRPr="00192CCA">
              <w:rPr>
                <w:sz w:val="20"/>
                <w:szCs w:val="20"/>
              </w:rPr>
              <w:t xml:space="preserve"> – </w:t>
            </w:r>
            <w:r>
              <w:rPr>
                <w:sz w:val="20"/>
                <w:szCs w:val="20"/>
              </w:rPr>
              <w:t>1.13</w:t>
            </w:r>
          </w:p>
        </w:tc>
        <w:tc>
          <w:tcPr>
            <w:tcW w:w="992" w:type="dxa"/>
            <w:tcBorders>
              <w:top w:val="nil"/>
              <w:left w:val="nil"/>
              <w:bottom w:val="nil"/>
              <w:right w:val="nil"/>
            </w:tcBorders>
          </w:tcPr>
          <w:p w14:paraId="48AAC28F"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300</w:t>
            </w:r>
          </w:p>
        </w:tc>
      </w:tr>
      <w:tr w:rsidR="0017561A" w:rsidRPr="00192CCA" w14:paraId="260691B7"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68F12583" w14:textId="77777777" w:rsidR="0017561A" w:rsidRPr="00192CCA" w:rsidRDefault="0017561A" w:rsidP="004E0520">
            <w:pPr>
              <w:rPr>
                <w:sz w:val="20"/>
                <w:szCs w:val="20"/>
              </w:rPr>
            </w:pPr>
            <w:r w:rsidRPr="00192CCA">
              <w:rPr>
                <w:sz w:val="20"/>
                <w:szCs w:val="20"/>
              </w:rPr>
              <w:t>2015</w:t>
            </w:r>
          </w:p>
        </w:tc>
        <w:tc>
          <w:tcPr>
            <w:tcW w:w="1417" w:type="dxa"/>
            <w:tcBorders>
              <w:top w:val="nil"/>
              <w:left w:val="nil"/>
              <w:bottom w:val="nil"/>
              <w:right w:val="nil"/>
            </w:tcBorders>
          </w:tcPr>
          <w:p w14:paraId="0638FF3D" w14:textId="77777777" w:rsidR="0017561A" w:rsidRDefault="0017561A" w:rsidP="004E0520">
            <w:pPr>
              <w:rPr>
                <w:sz w:val="20"/>
                <w:szCs w:val="20"/>
              </w:rPr>
            </w:pPr>
            <w:r>
              <w:rPr>
                <w:sz w:val="20"/>
                <w:szCs w:val="20"/>
              </w:rPr>
              <w:t>2,892 (47.07)</w:t>
            </w:r>
          </w:p>
        </w:tc>
        <w:tc>
          <w:tcPr>
            <w:tcW w:w="1418" w:type="dxa"/>
            <w:tcBorders>
              <w:top w:val="nil"/>
              <w:left w:val="nil"/>
              <w:bottom w:val="nil"/>
              <w:right w:val="nil"/>
            </w:tcBorders>
          </w:tcPr>
          <w:p w14:paraId="53A4892C" w14:textId="77777777" w:rsidR="0017561A" w:rsidRDefault="0017561A" w:rsidP="004E0520">
            <w:pPr>
              <w:rPr>
                <w:sz w:val="20"/>
                <w:szCs w:val="20"/>
              </w:rPr>
            </w:pPr>
            <w:r>
              <w:rPr>
                <w:sz w:val="20"/>
                <w:szCs w:val="20"/>
              </w:rPr>
              <w:t>3,252 (52.93)</w:t>
            </w:r>
          </w:p>
        </w:tc>
        <w:tc>
          <w:tcPr>
            <w:tcW w:w="992" w:type="dxa"/>
            <w:tcBorders>
              <w:top w:val="nil"/>
              <w:left w:val="nil"/>
              <w:bottom w:val="nil"/>
              <w:right w:val="nil"/>
            </w:tcBorders>
          </w:tcPr>
          <w:p w14:paraId="6A2F37CC" w14:textId="77777777" w:rsidR="0017561A" w:rsidRPr="00192CCA" w:rsidRDefault="0017561A" w:rsidP="004E0520">
            <w:pPr>
              <w:rPr>
                <w:sz w:val="20"/>
                <w:szCs w:val="20"/>
              </w:rPr>
            </w:pPr>
          </w:p>
        </w:tc>
        <w:tc>
          <w:tcPr>
            <w:tcW w:w="709" w:type="dxa"/>
            <w:tcBorders>
              <w:top w:val="nil"/>
              <w:left w:val="nil"/>
              <w:bottom w:val="nil"/>
              <w:right w:val="nil"/>
            </w:tcBorders>
          </w:tcPr>
          <w:p w14:paraId="307C6CA5" w14:textId="77777777" w:rsidR="0017561A" w:rsidRPr="00192CCA" w:rsidRDefault="0017561A" w:rsidP="004E0520">
            <w:pPr>
              <w:rPr>
                <w:sz w:val="20"/>
                <w:szCs w:val="20"/>
              </w:rPr>
            </w:pPr>
            <w:r>
              <w:rPr>
                <w:sz w:val="20"/>
                <w:szCs w:val="20"/>
              </w:rPr>
              <w:t>1.12</w:t>
            </w:r>
          </w:p>
        </w:tc>
        <w:tc>
          <w:tcPr>
            <w:tcW w:w="1417" w:type="dxa"/>
            <w:tcBorders>
              <w:top w:val="nil"/>
              <w:left w:val="nil"/>
              <w:bottom w:val="nil"/>
              <w:right w:val="nil"/>
            </w:tcBorders>
          </w:tcPr>
          <w:p w14:paraId="3060C01F" w14:textId="77777777" w:rsidR="0017561A" w:rsidRPr="00192CCA" w:rsidRDefault="0017561A" w:rsidP="004E0520">
            <w:pPr>
              <w:rPr>
                <w:sz w:val="20"/>
                <w:szCs w:val="20"/>
              </w:rPr>
            </w:pPr>
            <w:r>
              <w:rPr>
                <w:sz w:val="20"/>
                <w:szCs w:val="20"/>
              </w:rPr>
              <w:t>1.05</w:t>
            </w:r>
            <w:r w:rsidRPr="00192CCA">
              <w:rPr>
                <w:sz w:val="20"/>
                <w:szCs w:val="20"/>
              </w:rPr>
              <w:t xml:space="preserve"> – </w:t>
            </w:r>
            <w:r>
              <w:rPr>
                <w:sz w:val="20"/>
                <w:szCs w:val="20"/>
              </w:rPr>
              <w:t>1.20</w:t>
            </w:r>
          </w:p>
        </w:tc>
        <w:tc>
          <w:tcPr>
            <w:tcW w:w="992" w:type="dxa"/>
            <w:tcBorders>
              <w:top w:val="nil"/>
              <w:left w:val="nil"/>
              <w:bottom w:val="nil"/>
              <w:right w:val="nil"/>
            </w:tcBorders>
          </w:tcPr>
          <w:p w14:paraId="0AB7385C" w14:textId="77777777" w:rsidR="0017561A" w:rsidRPr="00192CCA" w:rsidRDefault="0017561A" w:rsidP="004E0520">
            <w:pPr>
              <w:rPr>
                <w:sz w:val="20"/>
                <w:szCs w:val="20"/>
              </w:rPr>
            </w:pPr>
            <w:r>
              <w:rPr>
                <w:sz w:val="20"/>
                <w:szCs w:val="20"/>
              </w:rPr>
              <w:t xml:space="preserve">  </w:t>
            </w:r>
            <w:r w:rsidRPr="00192CCA">
              <w:rPr>
                <w:sz w:val="20"/>
                <w:szCs w:val="20"/>
              </w:rPr>
              <w:t>0.001</w:t>
            </w:r>
          </w:p>
        </w:tc>
        <w:tc>
          <w:tcPr>
            <w:tcW w:w="709" w:type="dxa"/>
            <w:tcBorders>
              <w:top w:val="nil"/>
              <w:left w:val="nil"/>
              <w:bottom w:val="nil"/>
              <w:right w:val="nil"/>
            </w:tcBorders>
          </w:tcPr>
          <w:p w14:paraId="31F9E5C2" w14:textId="77777777" w:rsidR="0017561A" w:rsidRPr="00192CCA" w:rsidRDefault="0017561A" w:rsidP="004E0520">
            <w:pPr>
              <w:rPr>
                <w:sz w:val="20"/>
                <w:szCs w:val="20"/>
              </w:rPr>
            </w:pPr>
            <w:r>
              <w:rPr>
                <w:sz w:val="20"/>
                <w:szCs w:val="20"/>
              </w:rPr>
              <w:t>1.10</w:t>
            </w:r>
          </w:p>
        </w:tc>
        <w:tc>
          <w:tcPr>
            <w:tcW w:w="1418" w:type="dxa"/>
            <w:tcBorders>
              <w:top w:val="nil"/>
              <w:left w:val="nil"/>
              <w:bottom w:val="nil"/>
              <w:right w:val="nil"/>
            </w:tcBorders>
          </w:tcPr>
          <w:p w14:paraId="5AF01020" w14:textId="77777777" w:rsidR="0017561A" w:rsidRPr="00192CCA" w:rsidRDefault="0017561A" w:rsidP="004E0520">
            <w:pPr>
              <w:rPr>
                <w:sz w:val="20"/>
                <w:szCs w:val="20"/>
              </w:rPr>
            </w:pPr>
            <w:r>
              <w:rPr>
                <w:sz w:val="20"/>
                <w:szCs w:val="20"/>
              </w:rPr>
              <w:t>1.02</w:t>
            </w:r>
            <w:r w:rsidRPr="00192CCA">
              <w:rPr>
                <w:sz w:val="20"/>
                <w:szCs w:val="20"/>
              </w:rPr>
              <w:t xml:space="preserve"> – 1.</w:t>
            </w:r>
            <w:r>
              <w:rPr>
                <w:sz w:val="20"/>
                <w:szCs w:val="20"/>
              </w:rPr>
              <w:t>19</w:t>
            </w:r>
          </w:p>
        </w:tc>
        <w:tc>
          <w:tcPr>
            <w:tcW w:w="992" w:type="dxa"/>
            <w:tcBorders>
              <w:top w:val="nil"/>
              <w:left w:val="nil"/>
              <w:bottom w:val="nil"/>
              <w:right w:val="nil"/>
            </w:tcBorders>
          </w:tcPr>
          <w:p w14:paraId="46A794DC"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012</w:t>
            </w:r>
          </w:p>
        </w:tc>
      </w:tr>
      <w:tr w:rsidR="0017561A" w:rsidRPr="00192CCA" w14:paraId="58F641F9"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6510F27E" w14:textId="77777777" w:rsidR="0017561A" w:rsidRPr="00192CCA" w:rsidRDefault="0017561A" w:rsidP="004E0520">
            <w:pPr>
              <w:rPr>
                <w:sz w:val="20"/>
                <w:szCs w:val="20"/>
              </w:rPr>
            </w:pPr>
            <w:r w:rsidRPr="00192CCA">
              <w:rPr>
                <w:sz w:val="20"/>
                <w:szCs w:val="20"/>
              </w:rPr>
              <w:t>2016</w:t>
            </w:r>
          </w:p>
        </w:tc>
        <w:tc>
          <w:tcPr>
            <w:tcW w:w="1417" w:type="dxa"/>
            <w:tcBorders>
              <w:top w:val="nil"/>
              <w:left w:val="nil"/>
              <w:bottom w:val="nil"/>
              <w:right w:val="nil"/>
            </w:tcBorders>
          </w:tcPr>
          <w:p w14:paraId="5633C3E2" w14:textId="77777777" w:rsidR="0017561A" w:rsidRDefault="0017561A" w:rsidP="004E0520">
            <w:pPr>
              <w:rPr>
                <w:sz w:val="20"/>
                <w:szCs w:val="20"/>
              </w:rPr>
            </w:pPr>
            <w:r>
              <w:rPr>
                <w:sz w:val="20"/>
                <w:szCs w:val="20"/>
              </w:rPr>
              <w:t>3,314 (47.13)</w:t>
            </w:r>
          </w:p>
        </w:tc>
        <w:tc>
          <w:tcPr>
            <w:tcW w:w="1418" w:type="dxa"/>
            <w:tcBorders>
              <w:top w:val="nil"/>
              <w:left w:val="nil"/>
              <w:bottom w:val="nil"/>
              <w:right w:val="nil"/>
            </w:tcBorders>
          </w:tcPr>
          <w:p w14:paraId="1AEE9576" w14:textId="77777777" w:rsidR="0017561A" w:rsidRDefault="0017561A" w:rsidP="004E0520">
            <w:pPr>
              <w:rPr>
                <w:sz w:val="20"/>
                <w:szCs w:val="20"/>
              </w:rPr>
            </w:pPr>
            <w:r>
              <w:rPr>
                <w:sz w:val="20"/>
                <w:szCs w:val="20"/>
              </w:rPr>
              <w:t>3,717 (52.87)</w:t>
            </w:r>
          </w:p>
        </w:tc>
        <w:tc>
          <w:tcPr>
            <w:tcW w:w="992" w:type="dxa"/>
            <w:tcBorders>
              <w:top w:val="nil"/>
              <w:left w:val="nil"/>
              <w:bottom w:val="nil"/>
              <w:right w:val="nil"/>
            </w:tcBorders>
          </w:tcPr>
          <w:p w14:paraId="4DE899F9" w14:textId="77777777" w:rsidR="0017561A" w:rsidRPr="00192CCA" w:rsidRDefault="0017561A" w:rsidP="004E0520">
            <w:pPr>
              <w:rPr>
                <w:sz w:val="20"/>
                <w:szCs w:val="20"/>
              </w:rPr>
            </w:pPr>
          </w:p>
        </w:tc>
        <w:tc>
          <w:tcPr>
            <w:tcW w:w="709" w:type="dxa"/>
            <w:tcBorders>
              <w:top w:val="nil"/>
              <w:left w:val="nil"/>
              <w:bottom w:val="nil"/>
              <w:right w:val="nil"/>
            </w:tcBorders>
          </w:tcPr>
          <w:p w14:paraId="6F67B195" w14:textId="77777777" w:rsidR="0017561A" w:rsidRPr="00192CCA" w:rsidRDefault="0017561A" w:rsidP="004E0520">
            <w:pPr>
              <w:rPr>
                <w:sz w:val="20"/>
                <w:szCs w:val="20"/>
              </w:rPr>
            </w:pPr>
            <w:r>
              <w:rPr>
                <w:sz w:val="20"/>
                <w:szCs w:val="20"/>
              </w:rPr>
              <w:t>1.13</w:t>
            </w:r>
          </w:p>
        </w:tc>
        <w:tc>
          <w:tcPr>
            <w:tcW w:w="1417" w:type="dxa"/>
            <w:tcBorders>
              <w:top w:val="nil"/>
              <w:left w:val="nil"/>
              <w:bottom w:val="nil"/>
              <w:right w:val="nil"/>
            </w:tcBorders>
          </w:tcPr>
          <w:p w14:paraId="78148FF2" w14:textId="77777777" w:rsidR="0017561A" w:rsidRPr="00192CCA" w:rsidRDefault="0017561A" w:rsidP="004E0520">
            <w:pPr>
              <w:rPr>
                <w:sz w:val="20"/>
                <w:szCs w:val="20"/>
              </w:rPr>
            </w:pPr>
            <w:r>
              <w:rPr>
                <w:sz w:val="20"/>
                <w:szCs w:val="20"/>
              </w:rPr>
              <w:t>1.06</w:t>
            </w:r>
            <w:r w:rsidRPr="00192CCA">
              <w:rPr>
                <w:sz w:val="20"/>
                <w:szCs w:val="20"/>
              </w:rPr>
              <w:t xml:space="preserve"> – 1.</w:t>
            </w:r>
            <w:r>
              <w:rPr>
                <w:sz w:val="20"/>
                <w:szCs w:val="20"/>
              </w:rPr>
              <w:t>20</w:t>
            </w:r>
          </w:p>
        </w:tc>
        <w:tc>
          <w:tcPr>
            <w:tcW w:w="992" w:type="dxa"/>
            <w:tcBorders>
              <w:top w:val="nil"/>
              <w:left w:val="nil"/>
              <w:bottom w:val="nil"/>
              <w:right w:val="nil"/>
            </w:tcBorders>
          </w:tcPr>
          <w:p w14:paraId="47E329A1" w14:textId="77777777" w:rsidR="0017561A" w:rsidRPr="00192CCA" w:rsidRDefault="0017561A" w:rsidP="004E0520">
            <w:pPr>
              <w:rPr>
                <w:sz w:val="20"/>
                <w:szCs w:val="20"/>
              </w:rPr>
            </w:pPr>
            <w:r w:rsidRPr="00192CCA">
              <w:rPr>
                <w:sz w:val="20"/>
                <w:szCs w:val="20"/>
              </w:rPr>
              <w:t>&lt;0.001</w:t>
            </w:r>
          </w:p>
        </w:tc>
        <w:tc>
          <w:tcPr>
            <w:tcW w:w="709" w:type="dxa"/>
            <w:tcBorders>
              <w:top w:val="nil"/>
              <w:left w:val="nil"/>
              <w:bottom w:val="nil"/>
              <w:right w:val="nil"/>
            </w:tcBorders>
          </w:tcPr>
          <w:p w14:paraId="70C0E2EC" w14:textId="77777777" w:rsidR="0017561A" w:rsidRPr="00192CCA" w:rsidRDefault="0017561A" w:rsidP="004E0520">
            <w:pPr>
              <w:rPr>
                <w:sz w:val="20"/>
                <w:szCs w:val="20"/>
              </w:rPr>
            </w:pPr>
            <w:r>
              <w:rPr>
                <w:sz w:val="20"/>
                <w:szCs w:val="20"/>
              </w:rPr>
              <w:t>1.15</w:t>
            </w:r>
          </w:p>
        </w:tc>
        <w:tc>
          <w:tcPr>
            <w:tcW w:w="1418" w:type="dxa"/>
            <w:tcBorders>
              <w:top w:val="nil"/>
              <w:left w:val="nil"/>
              <w:bottom w:val="nil"/>
              <w:right w:val="nil"/>
            </w:tcBorders>
          </w:tcPr>
          <w:p w14:paraId="32CE64FB" w14:textId="77777777" w:rsidR="0017561A" w:rsidRPr="00192CCA" w:rsidRDefault="0017561A" w:rsidP="004E0520">
            <w:pPr>
              <w:rPr>
                <w:sz w:val="20"/>
                <w:szCs w:val="20"/>
              </w:rPr>
            </w:pPr>
            <w:r>
              <w:rPr>
                <w:sz w:val="20"/>
                <w:szCs w:val="20"/>
              </w:rPr>
              <w:t>1.07</w:t>
            </w:r>
            <w:r w:rsidRPr="00192CCA">
              <w:rPr>
                <w:sz w:val="20"/>
                <w:szCs w:val="20"/>
              </w:rPr>
              <w:t xml:space="preserve"> – 1.</w:t>
            </w:r>
            <w:r>
              <w:rPr>
                <w:sz w:val="20"/>
                <w:szCs w:val="20"/>
              </w:rPr>
              <w:t>23</w:t>
            </w:r>
          </w:p>
        </w:tc>
        <w:tc>
          <w:tcPr>
            <w:tcW w:w="992" w:type="dxa"/>
            <w:tcBorders>
              <w:top w:val="nil"/>
              <w:left w:val="nil"/>
              <w:bottom w:val="nil"/>
              <w:right w:val="nil"/>
            </w:tcBorders>
          </w:tcPr>
          <w:p w14:paraId="3304C494" w14:textId="77777777" w:rsidR="0017561A" w:rsidRPr="00192CCA" w:rsidRDefault="0017561A" w:rsidP="004E0520">
            <w:pPr>
              <w:rPr>
                <w:sz w:val="20"/>
                <w:szCs w:val="20"/>
              </w:rPr>
            </w:pPr>
            <w:r w:rsidRPr="00192CCA">
              <w:rPr>
                <w:sz w:val="20"/>
                <w:szCs w:val="20"/>
              </w:rPr>
              <w:t>&lt;0.001</w:t>
            </w:r>
          </w:p>
        </w:tc>
      </w:tr>
      <w:tr w:rsidR="0017561A" w:rsidRPr="00192CCA" w14:paraId="054C699B"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single" w:sz="4" w:space="0" w:color="auto"/>
              <w:right w:val="nil"/>
            </w:tcBorders>
          </w:tcPr>
          <w:p w14:paraId="7A4DCFFC" w14:textId="77777777" w:rsidR="0017561A" w:rsidRPr="00192CCA" w:rsidRDefault="0017561A" w:rsidP="004E0520">
            <w:pPr>
              <w:rPr>
                <w:sz w:val="20"/>
                <w:szCs w:val="20"/>
              </w:rPr>
            </w:pPr>
            <w:r w:rsidRPr="00192CCA">
              <w:rPr>
                <w:sz w:val="20"/>
                <w:szCs w:val="20"/>
              </w:rPr>
              <w:t>2017</w:t>
            </w:r>
          </w:p>
        </w:tc>
        <w:tc>
          <w:tcPr>
            <w:tcW w:w="1417" w:type="dxa"/>
            <w:tcBorders>
              <w:top w:val="nil"/>
              <w:left w:val="nil"/>
              <w:bottom w:val="single" w:sz="4" w:space="0" w:color="auto"/>
              <w:right w:val="nil"/>
            </w:tcBorders>
          </w:tcPr>
          <w:p w14:paraId="1630F148" w14:textId="77777777" w:rsidR="0017561A" w:rsidRDefault="0017561A" w:rsidP="004E0520">
            <w:pPr>
              <w:rPr>
                <w:sz w:val="20"/>
                <w:szCs w:val="20"/>
              </w:rPr>
            </w:pPr>
            <w:r>
              <w:rPr>
                <w:sz w:val="20"/>
                <w:szCs w:val="20"/>
              </w:rPr>
              <w:t>3,386 (44.16)</w:t>
            </w:r>
          </w:p>
        </w:tc>
        <w:tc>
          <w:tcPr>
            <w:tcW w:w="1418" w:type="dxa"/>
            <w:tcBorders>
              <w:top w:val="nil"/>
              <w:left w:val="nil"/>
              <w:bottom w:val="single" w:sz="4" w:space="0" w:color="auto"/>
              <w:right w:val="nil"/>
            </w:tcBorders>
          </w:tcPr>
          <w:p w14:paraId="6EA51EDC" w14:textId="77777777" w:rsidR="0017561A" w:rsidRDefault="0017561A" w:rsidP="004E0520">
            <w:pPr>
              <w:rPr>
                <w:sz w:val="20"/>
                <w:szCs w:val="20"/>
              </w:rPr>
            </w:pPr>
            <w:r>
              <w:rPr>
                <w:sz w:val="20"/>
                <w:szCs w:val="20"/>
              </w:rPr>
              <w:t>4,282 (55.84)</w:t>
            </w:r>
          </w:p>
        </w:tc>
        <w:tc>
          <w:tcPr>
            <w:tcW w:w="992" w:type="dxa"/>
            <w:tcBorders>
              <w:top w:val="nil"/>
              <w:left w:val="nil"/>
              <w:bottom w:val="single" w:sz="4" w:space="0" w:color="auto"/>
              <w:right w:val="nil"/>
            </w:tcBorders>
          </w:tcPr>
          <w:p w14:paraId="4F9DD79B" w14:textId="77777777" w:rsidR="0017561A" w:rsidRPr="00192CCA" w:rsidRDefault="0017561A" w:rsidP="004E0520">
            <w:pPr>
              <w:rPr>
                <w:sz w:val="20"/>
                <w:szCs w:val="20"/>
              </w:rPr>
            </w:pPr>
          </w:p>
        </w:tc>
        <w:tc>
          <w:tcPr>
            <w:tcW w:w="709" w:type="dxa"/>
            <w:tcBorders>
              <w:top w:val="nil"/>
              <w:left w:val="nil"/>
              <w:bottom w:val="single" w:sz="4" w:space="0" w:color="auto"/>
              <w:right w:val="nil"/>
            </w:tcBorders>
          </w:tcPr>
          <w:p w14:paraId="75652E8C" w14:textId="77777777" w:rsidR="0017561A" w:rsidRPr="00192CCA" w:rsidRDefault="0017561A" w:rsidP="004E0520">
            <w:pPr>
              <w:rPr>
                <w:sz w:val="20"/>
                <w:szCs w:val="20"/>
              </w:rPr>
            </w:pPr>
            <w:r w:rsidRPr="00192CCA">
              <w:rPr>
                <w:sz w:val="20"/>
                <w:szCs w:val="20"/>
              </w:rPr>
              <w:t>1.00</w:t>
            </w:r>
          </w:p>
        </w:tc>
        <w:tc>
          <w:tcPr>
            <w:tcW w:w="1417" w:type="dxa"/>
            <w:tcBorders>
              <w:top w:val="nil"/>
              <w:left w:val="nil"/>
              <w:bottom w:val="single" w:sz="4" w:space="0" w:color="auto"/>
              <w:right w:val="nil"/>
            </w:tcBorders>
          </w:tcPr>
          <w:p w14:paraId="45B79783" w14:textId="77777777" w:rsidR="0017561A" w:rsidRPr="00192CCA" w:rsidRDefault="0017561A" w:rsidP="004E0520">
            <w:pPr>
              <w:rPr>
                <w:sz w:val="20"/>
                <w:szCs w:val="20"/>
              </w:rPr>
            </w:pPr>
            <w:r w:rsidRPr="00192CCA">
              <w:rPr>
                <w:sz w:val="20"/>
                <w:szCs w:val="20"/>
              </w:rPr>
              <w:t>-----     -----</w:t>
            </w:r>
          </w:p>
        </w:tc>
        <w:tc>
          <w:tcPr>
            <w:tcW w:w="992" w:type="dxa"/>
            <w:tcBorders>
              <w:top w:val="nil"/>
              <w:left w:val="nil"/>
              <w:bottom w:val="single" w:sz="4" w:space="0" w:color="auto"/>
              <w:right w:val="nil"/>
            </w:tcBorders>
          </w:tcPr>
          <w:p w14:paraId="2F3C5096" w14:textId="77777777" w:rsidR="0017561A" w:rsidRPr="00192CCA" w:rsidRDefault="0017561A" w:rsidP="004E0520">
            <w:pPr>
              <w:rPr>
                <w:sz w:val="20"/>
                <w:szCs w:val="20"/>
              </w:rPr>
            </w:pPr>
            <w:r>
              <w:rPr>
                <w:sz w:val="20"/>
                <w:szCs w:val="20"/>
              </w:rPr>
              <w:t xml:space="preserve">  </w:t>
            </w:r>
            <w:r w:rsidRPr="00192CCA">
              <w:rPr>
                <w:sz w:val="20"/>
                <w:szCs w:val="20"/>
              </w:rPr>
              <w:t>-------</w:t>
            </w:r>
          </w:p>
        </w:tc>
        <w:tc>
          <w:tcPr>
            <w:tcW w:w="709" w:type="dxa"/>
            <w:tcBorders>
              <w:top w:val="nil"/>
              <w:left w:val="nil"/>
              <w:bottom w:val="single" w:sz="4" w:space="0" w:color="auto"/>
              <w:right w:val="nil"/>
            </w:tcBorders>
          </w:tcPr>
          <w:p w14:paraId="37EC55B9" w14:textId="77777777" w:rsidR="0017561A" w:rsidRPr="00192CCA" w:rsidRDefault="0017561A" w:rsidP="004E0520">
            <w:pPr>
              <w:rPr>
                <w:sz w:val="20"/>
                <w:szCs w:val="20"/>
              </w:rPr>
            </w:pPr>
            <w:r w:rsidRPr="00192CCA">
              <w:rPr>
                <w:sz w:val="20"/>
                <w:szCs w:val="20"/>
              </w:rPr>
              <w:t>1.00</w:t>
            </w:r>
          </w:p>
        </w:tc>
        <w:tc>
          <w:tcPr>
            <w:tcW w:w="1418" w:type="dxa"/>
            <w:tcBorders>
              <w:top w:val="nil"/>
              <w:left w:val="nil"/>
              <w:bottom w:val="single" w:sz="4" w:space="0" w:color="auto"/>
              <w:right w:val="nil"/>
            </w:tcBorders>
          </w:tcPr>
          <w:p w14:paraId="00A15BC6" w14:textId="77777777" w:rsidR="0017561A" w:rsidRPr="00192CCA" w:rsidRDefault="0017561A" w:rsidP="004E0520">
            <w:pPr>
              <w:rPr>
                <w:sz w:val="20"/>
                <w:szCs w:val="20"/>
              </w:rPr>
            </w:pPr>
            <w:r w:rsidRPr="00192CCA">
              <w:rPr>
                <w:sz w:val="20"/>
                <w:szCs w:val="20"/>
              </w:rPr>
              <w:t>-----     -----</w:t>
            </w:r>
          </w:p>
        </w:tc>
        <w:tc>
          <w:tcPr>
            <w:tcW w:w="992" w:type="dxa"/>
            <w:tcBorders>
              <w:top w:val="nil"/>
              <w:left w:val="nil"/>
              <w:bottom w:val="single" w:sz="4" w:space="0" w:color="auto"/>
              <w:right w:val="nil"/>
            </w:tcBorders>
          </w:tcPr>
          <w:p w14:paraId="494A6BEF" w14:textId="77777777" w:rsidR="0017561A" w:rsidRDefault="0017561A" w:rsidP="004E0520">
            <w:pPr>
              <w:rPr>
                <w:sz w:val="20"/>
                <w:szCs w:val="20"/>
              </w:rPr>
            </w:pPr>
            <w:r>
              <w:rPr>
                <w:sz w:val="20"/>
                <w:szCs w:val="20"/>
              </w:rPr>
              <w:t xml:space="preserve">  </w:t>
            </w:r>
            <w:r w:rsidRPr="00192CCA">
              <w:rPr>
                <w:sz w:val="20"/>
                <w:szCs w:val="20"/>
              </w:rPr>
              <w:t>-------</w:t>
            </w:r>
          </w:p>
          <w:p w14:paraId="471B81B9" w14:textId="77777777" w:rsidR="0017561A" w:rsidRPr="00192CCA" w:rsidRDefault="0017561A" w:rsidP="004E0520">
            <w:pPr>
              <w:rPr>
                <w:sz w:val="20"/>
                <w:szCs w:val="20"/>
              </w:rPr>
            </w:pPr>
          </w:p>
        </w:tc>
      </w:tr>
    </w:tbl>
    <w:p w14:paraId="5F7C1927" w14:textId="77777777" w:rsidR="0017561A" w:rsidRPr="00A27E5D" w:rsidRDefault="0017561A" w:rsidP="0017561A">
      <w:pPr>
        <w:jc w:val="both"/>
        <w:rPr>
          <w:sz w:val="10"/>
          <w:szCs w:val="10"/>
          <w:vertAlign w:val="superscript"/>
        </w:rPr>
      </w:pPr>
      <w:r>
        <w:rPr>
          <w:sz w:val="22"/>
          <w:szCs w:val="22"/>
          <w:vertAlign w:val="superscript"/>
        </w:rPr>
        <w:t>a</w:t>
      </w:r>
      <w:r w:rsidRPr="007B5DB3">
        <w:rPr>
          <w:sz w:val="22"/>
          <w:szCs w:val="22"/>
        </w:rPr>
        <w:t>Chi-square P value</w:t>
      </w:r>
      <w:r>
        <w:rPr>
          <w:sz w:val="22"/>
          <w:szCs w:val="22"/>
        </w:rPr>
        <w:t>.</w:t>
      </w:r>
    </w:p>
    <w:p w14:paraId="36DDCFB3" w14:textId="77777777" w:rsidR="0017561A" w:rsidRPr="007B5DB3" w:rsidRDefault="0017561A" w:rsidP="0017561A">
      <w:pPr>
        <w:jc w:val="both"/>
        <w:rPr>
          <w:sz w:val="22"/>
          <w:szCs w:val="22"/>
        </w:rPr>
      </w:pPr>
      <w:r>
        <w:rPr>
          <w:sz w:val="22"/>
          <w:szCs w:val="22"/>
          <w:vertAlign w:val="superscript"/>
        </w:rPr>
        <w:t>b</w:t>
      </w:r>
      <w:r w:rsidRPr="007C6AC0">
        <w:rPr>
          <w:sz w:val="22"/>
          <w:szCs w:val="22"/>
        </w:rPr>
        <w:t>Bol</w:t>
      </w:r>
      <w:r>
        <w:rPr>
          <w:sz w:val="22"/>
          <w:szCs w:val="22"/>
        </w:rPr>
        <w:t>de</w:t>
      </w:r>
      <w:r w:rsidRPr="007C6AC0">
        <w:rPr>
          <w:sz w:val="22"/>
          <w:szCs w:val="22"/>
        </w:rPr>
        <w:t>d</w:t>
      </w:r>
      <w:r>
        <w:rPr>
          <w:sz w:val="22"/>
          <w:szCs w:val="22"/>
          <w:vertAlign w:val="superscript"/>
        </w:rPr>
        <w:t xml:space="preserve"> </w:t>
      </w:r>
      <w:r w:rsidRPr="007B5DB3">
        <w:rPr>
          <w:sz w:val="22"/>
          <w:szCs w:val="22"/>
        </w:rPr>
        <w:t xml:space="preserve">P </w:t>
      </w:r>
      <w:r>
        <w:rPr>
          <w:sz w:val="22"/>
          <w:szCs w:val="22"/>
        </w:rPr>
        <w:t>v</w:t>
      </w:r>
      <w:r w:rsidRPr="007B5DB3">
        <w:rPr>
          <w:sz w:val="22"/>
          <w:szCs w:val="22"/>
        </w:rPr>
        <w:t xml:space="preserve">alues are from </w:t>
      </w:r>
      <w:r>
        <w:rPr>
          <w:sz w:val="22"/>
          <w:szCs w:val="22"/>
        </w:rPr>
        <w:t>LRT</w:t>
      </w:r>
      <w:r w:rsidRPr="007B5DB3">
        <w:rPr>
          <w:sz w:val="22"/>
          <w:szCs w:val="22"/>
        </w:rPr>
        <w:t xml:space="preserve"> of the variable</w:t>
      </w:r>
      <w:r>
        <w:rPr>
          <w:sz w:val="22"/>
          <w:szCs w:val="22"/>
        </w:rPr>
        <w:t>’s</w:t>
      </w:r>
      <w:r w:rsidRPr="007B5DB3">
        <w:rPr>
          <w:sz w:val="22"/>
          <w:szCs w:val="22"/>
        </w:rPr>
        <w:t xml:space="preserve"> </w:t>
      </w:r>
      <w:r>
        <w:rPr>
          <w:sz w:val="22"/>
          <w:szCs w:val="22"/>
        </w:rPr>
        <w:t xml:space="preserve">contribution </w:t>
      </w:r>
      <w:r w:rsidRPr="007B5DB3">
        <w:rPr>
          <w:sz w:val="22"/>
          <w:szCs w:val="22"/>
        </w:rPr>
        <w:t xml:space="preserve">to the model. Unbolded P values are from a test of whether the OR is different from 1. </w:t>
      </w:r>
    </w:p>
    <w:p w14:paraId="7675DA65" w14:textId="77777777" w:rsidR="0017561A" w:rsidRPr="007B5DB3" w:rsidRDefault="0017561A" w:rsidP="0017561A">
      <w:pPr>
        <w:jc w:val="both"/>
        <w:rPr>
          <w:sz w:val="22"/>
          <w:szCs w:val="22"/>
        </w:rPr>
      </w:pPr>
      <w:r>
        <w:rPr>
          <w:sz w:val="22"/>
          <w:szCs w:val="22"/>
          <w:vertAlign w:val="superscript"/>
        </w:rPr>
        <w:t>c</w:t>
      </w:r>
      <w:r w:rsidRPr="004846D3">
        <w:rPr>
          <w:sz w:val="22"/>
          <w:szCs w:val="22"/>
        </w:rPr>
        <w:t>Refers to IMD (income domain).</w:t>
      </w:r>
      <w:r>
        <w:rPr>
          <w:sz w:val="20"/>
          <w:szCs w:val="20"/>
          <w:vertAlign w:val="superscript"/>
        </w:rPr>
        <w:t xml:space="preserve"> </w:t>
      </w:r>
      <w:r w:rsidRPr="007B5DB3">
        <w:rPr>
          <w:sz w:val="22"/>
          <w:szCs w:val="22"/>
        </w:rPr>
        <w:t>For diagnosis year 201</w:t>
      </w:r>
      <w:r>
        <w:rPr>
          <w:sz w:val="22"/>
          <w:szCs w:val="22"/>
        </w:rPr>
        <w:t>2</w:t>
      </w:r>
      <w:r w:rsidRPr="007B5DB3">
        <w:rPr>
          <w:sz w:val="22"/>
          <w:szCs w:val="22"/>
        </w:rPr>
        <w:t>, IMD_2010 was used and for diagnosis years 2013-2017, IMD_2015 was used.</w:t>
      </w:r>
    </w:p>
    <w:p w14:paraId="224842C3" w14:textId="77777777" w:rsidR="0017561A" w:rsidRPr="007B5DB3" w:rsidRDefault="0017561A" w:rsidP="0017561A">
      <w:pPr>
        <w:jc w:val="both"/>
        <w:rPr>
          <w:sz w:val="22"/>
          <w:szCs w:val="22"/>
        </w:rPr>
      </w:pPr>
      <w:r>
        <w:rPr>
          <w:sz w:val="22"/>
          <w:szCs w:val="22"/>
          <w:vertAlign w:val="superscript"/>
        </w:rPr>
        <w:t>d</w:t>
      </w:r>
      <w:r w:rsidRPr="007B5DB3">
        <w:rPr>
          <w:sz w:val="22"/>
          <w:szCs w:val="22"/>
        </w:rPr>
        <w:t xml:space="preserve">Other </w:t>
      </w:r>
      <w:r>
        <w:rPr>
          <w:sz w:val="22"/>
          <w:szCs w:val="22"/>
        </w:rPr>
        <w:t xml:space="preserve">ethnic group </w:t>
      </w:r>
      <w:r w:rsidRPr="007B5DB3">
        <w:rPr>
          <w:sz w:val="22"/>
          <w:szCs w:val="22"/>
        </w:rPr>
        <w:t>refers to Asian/British Asian, Black/African/Caribbean/Black British, mixed/multiple ethnic groups</w:t>
      </w:r>
      <w:r>
        <w:rPr>
          <w:sz w:val="22"/>
          <w:szCs w:val="22"/>
        </w:rPr>
        <w:t>,</w:t>
      </w:r>
      <w:r w:rsidRPr="007B5DB3">
        <w:rPr>
          <w:sz w:val="22"/>
          <w:szCs w:val="22"/>
        </w:rPr>
        <w:t xml:space="preserve"> and other ethnic group</w:t>
      </w:r>
      <w:r>
        <w:rPr>
          <w:sz w:val="22"/>
          <w:szCs w:val="22"/>
        </w:rPr>
        <w:t>s</w:t>
      </w:r>
      <w:r w:rsidRPr="007B5DB3">
        <w:rPr>
          <w:sz w:val="22"/>
          <w:szCs w:val="22"/>
        </w:rPr>
        <w:t>.</w:t>
      </w:r>
    </w:p>
    <w:p w14:paraId="4936063C" w14:textId="77777777" w:rsidR="0017561A" w:rsidRPr="007B5DB3" w:rsidRDefault="0017561A" w:rsidP="0017561A">
      <w:pPr>
        <w:jc w:val="both"/>
        <w:rPr>
          <w:sz w:val="22"/>
          <w:szCs w:val="22"/>
        </w:rPr>
      </w:pPr>
      <w:r>
        <w:rPr>
          <w:sz w:val="22"/>
          <w:szCs w:val="22"/>
          <w:vertAlign w:val="superscript"/>
        </w:rPr>
        <w:t>e</w:t>
      </w:r>
      <w:r>
        <w:rPr>
          <w:sz w:val="22"/>
          <w:szCs w:val="22"/>
        </w:rPr>
        <w:t xml:space="preserve">Unknown ethnicity </w:t>
      </w:r>
      <w:r w:rsidRPr="007B5DB3">
        <w:rPr>
          <w:sz w:val="22"/>
          <w:szCs w:val="22"/>
        </w:rPr>
        <w:t>refers to missing and unknown ethnicity classifications.</w:t>
      </w:r>
    </w:p>
    <w:p w14:paraId="389A0C01" w14:textId="77777777" w:rsidR="0017561A" w:rsidRDefault="0017561A" w:rsidP="0017561A">
      <w:pPr>
        <w:jc w:val="both"/>
        <w:rPr>
          <w:sz w:val="22"/>
          <w:szCs w:val="22"/>
        </w:rPr>
      </w:pPr>
      <w:r>
        <w:rPr>
          <w:sz w:val="22"/>
          <w:szCs w:val="22"/>
          <w:vertAlign w:val="superscript"/>
        </w:rPr>
        <w:t>f</w:t>
      </w:r>
      <w:r w:rsidRPr="007B5DB3">
        <w:rPr>
          <w:sz w:val="22"/>
          <w:szCs w:val="22"/>
        </w:rPr>
        <w:t xml:space="preserve">Other </w:t>
      </w:r>
      <w:r>
        <w:rPr>
          <w:sz w:val="22"/>
          <w:szCs w:val="22"/>
        </w:rPr>
        <w:t xml:space="preserve">grade </w:t>
      </w:r>
      <w:r w:rsidRPr="00D20F59">
        <w:rPr>
          <w:sz w:val="22"/>
          <w:szCs w:val="22"/>
        </w:rPr>
        <w:t xml:space="preserve">refers to undifferentiated, anaplastic, undetermined, and missing </w:t>
      </w:r>
      <w:r>
        <w:rPr>
          <w:sz w:val="22"/>
          <w:szCs w:val="22"/>
        </w:rPr>
        <w:t>tumor</w:t>
      </w:r>
      <w:r w:rsidRPr="00D20F59">
        <w:rPr>
          <w:sz w:val="22"/>
          <w:szCs w:val="22"/>
        </w:rPr>
        <w:t xml:space="preserve"> grades.</w:t>
      </w:r>
    </w:p>
    <w:p w14:paraId="08CB64E6" w14:textId="77777777" w:rsidR="0017561A" w:rsidRDefault="0017561A" w:rsidP="0017561A">
      <w:pPr>
        <w:jc w:val="both"/>
        <w:rPr>
          <w:sz w:val="22"/>
          <w:szCs w:val="22"/>
        </w:rPr>
      </w:pPr>
      <w:r>
        <w:rPr>
          <w:sz w:val="22"/>
          <w:szCs w:val="22"/>
          <w:vertAlign w:val="superscript"/>
        </w:rPr>
        <w:t>g</w:t>
      </w:r>
      <w:r w:rsidRPr="0012301C">
        <w:rPr>
          <w:sz w:val="22"/>
          <w:szCs w:val="22"/>
        </w:rPr>
        <w:t xml:space="preserve">Surgery receipt beyond 6 months (e.g. following neo-adjuvant chemotherapy) not captured.  </w:t>
      </w:r>
    </w:p>
    <w:p w14:paraId="7DEA798F" w14:textId="77777777" w:rsidR="0017561A" w:rsidRPr="0012301C" w:rsidRDefault="0017561A" w:rsidP="0017561A">
      <w:pPr>
        <w:jc w:val="both"/>
        <w:rPr>
          <w:sz w:val="22"/>
          <w:szCs w:val="22"/>
        </w:rPr>
      </w:pPr>
      <w:r>
        <w:rPr>
          <w:sz w:val="22"/>
          <w:szCs w:val="22"/>
          <w:vertAlign w:val="superscript"/>
        </w:rPr>
        <w:t>h</w:t>
      </w:r>
      <w:r w:rsidRPr="0012301C">
        <w:rPr>
          <w:sz w:val="22"/>
          <w:szCs w:val="22"/>
        </w:rPr>
        <w:t xml:space="preserve">Refers to number of </w:t>
      </w:r>
      <w:r>
        <w:rPr>
          <w:sz w:val="22"/>
          <w:szCs w:val="22"/>
        </w:rPr>
        <w:t>tumor</w:t>
      </w:r>
      <w:r w:rsidRPr="0012301C">
        <w:rPr>
          <w:sz w:val="22"/>
          <w:szCs w:val="22"/>
        </w:rPr>
        <w:t xml:space="preserve">s other than the index breast cancer. </w:t>
      </w:r>
    </w:p>
    <w:p w14:paraId="27465105" w14:textId="77777777" w:rsidR="0017561A" w:rsidRDefault="0017561A" w:rsidP="0017561A">
      <w:pPr>
        <w:jc w:val="both"/>
        <w:rPr>
          <w:bCs/>
          <w:sz w:val="22"/>
          <w:szCs w:val="22"/>
        </w:rPr>
      </w:pPr>
      <w:r>
        <w:rPr>
          <w:sz w:val="22"/>
          <w:szCs w:val="22"/>
          <w:vertAlign w:val="superscript"/>
        </w:rPr>
        <w:t>i</w:t>
      </w:r>
      <w:r w:rsidRPr="00D20F59">
        <w:rPr>
          <w:sz w:val="22"/>
          <w:szCs w:val="22"/>
        </w:rPr>
        <w:t xml:space="preserve">Refers to </w:t>
      </w:r>
      <w:r w:rsidRPr="00D20F59">
        <w:rPr>
          <w:bCs/>
          <w:sz w:val="22"/>
          <w:szCs w:val="22"/>
        </w:rPr>
        <w:t>at least one positive ER test and includes borderline definitions.</w:t>
      </w:r>
    </w:p>
    <w:p w14:paraId="4F9F0036" w14:textId="77777777" w:rsidR="0017561A" w:rsidRPr="0012301C" w:rsidRDefault="0017561A" w:rsidP="0017561A">
      <w:pPr>
        <w:jc w:val="both"/>
        <w:rPr>
          <w:sz w:val="20"/>
          <w:szCs w:val="20"/>
        </w:rPr>
      </w:pPr>
      <w:r>
        <w:rPr>
          <w:bCs/>
          <w:sz w:val="22"/>
          <w:szCs w:val="22"/>
          <w:vertAlign w:val="superscript"/>
        </w:rPr>
        <w:t>j</w:t>
      </w:r>
      <w:r w:rsidRPr="0012301C">
        <w:rPr>
          <w:bCs/>
          <w:sz w:val="22"/>
          <w:szCs w:val="22"/>
        </w:rPr>
        <w:t>Refers to unknown, not performed, or missing ER status.</w:t>
      </w:r>
    </w:p>
    <w:p w14:paraId="21D7F7D4" w14:textId="77777777" w:rsidR="0017561A" w:rsidRDefault="0017561A" w:rsidP="0017561A">
      <w:pPr>
        <w:jc w:val="both"/>
        <w:rPr>
          <w:sz w:val="22"/>
          <w:szCs w:val="22"/>
        </w:rPr>
      </w:pPr>
      <w:r>
        <w:rPr>
          <w:sz w:val="22"/>
          <w:szCs w:val="22"/>
          <w:vertAlign w:val="superscript"/>
        </w:rPr>
        <w:t>k</w:t>
      </w:r>
      <w:r w:rsidRPr="00D20F59">
        <w:rPr>
          <w:sz w:val="22"/>
          <w:szCs w:val="22"/>
        </w:rPr>
        <w:t xml:space="preserve">Defined using </w:t>
      </w:r>
      <w:r>
        <w:rPr>
          <w:sz w:val="22"/>
          <w:szCs w:val="22"/>
        </w:rPr>
        <w:t xml:space="preserve">the </w:t>
      </w:r>
      <w:r w:rsidRPr="00D20F59">
        <w:rPr>
          <w:sz w:val="22"/>
          <w:szCs w:val="22"/>
        </w:rPr>
        <w:t>Charlson Comorbidity Index</w:t>
      </w:r>
      <w:r>
        <w:rPr>
          <w:sz w:val="22"/>
          <w:szCs w:val="22"/>
        </w:rPr>
        <w:t>.</w:t>
      </w:r>
    </w:p>
    <w:p w14:paraId="6F365248" w14:textId="1A2AE1DD" w:rsidR="002C63C5" w:rsidRPr="00D20F59" w:rsidRDefault="002C63C5" w:rsidP="0017561A">
      <w:pPr>
        <w:jc w:val="both"/>
        <w:rPr>
          <w:sz w:val="22"/>
          <w:szCs w:val="22"/>
        </w:rPr>
      </w:pPr>
      <w:r w:rsidRPr="00887E7E">
        <w:rPr>
          <w:sz w:val="22"/>
          <w:szCs w:val="22"/>
          <w:vertAlign w:val="superscript"/>
        </w:rPr>
        <w:t>l</w:t>
      </w:r>
      <w:r>
        <w:rPr>
          <w:sz w:val="22"/>
          <w:szCs w:val="22"/>
        </w:rPr>
        <w:t xml:space="preserve">Variable not included in </w:t>
      </w:r>
      <w:r w:rsidR="00B32B6C">
        <w:rPr>
          <w:sz w:val="22"/>
          <w:szCs w:val="22"/>
        </w:rPr>
        <w:t>the adjusted</w:t>
      </w:r>
      <w:r>
        <w:rPr>
          <w:sz w:val="22"/>
          <w:szCs w:val="22"/>
        </w:rPr>
        <w:t xml:space="preserve"> analysis as </w:t>
      </w:r>
      <w:r w:rsidR="00E4240C">
        <w:rPr>
          <w:sz w:val="22"/>
          <w:szCs w:val="22"/>
        </w:rPr>
        <w:t>resulted</w:t>
      </w:r>
      <w:r>
        <w:rPr>
          <w:sz w:val="22"/>
          <w:szCs w:val="22"/>
        </w:rPr>
        <w:t xml:space="preserve"> </w:t>
      </w:r>
      <w:r w:rsidR="00E4240C">
        <w:rPr>
          <w:sz w:val="22"/>
          <w:szCs w:val="22"/>
        </w:rPr>
        <w:t xml:space="preserve">in </w:t>
      </w:r>
      <w:r>
        <w:rPr>
          <w:sz w:val="22"/>
          <w:szCs w:val="22"/>
        </w:rPr>
        <w:t xml:space="preserve">poor </w:t>
      </w:r>
      <w:r w:rsidR="00B32B6C">
        <w:rPr>
          <w:sz w:val="22"/>
          <w:szCs w:val="22"/>
        </w:rPr>
        <w:t xml:space="preserve">model </w:t>
      </w:r>
      <w:r>
        <w:rPr>
          <w:sz w:val="22"/>
          <w:szCs w:val="22"/>
        </w:rPr>
        <w:t xml:space="preserve">fit </w:t>
      </w:r>
      <w:r w:rsidR="00E4240C">
        <w:rPr>
          <w:sz w:val="22"/>
          <w:szCs w:val="22"/>
        </w:rPr>
        <w:t xml:space="preserve">(assessed </w:t>
      </w:r>
      <w:r>
        <w:rPr>
          <w:sz w:val="22"/>
          <w:szCs w:val="22"/>
        </w:rPr>
        <w:t>using Hosmer and Lemeshow</w:t>
      </w:r>
      <w:r w:rsidR="00B32B6C">
        <w:rPr>
          <w:sz w:val="22"/>
          <w:szCs w:val="22"/>
        </w:rPr>
        <w:t xml:space="preserve"> </w:t>
      </w:r>
      <w:r w:rsidR="00B32B6C" w:rsidRPr="00BE2214">
        <w:rPr>
          <w:rStyle w:val="texhtml"/>
          <w:color w:val="202122"/>
          <w:sz w:val="22"/>
          <w:szCs w:val="22"/>
        </w:rPr>
        <w:t>χ</w:t>
      </w:r>
      <w:r w:rsidR="00B32B6C" w:rsidRPr="00BE2214">
        <w:rPr>
          <w:rStyle w:val="texhtml"/>
          <w:color w:val="202122"/>
          <w:sz w:val="22"/>
          <w:szCs w:val="22"/>
          <w:vertAlign w:val="superscript"/>
        </w:rPr>
        <w:t>2</w:t>
      </w:r>
      <w:r>
        <w:rPr>
          <w:sz w:val="22"/>
          <w:szCs w:val="22"/>
        </w:rPr>
        <w:t xml:space="preserve"> test</w:t>
      </w:r>
      <w:r w:rsidR="00E4240C">
        <w:rPr>
          <w:sz w:val="22"/>
          <w:szCs w:val="22"/>
        </w:rPr>
        <w:t>)</w:t>
      </w:r>
      <w:r>
        <w:rPr>
          <w:sz w:val="22"/>
          <w:szCs w:val="22"/>
        </w:rPr>
        <w:t>.</w:t>
      </w:r>
    </w:p>
    <w:p w14:paraId="754B3C2E" w14:textId="77777777" w:rsidR="0017561A" w:rsidRPr="007B5DB3" w:rsidRDefault="0017561A" w:rsidP="0017561A">
      <w:pPr>
        <w:jc w:val="both"/>
        <w:rPr>
          <w:sz w:val="22"/>
          <w:szCs w:val="22"/>
        </w:rPr>
      </w:pPr>
      <w:r>
        <w:rPr>
          <w:sz w:val="22"/>
          <w:szCs w:val="22"/>
        </w:rPr>
        <w:t>Abbreviations:</w:t>
      </w:r>
      <w:r w:rsidRPr="007B5DB3">
        <w:rPr>
          <w:sz w:val="22"/>
          <w:szCs w:val="22"/>
        </w:rPr>
        <w:t xml:space="preserve"> ER</w:t>
      </w:r>
      <w:r>
        <w:rPr>
          <w:sz w:val="22"/>
          <w:szCs w:val="22"/>
        </w:rPr>
        <w:t>:</w:t>
      </w:r>
      <w:r w:rsidRPr="007B5DB3">
        <w:rPr>
          <w:sz w:val="22"/>
          <w:szCs w:val="22"/>
        </w:rPr>
        <w:t xml:space="preserve"> </w:t>
      </w:r>
      <w:r>
        <w:rPr>
          <w:sz w:val="22"/>
          <w:szCs w:val="22"/>
        </w:rPr>
        <w:t>Estrogen</w:t>
      </w:r>
      <w:r w:rsidRPr="007B5DB3">
        <w:rPr>
          <w:sz w:val="22"/>
          <w:szCs w:val="22"/>
        </w:rPr>
        <w:t xml:space="preserve"> receptor; </w:t>
      </w:r>
      <w:r w:rsidRPr="001D5AAC">
        <w:rPr>
          <w:sz w:val="22"/>
          <w:szCs w:val="22"/>
        </w:rPr>
        <w:t>HER2: Human epidermal growth factor receptor 2</w:t>
      </w:r>
      <w:r>
        <w:rPr>
          <w:sz w:val="22"/>
          <w:szCs w:val="22"/>
        </w:rPr>
        <w:t xml:space="preserve">; </w:t>
      </w:r>
      <w:r w:rsidRPr="007B5DB3">
        <w:rPr>
          <w:sz w:val="22"/>
          <w:szCs w:val="22"/>
        </w:rPr>
        <w:t xml:space="preserve">IMD: Index of </w:t>
      </w:r>
      <w:r>
        <w:rPr>
          <w:sz w:val="22"/>
          <w:szCs w:val="22"/>
        </w:rPr>
        <w:t>m</w:t>
      </w:r>
      <w:r w:rsidRPr="007B5DB3">
        <w:rPr>
          <w:sz w:val="22"/>
          <w:szCs w:val="22"/>
        </w:rPr>
        <w:t xml:space="preserve">ultiple </w:t>
      </w:r>
      <w:r>
        <w:rPr>
          <w:sz w:val="22"/>
          <w:szCs w:val="22"/>
        </w:rPr>
        <w:t>d</w:t>
      </w:r>
      <w:r w:rsidRPr="007B5DB3">
        <w:rPr>
          <w:sz w:val="22"/>
          <w:szCs w:val="22"/>
        </w:rPr>
        <w:t>eprivation</w:t>
      </w:r>
      <w:r>
        <w:rPr>
          <w:sz w:val="22"/>
          <w:szCs w:val="22"/>
        </w:rPr>
        <w:t xml:space="preserve"> (income domain)</w:t>
      </w:r>
      <w:r w:rsidRPr="007B5DB3">
        <w:rPr>
          <w:sz w:val="22"/>
          <w:szCs w:val="22"/>
        </w:rPr>
        <w:t xml:space="preserve">; </w:t>
      </w:r>
      <w:r>
        <w:rPr>
          <w:sz w:val="22"/>
          <w:szCs w:val="22"/>
        </w:rPr>
        <w:t xml:space="preserve">LRT: Likelihood ratio test; n: Number; </w:t>
      </w:r>
      <w:r w:rsidRPr="007B5DB3">
        <w:rPr>
          <w:sz w:val="22"/>
          <w:szCs w:val="22"/>
        </w:rPr>
        <w:t xml:space="preserve">MDT: </w:t>
      </w:r>
      <w:r>
        <w:rPr>
          <w:sz w:val="22"/>
          <w:szCs w:val="22"/>
        </w:rPr>
        <w:t>M</w:t>
      </w:r>
      <w:r w:rsidRPr="007B5DB3">
        <w:rPr>
          <w:sz w:val="22"/>
          <w:szCs w:val="22"/>
        </w:rPr>
        <w:t xml:space="preserve">ultidisciplinary </w:t>
      </w:r>
      <w:r>
        <w:rPr>
          <w:sz w:val="22"/>
          <w:szCs w:val="22"/>
        </w:rPr>
        <w:t>t</w:t>
      </w:r>
      <w:r w:rsidRPr="007B5DB3">
        <w:rPr>
          <w:sz w:val="22"/>
          <w:szCs w:val="22"/>
        </w:rPr>
        <w:t>eam; OR</w:t>
      </w:r>
      <w:r>
        <w:rPr>
          <w:sz w:val="22"/>
          <w:szCs w:val="22"/>
        </w:rPr>
        <w:t>:</w:t>
      </w:r>
      <w:r w:rsidRPr="007B5DB3">
        <w:rPr>
          <w:sz w:val="22"/>
          <w:szCs w:val="22"/>
        </w:rPr>
        <w:t xml:space="preserve"> </w:t>
      </w:r>
      <w:r>
        <w:rPr>
          <w:sz w:val="22"/>
          <w:szCs w:val="22"/>
        </w:rPr>
        <w:t>O</w:t>
      </w:r>
      <w:r w:rsidRPr="007B5DB3">
        <w:rPr>
          <w:sz w:val="22"/>
          <w:szCs w:val="22"/>
        </w:rPr>
        <w:t>dds ratio; CI</w:t>
      </w:r>
      <w:r>
        <w:rPr>
          <w:sz w:val="22"/>
          <w:szCs w:val="22"/>
        </w:rPr>
        <w:t>: C</w:t>
      </w:r>
      <w:r w:rsidRPr="007B5DB3">
        <w:rPr>
          <w:sz w:val="22"/>
          <w:szCs w:val="22"/>
        </w:rPr>
        <w:t>onfidence interval.</w:t>
      </w:r>
    </w:p>
    <w:p w14:paraId="15069A95" w14:textId="77777777" w:rsidR="0017561A" w:rsidRDefault="0017561A" w:rsidP="00EB2F6F">
      <w:pPr>
        <w:spacing w:line="360" w:lineRule="auto"/>
        <w:rPr>
          <w:rFonts w:eastAsiaTheme="minorHAnsi"/>
          <w:color w:val="000000"/>
          <w:sz w:val="22"/>
          <w:szCs w:val="22"/>
          <w:lang w:eastAsia="en-US"/>
        </w:rPr>
      </w:pPr>
    </w:p>
    <w:p w14:paraId="1EA7C489" w14:textId="77777777" w:rsidR="0017561A" w:rsidRDefault="0017561A" w:rsidP="00EB2F6F">
      <w:pPr>
        <w:spacing w:line="360" w:lineRule="auto"/>
        <w:rPr>
          <w:rFonts w:eastAsiaTheme="minorHAnsi"/>
          <w:color w:val="000000"/>
          <w:sz w:val="22"/>
          <w:szCs w:val="22"/>
          <w:lang w:eastAsia="en-US"/>
        </w:rPr>
      </w:pPr>
    </w:p>
    <w:p w14:paraId="4B08DC11" w14:textId="77777777" w:rsidR="0017561A" w:rsidRDefault="0017561A" w:rsidP="00EB2F6F">
      <w:pPr>
        <w:spacing w:line="360" w:lineRule="auto"/>
        <w:rPr>
          <w:rFonts w:eastAsiaTheme="minorHAnsi"/>
          <w:color w:val="000000"/>
          <w:sz w:val="22"/>
          <w:szCs w:val="22"/>
          <w:lang w:eastAsia="en-US"/>
        </w:rPr>
      </w:pPr>
    </w:p>
    <w:p w14:paraId="294AC96C" w14:textId="77777777" w:rsidR="0017561A" w:rsidRDefault="0017561A" w:rsidP="00EB2F6F">
      <w:pPr>
        <w:spacing w:line="360" w:lineRule="auto"/>
        <w:rPr>
          <w:rFonts w:eastAsiaTheme="minorHAnsi"/>
          <w:color w:val="000000"/>
          <w:sz w:val="22"/>
          <w:szCs w:val="22"/>
          <w:lang w:eastAsia="en-US"/>
        </w:rPr>
      </w:pPr>
    </w:p>
    <w:p w14:paraId="7DB1E095" w14:textId="77777777" w:rsidR="0017561A" w:rsidRDefault="0017561A" w:rsidP="00EB2F6F">
      <w:pPr>
        <w:spacing w:line="360" w:lineRule="auto"/>
        <w:rPr>
          <w:rFonts w:eastAsiaTheme="minorHAnsi"/>
          <w:color w:val="000000"/>
          <w:sz w:val="22"/>
          <w:szCs w:val="22"/>
          <w:lang w:eastAsia="en-US"/>
        </w:rPr>
      </w:pPr>
    </w:p>
    <w:p w14:paraId="5C4E9B1C" w14:textId="77777777" w:rsidR="0017561A" w:rsidRDefault="0017561A" w:rsidP="00EB2F6F">
      <w:pPr>
        <w:spacing w:line="360" w:lineRule="auto"/>
        <w:rPr>
          <w:rFonts w:eastAsiaTheme="minorHAnsi"/>
          <w:color w:val="000000"/>
          <w:sz w:val="22"/>
          <w:szCs w:val="22"/>
          <w:lang w:eastAsia="en-US"/>
        </w:rPr>
      </w:pPr>
    </w:p>
    <w:p w14:paraId="1FF75FB1" w14:textId="77777777" w:rsidR="0017561A" w:rsidRDefault="0017561A" w:rsidP="00EB2F6F">
      <w:pPr>
        <w:spacing w:line="360" w:lineRule="auto"/>
        <w:rPr>
          <w:rFonts w:eastAsiaTheme="minorHAnsi"/>
          <w:color w:val="000000"/>
          <w:sz w:val="22"/>
          <w:szCs w:val="22"/>
          <w:lang w:eastAsia="en-US"/>
        </w:rPr>
      </w:pPr>
    </w:p>
    <w:p w14:paraId="6079E926" w14:textId="77777777" w:rsidR="0017561A" w:rsidRDefault="0017561A" w:rsidP="00EB2F6F">
      <w:pPr>
        <w:spacing w:line="360" w:lineRule="auto"/>
        <w:rPr>
          <w:rFonts w:eastAsiaTheme="minorHAnsi"/>
          <w:color w:val="000000"/>
          <w:sz w:val="22"/>
          <w:szCs w:val="22"/>
          <w:lang w:eastAsia="en-US"/>
        </w:rPr>
      </w:pPr>
    </w:p>
    <w:p w14:paraId="7EE2296D" w14:textId="77777777" w:rsidR="0017561A" w:rsidRDefault="0017561A" w:rsidP="00EB2F6F">
      <w:pPr>
        <w:spacing w:line="360" w:lineRule="auto"/>
        <w:rPr>
          <w:rFonts w:eastAsiaTheme="minorHAnsi"/>
          <w:color w:val="000000"/>
          <w:sz w:val="22"/>
          <w:szCs w:val="22"/>
          <w:lang w:eastAsia="en-US"/>
        </w:rPr>
      </w:pPr>
    </w:p>
    <w:p w14:paraId="251B368A" w14:textId="77777777" w:rsidR="0017561A" w:rsidRDefault="0017561A" w:rsidP="00EB2F6F">
      <w:pPr>
        <w:spacing w:line="360" w:lineRule="auto"/>
        <w:rPr>
          <w:rFonts w:eastAsiaTheme="minorHAnsi"/>
          <w:color w:val="000000"/>
          <w:sz w:val="22"/>
          <w:szCs w:val="22"/>
          <w:lang w:eastAsia="en-US"/>
        </w:rPr>
      </w:pPr>
    </w:p>
    <w:p w14:paraId="14E22201" w14:textId="77777777" w:rsidR="0017561A" w:rsidRDefault="0017561A" w:rsidP="00EB2F6F">
      <w:pPr>
        <w:spacing w:line="360" w:lineRule="auto"/>
        <w:rPr>
          <w:rFonts w:eastAsiaTheme="minorHAnsi"/>
          <w:color w:val="000000"/>
          <w:sz w:val="22"/>
          <w:szCs w:val="22"/>
          <w:lang w:eastAsia="en-US"/>
        </w:rPr>
      </w:pPr>
    </w:p>
    <w:p w14:paraId="7FF6419F" w14:textId="77777777" w:rsidR="0017561A" w:rsidRDefault="0017561A" w:rsidP="00EB2F6F">
      <w:pPr>
        <w:spacing w:line="360" w:lineRule="auto"/>
        <w:rPr>
          <w:rFonts w:eastAsiaTheme="minorHAnsi"/>
          <w:color w:val="000000"/>
          <w:sz w:val="22"/>
          <w:szCs w:val="22"/>
          <w:lang w:eastAsia="en-US"/>
        </w:rPr>
      </w:pPr>
    </w:p>
    <w:p w14:paraId="4E29F991" w14:textId="77777777" w:rsidR="0017561A" w:rsidRDefault="0017561A" w:rsidP="00EB2F6F">
      <w:pPr>
        <w:spacing w:line="360" w:lineRule="auto"/>
        <w:rPr>
          <w:rFonts w:eastAsiaTheme="minorHAnsi"/>
          <w:color w:val="000000"/>
          <w:sz w:val="22"/>
          <w:szCs w:val="22"/>
          <w:lang w:eastAsia="en-US"/>
        </w:rPr>
      </w:pPr>
    </w:p>
    <w:p w14:paraId="0D37AD23" w14:textId="77777777" w:rsidR="0017561A" w:rsidRDefault="0017561A" w:rsidP="00EB2F6F">
      <w:pPr>
        <w:spacing w:line="360" w:lineRule="auto"/>
        <w:rPr>
          <w:rFonts w:eastAsiaTheme="minorHAnsi"/>
          <w:color w:val="000000"/>
          <w:sz w:val="22"/>
          <w:szCs w:val="22"/>
          <w:lang w:eastAsia="en-US"/>
        </w:rPr>
      </w:pPr>
    </w:p>
    <w:p w14:paraId="128BE9F3" w14:textId="77777777" w:rsidR="0017561A" w:rsidRPr="007B5DB3" w:rsidRDefault="0017561A" w:rsidP="0017561A">
      <w:pPr>
        <w:jc w:val="both"/>
        <w:rPr>
          <w:sz w:val="22"/>
          <w:szCs w:val="22"/>
        </w:rPr>
      </w:pPr>
      <w:r w:rsidRPr="00940DA7">
        <w:rPr>
          <w:b/>
          <w:bCs/>
          <w:sz w:val="22"/>
          <w:szCs w:val="22"/>
        </w:rPr>
        <w:t xml:space="preserve">Table </w:t>
      </w:r>
      <w:r>
        <w:rPr>
          <w:b/>
          <w:bCs/>
          <w:sz w:val="22"/>
          <w:szCs w:val="22"/>
        </w:rPr>
        <w:t>3</w:t>
      </w:r>
      <w:r w:rsidRPr="007B5DB3">
        <w:rPr>
          <w:sz w:val="22"/>
          <w:szCs w:val="22"/>
        </w:rPr>
        <w:t xml:space="preserve"> </w:t>
      </w:r>
      <w:r>
        <w:rPr>
          <w:sz w:val="22"/>
          <w:szCs w:val="22"/>
        </w:rPr>
        <w:t xml:space="preserve">Metastatic Disease: </w:t>
      </w:r>
      <w:r w:rsidRPr="007B5DB3">
        <w:rPr>
          <w:sz w:val="22"/>
          <w:szCs w:val="22"/>
        </w:rPr>
        <w:t xml:space="preserve">Likelihood (OR with 95% CI and p values from logistic regression) of </w:t>
      </w:r>
      <w:r>
        <w:rPr>
          <w:sz w:val="22"/>
          <w:szCs w:val="22"/>
        </w:rPr>
        <w:t>receiving</w:t>
      </w:r>
      <w:r w:rsidRPr="007B5DB3">
        <w:rPr>
          <w:sz w:val="22"/>
          <w:szCs w:val="22"/>
        </w:rPr>
        <w:t xml:space="preserve"> trastuzumab by deprivation and adjusted for</w:t>
      </w:r>
      <w:r>
        <w:rPr>
          <w:sz w:val="22"/>
          <w:szCs w:val="22"/>
        </w:rPr>
        <w:t>:</w:t>
      </w:r>
      <w:r w:rsidRPr="007B5DB3">
        <w:rPr>
          <w:sz w:val="22"/>
          <w:szCs w:val="22"/>
        </w:rPr>
        <w:t xml:space="preserve"> age, </w:t>
      </w:r>
      <w:r>
        <w:rPr>
          <w:sz w:val="22"/>
          <w:szCs w:val="22"/>
        </w:rPr>
        <w:t xml:space="preserve">ethnicity, </w:t>
      </w:r>
      <w:r w:rsidRPr="007B5DB3">
        <w:rPr>
          <w:sz w:val="22"/>
          <w:szCs w:val="22"/>
        </w:rPr>
        <w:t xml:space="preserve">rural/urban </w:t>
      </w:r>
      <w:r>
        <w:rPr>
          <w:sz w:val="22"/>
          <w:szCs w:val="22"/>
        </w:rPr>
        <w:t>residence</w:t>
      </w:r>
      <w:r w:rsidRPr="007B5DB3">
        <w:rPr>
          <w:sz w:val="22"/>
          <w:szCs w:val="22"/>
        </w:rPr>
        <w:t xml:space="preserve">, government region, </w:t>
      </w:r>
      <w:r>
        <w:rPr>
          <w:sz w:val="22"/>
          <w:szCs w:val="22"/>
        </w:rPr>
        <w:t>grade, whether received surgery</w:t>
      </w:r>
      <w:r w:rsidRPr="007B5DB3">
        <w:rPr>
          <w:sz w:val="22"/>
          <w:szCs w:val="22"/>
        </w:rPr>
        <w:t>,</w:t>
      </w:r>
      <w:r>
        <w:rPr>
          <w:sz w:val="22"/>
          <w:szCs w:val="22"/>
        </w:rPr>
        <w:t xml:space="preserve"> ER status,</w:t>
      </w:r>
      <w:r w:rsidRPr="007B5DB3">
        <w:rPr>
          <w:sz w:val="22"/>
          <w:szCs w:val="22"/>
        </w:rPr>
        <w:t xml:space="preserve"> comorbidities</w:t>
      </w:r>
      <w:r>
        <w:rPr>
          <w:sz w:val="22"/>
          <w:szCs w:val="22"/>
        </w:rPr>
        <w:t xml:space="preserve">, </w:t>
      </w:r>
      <w:r w:rsidRPr="007B5DB3">
        <w:rPr>
          <w:sz w:val="22"/>
          <w:szCs w:val="22"/>
        </w:rPr>
        <w:t>whether discussed at MDT</w:t>
      </w:r>
      <w:r>
        <w:rPr>
          <w:sz w:val="22"/>
          <w:szCs w:val="22"/>
        </w:rPr>
        <w:t xml:space="preserve">, and diagnosis year </w:t>
      </w:r>
      <w:r w:rsidRPr="007B5DB3">
        <w:rPr>
          <w:sz w:val="22"/>
          <w:szCs w:val="22"/>
        </w:rPr>
        <w:t xml:space="preserve">for women with </w:t>
      </w:r>
      <w:r>
        <w:rPr>
          <w:sz w:val="22"/>
          <w:szCs w:val="22"/>
        </w:rPr>
        <w:t xml:space="preserve">stage IV </w:t>
      </w:r>
      <w:r w:rsidRPr="007B5DB3">
        <w:rPr>
          <w:sz w:val="22"/>
          <w:szCs w:val="22"/>
        </w:rPr>
        <w:t>HER2+ breast cancer diagnosed between 01/01/2012</w:t>
      </w:r>
      <w:r>
        <w:rPr>
          <w:sz w:val="22"/>
          <w:szCs w:val="22"/>
        </w:rPr>
        <w:t xml:space="preserve"> - </w:t>
      </w:r>
      <w:r w:rsidRPr="007B5DB3">
        <w:rPr>
          <w:sz w:val="22"/>
          <w:szCs w:val="22"/>
        </w:rPr>
        <w:t xml:space="preserve">31/12/2017 (n = </w:t>
      </w:r>
      <w:r>
        <w:rPr>
          <w:sz w:val="22"/>
          <w:szCs w:val="22"/>
        </w:rPr>
        <w:t>2,369</w:t>
      </w:r>
      <w:r w:rsidRPr="007B5DB3">
        <w:rPr>
          <w:sz w:val="22"/>
          <w:szCs w:val="22"/>
        </w:rPr>
        <w:t>)</w:t>
      </w:r>
    </w:p>
    <w:p w14:paraId="1C9ABE7C" w14:textId="77777777" w:rsidR="0017561A" w:rsidRPr="005F161F" w:rsidRDefault="0017561A" w:rsidP="0017561A">
      <w:pPr>
        <w:jc w:val="both"/>
        <w:rPr>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417"/>
        <w:gridCol w:w="1418"/>
        <w:gridCol w:w="992"/>
        <w:gridCol w:w="709"/>
        <w:gridCol w:w="1417"/>
        <w:gridCol w:w="992"/>
        <w:gridCol w:w="709"/>
        <w:gridCol w:w="1418"/>
        <w:gridCol w:w="992"/>
      </w:tblGrid>
      <w:tr w:rsidR="0017561A" w:rsidRPr="00842867" w14:paraId="5E238DA5" w14:textId="77777777" w:rsidTr="004E0520">
        <w:trPr>
          <w:jc w:val="center"/>
        </w:trPr>
        <w:tc>
          <w:tcPr>
            <w:tcW w:w="3823" w:type="dxa"/>
            <w:tcBorders>
              <w:top w:val="single" w:sz="4" w:space="0" w:color="auto"/>
            </w:tcBorders>
          </w:tcPr>
          <w:p w14:paraId="778A5F27" w14:textId="77777777" w:rsidR="0017561A" w:rsidRPr="007C6648" w:rsidRDefault="0017561A" w:rsidP="004E0520">
            <w:pPr>
              <w:rPr>
                <w:sz w:val="20"/>
                <w:szCs w:val="20"/>
              </w:rPr>
            </w:pPr>
          </w:p>
        </w:tc>
        <w:tc>
          <w:tcPr>
            <w:tcW w:w="1417" w:type="dxa"/>
            <w:tcBorders>
              <w:top w:val="single" w:sz="4" w:space="0" w:color="auto"/>
            </w:tcBorders>
          </w:tcPr>
          <w:p w14:paraId="12715FA5" w14:textId="77777777" w:rsidR="0017561A" w:rsidRPr="007C6648" w:rsidRDefault="0017561A" w:rsidP="004E0520">
            <w:pPr>
              <w:rPr>
                <w:sz w:val="20"/>
                <w:szCs w:val="20"/>
              </w:rPr>
            </w:pPr>
          </w:p>
        </w:tc>
        <w:tc>
          <w:tcPr>
            <w:tcW w:w="1418" w:type="dxa"/>
            <w:tcBorders>
              <w:top w:val="single" w:sz="4" w:space="0" w:color="auto"/>
            </w:tcBorders>
          </w:tcPr>
          <w:p w14:paraId="226EF5D0" w14:textId="77777777" w:rsidR="0017561A" w:rsidRPr="007C6648" w:rsidRDefault="0017561A" w:rsidP="004E0520">
            <w:pPr>
              <w:rPr>
                <w:sz w:val="20"/>
                <w:szCs w:val="20"/>
              </w:rPr>
            </w:pPr>
          </w:p>
        </w:tc>
        <w:tc>
          <w:tcPr>
            <w:tcW w:w="992" w:type="dxa"/>
            <w:tcBorders>
              <w:top w:val="single" w:sz="4" w:space="0" w:color="auto"/>
            </w:tcBorders>
          </w:tcPr>
          <w:p w14:paraId="15D9013C" w14:textId="77777777" w:rsidR="0017561A" w:rsidRPr="00AB4B54" w:rsidRDefault="0017561A" w:rsidP="004E0520">
            <w:pPr>
              <w:rPr>
                <w:sz w:val="20"/>
                <w:szCs w:val="20"/>
              </w:rPr>
            </w:pPr>
          </w:p>
        </w:tc>
        <w:tc>
          <w:tcPr>
            <w:tcW w:w="3118" w:type="dxa"/>
            <w:gridSpan w:val="3"/>
            <w:tcBorders>
              <w:top w:val="single" w:sz="4" w:space="0" w:color="auto"/>
            </w:tcBorders>
          </w:tcPr>
          <w:p w14:paraId="41111803" w14:textId="77777777" w:rsidR="0017561A" w:rsidRPr="001A1402" w:rsidRDefault="0017561A" w:rsidP="004E0520">
            <w:pPr>
              <w:rPr>
                <w:b/>
                <w:bCs/>
                <w:sz w:val="10"/>
                <w:szCs w:val="10"/>
              </w:rPr>
            </w:pPr>
          </w:p>
          <w:p w14:paraId="47D3144A" w14:textId="77777777" w:rsidR="0017561A" w:rsidRDefault="0017561A" w:rsidP="004E0520">
            <w:pPr>
              <w:rPr>
                <w:b/>
                <w:bCs/>
                <w:sz w:val="20"/>
                <w:szCs w:val="20"/>
              </w:rPr>
            </w:pPr>
            <w:r w:rsidRPr="00842867">
              <w:rPr>
                <w:b/>
                <w:bCs/>
                <w:sz w:val="20"/>
                <w:szCs w:val="20"/>
              </w:rPr>
              <w:t>Unadjusted</w:t>
            </w:r>
          </w:p>
          <w:p w14:paraId="07BE35A0" w14:textId="77777777" w:rsidR="0017561A" w:rsidRPr="001A1402" w:rsidRDefault="0017561A" w:rsidP="004E0520">
            <w:pPr>
              <w:rPr>
                <w:b/>
                <w:bCs/>
                <w:sz w:val="10"/>
                <w:szCs w:val="10"/>
              </w:rPr>
            </w:pPr>
          </w:p>
        </w:tc>
        <w:tc>
          <w:tcPr>
            <w:tcW w:w="3119" w:type="dxa"/>
            <w:gridSpan w:val="3"/>
            <w:tcBorders>
              <w:top w:val="single" w:sz="4" w:space="0" w:color="auto"/>
            </w:tcBorders>
          </w:tcPr>
          <w:p w14:paraId="271BED54" w14:textId="77777777" w:rsidR="0017561A" w:rsidRPr="001A1402" w:rsidRDefault="0017561A" w:rsidP="004E0520">
            <w:pPr>
              <w:rPr>
                <w:b/>
                <w:bCs/>
                <w:sz w:val="10"/>
                <w:szCs w:val="10"/>
              </w:rPr>
            </w:pPr>
          </w:p>
          <w:p w14:paraId="756C7DD0" w14:textId="77777777" w:rsidR="0017561A" w:rsidRPr="00842867" w:rsidRDefault="0017561A" w:rsidP="004E0520">
            <w:pPr>
              <w:rPr>
                <w:b/>
                <w:bCs/>
                <w:sz w:val="20"/>
                <w:szCs w:val="20"/>
              </w:rPr>
            </w:pPr>
            <w:r w:rsidRPr="00842867">
              <w:rPr>
                <w:b/>
                <w:bCs/>
                <w:sz w:val="20"/>
                <w:szCs w:val="20"/>
              </w:rPr>
              <w:t>Adjusted</w:t>
            </w:r>
          </w:p>
        </w:tc>
      </w:tr>
      <w:tr w:rsidR="0017561A" w:rsidRPr="00AB4B54" w14:paraId="2322B964" w14:textId="77777777" w:rsidTr="004E0520">
        <w:trPr>
          <w:jc w:val="center"/>
        </w:trPr>
        <w:tc>
          <w:tcPr>
            <w:tcW w:w="3823" w:type="dxa"/>
            <w:tcBorders>
              <w:bottom w:val="single" w:sz="4" w:space="0" w:color="auto"/>
            </w:tcBorders>
          </w:tcPr>
          <w:p w14:paraId="14FDE12A" w14:textId="77777777" w:rsidR="0017561A" w:rsidRPr="007C6648" w:rsidRDefault="0017561A" w:rsidP="004E0520">
            <w:pPr>
              <w:rPr>
                <w:sz w:val="20"/>
                <w:szCs w:val="20"/>
              </w:rPr>
            </w:pPr>
          </w:p>
        </w:tc>
        <w:tc>
          <w:tcPr>
            <w:tcW w:w="1417" w:type="dxa"/>
            <w:tcBorders>
              <w:bottom w:val="single" w:sz="4" w:space="0" w:color="auto"/>
            </w:tcBorders>
          </w:tcPr>
          <w:p w14:paraId="6AB3C326" w14:textId="77777777" w:rsidR="0017561A" w:rsidRDefault="0017561A" w:rsidP="004E0520">
            <w:pPr>
              <w:rPr>
                <w:sz w:val="20"/>
                <w:szCs w:val="20"/>
              </w:rPr>
            </w:pPr>
            <w:r w:rsidRPr="007C6648">
              <w:rPr>
                <w:sz w:val="20"/>
                <w:szCs w:val="20"/>
              </w:rPr>
              <w:t>N</w:t>
            </w:r>
            <w:r>
              <w:rPr>
                <w:sz w:val="20"/>
                <w:szCs w:val="20"/>
              </w:rPr>
              <w:t>umber</w:t>
            </w:r>
            <w:r w:rsidRPr="007C6648">
              <w:rPr>
                <w:sz w:val="20"/>
                <w:szCs w:val="20"/>
              </w:rPr>
              <w:t xml:space="preserve"> (%) </w:t>
            </w:r>
            <w:r>
              <w:rPr>
                <w:sz w:val="20"/>
                <w:szCs w:val="20"/>
              </w:rPr>
              <w:t>receiving</w:t>
            </w:r>
          </w:p>
          <w:p w14:paraId="0D52802B" w14:textId="77777777" w:rsidR="0017561A" w:rsidRDefault="0017561A" w:rsidP="004E0520">
            <w:pPr>
              <w:rPr>
                <w:sz w:val="20"/>
                <w:szCs w:val="20"/>
              </w:rPr>
            </w:pPr>
            <w:r w:rsidRPr="007C6648">
              <w:rPr>
                <w:sz w:val="20"/>
                <w:szCs w:val="20"/>
              </w:rPr>
              <w:t>Trastuzumab</w:t>
            </w:r>
          </w:p>
          <w:p w14:paraId="310BB2A9" w14:textId="77777777" w:rsidR="0017561A" w:rsidRPr="007C6648" w:rsidRDefault="0017561A" w:rsidP="004E0520">
            <w:pPr>
              <w:rPr>
                <w:sz w:val="20"/>
                <w:szCs w:val="20"/>
              </w:rPr>
            </w:pPr>
            <w:r>
              <w:rPr>
                <w:sz w:val="20"/>
                <w:szCs w:val="20"/>
              </w:rPr>
              <w:t>n = 1,062 (44.83)</w:t>
            </w:r>
          </w:p>
        </w:tc>
        <w:tc>
          <w:tcPr>
            <w:tcW w:w="1418" w:type="dxa"/>
            <w:tcBorders>
              <w:bottom w:val="single" w:sz="4" w:space="0" w:color="auto"/>
            </w:tcBorders>
          </w:tcPr>
          <w:p w14:paraId="28D1CA59" w14:textId="77777777" w:rsidR="0017561A" w:rsidRDefault="0017561A" w:rsidP="004E0520">
            <w:pPr>
              <w:rPr>
                <w:sz w:val="20"/>
                <w:szCs w:val="20"/>
              </w:rPr>
            </w:pPr>
            <w:r w:rsidRPr="007C6648">
              <w:rPr>
                <w:sz w:val="20"/>
                <w:szCs w:val="20"/>
              </w:rPr>
              <w:t xml:space="preserve">Number (%) </w:t>
            </w:r>
            <w:r>
              <w:rPr>
                <w:sz w:val="20"/>
                <w:szCs w:val="20"/>
              </w:rPr>
              <w:t>n</w:t>
            </w:r>
            <w:r w:rsidRPr="007C6648">
              <w:rPr>
                <w:sz w:val="20"/>
                <w:szCs w:val="20"/>
              </w:rPr>
              <w:t xml:space="preserve">ot </w:t>
            </w:r>
            <w:r>
              <w:rPr>
                <w:sz w:val="20"/>
                <w:szCs w:val="20"/>
              </w:rPr>
              <w:t>receiving</w:t>
            </w:r>
            <w:r w:rsidRPr="007C6648">
              <w:rPr>
                <w:sz w:val="20"/>
                <w:szCs w:val="20"/>
              </w:rPr>
              <w:t xml:space="preserve"> Trastuzumab</w:t>
            </w:r>
          </w:p>
          <w:p w14:paraId="134C80B7" w14:textId="77777777" w:rsidR="0017561A" w:rsidRDefault="0017561A" w:rsidP="004E0520">
            <w:pPr>
              <w:rPr>
                <w:sz w:val="20"/>
                <w:szCs w:val="20"/>
              </w:rPr>
            </w:pPr>
            <w:r>
              <w:rPr>
                <w:sz w:val="20"/>
                <w:szCs w:val="20"/>
              </w:rPr>
              <w:t>n = 1,307 (55.17)</w:t>
            </w:r>
          </w:p>
          <w:p w14:paraId="78F2B1C9" w14:textId="77777777" w:rsidR="0017561A" w:rsidRPr="001A1402" w:rsidRDefault="0017561A" w:rsidP="004E0520">
            <w:pPr>
              <w:rPr>
                <w:sz w:val="10"/>
                <w:szCs w:val="10"/>
              </w:rPr>
            </w:pPr>
          </w:p>
        </w:tc>
        <w:tc>
          <w:tcPr>
            <w:tcW w:w="992" w:type="dxa"/>
            <w:tcBorders>
              <w:bottom w:val="single" w:sz="4" w:space="0" w:color="auto"/>
            </w:tcBorders>
          </w:tcPr>
          <w:p w14:paraId="119B6CE6" w14:textId="77777777" w:rsidR="0017561A" w:rsidRPr="00AB4B54" w:rsidRDefault="0017561A" w:rsidP="004E0520">
            <w:pPr>
              <w:rPr>
                <w:sz w:val="20"/>
                <w:szCs w:val="20"/>
              </w:rPr>
            </w:pPr>
            <w:r w:rsidRPr="00AB4B54">
              <w:rPr>
                <w:sz w:val="20"/>
                <w:szCs w:val="20"/>
              </w:rPr>
              <w:t>P Value</w:t>
            </w:r>
            <w:r>
              <w:rPr>
                <w:sz w:val="20"/>
                <w:szCs w:val="20"/>
                <w:vertAlign w:val="superscript"/>
              </w:rPr>
              <w:t>a</w:t>
            </w:r>
          </w:p>
        </w:tc>
        <w:tc>
          <w:tcPr>
            <w:tcW w:w="709" w:type="dxa"/>
            <w:tcBorders>
              <w:bottom w:val="single" w:sz="4" w:space="0" w:color="auto"/>
            </w:tcBorders>
          </w:tcPr>
          <w:p w14:paraId="12AD7738" w14:textId="77777777" w:rsidR="0017561A" w:rsidRPr="007C6648" w:rsidRDefault="0017561A" w:rsidP="004E0520">
            <w:pPr>
              <w:rPr>
                <w:sz w:val="20"/>
                <w:szCs w:val="20"/>
              </w:rPr>
            </w:pPr>
            <w:r w:rsidRPr="007C6648">
              <w:rPr>
                <w:sz w:val="20"/>
                <w:szCs w:val="20"/>
              </w:rPr>
              <w:t>OR</w:t>
            </w:r>
          </w:p>
        </w:tc>
        <w:tc>
          <w:tcPr>
            <w:tcW w:w="1417" w:type="dxa"/>
            <w:tcBorders>
              <w:bottom w:val="single" w:sz="4" w:space="0" w:color="auto"/>
            </w:tcBorders>
          </w:tcPr>
          <w:p w14:paraId="23C353A5" w14:textId="77777777" w:rsidR="0017561A" w:rsidRPr="007C6648" w:rsidRDefault="0017561A" w:rsidP="004E0520">
            <w:pPr>
              <w:rPr>
                <w:sz w:val="20"/>
                <w:szCs w:val="20"/>
              </w:rPr>
            </w:pPr>
            <w:r w:rsidRPr="007C6648">
              <w:rPr>
                <w:sz w:val="20"/>
                <w:szCs w:val="20"/>
              </w:rPr>
              <w:t>95% CI</w:t>
            </w:r>
          </w:p>
        </w:tc>
        <w:tc>
          <w:tcPr>
            <w:tcW w:w="992" w:type="dxa"/>
            <w:tcBorders>
              <w:bottom w:val="single" w:sz="4" w:space="0" w:color="auto"/>
            </w:tcBorders>
          </w:tcPr>
          <w:p w14:paraId="176CB28B" w14:textId="77777777" w:rsidR="0017561A" w:rsidRPr="00AB4B54" w:rsidRDefault="0017561A" w:rsidP="004E0520">
            <w:pPr>
              <w:rPr>
                <w:sz w:val="20"/>
                <w:szCs w:val="20"/>
              </w:rPr>
            </w:pPr>
            <w:r w:rsidRPr="00AB4B54">
              <w:rPr>
                <w:sz w:val="20"/>
                <w:szCs w:val="20"/>
              </w:rPr>
              <w:t>P Value</w:t>
            </w:r>
            <w:r>
              <w:rPr>
                <w:sz w:val="20"/>
                <w:szCs w:val="20"/>
                <w:vertAlign w:val="superscript"/>
              </w:rPr>
              <w:t>b</w:t>
            </w:r>
          </w:p>
        </w:tc>
        <w:tc>
          <w:tcPr>
            <w:tcW w:w="709" w:type="dxa"/>
            <w:tcBorders>
              <w:bottom w:val="single" w:sz="4" w:space="0" w:color="auto"/>
            </w:tcBorders>
          </w:tcPr>
          <w:p w14:paraId="400A2A8E" w14:textId="77777777" w:rsidR="0017561A" w:rsidRPr="007C6648" w:rsidRDefault="0017561A" w:rsidP="004E0520">
            <w:pPr>
              <w:rPr>
                <w:sz w:val="20"/>
                <w:szCs w:val="20"/>
              </w:rPr>
            </w:pPr>
            <w:r w:rsidRPr="007C6648">
              <w:rPr>
                <w:sz w:val="20"/>
                <w:szCs w:val="20"/>
              </w:rPr>
              <w:t>OR</w:t>
            </w:r>
          </w:p>
        </w:tc>
        <w:tc>
          <w:tcPr>
            <w:tcW w:w="1418" w:type="dxa"/>
            <w:tcBorders>
              <w:bottom w:val="single" w:sz="4" w:space="0" w:color="auto"/>
            </w:tcBorders>
          </w:tcPr>
          <w:p w14:paraId="610F5BEE" w14:textId="77777777" w:rsidR="0017561A" w:rsidRPr="007C6648" w:rsidRDefault="0017561A" w:rsidP="004E0520">
            <w:pPr>
              <w:rPr>
                <w:sz w:val="20"/>
                <w:szCs w:val="20"/>
              </w:rPr>
            </w:pPr>
            <w:r w:rsidRPr="007C6648">
              <w:rPr>
                <w:sz w:val="20"/>
                <w:szCs w:val="20"/>
              </w:rPr>
              <w:t>95% CI</w:t>
            </w:r>
          </w:p>
        </w:tc>
        <w:tc>
          <w:tcPr>
            <w:tcW w:w="992" w:type="dxa"/>
            <w:tcBorders>
              <w:bottom w:val="single" w:sz="4" w:space="0" w:color="auto"/>
            </w:tcBorders>
          </w:tcPr>
          <w:p w14:paraId="2546AB34" w14:textId="77777777" w:rsidR="0017561A" w:rsidRPr="00AB4B54" w:rsidRDefault="0017561A" w:rsidP="004E0520">
            <w:pPr>
              <w:rPr>
                <w:sz w:val="20"/>
                <w:szCs w:val="20"/>
              </w:rPr>
            </w:pPr>
            <w:r w:rsidRPr="00AB4B54">
              <w:rPr>
                <w:sz w:val="20"/>
                <w:szCs w:val="20"/>
              </w:rPr>
              <w:t>P Value</w:t>
            </w:r>
            <w:r>
              <w:rPr>
                <w:sz w:val="20"/>
                <w:szCs w:val="20"/>
                <w:vertAlign w:val="superscript"/>
              </w:rPr>
              <w:t>b</w:t>
            </w:r>
          </w:p>
        </w:tc>
      </w:tr>
      <w:tr w:rsidR="0017561A" w:rsidRPr="000E6139" w14:paraId="4F7129D7" w14:textId="77777777" w:rsidTr="004E0520">
        <w:trPr>
          <w:jc w:val="center"/>
        </w:trPr>
        <w:tc>
          <w:tcPr>
            <w:tcW w:w="3823" w:type="dxa"/>
            <w:tcBorders>
              <w:top w:val="single" w:sz="4" w:space="0" w:color="auto"/>
            </w:tcBorders>
          </w:tcPr>
          <w:p w14:paraId="062F0075" w14:textId="77777777" w:rsidR="0017561A" w:rsidRPr="00192CCA" w:rsidRDefault="0017561A" w:rsidP="004E0520">
            <w:pPr>
              <w:rPr>
                <w:b/>
                <w:bCs/>
                <w:sz w:val="20"/>
                <w:szCs w:val="20"/>
              </w:rPr>
            </w:pPr>
          </w:p>
          <w:p w14:paraId="543134C9" w14:textId="77777777" w:rsidR="0017561A" w:rsidRPr="00192CCA" w:rsidRDefault="0017561A" w:rsidP="004E0520">
            <w:pPr>
              <w:rPr>
                <w:sz w:val="20"/>
                <w:szCs w:val="20"/>
              </w:rPr>
            </w:pPr>
            <w:r>
              <w:rPr>
                <w:b/>
                <w:bCs/>
                <w:sz w:val="20"/>
                <w:szCs w:val="20"/>
              </w:rPr>
              <w:t>Deprivation</w:t>
            </w:r>
            <w:r>
              <w:rPr>
                <w:b/>
                <w:bCs/>
                <w:sz w:val="20"/>
                <w:szCs w:val="20"/>
                <w:vertAlign w:val="superscript"/>
              </w:rPr>
              <w:t>c</w:t>
            </w:r>
          </w:p>
        </w:tc>
        <w:tc>
          <w:tcPr>
            <w:tcW w:w="1417" w:type="dxa"/>
            <w:tcBorders>
              <w:top w:val="single" w:sz="4" w:space="0" w:color="auto"/>
            </w:tcBorders>
          </w:tcPr>
          <w:p w14:paraId="7EC2EA44" w14:textId="77777777" w:rsidR="0017561A" w:rsidRPr="00192CCA" w:rsidRDefault="0017561A" w:rsidP="004E0520">
            <w:pPr>
              <w:rPr>
                <w:sz w:val="20"/>
                <w:szCs w:val="20"/>
              </w:rPr>
            </w:pPr>
          </w:p>
        </w:tc>
        <w:tc>
          <w:tcPr>
            <w:tcW w:w="1418" w:type="dxa"/>
            <w:tcBorders>
              <w:top w:val="single" w:sz="4" w:space="0" w:color="auto"/>
            </w:tcBorders>
          </w:tcPr>
          <w:p w14:paraId="16A23E72" w14:textId="77777777" w:rsidR="0017561A" w:rsidRPr="00192CCA" w:rsidRDefault="0017561A" w:rsidP="004E0520">
            <w:pPr>
              <w:rPr>
                <w:sz w:val="20"/>
                <w:szCs w:val="20"/>
              </w:rPr>
            </w:pPr>
          </w:p>
        </w:tc>
        <w:tc>
          <w:tcPr>
            <w:tcW w:w="992" w:type="dxa"/>
            <w:tcBorders>
              <w:top w:val="single" w:sz="4" w:space="0" w:color="auto"/>
            </w:tcBorders>
          </w:tcPr>
          <w:p w14:paraId="69426C1C" w14:textId="77777777" w:rsidR="0017561A" w:rsidRPr="00192CCA" w:rsidRDefault="0017561A" w:rsidP="004E0520">
            <w:pPr>
              <w:rPr>
                <w:sz w:val="20"/>
                <w:szCs w:val="20"/>
              </w:rPr>
            </w:pPr>
          </w:p>
          <w:p w14:paraId="343A6010"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314</w:t>
            </w:r>
          </w:p>
        </w:tc>
        <w:tc>
          <w:tcPr>
            <w:tcW w:w="709" w:type="dxa"/>
            <w:tcBorders>
              <w:top w:val="single" w:sz="4" w:space="0" w:color="auto"/>
            </w:tcBorders>
          </w:tcPr>
          <w:p w14:paraId="3E842340" w14:textId="77777777" w:rsidR="0017561A" w:rsidRPr="00192CCA" w:rsidRDefault="0017561A" w:rsidP="004E0520">
            <w:pPr>
              <w:rPr>
                <w:sz w:val="20"/>
                <w:szCs w:val="20"/>
              </w:rPr>
            </w:pPr>
          </w:p>
        </w:tc>
        <w:tc>
          <w:tcPr>
            <w:tcW w:w="1417" w:type="dxa"/>
            <w:tcBorders>
              <w:top w:val="single" w:sz="4" w:space="0" w:color="auto"/>
            </w:tcBorders>
          </w:tcPr>
          <w:p w14:paraId="6E491521" w14:textId="77777777" w:rsidR="0017561A" w:rsidRPr="00192CCA" w:rsidRDefault="0017561A" w:rsidP="004E0520">
            <w:pPr>
              <w:rPr>
                <w:sz w:val="20"/>
                <w:szCs w:val="20"/>
              </w:rPr>
            </w:pPr>
          </w:p>
        </w:tc>
        <w:tc>
          <w:tcPr>
            <w:tcW w:w="992" w:type="dxa"/>
            <w:tcBorders>
              <w:top w:val="single" w:sz="4" w:space="0" w:color="auto"/>
            </w:tcBorders>
          </w:tcPr>
          <w:p w14:paraId="04BC8CC0" w14:textId="77777777" w:rsidR="0017561A" w:rsidRPr="00192CCA" w:rsidRDefault="0017561A" w:rsidP="004E0520">
            <w:pPr>
              <w:rPr>
                <w:b/>
                <w:bCs/>
                <w:sz w:val="20"/>
                <w:szCs w:val="20"/>
              </w:rPr>
            </w:pPr>
          </w:p>
          <w:p w14:paraId="50705BAB" w14:textId="77777777" w:rsidR="0017561A" w:rsidRPr="00192CCA" w:rsidRDefault="0017561A" w:rsidP="004E0520">
            <w:pPr>
              <w:rPr>
                <w:b/>
                <w:bCs/>
                <w:sz w:val="20"/>
                <w:szCs w:val="20"/>
              </w:rPr>
            </w:pPr>
            <w:r>
              <w:rPr>
                <w:b/>
                <w:bCs/>
                <w:sz w:val="20"/>
                <w:szCs w:val="20"/>
              </w:rPr>
              <w:t xml:space="preserve">  </w:t>
            </w:r>
            <w:r w:rsidRPr="00192CCA">
              <w:rPr>
                <w:b/>
                <w:bCs/>
                <w:sz w:val="20"/>
                <w:szCs w:val="20"/>
              </w:rPr>
              <w:t>0.</w:t>
            </w:r>
            <w:r>
              <w:rPr>
                <w:b/>
                <w:bCs/>
                <w:sz w:val="20"/>
                <w:szCs w:val="20"/>
              </w:rPr>
              <w:t>312</w:t>
            </w:r>
          </w:p>
        </w:tc>
        <w:tc>
          <w:tcPr>
            <w:tcW w:w="709" w:type="dxa"/>
            <w:tcBorders>
              <w:top w:val="single" w:sz="4" w:space="0" w:color="auto"/>
            </w:tcBorders>
          </w:tcPr>
          <w:p w14:paraId="017998A0" w14:textId="77777777" w:rsidR="0017561A" w:rsidRPr="00192CCA" w:rsidRDefault="0017561A" w:rsidP="004E0520">
            <w:pPr>
              <w:rPr>
                <w:sz w:val="20"/>
                <w:szCs w:val="20"/>
              </w:rPr>
            </w:pPr>
          </w:p>
        </w:tc>
        <w:tc>
          <w:tcPr>
            <w:tcW w:w="1418" w:type="dxa"/>
            <w:tcBorders>
              <w:top w:val="single" w:sz="4" w:space="0" w:color="auto"/>
            </w:tcBorders>
          </w:tcPr>
          <w:p w14:paraId="30E0DC03" w14:textId="77777777" w:rsidR="0017561A" w:rsidRPr="00192CCA" w:rsidRDefault="0017561A" w:rsidP="004E0520">
            <w:pPr>
              <w:rPr>
                <w:sz w:val="20"/>
                <w:szCs w:val="20"/>
              </w:rPr>
            </w:pPr>
          </w:p>
        </w:tc>
        <w:tc>
          <w:tcPr>
            <w:tcW w:w="992" w:type="dxa"/>
            <w:tcBorders>
              <w:top w:val="single" w:sz="4" w:space="0" w:color="auto"/>
            </w:tcBorders>
          </w:tcPr>
          <w:p w14:paraId="3D65272C" w14:textId="77777777" w:rsidR="0017561A" w:rsidRPr="00192CCA" w:rsidRDefault="0017561A" w:rsidP="004E0520">
            <w:pPr>
              <w:rPr>
                <w:b/>
                <w:bCs/>
                <w:sz w:val="20"/>
                <w:szCs w:val="20"/>
              </w:rPr>
            </w:pPr>
          </w:p>
          <w:p w14:paraId="6C9C9E48" w14:textId="77777777" w:rsidR="0017561A" w:rsidRPr="00192CCA" w:rsidRDefault="0017561A" w:rsidP="004E0520">
            <w:pPr>
              <w:rPr>
                <w:b/>
                <w:bCs/>
                <w:sz w:val="20"/>
                <w:szCs w:val="20"/>
              </w:rPr>
            </w:pPr>
            <w:r>
              <w:rPr>
                <w:b/>
                <w:bCs/>
                <w:sz w:val="20"/>
                <w:szCs w:val="20"/>
              </w:rPr>
              <w:t xml:space="preserve">  </w:t>
            </w:r>
            <w:r w:rsidRPr="00192CCA">
              <w:rPr>
                <w:b/>
                <w:bCs/>
                <w:sz w:val="20"/>
                <w:szCs w:val="20"/>
              </w:rPr>
              <w:t>0.</w:t>
            </w:r>
            <w:r>
              <w:rPr>
                <w:b/>
                <w:bCs/>
                <w:sz w:val="20"/>
                <w:szCs w:val="20"/>
              </w:rPr>
              <w:t>225</w:t>
            </w:r>
          </w:p>
        </w:tc>
      </w:tr>
      <w:tr w:rsidR="0017561A" w:rsidRPr="00AB4B54" w14:paraId="264C004D" w14:textId="77777777" w:rsidTr="004E0520">
        <w:trPr>
          <w:jc w:val="center"/>
        </w:trPr>
        <w:tc>
          <w:tcPr>
            <w:tcW w:w="3823" w:type="dxa"/>
          </w:tcPr>
          <w:p w14:paraId="435EF658" w14:textId="77777777" w:rsidR="0017561A" w:rsidRPr="00192CCA" w:rsidRDefault="0017561A" w:rsidP="004E0520">
            <w:pPr>
              <w:rPr>
                <w:sz w:val="20"/>
                <w:szCs w:val="20"/>
              </w:rPr>
            </w:pPr>
            <w:r w:rsidRPr="00192CCA">
              <w:rPr>
                <w:sz w:val="20"/>
                <w:szCs w:val="20"/>
              </w:rPr>
              <w:t>1 (Least Deprived)</w:t>
            </w:r>
          </w:p>
        </w:tc>
        <w:tc>
          <w:tcPr>
            <w:tcW w:w="1417" w:type="dxa"/>
          </w:tcPr>
          <w:p w14:paraId="2D1D749F" w14:textId="77777777" w:rsidR="0017561A" w:rsidRPr="00192CCA" w:rsidRDefault="0017561A" w:rsidP="004E0520">
            <w:pPr>
              <w:rPr>
                <w:sz w:val="20"/>
                <w:szCs w:val="20"/>
              </w:rPr>
            </w:pPr>
            <w:r>
              <w:rPr>
                <w:sz w:val="20"/>
                <w:szCs w:val="20"/>
              </w:rPr>
              <w:t>224 (46.28)</w:t>
            </w:r>
          </w:p>
        </w:tc>
        <w:tc>
          <w:tcPr>
            <w:tcW w:w="1418" w:type="dxa"/>
          </w:tcPr>
          <w:p w14:paraId="5E0FCBC1" w14:textId="77777777" w:rsidR="0017561A" w:rsidRPr="00192CCA" w:rsidRDefault="0017561A" w:rsidP="004E0520">
            <w:pPr>
              <w:rPr>
                <w:sz w:val="20"/>
                <w:szCs w:val="20"/>
              </w:rPr>
            </w:pPr>
            <w:r>
              <w:rPr>
                <w:sz w:val="20"/>
                <w:szCs w:val="20"/>
              </w:rPr>
              <w:t>260 (53.72)</w:t>
            </w:r>
          </w:p>
        </w:tc>
        <w:tc>
          <w:tcPr>
            <w:tcW w:w="992" w:type="dxa"/>
          </w:tcPr>
          <w:p w14:paraId="1F089CB5" w14:textId="77777777" w:rsidR="0017561A" w:rsidRPr="00192CCA" w:rsidRDefault="0017561A" w:rsidP="004E0520">
            <w:pPr>
              <w:rPr>
                <w:sz w:val="20"/>
                <w:szCs w:val="20"/>
              </w:rPr>
            </w:pPr>
          </w:p>
        </w:tc>
        <w:tc>
          <w:tcPr>
            <w:tcW w:w="709" w:type="dxa"/>
          </w:tcPr>
          <w:p w14:paraId="28708D51" w14:textId="77777777" w:rsidR="0017561A" w:rsidRPr="00192CCA" w:rsidRDefault="0017561A" w:rsidP="004E0520">
            <w:pPr>
              <w:rPr>
                <w:sz w:val="20"/>
                <w:szCs w:val="20"/>
              </w:rPr>
            </w:pPr>
            <w:r w:rsidRPr="00192CCA">
              <w:rPr>
                <w:sz w:val="20"/>
                <w:szCs w:val="20"/>
              </w:rPr>
              <w:t>1.00</w:t>
            </w:r>
          </w:p>
        </w:tc>
        <w:tc>
          <w:tcPr>
            <w:tcW w:w="1417" w:type="dxa"/>
          </w:tcPr>
          <w:p w14:paraId="00EA33CC" w14:textId="77777777" w:rsidR="0017561A" w:rsidRPr="00192CCA" w:rsidRDefault="0017561A" w:rsidP="004E0520">
            <w:pPr>
              <w:rPr>
                <w:sz w:val="20"/>
                <w:szCs w:val="20"/>
              </w:rPr>
            </w:pPr>
            <w:r w:rsidRPr="00192CCA">
              <w:rPr>
                <w:sz w:val="20"/>
                <w:szCs w:val="20"/>
              </w:rPr>
              <w:t>-----     -----</w:t>
            </w:r>
          </w:p>
        </w:tc>
        <w:tc>
          <w:tcPr>
            <w:tcW w:w="992" w:type="dxa"/>
          </w:tcPr>
          <w:p w14:paraId="33D1C4A5" w14:textId="77777777" w:rsidR="0017561A" w:rsidRPr="00192CCA" w:rsidRDefault="0017561A" w:rsidP="004E0520">
            <w:pPr>
              <w:rPr>
                <w:sz w:val="20"/>
                <w:szCs w:val="20"/>
              </w:rPr>
            </w:pPr>
            <w:r>
              <w:rPr>
                <w:sz w:val="20"/>
                <w:szCs w:val="20"/>
              </w:rPr>
              <w:t xml:space="preserve">  </w:t>
            </w:r>
            <w:r w:rsidRPr="00192CCA">
              <w:rPr>
                <w:sz w:val="20"/>
                <w:szCs w:val="20"/>
              </w:rPr>
              <w:t>-------</w:t>
            </w:r>
          </w:p>
        </w:tc>
        <w:tc>
          <w:tcPr>
            <w:tcW w:w="709" w:type="dxa"/>
          </w:tcPr>
          <w:p w14:paraId="1171B5E0" w14:textId="77777777" w:rsidR="0017561A" w:rsidRPr="00192CCA" w:rsidRDefault="0017561A" w:rsidP="004E0520">
            <w:pPr>
              <w:rPr>
                <w:sz w:val="20"/>
                <w:szCs w:val="20"/>
              </w:rPr>
            </w:pPr>
            <w:r w:rsidRPr="00192CCA">
              <w:rPr>
                <w:sz w:val="20"/>
                <w:szCs w:val="20"/>
              </w:rPr>
              <w:t>1.00</w:t>
            </w:r>
          </w:p>
        </w:tc>
        <w:tc>
          <w:tcPr>
            <w:tcW w:w="1418" w:type="dxa"/>
          </w:tcPr>
          <w:p w14:paraId="525B1FBD" w14:textId="77777777" w:rsidR="0017561A" w:rsidRPr="00192CCA" w:rsidRDefault="0017561A" w:rsidP="004E0520">
            <w:pPr>
              <w:rPr>
                <w:sz w:val="20"/>
                <w:szCs w:val="20"/>
              </w:rPr>
            </w:pPr>
            <w:r w:rsidRPr="00192CCA">
              <w:rPr>
                <w:sz w:val="20"/>
                <w:szCs w:val="20"/>
              </w:rPr>
              <w:t>-----     -----</w:t>
            </w:r>
          </w:p>
        </w:tc>
        <w:tc>
          <w:tcPr>
            <w:tcW w:w="992" w:type="dxa"/>
          </w:tcPr>
          <w:p w14:paraId="0CDD7130" w14:textId="77777777" w:rsidR="0017561A" w:rsidRPr="00192CCA" w:rsidRDefault="0017561A" w:rsidP="004E0520">
            <w:pPr>
              <w:rPr>
                <w:sz w:val="20"/>
                <w:szCs w:val="20"/>
              </w:rPr>
            </w:pPr>
            <w:r>
              <w:rPr>
                <w:sz w:val="20"/>
                <w:szCs w:val="20"/>
              </w:rPr>
              <w:t xml:space="preserve">  </w:t>
            </w:r>
            <w:r w:rsidRPr="00192CCA">
              <w:rPr>
                <w:sz w:val="20"/>
                <w:szCs w:val="20"/>
              </w:rPr>
              <w:t>-------</w:t>
            </w:r>
          </w:p>
        </w:tc>
      </w:tr>
      <w:tr w:rsidR="0017561A" w:rsidRPr="00AB4B54" w14:paraId="032B8517" w14:textId="77777777" w:rsidTr="004E0520">
        <w:trPr>
          <w:jc w:val="center"/>
        </w:trPr>
        <w:tc>
          <w:tcPr>
            <w:tcW w:w="3823" w:type="dxa"/>
          </w:tcPr>
          <w:p w14:paraId="4CB456D9" w14:textId="77777777" w:rsidR="0017561A" w:rsidRPr="00192CCA" w:rsidRDefault="0017561A" w:rsidP="004E0520">
            <w:pPr>
              <w:rPr>
                <w:sz w:val="20"/>
                <w:szCs w:val="20"/>
              </w:rPr>
            </w:pPr>
            <w:r w:rsidRPr="00192CCA">
              <w:rPr>
                <w:sz w:val="20"/>
                <w:szCs w:val="20"/>
              </w:rPr>
              <w:t>2</w:t>
            </w:r>
          </w:p>
        </w:tc>
        <w:tc>
          <w:tcPr>
            <w:tcW w:w="1417" w:type="dxa"/>
          </w:tcPr>
          <w:p w14:paraId="3D74AA9C" w14:textId="77777777" w:rsidR="0017561A" w:rsidRPr="00192CCA" w:rsidRDefault="0017561A" w:rsidP="004E0520">
            <w:pPr>
              <w:rPr>
                <w:sz w:val="20"/>
                <w:szCs w:val="20"/>
              </w:rPr>
            </w:pPr>
            <w:r>
              <w:rPr>
                <w:sz w:val="20"/>
                <w:szCs w:val="20"/>
              </w:rPr>
              <w:t>215 (44.70)</w:t>
            </w:r>
          </w:p>
        </w:tc>
        <w:tc>
          <w:tcPr>
            <w:tcW w:w="1418" w:type="dxa"/>
          </w:tcPr>
          <w:p w14:paraId="3FC1EC1A" w14:textId="77777777" w:rsidR="0017561A" w:rsidRPr="00192CCA" w:rsidRDefault="0017561A" w:rsidP="004E0520">
            <w:pPr>
              <w:rPr>
                <w:sz w:val="20"/>
                <w:szCs w:val="20"/>
              </w:rPr>
            </w:pPr>
            <w:r>
              <w:rPr>
                <w:sz w:val="20"/>
                <w:szCs w:val="20"/>
              </w:rPr>
              <w:t>266 (55.30)</w:t>
            </w:r>
          </w:p>
        </w:tc>
        <w:tc>
          <w:tcPr>
            <w:tcW w:w="992" w:type="dxa"/>
          </w:tcPr>
          <w:p w14:paraId="0D8B7B96" w14:textId="77777777" w:rsidR="0017561A" w:rsidRPr="00192CCA" w:rsidRDefault="0017561A" w:rsidP="004E0520">
            <w:pPr>
              <w:rPr>
                <w:sz w:val="20"/>
                <w:szCs w:val="20"/>
              </w:rPr>
            </w:pPr>
          </w:p>
        </w:tc>
        <w:tc>
          <w:tcPr>
            <w:tcW w:w="709" w:type="dxa"/>
          </w:tcPr>
          <w:p w14:paraId="3B10F0AD" w14:textId="77777777" w:rsidR="0017561A" w:rsidRPr="00192CCA" w:rsidRDefault="0017561A" w:rsidP="004E0520">
            <w:pPr>
              <w:rPr>
                <w:sz w:val="20"/>
                <w:szCs w:val="20"/>
              </w:rPr>
            </w:pPr>
            <w:r>
              <w:rPr>
                <w:sz w:val="20"/>
                <w:szCs w:val="20"/>
              </w:rPr>
              <w:t>0.94</w:t>
            </w:r>
          </w:p>
        </w:tc>
        <w:tc>
          <w:tcPr>
            <w:tcW w:w="1417" w:type="dxa"/>
          </w:tcPr>
          <w:p w14:paraId="13EDE5C2" w14:textId="77777777" w:rsidR="0017561A" w:rsidRPr="00192CCA" w:rsidRDefault="0017561A" w:rsidP="004E0520">
            <w:pPr>
              <w:rPr>
                <w:sz w:val="20"/>
                <w:szCs w:val="20"/>
              </w:rPr>
            </w:pPr>
            <w:r w:rsidRPr="00192CCA">
              <w:rPr>
                <w:sz w:val="20"/>
                <w:szCs w:val="20"/>
              </w:rPr>
              <w:t>0.</w:t>
            </w:r>
            <w:r>
              <w:rPr>
                <w:sz w:val="20"/>
                <w:szCs w:val="20"/>
              </w:rPr>
              <w:t xml:space="preserve">73 </w:t>
            </w:r>
            <w:r w:rsidRPr="00192CCA">
              <w:rPr>
                <w:sz w:val="20"/>
                <w:szCs w:val="20"/>
              </w:rPr>
              <w:t xml:space="preserve">– </w:t>
            </w:r>
            <w:r>
              <w:rPr>
                <w:sz w:val="20"/>
                <w:szCs w:val="20"/>
              </w:rPr>
              <w:t>1.21</w:t>
            </w:r>
          </w:p>
        </w:tc>
        <w:tc>
          <w:tcPr>
            <w:tcW w:w="992" w:type="dxa"/>
          </w:tcPr>
          <w:p w14:paraId="2893ECD7"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622</w:t>
            </w:r>
          </w:p>
        </w:tc>
        <w:tc>
          <w:tcPr>
            <w:tcW w:w="709" w:type="dxa"/>
          </w:tcPr>
          <w:p w14:paraId="4DF1B1C5" w14:textId="77777777" w:rsidR="0017561A" w:rsidRPr="00192CCA" w:rsidRDefault="0017561A" w:rsidP="004E0520">
            <w:pPr>
              <w:rPr>
                <w:sz w:val="20"/>
                <w:szCs w:val="20"/>
              </w:rPr>
            </w:pPr>
            <w:r w:rsidRPr="00192CCA">
              <w:rPr>
                <w:sz w:val="20"/>
                <w:szCs w:val="20"/>
              </w:rPr>
              <w:t>0.</w:t>
            </w:r>
            <w:r>
              <w:rPr>
                <w:sz w:val="20"/>
                <w:szCs w:val="20"/>
              </w:rPr>
              <w:t>85</w:t>
            </w:r>
          </w:p>
        </w:tc>
        <w:tc>
          <w:tcPr>
            <w:tcW w:w="1418" w:type="dxa"/>
          </w:tcPr>
          <w:p w14:paraId="4C3DBF36" w14:textId="77777777" w:rsidR="0017561A" w:rsidRPr="00192CCA" w:rsidRDefault="0017561A" w:rsidP="004E0520">
            <w:pPr>
              <w:rPr>
                <w:sz w:val="20"/>
                <w:szCs w:val="20"/>
              </w:rPr>
            </w:pPr>
            <w:r w:rsidRPr="00192CCA">
              <w:rPr>
                <w:sz w:val="20"/>
                <w:szCs w:val="20"/>
              </w:rPr>
              <w:t>0.</w:t>
            </w:r>
            <w:r>
              <w:rPr>
                <w:sz w:val="20"/>
                <w:szCs w:val="20"/>
              </w:rPr>
              <w:t>64</w:t>
            </w:r>
            <w:r w:rsidRPr="00192CCA">
              <w:rPr>
                <w:sz w:val="20"/>
                <w:szCs w:val="20"/>
              </w:rPr>
              <w:t xml:space="preserve"> – 1</w:t>
            </w:r>
            <w:r>
              <w:rPr>
                <w:sz w:val="20"/>
                <w:szCs w:val="20"/>
              </w:rPr>
              <w:t>.13</w:t>
            </w:r>
          </w:p>
        </w:tc>
        <w:tc>
          <w:tcPr>
            <w:tcW w:w="992" w:type="dxa"/>
          </w:tcPr>
          <w:p w14:paraId="77DD62FD"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270</w:t>
            </w:r>
          </w:p>
        </w:tc>
      </w:tr>
      <w:tr w:rsidR="0017561A" w:rsidRPr="00AB4B54" w14:paraId="51DC73BF" w14:textId="77777777" w:rsidTr="004E0520">
        <w:trPr>
          <w:jc w:val="center"/>
        </w:trPr>
        <w:tc>
          <w:tcPr>
            <w:tcW w:w="3823" w:type="dxa"/>
          </w:tcPr>
          <w:p w14:paraId="379D7C87" w14:textId="77777777" w:rsidR="0017561A" w:rsidRPr="00192CCA" w:rsidRDefault="0017561A" w:rsidP="004E0520">
            <w:pPr>
              <w:rPr>
                <w:sz w:val="20"/>
                <w:szCs w:val="20"/>
              </w:rPr>
            </w:pPr>
            <w:r w:rsidRPr="00192CCA">
              <w:rPr>
                <w:sz w:val="20"/>
                <w:szCs w:val="20"/>
              </w:rPr>
              <w:t>3</w:t>
            </w:r>
          </w:p>
        </w:tc>
        <w:tc>
          <w:tcPr>
            <w:tcW w:w="1417" w:type="dxa"/>
          </w:tcPr>
          <w:p w14:paraId="2FBF113A" w14:textId="77777777" w:rsidR="0017561A" w:rsidRPr="00192CCA" w:rsidRDefault="0017561A" w:rsidP="004E0520">
            <w:pPr>
              <w:rPr>
                <w:sz w:val="20"/>
                <w:szCs w:val="20"/>
              </w:rPr>
            </w:pPr>
            <w:r>
              <w:rPr>
                <w:sz w:val="20"/>
                <w:szCs w:val="20"/>
              </w:rPr>
              <w:t>182 (40.90)</w:t>
            </w:r>
          </w:p>
        </w:tc>
        <w:tc>
          <w:tcPr>
            <w:tcW w:w="1418" w:type="dxa"/>
          </w:tcPr>
          <w:p w14:paraId="5004A1CE" w14:textId="77777777" w:rsidR="0017561A" w:rsidRPr="00192CCA" w:rsidRDefault="0017561A" w:rsidP="004E0520">
            <w:pPr>
              <w:rPr>
                <w:sz w:val="20"/>
                <w:szCs w:val="20"/>
              </w:rPr>
            </w:pPr>
            <w:r>
              <w:rPr>
                <w:sz w:val="20"/>
                <w:szCs w:val="20"/>
              </w:rPr>
              <w:t>263 (59.10)</w:t>
            </w:r>
          </w:p>
        </w:tc>
        <w:tc>
          <w:tcPr>
            <w:tcW w:w="992" w:type="dxa"/>
          </w:tcPr>
          <w:p w14:paraId="5CC03D77" w14:textId="77777777" w:rsidR="0017561A" w:rsidRPr="00192CCA" w:rsidRDefault="0017561A" w:rsidP="004E0520">
            <w:pPr>
              <w:rPr>
                <w:sz w:val="20"/>
                <w:szCs w:val="20"/>
              </w:rPr>
            </w:pPr>
          </w:p>
        </w:tc>
        <w:tc>
          <w:tcPr>
            <w:tcW w:w="709" w:type="dxa"/>
          </w:tcPr>
          <w:p w14:paraId="5602F212" w14:textId="77777777" w:rsidR="0017561A" w:rsidRPr="00192CCA" w:rsidRDefault="0017561A" w:rsidP="004E0520">
            <w:pPr>
              <w:rPr>
                <w:sz w:val="20"/>
                <w:szCs w:val="20"/>
              </w:rPr>
            </w:pPr>
            <w:r w:rsidRPr="00192CCA">
              <w:rPr>
                <w:sz w:val="20"/>
                <w:szCs w:val="20"/>
              </w:rPr>
              <w:t>0.</w:t>
            </w:r>
            <w:r>
              <w:rPr>
                <w:sz w:val="20"/>
                <w:szCs w:val="20"/>
              </w:rPr>
              <w:t>80</w:t>
            </w:r>
          </w:p>
        </w:tc>
        <w:tc>
          <w:tcPr>
            <w:tcW w:w="1417" w:type="dxa"/>
          </w:tcPr>
          <w:p w14:paraId="4A0D6F56" w14:textId="77777777" w:rsidR="0017561A" w:rsidRPr="00192CCA" w:rsidRDefault="0017561A" w:rsidP="004E0520">
            <w:pPr>
              <w:rPr>
                <w:sz w:val="20"/>
                <w:szCs w:val="20"/>
              </w:rPr>
            </w:pPr>
            <w:r w:rsidRPr="00192CCA">
              <w:rPr>
                <w:sz w:val="20"/>
                <w:szCs w:val="20"/>
              </w:rPr>
              <w:t>0.</w:t>
            </w:r>
            <w:r>
              <w:rPr>
                <w:sz w:val="20"/>
                <w:szCs w:val="20"/>
              </w:rPr>
              <w:t>62</w:t>
            </w:r>
            <w:r w:rsidRPr="00192CCA">
              <w:rPr>
                <w:sz w:val="20"/>
                <w:szCs w:val="20"/>
              </w:rPr>
              <w:t xml:space="preserve"> – 1.0</w:t>
            </w:r>
            <w:r>
              <w:rPr>
                <w:sz w:val="20"/>
                <w:szCs w:val="20"/>
              </w:rPr>
              <w:t>4</w:t>
            </w:r>
          </w:p>
        </w:tc>
        <w:tc>
          <w:tcPr>
            <w:tcW w:w="992" w:type="dxa"/>
          </w:tcPr>
          <w:p w14:paraId="00750512"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099</w:t>
            </w:r>
          </w:p>
        </w:tc>
        <w:tc>
          <w:tcPr>
            <w:tcW w:w="709" w:type="dxa"/>
          </w:tcPr>
          <w:p w14:paraId="24503A50" w14:textId="77777777" w:rsidR="0017561A" w:rsidRPr="00192CCA" w:rsidRDefault="0017561A" w:rsidP="004E0520">
            <w:pPr>
              <w:rPr>
                <w:sz w:val="20"/>
                <w:szCs w:val="20"/>
              </w:rPr>
            </w:pPr>
            <w:r w:rsidRPr="00192CCA">
              <w:rPr>
                <w:sz w:val="20"/>
                <w:szCs w:val="20"/>
              </w:rPr>
              <w:t>0.</w:t>
            </w:r>
            <w:r>
              <w:rPr>
                <w:sz w:val="20"/>
                <w:szCs w:val="20"/>
              </w:rPr>
              <w:t>75</w:t>
            </w:r>
          </w:p>
        </w:tc>
        <w:tc>
          <w:tcPr>
            <w:tcW w:w="1418" w:type="dxa"/>
          </w:tcPr>
          <w:p w14:paraId="34D9E070" w14:textId="77777777" w:rsidR="0017561A" w:rsidRPr="00192CCA" w:rsidRDefault="0017561A" w:rsidP="004E0520">
            <w:pPr>
              <w:rPr>
                <w:sz w:val="20"/>
                <w:szCs w:val="20"/>
              </w:rPr>
            </w:pPr>
            <w:r w:rsidRPr="00192CCA">
              <w:rPr>
                <w:sz w:val="20"/>
                <w:szCs w:val="20"/>
              </w:rPr>
              <w:t>0.</w:t>
            </w:r>
            <w:r>
              <w:rPr>
                <w:sz w:val="20"/>
                <w:szCs w:val="20"/>
              </w:rPr>
              <w:t>56</w:t>
            </w:r>
            <w:r w:rsidRPr="00192CCA">
              <w:rPr>
                <w:sz w:val="20"/>
                <w:szCs w:val="20"/>
              </w:rPr>
              <w:t xml:space="preserve"> – </w:t>
            </w:r>
            <w:r>
              <w:rPr>
                <w:sz w:val="20"/>
                <w:szCs w:val="20"/>
              </w:rPr>
              <w:t>1.00</w:t>
            </w:r>
          </w:p>
        </w:tc>
        <w:tc>
          <w:tcPr>
            <w:tcW w:w="992" w:type="dxa"/>
          </w:tcPr>
          <w:p w14:paraId="2583F1B5" w14:textId="77777777" w:rsidR="0017561A" w:rsidRPr="00192CCA" w:rsidRDefault="0017561A" w:rsidP="004E0520">
            <w:pPr>
              <w:rPr>
                <w:sz w:val="20"/>
                <w:szCs w:val="20"/>
              </w:rPr>
            </w:pPr>
            <w:r>
              <w:rPr>
                <w:sz w:val="20"/>
                <w:szCs w:val="20"/>
              </w:rPr>
              <w:t xml:space="preserve">  </w:t>
            </w:r>
            <w:r w:rsidRPr="00192CCA">
              <w:rPr>
                <w:sz w:val="20"/>
                <w:szCs w:val="20"/>
              </w:rPr>
              <w:t>0.0</w:t>
            </w:r>
            <w:r>
              <w:rPr>
                <w:sz w:val="20"/>
                <w:szCs w:val="20"/>
              </w:rPr>
              <w:t>52</w:t>
            </w:r>
          </w:p>
        </w:tc>
      </w:tr>
      <w:tr w:rsidR="0017561A" w:rsidRPr="00AB4B54" w14:paraId="1F35E015" w14:textId="77777777" w:rsidTr="004E0520">
        <w:trPr>
          <w:jc w:val="center"/>
        </w:trPr>
        <w:tc>
          <w:tcPr>
            <w:tcW w:w="3823" w:type="dxa"/>
          </w:tcPr>
          <w:p w14:paraId="1151576B" w14:textId="77777777" w:rsidR="0017561A" w:rsidRPr="00192CCA" w:rsidRDefault="0017561A" w:rsidP="004E0520">
            <w:pPr>
              <w:rPr>
                <w:sz w:val="20"/>
                <w:szCs w:val="20"/>
              </w:rPr>
            </w:pPr>
            <w:r w:rsidRPr="00192CCA">
              <w:rPr>
                <w:sz w:val="20"/>
                <w:szCs w:val="20"/>
              </w:rPr>
              <w:t>4</w:t>
            </w:r>
          </w:p>
        </w:tc>
        <w:tc>
          <w:tcPr>
            <w:tcW w:w="1417" w:type="dxa"/>
          </w:tcPr>
          <w:p w14:paraId="78936AC0" w14:textId="77777777" w:rsidR="0017561A" w:rsidRPr="00192CCA" w:rsidRDefault="0017561A" w:rsidP="004E0520">
            <w:pPr>
              <w:rPr>
                <w:sz w:val="20"/>
                <w:szCs w:val="20"/>
              </w:rPr>
            </w:pPr>
            <w:r>
              <w:rPr>
                <w:sz w:val="20"/>
                <w:szCs w:val="20"/>
              </w:rPr>
              <w:t>229 (44.47)</w:t>
            </w:r>
          </w:p>
        </w:tc>
        <w:tc>
          <w:tcPr>
            <w:tcW w:w="1418" w:type="dxa"/>
          </w:tcPr>
          <w:p w14:paraId="4A734182" w14:textId="77777777" w:rsidR="0017561A" w:rsidRPr="00192CCA" w:rsidRDefault="0017561A" w:rsidP="004E0520">
            <w:pPr>
              <w:rPr>
                <w:sz w:val="20"/>
                <w:szCs w:val="20"/>
              </w:rPr>
            </w:pPr>
            <w:r>
              <w:rPr>
                <w:sz w:val="20"/>
                <w:szCs w:val="20"/>
              </w:rPr>
              <w:t>286 (55.53)</w:t>
            </w:r>
          </w:p>
        </w:tc>
        <w:tc>
          <w:tcPr>
            <w:tcW w:w="992" w:type="dxa"/>
          </w:tcPr>
          <w:p w14:paraId="42A4F882" w14:textId="77777777" w:rsidR="0017561A" w:rsidRPr="00192CCA" w:rsidRDefault="0017561A" w:rsidP="004E0520">
            <w:pPr>
              <w:rPr>
                <w:sz w:val="20"/>
                <w:szCs w:val="20"/>
              </w:rPr>
            </w:pPr>
          </w:p>
        </w:tc>
        <w:tc>
          <w:tcPr>
            <w:tcW w:w="709" w:type="dxa"/>
          </w:tcPr>
          <w:p w14:paraId="4DDE7CBA" w14:textId="77777777" w:rsidR="0017561A" w:rsidRPr="00192CCA" w:rsidRDefault="0017561A" w:rsidP="004E0520">
            <w:pPr>
              <w:rPr>
                <w:sz w:val="20"/>
                <w:szCs w:val="20"/>
              </w:rPr>
            </w:pPr>
            <w:r>
              <w:rPr>
                <w:sz w:val="20"/>
                <w:szCs w:val="20"/>
              </w:rPr>
              <w:t>0.93</w:t>
            </w:r>
          </w:p>
        </w:tc>
        <w:tc>
          <w:tcPr>
            <w:tcW w:w="1417" w:type="dxa"/>
          </w:tcPr>
          <w:p w14:paraId="6B63BBD1" w14:textId="77777777" w:rsidR="0017561A" w:rsidRPr="00192CCA" w:rsidRDefault="0017561A" w:rsidP="004E0520">
            <w:pPr>
              <w:rPr>
                <w:sz w:val="20"/>
                <w:szCs w:val="20"/>
              </w:rPr>
            </w:pPr>
            <w:r w:rsidRPr="00192CCA">
              <w:rPr>
                <w:sz w:val="20"/>
                <w:szCs w:val="20"/>
              </w:rPr>
              <w:t>0.</w:t>
            </w:r>
            <w:r>
              <w:rPr>
                <w:sz w:val="20"/>
                <w:szCs w:val="20"/>
              </w:rPr>
              <w:t>72</w:t>
            </w:r>
            <w:r w:rsidRPr="00192CCA">
              <w:rPr>
                <w:sz w:val="20"/>
                <w:szCs w:val="20"/>
              </w:rPr>
              <w:t xml:space="preserve"> – 1.</w:t>
            </w:r>
            <w:r>
              <w:rPr>
                <w:sz w:val="20"/>
                <w:szCs w:val="20"/>
              </w:rPr>
              <w:t>19</w:t>
            </w:r>
          </w:p>
        </w:tc>
        <w:tc>
          <w:tcPr>
            <w:tcW w:w="992" w:type="dxa"/>
          </w:tcPr>
          <w:p w14:paraId="6C292F5E"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.565</w:t>
            </w:r>
          </w:p>
        </w:tc>
        <w:tc>
          <w:tcPr>
            <w:tcW w:w="709" w:type="dxa"/>
          </w:tcPr>
          <w:p w14:paraId="030B1F50" w14:textId="77777777" w:rsidR="0017561A" w:rsidRPr="00192CCA" w:rsidRDefault="0017561A" w:rsidP="004E0520">
            <w:pPr>
              <w:rPr>
                <w:sz w:val="20"/>
                <w:szCs w:val="20"/>
              </w:rPr>
            </w:pPr>
            <w:r w:rsidRPr="00192CCA">
              <w:rPr>
                <w:sz w:val="20"/>
                <w:szCs w:val="20"/>
              </w:rPr>
              <w:t>0.</w:t>
            </w:r>
            <w:r>
              <w:rPr>
                <w:sz w:val="20"/>
                <w:szCs w:val="20"/>
              </w:rPr>
              <w:t>84</w:t>
            </w:r>
          </w:p>
        </w:tc>
        <w:tc>
          <w:tcPr>
            <w:tcW w:w="1418" w:type="dxa"/>
          </w:tcPr>
          <w:p w14:paraId="5CBD04C5" w14:textId="77777777" w:rsidR="0017561A" w:rsidRPr="00192CCA" w:rsidRDefault="0017561A" w:rsidP="004E0520">
            <w:pPr>
              <w:rPr>
                <w:sz w:val="20"/>
                <w:szCs w:val="20"/>
              </w:rPr>
            </w:pPr>
            <w:r w:rsidRPr="00192CCA">
              <w:rPr>
                <w:sz w:val="20"/>
                <w:szCs w:val="20"/>
              </w:rPr>
              <w:t>0.</w:t>
            </w:r>
            <w:r>
              <w:rPr>
                <w:sz w:val="20"/>
                <w:szCs w:val="20"/>
              </w:rPr>
              <w:t>63</w:t>
            </w:r>
            <w:r w:rsidRPr="00192CCA">
              <w:rPr>
                <w:sz w:val="20"/>
                <w:szCs w:val="20"/>
              </w:rPr>
              <w:t xml:space="preserve"> – 1.</w:t>
            </w:r>
            <w:r>
              <w:rPr>
                <w:sz w:val="20"/>
                <w:szCs w:val="20"/>
              </w:rPr>
              <w:t>12</w:t>
            </w:r>
          </w:p>
        </w:tc>
        <w:tc>
          <w:tcPr>
            <w:tcW w:w="992" w:type="dxa"/>
          </w:tcPr>
          <w:p w14:paraId="5A6CE910"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232</w:t>
            </w:r>
          </w:p>
        </w:tc>
      </w:tr>
      <w:tr w:rsidR="0017561A" w:rsidRPr="00AB4B54" w14:paraId="09481402" w14:textId="77777777" w:rsidTr="004E0520">
        <w:trPr>
          <w:jc w:val="center"/>
        </w:trPr>
        <w:tc>
          <w:tcPr>
            <w:tcW w:w="3823" w:type="dxa"/>
          </w:tcPr>
          <w:p w14:paraId="70E2543A" w14:textId="77777777" w:rsidR="0017561A" w:rsidRPr="00192CCA" w:rsidRDefault="0017561A" w:rsidP="004E0520">
            <w:pPr>
              <w:rPr>
                <w:sz w:val="20"/>
                <w:szCs w:val="20"/>
              </w:rPr>
            </w:pPr>
            <w:r w:rsidRPr="00192CCA">
              <w:rPr>
                <w:sz w:val="20"/>
                <w:szCs w:val="20"/>
              </w:rPr>
              <w:t>5 (Most Deprived)</w:t>
            </w:r>
          </w:p>
        </w:tc>
        <w:tc>
          <w:tcPr>
            <w:tcW w:w="1417" w:type="dxa"/>
          </w:tcPr>
          <w:p w14:paraId="35C623AA" w14:textId="77777777" w:rsidR="0017561A" w:rsidRPr="00192CCA" w:rsidRDefault="0017561A" w:rsidP="004E0520">
            <w:pPr>
              <w:rPr>
                <w:sz w:val="20"/>
                <w:szCs w:val="20"/>
              </w:rPr>
            </w:pPr>
            <w:r>
              <w:rPr>
                <w:sz w:val="20"/>
                <w:szCs w:val="20"/>
              </w:rPr>
              <w:t>212 (47.75)</w:t>
            </w:r>
          </w:p>
        </w:tc>
        <w:tc>
          <w:tcPr>
            <w:tcW w:w="1418" w:type="dxa"/>
          </w:tcPr>
          <w:p w14:paraId="0D530E7F" w14:textId="77777777" w:rsidR="0017561A" w:rsidRPr="00192CCA" w:rsidRDefault="0017561A" w:rsidP="004E0520">
            <w:pPr>
              <w:rPr>
                <w:sz w:val="20"/>
                <w:szCs w:val="20"/>
              </w:rPr>
            </w:pPr>
            <w:r>
              <w:rPr>
                <w:sz w:val="20"/>
                <w:szCs w:val="20"/>
              </w:rPr>
              <w:t>232 (52.25)</w:t>
            </w:r>
          </w:p>
        </w:tc>
        <w:tc>
          <w:tcPr>
            <w:tcW w:w="992" w:type="dxa"/>
          </w:tcPr>
          <w:p w14:paraId="465FDA87" w14:textId="77777777" w:rsidR="0017561A" w:rsidRPr="00192CCA" w:rsidRDefault="0017561A" w:rsidP="004E0520">
            <w:pPr>
              <w:rPr>
                <w:sz w:val="20"/>
                <w:szCs w:val="20"/>
              </w:rPr>
            </w:pPr>
          </w:p>
        </w:tc>
        <w:tc>
          <w:tcPr>
            <w:tcW w:w="709" w:type="dxa"/>
          </w:tcPr>
          <w:p w14:paraId="664F5651" w14:textId="77777777" w:rsidR="0017561A" w:rsidRPr="00192CCA" w:rsidRDefault="0017561A" w:rsidP="004E0520">
            <w:pPr>
              <w:rPr>
                <w:sz w:val="20"/>
                <w:szCs w:val="20"/>
              </w:rPr>
            </w:pPr>
            <w:r w:rsidRPr="00192CCA">
              <w:rPr>
                <w:sz w:val="20"/>
                <w:szCs w:val="20"/>
              </w:rPr>
              <w:t>1.0</w:t>
            </w:r>
            <w:r>
              <w:rPr>
                <w:sz w:val="20"/>
                <w:szCs w:val="20"/>
              </w:rPr>
              <w:t>6</w:t>
            </w:r>
          </w:p>
        </w:tc>
        <w:tc>
          <w:tcPr>
            <w:tcW w:w="1417" w:type="dxa"/>
          </w:tcPr>
          <w:p w14:paraId="0CAF4323" w14:textId="77777777" w:rsidR="0017561A" w:rsidRPr="00192CCA" w:rsidRDefault="0017561A" w:rsidP="004E0520">
            <w:pPr>
              <w:rPr>
                <w:sz w:val="20"/>
                <w:szCs w:val="20"/>
              </w:rPr>
            </w:pPr>
            <w:r w:rsidRPr="00192CCA">
              <w:rPr>
                <w:sz w:val="20"/>
                <w:szCs w:val="20"/>
              </w:rPr>
              <w:t>0.</w:t>
            </w:r>
            <w:r>
              <w:rPr>
                <w:sz w:val="20"/>
                <w:szCs w:val="20"/>
              </w:rPr>
              <w:t>82</w:t>
            </w:r>
            <w:r w:rsidRPr="00192CCA">
              <w:rPr>
                <w:sz w:val="20"/>
                <w:szCs w:val="20"/>
              </w:rPr>
              <w:t xml:space="preserve"> – 1.</w:t>
            </w:r>
            <w:r>
              <w:rPr>
                <w:sz w:val="20"/>
                <w:szCs w:val="20"/>
              </w:rPr>
              <w:t>37</w:t>
            </w:r>
          </w:p>
        </w:tc>
        <w:tc>
          <w:tcPr>
            <w:tcW w:w="992" w:type="dxa"/>
          </w:tcPr>
          <w:p w14:paraId="3AAF43CC"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655</w:t>
            </w:r>
          </w:p>
        </w:tc>
        <w:tc>
          <w:tcPr>
            <w:tcW w:w="709" w:type="dxa"/>
          </w:tcPr>
          <w:p w14:paraId="70C8B7C8" w14:textId="77777777" w:rsidR="0017561A" w:rsidRPr="00192CCA" w:rsidRDefault="0017561A" w:rsidP="004E0520">
            <w:pPr>
              <w:rPr>
                <w:sz w:val="20"/>
                <w:szCs w:val="20"/>
              </w:rPr>
            </w:pPr>
            <w:r>
              <w:rPr>
                <w:sz w:val="20"/>
                <w:szCs w:val="20"/>
              </w:rPr>
              <w:t>1.00</w:t>
            </w:r>
          </w:p>
        </w:tc>
        <w:tc>
          <w:tcPr>
            <w:tcW w:w="1418" w:type="dxa"/>
          </w:tcPr>
          <w:p w14:paraId="5F3F6938" w14:textId="77777777" w:rsidR="0017561A" w:rsidRPr="00192CCA" w:rsidRDefault="0017561A" w:rsidP="004E0520">
            <w:pPr>
              <w:rPr>
                <w:b/>
                <w:bCs/>
                <w:sz w:val="20"/>
                <w:szCs w:val="20"/>
              </w:rPr>
            </w:pPr>
            <w:r w:rsidRPr="00192CCA">
              <w:rPr>
                <w:sz w:val="20"/>
                <w:szCs w:val="20"/>
              </w:rPr>
              <w:t>0.</w:t>
            </w:r>
            <w:r>
              <w:rPr>
                <w:sz w:val="20"/>
                <w:szCs w:val="20"/>
              </w:rPr>
              <w:t>74</w:t>
            </w:r>
            <w:r w:rsidRPr="00192CCA">
              <w:rPr>
                <w:sz w:val="20"/>
                <w:szCs w:val="20"/>
              </w:rPr>
              <w:t xml:space="preserve"> – </w:t>
            </w:r>
            <w:r>
              <w:rPr>
                <w:sz w:val="20"/>
                <w:szCs w:val="20"/>
              </w:rPr>
              <w:t>1.37</w:t>
            </w:r>
          </w:p>
        </w:tc>
        <w:tc>
          <w:tcPr>
            <w:tcW w:w="992" w:type="dxa"/>
          </w:tcPr>
          <w:p w14:paraId="1EB46309"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977</w:t>
            </w:r>
          </w:p>
        </w:tc>
      </w:tr>
      <w:tr w:rsidR="0017561A" w:rsidRPr="00AB4B54" w14:paraId="1B8CC8CE" w14:textId="77777777" w:rsidTr="004E0520">
        <w:trPr>
          <w:jc w:val="center"/>
        </w:trPr>
        <w:tc>
          <w:tcPr>
            <w:tcW w:w="3823" w:type="dxa"/>
          </w:tcPr>
          <w:p w14:paraId="2D344BFF" w14:textId="77777777" w:rsidR="0017561A" w:rsidRPr="00192CCA" w:rsidRDefault="0017561A" w:rsidP="004E0520">
            <w:pPr>
              <w:rPr>
                <w:sz w:val="20"/>
                <w:szCs w:val="20"/>
              </w:rPr>
            </w:pPr>
          </w:p>
        </w:tc>
        <w:tc>
          <w:tcPr>
            <w:tcW w:w="1417" w:type="dxa"/>
          </w:tcPr>
          <w:p w14:paraId="4A54431D" w14:textId="77777777" w:rsidR="0017561A" w:rsidRPr="00192CCA" w:rsidRDefault="0017561A" w:rsidP="004E0520">
            <w:pPr>
              <w:rPr>
                <w:sz w:val="20"/>
                <w:szCs w:val="20"/>
              </w:rPr>
            </w:pPr>
          </w:p>
        </w:tc>
        <w:tc>
          <w:tcPr>
            <w:tcW w:w="1418" w:type="dxa"/>
          </w:tcPr>
          <w:p w14:paraId="1D9F8255" w14:textId="77777777" w:rsidR="0017561A" w:rsidRPr="00192CCA" w:rsidRDefault="0017561A" w:rsidP="004E0520">
            <w:pPr>
              <w:rPr>
                <w:sz w:val="20"/>
                <w:szCs w:val="20"/>
              </w:rPr>
            </w:pPr>
          </w:p>
        </w:tc>
        <w:tc>
          <w:tcPr>
            <w:tcW w:w="992" w:type="dxa"/>
          </w:tcPr>
          <w:p w14:paraId="0B57C5B5" w14:textId="77777777" w:rsidR="0017561A" w:rsidRPr="00192CCA" w:rsidRDefault="0017561A" w:rsidP="004E0520">
            <w:pPr>
              <w:rPr>
                <w:sz w:val="20"/>
                <w:szCs w:val="20"/>
              </w:rPr>
            </w:pPr>
          </w:p>
        </w:tc>
        <w:tc>
          <w:tcPr>
            <w:tcW w:w="709" w:type="dxa"/>
          </w:tcPr>
          <w:p w14:paraId="41486787" w14:textId="77777777" w:rsidR="0017561A" w:rsidRPr="00192CCA" w:rsidRDefault="0017561A" w:rsidP="004E0520">
            <w:pPr>
              <w:rPr>
                <w:sz w:val="20"/>
                <w:szCs w:val="20"/>
              </w:rPr>
            </w:pPr>
          </w:p>
        </w:tc>
        <w:tc>
          <w:tcPr>
            <w:tcW w:w="1417" w:type="dxa"/>
          </w:tcPr>
          <w:p w14:paraId="11B8776B" w14:textId="77777777" w:rsidR="0017561A" w:rsidRPr="00192CCA" w:rsidRDefault="0017561A" w:rsidP="004E0520">
            <w:pPr>
              <w:rPr>
                <w:sz w:val="20"/>
                <w:szCs w:val="20"/>
              </w:rPr>
            </w:pPr>
          </w:p>
        </w:tc>
        <w:tc>
          <w:tcPr>
            <w:tcW w:w="992" w:type="dxa"/>
          </w:tcPr>
          <w:p w14:paraId="6CCA0163" w14:textId="77777777" w:rsidR="0017561A" w:rsidRPr="00192CCA" w:rsidRDefault="0017561A" w:rsidP="004E0520">
            <w:pPr>
              <w:rPr>
                <w:sz w:val="20"/>
                <w:szCs w:val="20"/>
              </w:rPr>
            </w:pPr>
          </w:p>
        </w:tc>
        <w:tc>
          <w:tcPr>
            <w:tcW w:w="709" w:type="dxa"/>
          </w:tcPr>
          <w:p w14:paraId="1CA411AD" w14:textId="77777777" w:rsidR="0017561A" w:rsidRPr="00192CCA" w:rsidRDefault="0017561A" w:rsidP="004E0520">
            <w:pPr>
              <w:rPr>
                <w:sz w:val="20"/>
                <w:szCs w:val="20"/>
              </w:rPr>
            </w:pPr>
          </w:p>
        </w:tc>
        <w:tc>
          <w:tcPr>
            <w:tcW w:w="1418" w:type="dxa"/>
          </w:tcPr>
          <w:p w14:paraId="5D46E41A" w14:textId="77777777" w:rsidR="0017561A" w:rsidRPr="00192CCA" w:rsidRDefault="0017561A" w:rsidP="004E0520">
            <w:pPr>
              <w:rPr>
                <w:sz w:val="20"/>
                <w:szCs w:val="20"/>
              </w:rPr>
            </w:pPr>
          </w:p>
        </w:tc>
        <w:tc>
          <w:tcPr>
            <w:tcW w:w="992" w:type="dxa"/>
          </w:tcPr>
          <w:p w14:paraId="03A99383" w14:textId="77777777" w:rsidR="0017561A" w:rsidRPr="00192CCA" w:rsidRDefault="0017561A" w:rsidP="004E0520">
            <w:pPr>
              <w:rPr>
                <w:sz w:val="20"/>
                <w:szCs w:val="20"/>
              </w:rPr>
            </w:pPr>
          </w:p>
        </w:tc>
      </w:tr>
      <w:tr w:rsidR="0017561A" w:rsidRPr="00AB4B54" w14:paraId="5D136456" w14:textId="77777777" w:rsidTr="004E0520">
        <w:trPr>
          <w:jc w:val="center"/>
        </w:trPr>
        <w:tc>
          <w:tcPr>
            <w:tcW w:w="3823" w:type="dxa"/>
          </w:tcPr>
          <w:p w14:paraId="030053DE" w14:textId="77777777" w:rsidR="0017561A" w:rsidRPr="00192CCA" w:rsidRDefault="0017561A" w:rsidP="004E0520">
            <w:pPr>
              <w:rPr>
                <w:sz w:val="20"/>
                <w:szCs w:val="20"/>
              </w:rPr>
            </w:pPr>
            <w:r w:rsidRPr="00192CCA">
              <w:rPr>
                <w:b/>
                <w:bCs/>
                <w:sz w:val="20"/>
                <w:szCs w:val="20"/>
              </w:rPr>
              <w:t xml:space="preserve">Age </w:t>
            </w:r>
            <w:r>
              <w:rPr>
                <w:b/>
                <w:bCs/>
                <w:sz w:val="20"/>
                <w:szCs w:val="20"/>
              </w:rPr>
              <w:t xml:space="preserve">at Diagnosis </w:t>
            </w:r>
            <w:r w:rsidRPr="00192CCA">
              <w:rPr>
                <w:b/>
                <w:bCs/>
                <w:sz w:val="20"/>
                <w:szCs w:val="20"/>
              </w:rPr>
              <w:t>(Years)</w:t>
            </w:r>
          </w:p>
        </w:tc>
        <w:tc>
          <w:tcPr>
            <w:tcW w:w="1417" w:type="dxa"/>
          </w:tcPr>
          <w:p w14:paraId="3E9E14A2" w14:textId="77777777" w:rsidR="0017561A" w:rsidRPr="00192CCA" w:rsidRDefault="0017561A" w:rsidP="004E0520">
            <w:pPr>
              <w:rPr>
                <w:sz w:val="20"/>
                <w:szCs w:val="20"/>
              </w:rPr>
            </w:pPr>
          </w:p>
        </w:tc>
        <w:tc>
          <w:tcPr>
            <w:tcW w:w="1418" w:type="dxa"/>
          </w:tcPr>
          <w:p w14:paraId="518A7267" w14:textId="77777777" w:rsidR="0017561A" w:rsidRPr="00192CCA" w:rsidRDefault="0017561A" w:rsidP="004E0520">
            <w:pPr>
              <w:rPr>
                <w:sz w:val="20"/>
                <w:szCs w:val="20"/>
              </w:rPr>
            </w:pPr>
          </w:p>
        </w:tc>
        <w:tc>
          <w:tcPr>
            <w:tcW w:w="992" w:type="dxa"/>
          </w:tcPr>
          <w:p w14:paraId="4753CB4F" w14:textId="77777777" w:rsidR="0017561A" w:rsidRPr="00192CCA" w:rsidRDefault="0017561A" w:rsidP="004E0520">
            <w:pPr>
              <w:rPr>
                <w:sz w:val="20"/>
                <w:szCs w:val="20"/>
              </w:rPr>
            </w:pPr>
            <w:r w:rsidRPr="00192CCA">
              <w:rPr>
                <w:sz w:val="20"/>
                <w:szCs w:val="20"/>
              </w:rPr>
              <w:t>&lt;0.001</w:t>
            </w:r>
          </w:p>
        </w:tc>
        <w:tc>
          <w:tcPr>
            <w:tcW w:w="709" w:type="dxa"/>
          </w:tcPr>
          <w:p w14:paraId="74AB7322" w14:textId="77777777" w:rsidR="0017561A" w:rsidRPr="00192CCA" w:rsidRDefault="0017561A" w:rsidP="004E0520">
            <w:pPr>
              <w:rPr>
                <w:sz w:val="20"/>
                <w:szCs w:val="20"/>
              </w:rPr>
            </w:pPr>
          </w:p>
        </w:tc>
        <w:tc>
          <w:tcPr>
            <w:tcW w:w="1417" w:type="dxa"/>
          </w:tcPr>
          <w:p w14:paraId="706CCC98" w14:textId="77777777" w:rsidR="0017561A" w:rsidRPr="00192CCA" w:rsidRDefault="0017561A" w:rsidP="004E0520">
            <w:pPr>
              <w:rPr>
                <w:sz w:val="20"/>
                <w:szCs w:val="20"/>
              </w:rPr>
            </w:pPr>
          </w:p>
        </w:tc>
        <w:tc>
          <w:tcPr>
            <w:tcW w:w="992" w:type="dxa"/>
          </w:tcPr>
          <w:p w14:paraId="18F1DCFB" w14:textId="77777777" w:rsidR="0017561A" w:rsidRPr="00192CCA" w:rsidRDefault="0017561A" w:rsidP="004E0520">
            <w:pPr>
              <w:rPr>
                <w:b/>
                <w:bCs/>
                <w:sz w:val="20"/>
                <w:szCs w:val="20"/>
              </w:rPr>
            </w:pPr>
            <w:r w:rsidRPr="00192CCA">
              <w:rPr>
                <w:b/>
                <w:bCs/>
                <w:sz w:val="20"/>
                <w:szCs w:val="20"/>
              </w:rPr>
              <w:t>&lt;0.001</w:t>
            </w:r>
          </w:p>
        </w:tc>
        <w:tc>
          <w:tcPr>
            <w:tcW w:w="709" w:type="dxa"/>
          </w:tcPr>
          <w:p w14:paraId="11B7431B" w14:textId="77777777" w:rsidR="0017561A" w:rsidRPr="00192CCA" w:rsidRDefault="0017561A" w:rsidP="004E0520">
            <w:pPr>
              <w:rPr>
                <w:sz w:val="20"/>
                <w:szCs w:val="20"/>
              </w:rPr>
            </w:pPr>
          </w:p>
        </w:tc>
        <w:tc>
          <w:tcPr>
            <w:tcW w:w="1418" w:type="dxa"/>
          </w:tcPr>
          <w:p w14:paraId="3E9625F2" w14:textId="77777777" w:rsidR="0017561A" w:rsidRPr="00192CCA" w:rsidRDefault="0017561A" w:rsidP="004E0520">
            <w:pPr>
              <w:rPr>
                <w:sz w:val="20"/>
                <w:szCs w:val="20"/>
              </w:rPr>
            </w:pPr>
          </w:p>
        </w:tc>
        <w:tc>
          <w:tcPr>
            <w:tcW w:w="992" w:type="dxa"/>
          </w:tcPr>
          <w:p w14:paraId="213A852A" w14:textId="77777777" w:rsidR="0017561A" w:rsidRPr="00192CCA" w:rsidRDefault="0017561A" w:rsidP="004E0520">
            <w:pPr>
              <w:rPr>
                <w:b/>
                <w:bCs/>
                <w:sz w:val="20"/>
                <w:szCs w:val="20"/>
              </w:rPr>
            </w:pPr>
            <w:r w:rsidRPr="00192CCA">
              <w:rPr>
                <w:b/>
                <w:bCs/>
                <w:sz w:val="20"/>
                <w:szCs w:val="20"/>
              </w:rPr>
              <w:t>&lt;0.001</w:t>
            </w:r>
          </w:p>
        </w:tc>
      </w:tr>
      <w:tr w:rsidR="0017561A" w:rsidRPr="00AB4B54" w14:paraId="1055EAAE" w14:textId="77777777" w:rsidTr="004E0520">
        <w:trPr>
          <w:jc w:val="center"/>
        </w:trPr>
        <w:tc>
          <w:tcPr>
            <w:tcW w:w="3823" w:type="dxa"/>
          </w:tcPr>
          <w:p w14:paraId="4BFD2D67" w14:textId="77777777" w:rsidR="0017561A" w:rsidRPr="00192CCA" w:rsidRDefault="0017561A" w:rsidP="004E0520">
            <w:pPr>
              <w:rPr>
                <w:sz w:val="20"/>
                <w:szCs w:val="20"/>
              </w:rPr>
            </w:pPr>
            <w:r>
              <w:rPr>
                <w:sz w:val="20"/>
                <w:szCs w:val="20"/>
              </w:rPr>
              <w:t>&lt;50</w:t>
            </w:r>
          </w:p>
        </w:tc>
        <w:tc>
          <w:tcPr>
            <w:tcW w:w="1417" w:type="dxa"/>
          </w:tcPr>
          <w:p w14:paraId="4AC3B36A" w14:textId="77777777" w:rsidR="0017561A" w:rsidRPr="00192CCA" w:rsidRDefault="0017561A" w:rsidP="004E0520">
            <w:pPr>
              <w:rPr>
                <w:sz w:val="20"/>
                <w:szCs w:val="20"/>
              </w:rPr>
            </w:pPr>
            <w:r>
              <w:rPr>
                <w:sz w:val="20"/>
                <w:szCs w:val="20"/>
              </w:rPr>
              <w:t>314 (63.31)</w:t>
            </w:r>
          </w:p>
        </w:tc>
        <w:tc>
          <w:tcPr>
            <w:tcW w:w="1418" w:type="dxa"/>
          </w:tcPr>
          <w:p w14:paraId="50C6D208" w14:textId="77777777" w:rsidR="0017561A" w:rsidRPr="00192CCA" w:rsidRDefault="0017561A" w:rsidP="004E0520">
            <w:pPr>
              <w:rPr>
                <w:sz w:val="20"/>
                <w:szCs w:val="20"/>
              </w:rPr>
            </w:pPr>
            <w:r>
              <w:rPr>
                <w:sz w:val="20"/>
                <w:szCs w:val="20"/>
              </w:rPr>
              <w:t>182 (36.69)</w:t>
            </w:r>
          </w:p>
        </w:tc>
        <w:tc>
          <w:tcPr>
            <w:tcW w:w="992" w:type="dxa"/>
          </w:tcPr>
          <w:p w14:paraId="767465A7" w14:textId="77777777" w:rsidR="0017561A" w:rsidRPr="00192CCA" w:rsidRDefault="0017561A" w:rsidP="004E0520">
            <w:pPr>
              <w:rPr>
                <w:sz w:val="20"/>
                <w:szCs w:val="20"/>
              </w:rPr>
            </w:pPr>
          </w:p>
        </w:tc>
        <w:tc>
          <w:tcPr>
            <w:tcW w:w="709" w:type="dxa"/>
          </w:tcPr>
          <w:p w14:paraId="6A6CB552" w14:textId="77777777" w:rsidR="0017561A" w:rsidRPr="00192CCA" w:rsidRDefault="0017561A" w:rsidP="004E0520">
            <w:pPr>
              <w:rPr>
                <w:sz w:val="20"/>
                <w:szCs w:val="20"/>
              </w:rPr>
            </w:pPr>
            <w:r>
              <w:rPr>
                <w:sz w:val="20"/>
                <w:szCs w:val="20"/>
              </w:rPr>
              <w:t>1.00</w:t>
            </w:r>
          </w:p>
        </w:tc>
        <w:tc>
          <w:tcPr>
            <w:tcW w:w="1417" w:type="dxa"/>
          </w:tcPr>
          <w:p w14:paraId="6774FC27" w14:textId="77777777" w:rsidR="0017561A" w:rsidRPr="00192CCA" w:rsidRDefault="0017561A" w:rsidP="004E0520">
            <w:pPr>
              <w:rPr>
                <w:sz w:val="20"/>
                <w:szCs w:val="20"/>
              </w:rPr>
            </w:pPr>
            <w:r w:rsidRPr="00192CCA">
              <w:rPr>
                <w:sz w:val="20"/>
                <w:szCs w:val="20"/>
              </w:rPr>
              <w:t>-----     -----</w:t>
            </w:r>
          </w:p>
        </w:tc>
        <w:tc>
          <w:tcPr>
            <w:tcW w:w="992" w:type="dxa"/>
          </w:tcPr>
          <w:p w14:paraId="0DFA5D8E" w14:textId="77777777" w:rsidR="0017561A" w:rsidRPr="00192CCA" w:rsidRDefault="0017561A" w:rsidP="004E0520">
            <w:pPr>
              <w:rPr>
                <w:sz w:val="20"/>
                <w:szCs w:val="20"/>
              </w:rPr>
            </w:pPr>
            <w:r>
              <w:rPr>
                <w:sz w:val="20"/>
                <w:szCs w:val="20"/>
              </w:rPr>
              <w:t xml:space="preserve">  </w:t>
            </w:r>
            <w:r w:rsidRPr="00192CCA">
              <w:rPr>
                <w:sz w:val="20"/>
                <w:szCs w:val="20"/>
              </w:rPr>
              <w:t>-------</w:t>
            </w:r>
          </w:p>
        </w:tc>
        <w:tc>
          <w:tcPr>
            <w:tcW w:w="709" w:type="dxa"/>
          </w:tcPr>
          <w:p w14:paraId="58E3CDF3" w14:textId="77777777" w:rsidR="0017561A" w:rsidRPr="00192CCA" w:rsidRDefault="0017561A" w:rsidP="004E0520">
            <w:pPr>
              <w:rPr>
                <w:sz w:val="20"/>
                <w:szCs w:val="20"/>
              </w:rPr>
            </w:pPr>
            <w:r>
              <w:rPr>
                <w:sz w:val="20"/>
                <w:szCs w:val="20"/>
              </w:rPr>
              <w:t>1.00</w:t>
            </w:r>
          </w:p>
        </w:tc>
        <w:tc>
          <w:tcPr>
            <w:tcW w:w="1418" w:type="dxa"/>
          </w:tcPr>
          <w:p w14:paraId="3660DA6A" w14:textId="77777777" w:rsidR="0017561A" w:rsidRPr="00192CCA" w:rsidRDefault="0017561A" w:rsidP="004E0520">
            <w:pPr>
              <w:rPr>
                <w:sz w:val="20"/>
                <w:szCs w:val="20"/>
              </w:rPr>
            </w:pPr>
            <w:r w:rsidRPr="00192CCA">
              <w:rPr>
                <w:sz w:val="20"/>
                <w:szCs w:val="20"/>
              </w:rPr>
              <w:t>-----     -----</w:t>
            </w:r>
          </w:p>
        </w:tc>
        <w:tc>
          <w:tcPr>
            <w:tcW w:w="992" w:type="dxa"/>
          </w:tcPr>
          <w:p w14:paraId="3CA7E701" w14:textId="77777777" w:rsidR="0017561A" w:rsidRPr="00192CCA" w:rsidRDefault="0017561A" w:rsidP="004E0520">
            <w:pPr>
              <w:rPr>
                <w:sz w:val="20"/>
                <w:szCs w:val="20"/>
                <w:highlight w:val="green"/>
              </w:rPr>
            </w:pPr>
            <w:r w:rsidRPr="00192CCA">
              <w:rPr>
                <w:sz w:val="20"/>
                <w:szCs w:val="20"/>
              </w:rPr>
              <w:t>-------</w:t>
            </w:r>
          </w:p>
        </w:tc>
      </w:tr>
      <w:tr w:rsidR="0017561A" w:rsidRPr="00AB4B54" w14:paraId="15C074A6" w14:textId="77777777" w:rsidTr="004E0520">
        <w:trPr>
          <w:jc w:val="center"/>
        </w:trPr>
        <w:tc>
          <w:tcPr>
            <w:tcW w:w="3823" w:type="dxa"/>
          </w:tcPr>
          <w:p w14:paraId="4B18DC78" w14:textId="77777777" w:rsidR="0017561A" w:rsidRPr="00192CCA" w:rsidRDefault="0017561A" w:rsidP="004E0520">
            <w:pPr>
              <w:rPr>
                <w:sz w:val="20"/>
                <w:szCs w:val="20"/>
              </w:rPr>
            </w:pPr>
            <w:r w:rsidRPr="00192CCA">
              <w:rPr>
                <w:sz w:val="20"/>
                <w:szCs w:val="20"/>
              </w:rPr>
              <w:t>50–59</w:t>
            </w:r>
          </w:p>
        </w:tc>
        <w:tc>
          <w:tcPr>
            <w:tcW w:w="1417" w:type="dxa"/>
          </w:tcPr>
          <w:p w14:paraId="13CEB778" w14:textId="77777777" w:rsidR="0017561A" w:rsidRPr="00192CCA" w:rsidRDefault="0017561A" w:rsidP="004E0520">
            <w:pPr>
              <w:rPr>
                <w:sz w:val="20"/>
                <w:szCs w:val="20"/>
              </w:rPr>
            </w:pPr>
            <w:r>
              <w:rPr>
                <w:sz w:val="20"/>
                <w:szCs w:val="20"/>
              </w:rPr>
              <w:t>285 (55.34)</w:t>
            </w:r>
          </w:p>
        </w:tc>
        <w:tc>
          <w:tcPr>
            <w:tcW w:w="1418" w:type="dxa"/>
          </w:tcPr>
          <w:p w14:paraId="7C614231" w14:textId="77777777" w:rsidR="0017561A" w:rsidRPr="00192CCA" w:rsidRDefault="0017561A" w:rsidP="004E0520">
            <w:pPr>
              <w:rPr>
                <w:sz w:val="20"/>
                <w:szCs w:val="20"/>
              </w:rPr>
            </w:pPr>
            <w:r>
              <w:rPr>
                <w:sz w:val="20"/>
                <w:szCs w:val="20"/>
              </w:rPr>
              <w:t>230 (44.66)</w:t>
            </w:r>
          </w:p>
        </w:tc>
        <w:tc>
          <w:tcPr>
            <w:tcW w:w="992" w:type="dxa"/>
          </w:tcPr>
          <w:p w14:paraId="3A355C92" w14:textId="77777777" w:rsidR="0017561A" w:rsidRPr="00192CCA" w:rsidRDefault="0017561A" w:rsidP="004E0520">
            <w:pPr>
              <w:rPr>
                <w:sz w:val="20"/>
                <w:szCs w:val="20"/>
              </w:rPr>
            </w:pPr>
          </w:p>
        </w:tc>
        <w:tc>
          <w:tcPr>
            <w:tcW w:w="709" w:type="dxa"/>
          </w:tcPr>
          <w:p w14:paraId="2C2D0FCD" w14:textId="77777777" w:rsidR="0017561A" w:rsidRPr="00192CCA" w:rsidRDefault="0017561A" w:rsidP="004E0520">
            <w:pPr>
              <w:rPr>
                <w:sz w:val="20"/>
                <w:szCs w:val="20"/>
              </w:rPr>
            </w:pPr>
            <w:r>
              <w:rPr>
                <w:sz w:val="20"/>
                <w:szCs w:val="20"/>
              </w:rPr>
              <w:t>0.72</w:t>
            </w:r>
          </w:p>
        </w:tc>
        <w:tc>
          <w:tcPr>
            <w:tcW w:w="1417" w:type="dxa"/>
          </w:tcPr>
          <w:p w14:paraId="57C3FF3E" w14:textId="77777777" w:rsidR="0017561A" w:rsidRPr="00192CCA" w:rsidRDefault="0017561A" w:rsidP="004E0520">
            <w:pPr>
              <w:rPr>
                <w:sz w:val="20"/>
                <w:szCs w:val="20"/>
              </w:rPr>
            </w:pPr>
            <w:r>
              <w:rPr>
                <w:sz w:val="20"/>
                <w:szCs w:val="20"/>
              </w:rPr>
              <w:t>0.56 – 0.92</w:t>
            </w:r>
          </w:p>
        </w:tc>
        <w:tc>
          <w:tcPr>
            <w:tcW w:w="992" w:type="dxa"/>
          </w:tcPr>
          <w:p w14:paraId="1523CA36" w14:textId="77777777" w:rsidR="0017561A" w:rsidRPr="00192CCA" w:rsidRDefault="0017561A" w:rsidP="004E0520">
            <w:pPr>
              <w:rPr>
                <w:sz w:val="20"/>
                <w:szCs w:val="20"/>
              </w:rPr>
            </w:pPr>
            <w:r>
              <w:rPr>
                <w:sz w:val="20"/>
                <w:szCs w:val="20"/>
              </w:rPr>
              <w:t xml:space="preserve">  0.010</w:t>
            </w:r>
          </w:p>
        </w:tc>
        <w:tc>
          <w:tcPr>
            <w:tcW w:w="709" w:type="dxa"/>
          </w:tcPr>
          <w:p w14:paraId="1911478C" w14:textId="77777777" w:rsidR="0017561A" w:rsidRPr="00192CCA" w:rsidRDefault="0017561A" w:rsidP="004E0520">
            <w:pPr>
              <w:rPr>
                <w:sz w:val="20"/>
                <w:szCs w:val="20"/>
              </w:rPr>
            </w:pPr>
            <w:r>
              <w:rPr>
                <w:sz w:val="20"/>
                <w:szCs w:val="20"/>
              </w:rPr>
              <w:t>0.67</w:t>
            </w:r>
          </w:p>
        </w:tc>
        <w:tc>
          <w:tcPr>
            <w:tcW w:w="1418" w:type="dxa"/>
          </w:tcPr>
          <w:p w14:paraId="46F275BD" w14:textId="77777777" w:rsidR="0017561A" w:rsidRPr="00192CCA" w:rsidRDefault="0017561A" w:rsidP="004E0520">
            <w:pPr>
              <w:rPr>
                <w:sz w:val="20"/>
                <w:szCs w:val="20"/>
              </w:rPr>
            </w:pPr>
            <w:r>
              <w:rPr>
                <w:sz w:val="20"/>
                <w:szCs w:val="20"/>
              </w:rPr>
              <w:t xml:space="preserve">0.51 </w:t>
            </w:r>
            <w:r w:rsidRPr="00192CCA">
              <w:rPr>
                <w:sz w:val="20"/>
                <w:szCs w:val="20"/>
              </w:rPr>
              <w:t xml:space="preserve">– </w:t>
            </w:r>
            <w:r>
              <w:rPr>
                <w:sz w:val="20"/>
                <w:szCs w:val="20"/>
              </w:rPr>
              <w:t>0.87</w:t>
            </w:r>
          </w:p>
        </w:tc>
        <w:tc>
          <w:tcPr>
            <w:tcW w:w="992" w:type="dxa"/>
          </w:tcPr>
          <w:p w14:paraId="5E9BB01F" w14:textId="77777777" w:rsidR="0017561A" w:rsidRPr="00192CCA" w:rsidRDefault="0017561A" w:rsidP="004E0520">
            <w:pPr>
              <w:rPr>
                <w:sz w:val="20"/>
                <w:szCs w:val="20"/>
                <w:highlight w:val="green"/>
              </w:rPr>
            </w:pPr>
            <w:r>
              <w:rPr>
                <w:sz w:val="20"/>
                <w:szCs w:val="20"/>
              </w:rPr>
              <w:t xml:space="preserve">  0</w:t>
            </w:r>
            <w:r w:rsidRPr="00192CCA">
              <w:rPr>
                <w:sz w:val="20"/>
                <w:szCs w:val="20"/>
              </w:rPr>
              <w:t>.00</w:t>
            </w:r>
            <w:r>
              <w:rPr>
                <w:sz w:val="20"/>
                <w:szCs w:val="20"/>
              </w:rPr>
              <w:t>3</w:t>
            </w:r>
          </w:p>
        </w:tc>
      </w:tr>
      <w:tr w:rsidR="0017561A" w:rsidRPr="00AB4B54" w14:paraId="47FE9B7A" w14:textId="77777777" w:rsidTr="004E0520">
        <w:trPr>
          <w:jc w:val="center"/>
        </w:trPr>
        <w:tc>
          <w:tcPr>
            <w:tcW w:w="3823" w:type="dxa"/>
          </w:tcPr>
          <w:p w14:paraId="1347C08D" w14:textId="77777777" w:rsidR="0017561A" w:rsidRPr="00192CCA" w:rsidRDefault="0017561A" w:rsidP="004E0520">
            <w:pPr>
              <w:rPr>
                <w:sz w:val="20"/>
                <w:szCs w:val="20"/>
              </w:rPr>
            </w:pPr>
            <w:r w:rsidRPr="00192CCA">
              <w:rPr>
                <w:sz w:val="20"/>
                <w:szCs w:val="20"/>
              </w:rPr>
              <w:t>60–69</w:t>
            </w:r>
          </w:p>
        </w:tc>
        <w:tc>
          <w:tcPr>
            <w:tcW w:w="1417" w:type="dxa"/>
          </w:tcPr>
          <w:p w14:paraId="42B29632" w14:textId="77777777" w:rsidR="0017561A" w:rsidRPr="00192CCA" w:rsidRDefault="0017561A" w:rsidP="004E0520">
            <w:pPr>
              <w:rPr>
                <w:sz w:val="20"/>
                <w:szCs w:val="20"/>
              </w:rPr>
            </w:pPr>
            <w:r>
              <w:rPr>
                <w:sz w:val="20"/>
                <w:szCs w:val="20"/>
              </w:rPr>
              <w:t>223 (47.85)</w:t>
            </w:r>
          </w:p>
        </w:tc>
        <w:tc>
          <w:tcPr>
            <w:tcW w:w="1418" w:type="dxa"/>
          </w:tcPr>
          <w:p w14:paraId="5838E61D" w14:textId="77777777" w:rsidR="0017561A" w:rsidRPr="00192CCA" w:rsidRDefault="0017561A" w:rsidP="004E0520">
            <w:pPr>
              <w:rPr>
                <w:sz w:val="20"/>
                <w:szCs w:val="20"/>
              </w:rPr>
            </w:pPr>
            <w:r>
              <w:rPr>
                <w:sz w:val="20"/>
                <w:szCs w:val="20"/>
              </w:rPr>
              <w:t>243 (52.15)</w:t>
            </w:r>
          </w:p>
        </w:tc>
        <w:tc>
          <w:tcPr>
            <w:tcW w:w="992" w:type="dxa"/>
          </w:tcPr>
          <w:p w14:paraId="19E0BA3C" w14:textId="77777777" w:rsidR="0017561A" w:rsidRPr="00192CCA" w:rsidRDefault="0017561A" w:rsidP="004E0520">
            <w:pPr>
              <w:rPr>
                <w:sz w:val="20"/>
                <w:szCs w:val="20"/>
              </w:rPr>
            </w:pPr>
          </w:p>
        </w:tc>
        <w:tc>
          <w:tcPr>
            <w:tcW w:w="709" w:type="dxa"/>
          </w:tcPr>
          <w:p w14:paraId="5D553F26" w14:textId="77777777" w:rsidR="0017561A" w:rsidRPr="00192CCA" w:rsidRDefault="0017561A" w:rsidP="004E0520">
            <w:pPr>
              <w:rPr>
                <w:sz w:val="20"/>
                <w:szCs w:val="20"/>
              </w:rPr>
            </w:pPr>
            <w:r>
              <w:rPr>
                <w:sz w:val="20"/>
                <w:szCs w:val="20"/>
              </w:rPr>
              <w:t>0.53</w:t>
            </w:r>
          </w:p>
        </w:tc>
        <w:tc>
          <w:tcPr>
            <w:tcW w:w="1417" w:type="dxa"/>
          </w:tcPr>
          <w:p w14:paraId="2A648D37" w14:textId="77777777" w:rsidR="0017561A" w:rsidRPr="00192CCA" w:rsidRDefault="0017561A" w:rsidP="004E0520">
            <w:pPr>
              <w:rPr>
                <w:sz w:val="20"/>
                <w:szCs w:val="20"/>
              </w:rPr>
            </w:pPr>
            <w:r>
              <w:rPr>
                <w:sz w:val="20"/>
                <w:szCs w:val="20"/>
              </w:rPr>
              <w:t>0.41 – 0.69</w:t>
            </w:r>
          </w:p>
        </w:tc>
        <w:tc>
          <w:tcPr>
            <w:tcW w:w="992" w:type="dxa"/>
          </w:tcPr>
          <w:p w14:paraId="6E8A4CD9" w14:textId="77777777" w:rsidR="0017561A" w:rsidRPr="00192CCA" w:rsidRDefault="0017561A" w:rsidP="004E0520">
            <w:pPr>
              <w:rPr>
                <w:sz w:val="20"/>
                <w:szCs w:val="20"/>
              </w:rPr>
            </w:pPr>
            <w:r w:rsidRPr="00192CCA">
              <w:rPr>
                <w:sz w:val="20"/>
                <w:szCs w:val="20"/>
              </w:rPr>
              <w:t>&lt;0.001</w:t>
            </w:r>
          </w:p>
        </w:tc>
        <w:tc>
          <w:tcPr>
            <w:tcW w:w="709" w:type="dxa"/>
          </w:tcPr>
          <w:p w14:paraId="4AB300D1" w14:textId="77777777" w:rsidR="0017561A" w:rsidRPr="00192CCA" w:rsidRDefault="0017561A" w:rsidP="004E0520">
            <w:pPr>
              <w:rPr>
                <w:sz w:val="20"/>
                <w:szCs w:val="20"/>
              </w:rPr>
            </w:pPr>
            <w:r>
              <w:rPr>
                <w:sz w:val="20"/>
                <w:szCs w:val="20"/>
              </w:rPr>
              <w:t>0.55</w:t>
            </w:r>
          </w:p>
        </w:tc>
        <w:tc>
          <w:tcPr>
            <w:tcW w:w="1418" w:type="dxa"/>
          </w:tcPr>
          <w:p w14:paraId="50331FA0" w14:textId="77777777" w:rsidR="0017561A" w:rsidRPr="00192CCA" w:rsidRDefault="0017561A" w:rsidP="004E0520">
            <w:pPr>
              <w:rPr>
                <w:sz w:val="20"/>
                <w:szCs w:val="20"/>
              </w:rPr>
            </w:pPr>
            <w:r>
              <w:rPr>
                <w:sz w:val="20"/>
                <w:szCs w:val="20"/>
              </w:rPr>
              <w:t>0.41</w:t>
            </w:r>
            <w:r w:rsidRPr="00192CCA">
              <w:rPr>
                <w:sz w:val="20"/>
                <w:szCs w:val="20"/>
              </w:rPr>
              <w:t xml:space="preserve"> – </w:t>
            </w:r>
            <w:r>
              <w:rPr>
                <w:sz w:val="20"/>
                <w:szCs w:val="20"/>
              </w:rPr>
              <w:t>0.73</w:t>
            </w:r>
          </w:p>
        </w:tc>
        <w:tc>
          <w:tcPr>
            <w:tcW w:w="992" w:type="dxa"/>
          </w:tcPr>
          <w:p w14:paraId="545124D3" w14:textId="77777777" w:rsidR="0017561A" w:rsidRPr="00192CCA" w:rsidRDefault="0017561A" w:rsidP="004E0520">
            <w:pPr>
              <w:rPr>
                <w:sz w:val="20"/>
                <w:szCs w:val="20"/>
                <w:highlight w:val="green"/>
              </w:rPr>
            </w:pPr>
            <w:r w:rsidRPr="00192CCA">
              <w:rPr>
                <w:sz w:val="20"/>
                <w:szCs w:val="20"/>
              </w:rPr>
              <w:t>&lt;0.001</w:t>
            </w:r>
          </w:p>
        </w:tc>
      </w:tr>
      <w:tr w:rsidR="0017561A" w:rsidRPr="00AB4B54" w14:paraId="5A40FA62" w14:textId="77777777" w:rsidTr="004E0520">
        <w:trPr>
          <w:jc w:val="center"/>
        </w:trPr>
        <w:tc>
          <w:tcPr>
            <w:tcW w:w="3823" w:type="dxa"/>
          </w:tcPr>
          <w:p w14:paraId="0D9F7595" w14:textId="77777777" w:rsidR="0017561A" w:rsidRPr="00192CCA" w:rsidRDefault="0017561A" w:rsidP="004E0520">
            <w:pPr>
              <w:rPr>
                <w:sz w:val="20"/>
                <w:szCs w:val="20"/>
              </w:rPr>
            </w:pPr>
            <w:r w:rsidRPr="00192CCA">
              <w:rPr>
                <w:sz w:val="20"/>
                <w:szCs w:val="20"/>
              </w:rPr>
              <w:t>70–79</w:t>
            </w:r>
          </w:p>
        </w:tc>
        <w:tc>
          <w:tcPr>
            <w:tcW w:w="1417" w:type="dxa"/>
          </w:tcPr>
          <w:p w14:paraId="396E9BF0" w14:textId="77777777" w:rsidR="0017561A" w:rsidRPr="00192CCA" w:rsidRDefault="0017561A" w:rsidP="004E0520">
            <w:pPr>
              <w:rPr>
                <w:sz w:val="20"/>
                <w:szCs w:val="20"/>
              </w:rPr>
            </w:pPr>
            <w:r>
              <w:rPr>
                <w:sz w:val="20"/>
                <w:szCs w:val="20"/>
              </w:rPr>
              <w:t>171 (33.66)</w:t>
            </w:r>
          </w:p>
        </w:tc>
        <w:tc>
          <w:tcPr>
            <w:tcW w:w="1418" w:type="dxa"/>
          </w:tcPr>
          <w:p w14:paraId="6361129D" w14:textId="77777777" w:rsidR="0017561A" w:rsidRPr="00192CCA" w:rsidRDefault="0017561A" w:rsidP="004E0520">
            <w:pPr>
              <w:rPr>
                <w:sz w:val="20"/>
                <w:szCs w:val="20"/>
              </w:rPr>
            </w:pPr>
            <w:r>
              <w:rPr>
                <w:sz w:val="20"/>
                <w:szCs w:val="20"/>
              </w:rPr>
              <w:t>337 (66.34)</w:t>
            </w:r>
          </w:p>
        </w:tc>
        <w:tc>
          <w:tcPr>
            <w:tcW w:w="992" w:type="dxa"/>
          </w:tcPr>
          <w:p w14:paraId="1E13F55E" w14:textId="77777777" w:rsidR="0017561A" w:rsidRPr="00192CCA" w:rsidRDefault="0017561A" w:rsidP="004E0520">
            <w:pPr>
              <w:rPr>
                <w:sz w:val="20"/>
                <w:szCs w:val="20"/>
              </w:rPr>
            </w:pPr>
          </w:p>
        </w:tc>
        <w:tc>
          <w:tcPr>
            <w:tcW w:w="709" w:type="dxa"/>
          </w:tcPr>
          <w:p w14:paraId="7EB8D2F0" w14:textId="77777777" w:rsidR="0017561A" w:rsidRPr="00192CCA" w:rsidRDefault="0017561A" w:rsidP="004E0520">
            <w:pPr>
              <w:rPr>
                <w:sz w:val="20"/>
                <w:szCs w:val="20"/>
              </w:rPr>
            </w:pPr>
            <w:r>
              <w:rPr>
                <w:sz w:val="20"/>
                <w:szCs w:val="20"/>
              </w:rPr>
              <w:t>0.29</w:t>
            </w:r>
          </w:p>
        </w:tc>
        <w:tc>
          <w:tcPr>
            <w:tcW w:w="1417" w:type="dxa"/>
          </w:tcPr>
          <w:p w14:paraId="13813F72" w14:textId="77777777" w:rsidR="0017561A" w:rsidRPr="00192CCA" w:rsidRDefault="0017561A" w:rsidP="004E0520">
            <w:pPr>
              <w:rPr>
                <w:sz w:val="20"/>
                <w:szCs w:val="20"/>
              </w:rPr>
            </w:pPr>
            <w:r>
              <w:rPr>
                <w:sz w:val="20"/>
                <w:szCs w:val="20"/>
              </w:rPr>
              <w:t>0.23 – 0.38</w:t>
            </w:r>
          </w:p>
        </w:tc>
        <w:tc>
          <w:tcPr>
            <w:tcW w:w="992" w:type="dxa"/>
          </w:tcPr>
          <w:p w14:paraId="606BAE70" w14:textId="77777777" w:rsidR="0017561A" w:rsidRPr="00192CCA" w:rsidRDefault="0017561A" w:rsidP="004E0520">
            <w:pPr>
              <w:rPr>
                <w:sz w:val="20"/>
                <w:szCs w:val="20"/>
              </w:rPr>
            </w:pPr>
            <w:r w:rsidRPr="00192CCA">
              <w:rPr>
                <w:sz w:val="20"/>
                <w:szCs w:val="20"/>
              </w:rPr>
              <w:t>&lt;0.001</w:t>
            </w:r>
          </w:p>
        </w:tc>
        <w:tc>
          <w:tcPr>
            <w:tcW w:w="709" w:type="dxa"/>
          </w:tcPr>
          <w:p w14:paraId="1E0FD71B" w14:textId="77777777" w:rsidR="0017561A" w:rsidRPr="00192CCA" w:rsidRDefault="0017561A" w:rsidP="004E0520">
            <w:pPr>
              <w:rPr>
                <w:sz w:val="20"/>
                <w:szCs w:val="20"/>
              </w:rPr>
            </w:pPr>
            <w:r>
              <w:rPr>
                <w:sz w:val="20"/>
                <w:szCs w:val="20"/>
              </w:rPr>
              <w:t>0.27</w:t>
            </w:r>
          </w:p>
        </w:tc>
        <w:tc>
          <w:tcPr>
            <w:tcW w:w="1418" w:type="dxa"/>
          </w:tcPr>
          <w:p w14:paraId="60BBE72C" w14:textId="77777777" w:rsidR="0017561A" w:rsidRPr="00192CCA" w:rsidRDefault="0017561A" w:rsidP="004E0520">
            <w:pPr>
              <w:rPr>
                <w:sz w:val="20"/>
                <w:szCs w:val="20"/>
              </w:rPr>
            </w:pPr>
            <w:r>
              <w:rPr>
                <w:sz w:val="20"/>
                <w:szCs w:val="20"/>
              </w:rPr>
              <w:t>0.20 – 0.36</w:t>
            </w:r>
          </w:p>
        </w:tc>
        <w:tc>
          <w:tcPr>
            <w:tcW w:w="992" w:type="dxa"/>
          </w:tcPr>
          <w:p w14:paraId="23A05DF3" w14:textId="77777777" w:rsidR="0017561A" w:rsidRPr="00192CCA" w:rsidRDefault="0017561A" w:rsidP="004E0520">
            <w:pPr>
              <w:rPr>
                <w:sz w:val="20"/>
                <w:szCs w:val="20"/>
                <w:highlight w:val="green"/>
              </w:rPr>
            </w:pPr>
            <w:r w:rsidRPr="00192CCA">
              <w:rPr>
                <w:sz w:val="20"/>
                <w:szCs w:val="20"/>
              </w:rPr>
              <w:t>&lt;0.001</w:t>
            </w:r>
          </w:p>
        </w:tc>
      </w:tr>
      <w:tr w:rsidR="0017561A" w:rsidRPr="00AB4B54" w14:paraId="2B9CC979" w14:textId="77777777" w:rsidTr="004E0520">
        <w:trPr>
          <w:jc w:val="center"/>
        </w:trPr>
        <w:tc>
          <w:tcPr>
            <w:tcW w:w="3823" w:type="dxa"/>
          </w:tcPr>
          <w:p w14:paraId="09D269E8" w14:textId="77777777" w:rsidR="0017561A" w:rsidRPr="00192CCA" w:rsidRDefault="0017561A" w:rsidP="004E0520">
            <w:pPr>
              <w:rPr>
                <w:sz w:val="20"/>
                <w:szCs w:val="20"/>
              </w:rPr>
            </w:pPr>
            <w:r w:rsidRPr="00192CCA">
              <w:rPr>
                <w:sz w:val="20"/>
                <w:szCs w:val="20"/>
              </w:rPr>
              <w:t>80+</w:t>
            </w:r>
          </w:p>
        </w:tc>
        <w:tc>
          <w:tcPr>
            <w:tcW w:w="1417" w:type="dxa"/>
          </w:tcPr>
          <w:p w14:paraId="683596C3" w14:textId="77777777" w:rsidR="0017561A" w:rsidRPr="00192CCA" w:rsidRDefault="0017561A" w:rsidP="004E0520">
            <w:pPr>
              <w:rPr>
                <w:sz w:val="20"/>
                <w:szCs w:val="20"/>
              </w:rPr>
            </w:pPr>
            <w:r>
              <w:rPr>
                <w:sz w:val="20"/>
                <w:szCs w:val="20"/>
              </w:rPr>
              <w:t>69 (17.97)</w:t>
            </w:r>
          </w:p>
        </w:tc>
        <w:tc>
          <w:tcPr>
            <w:tcW w:w="1418" w:type="dxa"/>
          </w:tcPr>
          <w:p w14:paraId="6AE59A7E" w14:textId="77777777" w:rsidR="0017561A" w:rsidRPr="00192CCA" w:rsidRDefault="0017561A" w:rsidP="004E0520">
            <w:pPr>
              <w:rPr>
                <w:sz w:val="20"/>
                <w:szCs w:val="20"/>
              </w:rPr>
            </w:pPr>
            <w:r>
              <w:rPr>
                <w:sz w:val="20"/>
                <w:szCs w:val="20"/>
              </w:rPr>
              <w:t>315 (82.03)</w:t>
            </w:r>
          </w:p>
        </w:tc>
        <w:tc>
          <w:tcPr>
            <w:tcW w:w="992" w:type="dxa"/>
          </w:tcPr>
          <w:p w14:paraId="0564C3F2" w14:textId="77777777" w:rsidR="0017561A" w:rsidRPr="00192CCA" w:rsidRDefault="0017561A" w:rsidP="004E0520">
            <w:pPr>
              <w:rPr>
                <w:sz w:val="20"/>
                <w:szCs w:val="20"/>
              </w:rPr>
            </w:pPr>
          </w:p>
        </w:tc>
        <w:tc>
          <w:tcPr>
            <w:tcW w:w="709" w:type="dxa"/>
          </w:tcPr>
          <w:p w14:paraId="05BDCB3F" w14:textId="77777777" w:rsidR="0017561A" w:rsidRPr="00192CCA" w:rsidRDefault="0017561A" w:rsidP="004E0520">
            <w:pPr>
              <w:rPr>
                <w:sz w:val="20"/>
                <w:szCs w:val="20"/>
              </w:rPr>
            </w:pPr>
            <w:r>
              <w:rPr>
                <w:sz w:val="20"/>
                <w:szCs w:val="20"/>
              </w:rPr>
              <w:t>0.13</w:t>
            </w:r>
          </w:p>
        </w:tc>
        <w:tc>
          <w:tcPr>
            <w:tcW w:w="1417" w:type="dxa"/>
          </w:tcPr>
          <w:p w14:paraId="5D2AE96E" w14:textId="77777777" w:rsidR="0017561A" w:rsidRPr="00192CCA" w:rsidRDefault="0017561A" w:rsidP="004E0520">
            <w:pPr>
              <w:rPr>
                <w:sz w:val="20"/>
                <w:szCs w:val="20"/>
              </w:rPr>
            </w:pPr>
            <w:r>
              <w:rPr>
                <w:sz w:val="20"/>
                <w:szCs w:val="20"/>
              </w:rPr>
              <w:t>0.09 – 0.17</w:t>
            </w:r>
          </w:p>
        </w:tc>
        <w:tc>
          <w:tcPr>
            <w:tcW w:w="992" w:type="dxa"/>
          </w:tcPr>
          <w:p w14:paraId="524A0DFB" w14:textId="77777777" w:rsidR="0017561A" w:rsidRPr="00192CCA" w:rsidRDefault="0017561A" w:rsidP="004E0520">
            <w:pPr>
              <w:rPr>
                <w:sz w:val="20"/>
                <w:szCs w:val="20"/>
              </w:rPr>
            </w:pPr>
            <w:r w:rsidRPr="00192CCA">
              <w:rPr>
                <w:sz w:val="20"/>
                <w:szCs w:val="20"/>
              </w:rPr>
              <w:t>&lt;0.001</w:t>
            </w:r>
          </w:p>
        </w:tc>
        <w:tc>
          <w:tcPr>
            <w:tcW w:w="709" w:type="dxa"/>
          </w:tcPr>
          <w:p w14:paraId="7E073B09" w14:textId="77777777" w:rsidR="0017561A" w:rsidRPr="00192CCA" w:rsidRDefault="0017561A" w:rsidP="004E0520">
            <w:pPr>
              <w:rPr>
                <w:sz w:val="20"/>
                <w:szCs w:val="20"/>
              </w:rPr>
            </w:pPr>
            <w:r>
              <w:rPr>
                <w:sz w:val="20"/>
                <w:szCs w:val="20"/>
              </w:rPr>
              <w:t>0.11</w:t>
            </w:r>
          </w:p>
        </w:tc>
        <w:tc>
          <w:tcPr>
            <w:tcW w:w="1418" w:type="dxa"/>
          </w:tcPr>
          <w:p w14:paraId="7670B4D6" w14:textId="77777777" w:rsidR="0017561A" w:rsidRPr="00192CCA" w:rsidRDefault="0017561A" w:rsidP="004E0520">
            <w:pPr>
              <w:rPr>
                <w:sz w:val="20"/>
                <w:szCs w:val="20"/>
              </w:rPr>
            </w:pPr>
            <w:r>
              <w:rPr>
                <w:sz w:val="20"/>
                <w:szCs w:val="20"/>
              </w:rPr>
              <w:t>0.08 – 0.16</w:t>
            </w:r>
          </w:p>
        </w:tc>
        <w:tc>
          <w:tcPr>
            <w:tcW w:w="992" w:type="dxa"/>
          </w:tcPr>
          <w:p w14:paraId="5CD67D96" w14:textId="77777777" w:rsidR="0017561A" w:rsidRPr="00192CCA" w:rsidRDefault="0017561A" w:rsidP="004E0520">
            <w:pPr>
              <w:rPr>
                <w:sz w:val="20"/>
                <w:szCs w:val="20"/>
              </w:rPr>
            </w:pPr>
            <w:r w:rsidRPr="00192CCA">
              <w:rPr>
                <w:sz w:val="20"/>
                <w:szCs w:val="20"/>
              </w:rPr>
              <w:t>&lt;0.001</w:t>
            </w:r>
          </w:p>
        </w:tc>
      </w:tr>
      <w:tr w:rsidR="0017561A" w:rsidRPr="00AB4B54" w14:paraId="097A64E1" w14:textId="77777777" w:rsidTr="004E0520">
        <w:trPr>
          <w:jc w:val="center"/>
        </w:trPr>
        <w:tc>
          <w:tcPr>
            <w:tcW w:w="3823" w:type="dxa"/>
          </w:tcPr>
          <w:p w14:paraId="38E9E29A" w14:textId="77777777" w:rsidR="0017561A" w:rsidRPr="00192CCA" w:rsidRDefault="0017561A" w:rsidP="004E0520">
            <w:pPr>
              <w:rPr>
                <w:b/>
                <w:bCs/>
                <w:sz w:val="20"/>
                <w:szCs w:val="20"/>
              </w:rPr>
            </w:pPr>
          </w:p>
          <w:p w14:paraId="7FA6F7E5" w14:textId="77777777" w:rsidR="0017561A" w:rsidRPr="00192CCA" w:rsidRDefault="0017561A" w:rsidP="004E0520">
            <w:pPr>
              <w:rPr>
                <w:sz w:val="20"/>
                <w:szCs w:val="20"/>
              </w:rPr>
            </w:pPr>
            <w:r w:rsidRPr="00192CCA">
              <w:rPr>
                <w:b/>
                <w:bCs/>
                <w:sz w:val="20"/>
                <w:szCs w:val="20"/>
              </w:rPr>
              <w:t>Ethnicity</w:t>
            </w:r>
          </w:p>
        </w:tc>
        <w:tc>
          <w:tcPr>
            <w:tcW w:w="1417" w:type="dxa"/>
          </w:tcPr>
          <w:p w14:paraId="4381171C" w14:textId="77777777" w:rsidR="0017561A" w:rsidRPr="00192CCA" w:rsidRDefault="0017561A" w:rsidP="004E0520">
            <w:pPr>
              <w:rPr>
                <w:sz w:val="20"/>
                <w:szCs w:val="20"/>
              </w:rPr>
            </w:pPr>
          </w:p>
        </w:tc>
        <w:tc>
          <w:tcPr>
            <w:tcW w:w="1418" w:type="dxa"/>
          </w:tcPr>
          <w:p w14:paraId="4A605DDF" w14:textId="77777777" w:rsidR="0017561A" w:rsidRPr="00192CCA" w:rsidRDefault="0017561A" w:rsidP="004E0520">
            <w:pPr>
              <w:rPr>
                <w:sz w:val="20"/>
                <w:szCs w:val="20"/>
              </w:rPr>
            </w:pPr>
          </w:p>
        </w:tc>
        <w:tc>
          <w:tcPr>
            <w:tcW w:w="992" w:type="dxa"/>
          </w:tcPr>
          <w:p w14:paraId="6DFDFF89" w14:textId="77777777" w:rsidR="0017561A" w:rsidRPr="00192CCA" w:rsidRDefault="0017561A" w:rsidP="004E0520">
            <w:pPr>
              <w:rPr>
                <w:sz w:val="20"/>
                <w:szCs w:val="20"/>
              </w:rPr>
            </w:pPr>
          </w:p>
          <w:p w14:paraId="44412E92" w14:textId="77777777" w:rsidR="0017561A" w:rsidRPr="00192CCA" w:rsidRDefault="0017561A" w:rsidP="004E0520">
            <w:pPr>
              <w:rPr>
                <w:sz w:val="20"/>
                <w:szCs w:val="20"/>
              </w:rPr>
            </w:pPr>
            <w:r w:rsidRPr="00192CCA">
              <w:rPr>
                <w:sz w:val="20"/>
                <w:szCs w:val="20"/>
              </w:rPr>
              <w:t>&lt;0.001</w:t>
            </w:r>
          </w:p>
        </w:tc>
        <w:tc>
          <w:tcPr>
            <w:tcW w:w="709" w:type="dxa"/>
          </w:tcPr>
          <w:p w14:paraId="13A45E00" w14:textId="77777777" w:rsidR="0017561A" w:rsidRPr="00192CCA" w:rsidRDefault="0017561A" w:rsidP="004E0520">
            <w:pPr>
              <w:rPr>
                <w:sz w:val="20"/>
                <w:szCs w:val="20"/>
              </w:rPr>
            </w:pPr>
          </w:p>
        </w:tc>
        <w:tc>
          <w:tcPr>
            <w:tcW w:w="1417" w:type="dxa"/>
          </w:tcPr>
          <w:p w14:paraId="23B6DA01" w14:textId="77777777" w:rsidR="0017561A" w:rsidRPr="00192CCA" w:rsidRDefault="0017561A" w:rsidP="004E0520">
            <w:pPr>
              <w:rPr>
                <w:sz w:val="20"/>
                <w:szCs w:val="20"/>
              </w:rPr>
            </w:pPr>
          </w:p>
        </w:tc>
        <w:tc>
          <w:tcPr>
            <w:tcW w:w="992" w:type="dxa"/>
          </w:tcPr>
          <w:p w14:paraId="38D60E16" w14:textId="77777777" w:rsidR="0017561A" w:rsidRPr="00192CCA" w:rsidRDefault="0017561A" w:rsidP="004E0520">
            <w:pPr>
              <w:rPr>
                <w:b/>
                <w:bCs/>
                <w:sz w:val="20"/>
                <w:szCs w:val="20"/>
              </w:rPr>
            </w:pPr>
          </w:p>
          <w:p w14:paraId="06E744E7" w14:textId="77777777" w:rsidR="0017561A" w:rsidRPr="00192CCA" w:rsidRDefault="0017561A" w:rsidP="004E0520">
            <w:pPr>
              <w:rPr>
                <w:b/>
                <w:bCs/>
                <w:sz w:val="20"/>
                <w:szCs w:val="20"/>
              </w:rPr>
            </w:pPr>
            <w:r>
              <w:rPr>
                <w:b/>
                <w:bCs/>
                <w:sz w:val="20"/>
                <w:szCs w:val="20"/>
              </w:rPr>
              <w:t xml:space="preserve"> &lt;</w:t>
            </w:r>
            <w:r w:rsidRPr="00192CCA">
              <w:rPr>
                <w:b/>
                <w:bCs/>
                <w:sz w:val="20"/>
                <w:szCs w:val="20"/>
              </w:rPr>
              <w:t>0.00</w:t>
            </w:r>
            <w:r>
              <w:rPr>
                <w:b/>
                <w:bCs/>
                <w:sz w:val="20"/>
                <w:szCs w:val="20"/>
              </w:rPr>
              <w:t>1</w:t>
            </w:r>
          </w:p>
        </w:tc>
        <w:tc>
          <w:tcPr>
            <w:tcW w:w="709" w:type="dxa"/>
          </w:tcPr>
          <w:p w14:paraId="714AFC66" w14:textId="77777777" w:rsidR="0017561A" w:rsidRPr="00192CCA" w:rsidRDefault="0017561A" w:rsidP="004E0520">
            <w:pPr>
              <w:rPr>
                <w:sz w:val="20"/>
                <w:szCs w:val="20"/>
              </w:rPr>
            </w:pPr>
          </w:p>
        </w:tc>
        <w:tc>
          <w:tcPr>
            <w:tcW w:w="1418" w:type="dxa"/>
          </w:tcPr>
          <w:p w14:paraId="64C1D4E1" w14:textId="77777777" w:rsidR="0017561A" w:rsidRPr="00192CCA" w:rsidRDefault="0017561A" w:rsidP="004E0520">
            <w:pPr>
              <w:rPr>
                <w:sz w:val="20"/>
                <w:szCs w:val="20"/>
              </w:rPr>
            </w:pPr>
          </w:p>
        </w:tc>
        <w:tc>
          <w:tcPr>
            <w:tcW w:w="992" w:type="dxa"/>
          </w:tcPr>
          <w:p w14:paraId="7B10B74B" w14:textId="77777777" w:rsidR="0017561A" w:rsidRPr="00192CCA" w:rsidRDefault="0017561A" w:rsidP="004E0520">
            <w:pPr>
              <w:rPr>
                <w:b/>
                <w:bCs/>
                <w:sz w:val="20"/>
                <w:szCs w:val="20"/>
              </w:rPr>
            </w:pPr>
          </w:p>
          <w:p w14:paraId="4B54A63E" w14:textId="77777777" w:rsidR="0017561A" w:rsidRPr="00192CCA" w:rsidRDefault="0017561A" w:rsidP="004E0520">
            <w:pPr>
              <w:rPr>
                <w:b/>
                <w:bCs/>
                <w:sz w:val="20"/>
                <w:szCs w:val="20"/>
              </w:rPr>
            </w:pPr>
            <w:r>
              <w:rPr>
                <w:b/>
                <w:bCs/>
                <w:sz w:val="20"/>
                <w:szCs w:val="20"/>
              </w:rPr>
              <w:t xml:space="preserve">  </w:t>
            </w:r>
            <w:r w:rsidRPr="00192CCA">
              <w:rPr>
                <w:b/>
                <w:bCs/>
                <w:sz w:val="20"/>
                <w:szCs w:val="20"/>
              </w:rPr>
              <w:t>0.0</w:t>
            </w:r>
            <w:r>
              <w:rPr>
                <w:b/>
                <w:bCs/>
                <w:sz w:val="20"/>
                <w:szCs w:val="20"/>
              </w:rPr>
              <w:t>02</w:t>
            </w:r>
          </w:p>
        </w:tc>
      </w:tr>
      <w:tr w:rsidR="0017561A" w:rsidRPr="00AB4B54" w14:paraId="6C5D80C5" w14:textId="77777777" w:rsidTr="004E0520">
        <w:trPr>
          <w:jc w:val="center"/>
        </w:trPr>
        <w:tc>
          <w:tcPr>
            <w:tcW w:w="3823" w:type="dxa"/>
          </w:tcPr>
          <w:p w14:paraId="377CC2BD" w14:textId="77777777" w:rsidR="0017561A" w:rsidRPr="00192CCA" w:rsidRDefault="0017561A" w:rsidP="004E0520">
            <w:pPr>
              <w:rPr>
                <w:b/>
                <w:bCs/>
                <w:sz w:val="20"/>
                <w:szCs w:val="20"/>
              </w:rPr>
            </w:pPr>
            <w:r w:rsidRPr="00192CCA">
              <w:rPr>
                <w:sz w:val="20"/>
                <w:szCs w:val="20"/>
              </w:rPr>
              <w:t>White</w:t>
            </w:r>
          </w:p>
        </w:tc>
        <w:tc>
          <w:tcPr>
            <w:tcW w:w="1417" w:type="dxa"/>
          </w:tcPr>
          <w:p w14:paraId="48478C93" w14:textId="77777777" w:rsidR="0017561A" w:rsidRPr="00192CCA" w:rsidRDefault="0017561A" w:rsidP="004E0520">
            <w:pPr>
              <w:rPr>
                <w:sz w:val="20"/>
                <w:szCs w:val="20"/>
              </w:rPr>
            </w:pPr>
            <w:r>
              <w:rPr>
                <w:sz w:val="20"/>
                <w:szCs w:val="20"/>
              </w:rPr>
              <w:t>923 (44.70)</w:t>
            </w:r>
          </w:p>
        </w:tc>
        <w:tc>
          <w:tcPr>
            <w:tcW w:w="1418" w:type="dxa"/>
          </w:tcPr>
          <w:p w14:paraId="7BE8BAEA" w14:textId="77777777" w:rsidR="0017561A" w:rsidRPr="00192CCA" w:rsidRDefault="0017561A" w:rsidP="004E0520">
            <w:pPr>
              <w:rPr>
                <w:sz w:val="20"/>
                <w:szCs w:val="20"/>
              </w:rPr>
            </w:pPr>
            <w:r>
              <w:rPr>
                <w:sz w:val="20"/>
                <w:szCs w:val="20"/>
              </w:rPr>
              <w:t>1,142 (55.30)</w:t>
            </w:r>
          </w:p>
        </w:tc>
        <w:tc>
          <w:tcPr>
            <w:tcW w:w="992" w:type="dxa"/>
          </w:tcPr>
          <w:p w14:paraId="2A57A935" w14:textId="77777777" w:rsidR="0017561A" w:rsidRPr="00192CCA" w:rsidRDefault="0017561A" w:rsidP="004E0520">
            <w:pPr>
              <w:rPr>
                <w:sz w:val="20"/>
                <w:szCs w:val="20"/>
              </w:rPr>
            </w:pPr>
          </w:p>
        </w:tc>
        <w:tc>
          <w:tcPr>
            <w:tcW w:w="709" w:type="dxa"/>
          </w:tcPr>
          <w:p w14:paraId="00031606" w14:textId="77777777" w:rsidR="0017561A" w:rsidRPr="00192CCA" w:rsidRDefault="0017561A" w:rsidP="004E0520">
            <w:pPr>
              <w:rPr>
                <w:sz w:val="20"/>
                <w:szCs w:val="20"/>
              </w:rPr>
            </w:pPr>
            <w:r w:rsidRPr="00192CCA">
              <w:rPr>
                <w:sz w:val="20"/>
                <w:szCs w:val="20"/>
              </w:rPr>
              <w:t>1.00</w:t>
            </w:r>
          </w:p>
        </w:tc>
        <w:tc>
          <w:tcPr>
            <w:tcW w:w="1417" w:type="dxa"/>
          </w:tcPr>
          <w:p w14:paraId="11708766" w14:textId="77777777" w:rsidR="0017561A" w:rsidRPr="00192CCA" w:rsidRDefault="0017561A" w:rsidP="004E0520">
            <w:pPr>
              <w:rPr>
                <w:sz w:val="20"/>
                <w:szCs w:val="20"/>
              </w:rPr>
            </w:pPr>
            <w:r w:rsidRPr="00192CCA">
              <w:rPr>
                <w:sz w:val="20"/>
                <w:szCs w:val="20"/>
              </w:rPr>
              <w:t>-----     -----</w:t>
            </w:r>
          </w:p>
        </w:tc>
        <w:tc>
          <w:tcPr>
            <w:tcW w:w="992" w:type="dxa"/>
          </w:tcPr>
          <w:p w14:paraId="250715C5" w14:textId="77777777" w:rsidR="0017561A" w:rsidRPr="00192CCA" w:rsidRDefault="0017561A" w:rsidP="004E0520">
            <w:pPr>
              <w:rPr>
                <w:sz w:val="20"/>
                <w:szCs w:val="20"/>
              </w:rPr>
            </w:pPr>
            <w:r>
              <w:rPr>
                <w:sz w:val="20"/>
                <w:szCs w:val="20"/>
              </w:rPr>
              <w:t xml:space="preserve">  </w:t>
            </w:r>
            <w:r w:rsidRPr="00192CCA">
              <w:rPr>
                <w:sz w:val="20"/>
                <w:szCs w:val="20"/>
              </w:rPr>
              <w:t>-------</w:t>
            </w:r>
          </w:p>
        </w:tc>
        <w:tc>
          <w:tcPr>
            <w:tcW w:w="709" w:type="dxa"/>
          </w:tcPr>
          <w:p w14:paraId="1BDAF35A" w14:textId="77777777" w:rsidR="0017561A" w:rsidRPr="00192CCA" w:rsidRDefault="0017561A" w:rsidP="004E0520">
            <w:pPr>
              <w:rPr>
                <w:sz w:val="20"/>
                <w:szCs w:val="20"/>
              </w:rPr>
            </w:pPr>
            <w:r w:rsidRPr="00192CCA">
              <w:rPr>
                <w:sz w:val="20"/>
                <w:szCs w:val="20"/>
              </w:rPr>
              <w:t>1.00</w:t>
            </w:r>
          </w:p>
        </w:tc>
        <w:tc>
          <w:tcPr>
            <w:tcW w:w="1418" w:type="dxa"/>
          </w:tcPr>
          <w:p w14:paraId="39B68602" w14:textId="77777777" w:rsidR="0017561A" w:rsidRPr="00192CCA" w:rsidRDefault="0017561A" w:rsidP="004E0520">
            <w:pPr>
              <w:rPr>
                <w:sz w:val="20"/>
                <w:szCs w:val="20"/>
              </w:rPr>
            </w:pPr>
            <w:r w:rsidRPr="00192CCA">
              <w:rPr>
                <w:sz w:val="20"/>
                <w:szCs w:val="20"/>
              </w:rPr>
              <w:t>-----     -----</w:t>
            </w:r>
          </w:p>
        </w:tc>
        <w:tc>
          <w:tcPr>
            <w:tcW w:w="992" w:type="dxa"/>
          </w:tcPr>
          <w:p w14:paraId="2A3FCB0D" w14:textId="77777777" w:rsidR="0017561A" w:rsidRPr="00192CCA" w:rsidRDefault="0017561A" w:rsidP="004E0520">
            <w:pPr>
              <w:rPr>
                <w:sz w:val="20"/>
                <w:szCs w:val="20"/>
              </w:rPr>
            </w:pPr>
            <w:r>
              <w:rPr>
                <w:sz w:val="20"/>
                <w:szCs w:val="20"/>
              </w:rPr>
              <w:t xml:space="preserve">  </w:t>
            </w:r>
            <w:r w:rsidRPr="00192CCA">
              <w:rPr>
                <w:sz w:val="20"/>
                <w:szCs w:val="20"/>
              </w:rPr>
              <w:t>-------</w:t>
            </w:r>
          </w:p>
        </w:tc>
      </w:tr>
      <w:tr w:rsidR="0017561A" w:rsidRPr="00AB4B54" w14:paraId="6A35B1A1" w14:textId="77777777" w:rsidTr="004E0520">
        <w:trPr>
          <w:jc w:val="center"/>
        </w:trPr>
        <w:tc>
          <w:tcPr>
            <w:tcW w:w="3823" w:type="dxa"/>
          </w:tcPr>
          <w:p w14:paraId="5A21F79B" w14:textId="77777777" w:rsidR="0017561A" w:rsidRPr="00192CCA" w:rsidRDefault="0017561A" w:rsidP="004E0520">
            <w:pPr>
              <w:rPr>
                <w:sz w:val="20"/>
                <w:szCs w:val="20"/>
              </w:rPr>
            </w:pPr>
            <w:r w:rsidRPr="00192CCA">
              <w:rPr>
                <w:sz w:val="20"/>
                <w:szCs w:val="20"/>
              </w:rPr>
              <w:t>Other Ethnic Group</w:t>
            </w:r>
            <w:r>
              <w:rPr>
                <w:sz w:val="20"/>
                <w:szCs w:val="20"/>
                <w:vertAlign w:val="superscript"/>
              </w:rPr>
              <w:t>d</w:t>
            </w:r>
          </w:p>
        </w:tc>
        <w:tc>
          <w:tcPr>
            <w:tcW w:w="1417" w:type="dxa"/>
          </w:tcPr>
          <w:p w14:paraId="6424E0AE" w14:textId="77777777" w:rsidR="0017561A" w:rsidRPr="00192CCA" w:rsidRDefault="0017561A" w:rsidP="004E0520">
            <w:pPr>
              <w:rPr>
                <w:sz w:val="20"/>
                <w:szCs w:val="20"/>
              </w:rPr>
            </w:pPr>
            <w:r>
              <w:rPr>
                <w:sz w:val="20"/>
                <w:szCs w:val="20"/>
              </w:rPr>
              <w:t>109 (54.77)</w:t>
            </w:r>
          </w:p>
        </w:tc>
        <w:tc>
          <w:tcPr>
            <w:tcW w:w="1418" w:type="dxa"/>
          </w:tcPr>
          <w:p w14:paraId="75CC5836" w14:textId="77777777" w:rsidR="0017561A" w:rsidRPr="00192CCA" w:rsidRDefault="0017561A" w:rsidP="004E0520">
            <w:pPr>
              <w:rPr>
                <w:sz w:val="20"/>
                <w:szCs w:val="20"/>
              </w:rPr>
            </w:pPr>
            <w:r>
              <w:rPr>
                <w:sz w:val="20"/>
                <w:szCs w:val="20"/>
              </w:rPr>
              <w:t>90 (45.23)</w:t>
            </w:r>
          </w:p>
        </w:tc>
        <w:tc>
          <w:tcPr>
            <w:tcW w:w="992" w:type="dxa"/>
          </w:tcPr>
          <w:p w14:paraId="3B610A20" w14:textId="77777777" w:rsidR="0017561A" w:rsidRPr="00192CCA" w:rsidRDefault="0017561A" w:rsidP="004E0520">
            <w:pPr>
              <w:rPr>
                <w:sz w:val="20"/>
                <w:szCs w:val="20"/>
              </w:rPr>
            </w:pPr>
          </w:p>
        </w:tc>
        <w:tc>
          <w:tcPr>
            <w:tcW w:w="709" w:type="dxa"/>
          </w:tcPr>
          <w:p w14:paraId="14CE46DE" w14:textId="77777777" w:rsidR="0017561A" w:rsidRPr="00192CCA" w:rsidRDefault="0017561A" w:rsidP="004E0520">
            <w:pPr>
              <w:rPr>
                <w:sz w:val="20"/>
                <w:szCs w:val="20"/>
              </w:rPr>
            </w:pPr>
            <w:r w:rsidRPr="00192CCA">
              <w:rPr>
                <w:sz w:val="20"/>
                <w:szCs w:val="20"/>
              </w:rPr>
              <w:t>1.</w:t>
            </w:r>
            <w:r>
              <w:rPr>
                <w:sz w:val="20"/>
                <w:szCs w:val="20"/>
              </w:rPr>
              <w:t>50</w:t>
            </w:r>
          </w:p>
        </w:tc>
        <w:tc>
          <w:tcPr>
            <w:tcW w:w="1417" w:type="dxa"/>
          </w:tcPr>
          <w:p w14:paraId="488172F0" w14:textId="77777777" w:rsidR="0017561A" w:rsidRPr="00192CCA" w:rsidRDefault="0017561A" w:rsidP="004E0520">
            <w:pPr>
              <w:rPr>
                <w:sz w:val="20"/>
                <w:szCs w:val="20"/>
              </w:rPr>
            </w:pPr>
            <w:r w:rsidRPr="00192CCA">
              <w:rPr>
                <w:sz w:val="20"/>
                <w:szCs w:val="20"/>
              </w:rPr>
              <w:t>1.</w:t>
            </w:r>
            <w:r>
              <w:rPr>
                <w:sz w:val="20"/>
                <w:szCs w:val="20"/>
              </w:rPr>
              <w:t>12</w:t>
            </w:r>
            <w:r w:rsidRPr="00192CCA">
              <w:rPr>
                <w:sz w:val="20"/>
                <w:szCs w:val="20"/>
              </w:rPr>
              <w:t xml:space="preserve"> – </w:t>
            </w:r>
            <w:r>
              <w:rPr>
                <w:sz w:val="20"/>
                <w:szCs w:val="20"/>
              </w:rPr>
              <w:t>2.01</w:t>
            </w:r>
          </w:p>
        </w:tc>
        <w:tc>
          <w:tcPr>
            <w:tcW w:w="992" w:type="dxa"/>
          </w:tcPr>
          <w:p w14:paraId="2923352F" w14:textId="77777777" w:rsidR="0017561A" w:rsidRPr="00192CCA" w:rsidRDefault="0017561A" w:rsidP="004E0520">
            <w:pPr>
              <w:rPr>
                <w:sz w:val="20"/>
                <w:szCs w:val="20"/>
              </w:rPr>
            </w:pPr>
            <w:r>
              <w:rPr>
                <w:sz w:val="20"/>
                <w:szCs w:val="20"/>
              </w:rPr>
              <w:t xml:space="preserve">  0</w:t>
            </w:r>
            <w:r w:rsidRPr="00192CCA">
              <w:rPr>
                <w:sz w:val="20"/>
                <w:szCs w:val="20"/>
              </w:rPr>
              <w:t>.00</w:t>
            </w:r>
            <w:r>
              <w:rPr>
                <w:sz w:val="20"/>
                <w:szCs w:val="20"/>
              </w:rPr>
              <w:t>7</w:t>
            </w:r>
          </w:p>
        </w:tc>
        <w:tc>
          <w:tcPr>
            <w:tcW w:w="709" w:type="dxa"/>
          </w:tcPr>
          <w:p w14:paraId="46BC174D" w14:textId="77777777" w:rsidR="0017561A" w:rsidRPr="00192CCA" w:rsidRDefault="0017561A" w:rsidP="004E0520">
            <w:pPr>
              <w:rPr>
                <w:sz w:val="20"/>
                <w:szCs w:val="20"/>
              </w:rPr>
            </w:pPr>
            <w:r>
              <w:rPr>
                <w:sz w:val="20"/>
                <w:szCs w:val="20"/>
              </w:rPr>
              <w:t>1.00</w:t>
            </w:r>
          </w:p>
        </w:tc>
        <w:tc>
          <w:tcPr>
            <w:tcW w:w="1418" w:type="dxa"/>
          </w:tcPr>
          <w:p w14:paraId="38D6CCE6" w14:textId="77777777" w:rsidR="0017561A" w:rsidRPr="00192CCA" w:rsidRDefault="0017561A" w:rsidP="004E0520">
            <w:pPr>
              <w:rPr>
                <w:sz w:val="20"/>
                <w:szCs w:val="20"/>
              </w:rPr>
            </w:pPr>
            <w:r w:rsidRPr="00192CCA">
              <w:rPr>
                <w:sz w:val="20"/>
                <w:szCs w:val="20"/>
              </w:rPr>
              <w:t>0.</w:t>
            </w:r>
            <w:r>
              <w:rPr>
                <w:sz w:val="20"/>
                <w:szCs w:val="20"/>
              </w:rPr>
              <w:t>71</w:t>
            </w:r>
            <w:r w:rsidRPr="00192CCA">
              <w:rPr>
                <w:sz w:val="20"/>
                <w:szCs w:val="20"/>
              </w:rPr>
              <w:t xml:space="preserve"> – 1.</w:t>
            </w:r>
            <w:r>
              <w:rPr>
                <w:sz w:val="20"/>
                <w:szCs w:val="20"/>
              </w:rPr>
              <w:t>41</w:t>
            </w:r>
          </w:p>
        </w:tc>
        <w:tc>
          <w:tcPr>
            <w:tcW w:w="992" w:type="dxa"/>
          </w:tcPr>
          <w:p w14:paraId="237F6AEC"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998</w:t>
            </w:r>
          </w:p>
        </w:tc>
      </w:tr>
      <w:tr w:rsidR="0017561A" w:rsidRPr="00AB4B54" w14:paraId="20E3330B" w14:textId="77777777" w:rsidTr="004E0520">
        <w:trPr>
          <w:jc w:val="center"/>
        </w:trPr>
        <w:tc>
          <w:tcPr>
            <w:tcW w:w="3823" w:type="dxa"/>
          </w:tcPr>
          <w:p w14:paraId="28EC5BC9" w14:textId="77777777" w:rsidR="0017561A" w:rsidRPr="00192CCA" w:rsidRDefault="0017561A" w:rsidP="004E0520">
            <w:pPr>
              <w:rPr>
                <w:sz w:val="20"/>
                <w:szCs w:val="20"/>
              </w:rPr>
            </w:pPr>
            <w:r>
              <w:rPr>
                <w:sz w:val="20"/>
                <w:szCs w:val="20"/>
              </w:rPr>
              <w:t>U</w:t>
            </w:r>
            <w:r w:rsidRPr="00192CCA">
              <w:rPr>
                <w:sz w:val="20"/>
                <w:szCs w:val="20"/>
              </w:rPr>
              <w:t>nknown</w:t>
            </w:r>
            <w:r>
              <w:rPr>
                <w:sz w:val="20"/>
                <w:szCs w:val="20"/>
                <w:vertAlign w:val="superscript"/>
              </w:rPr>
              <w:t>e</w:t>
            </w:r>
          </w:p>
        </w:tc>
        <w:tc>
          <w:tcPr>
            <w:tcW w:w="1417" w:type="dxa"/>
          </w:tcPr>
          <w:p w14:paraId="0E89EFE3" w14:textId="77777777" w:rsidR="0017561A" w:rsidRPr="00192CCA" w:rsidRDefault="0017561A" w:rsidP="004E0520">
            <w:pPr>
              <w:rPr>
                <w:sz w:val="20"/>
                <w:szCs w:val="20"/>
              </w:rPr>
            </w:pPr>
            <w:r>
              <w:rPr>
                <w:sz w:val="20"/>
                <w:szCs w:val="20"/>
              </w:rPr>
              <w:t>30 (28.57)</w:t>
            </w:r>
          </w:p>
        </w:tc>
        <w:tc>
          <w:tcPr>
            <w:tcW w:w="1418" w:type="dxa"/>
          </w:tcPr>
          <w:p w14:paraId="5CC47DFA" w14:textId="77777777" w:rsidR="0017561A" w:rsidRPr="00192CCA" w:rsidRDefault="0017561A" w:rsidP="004E0520">
            <w:pPr>
              <w:rPr>
                <w:sz w:val="20"/>
                <w:szCs w:val="20"/>
              </w:rPr>
            </w:pPr>
            <w:r>
              <w:rPr>
                <w:sz w:val="20"/>
                <w:szCs w:val="20"/>
              </w:rPr>
              <w:t>75 (71.43)</w:t>
            </w:r>
          </w:p>
        </w:tc>
        <w:tc>
          <w:tcPr>
            <w:tcW w:w="992" w:type="dxa"/>
          </w:tcPr>
          <w:p w14:paraId="7921C798" w14:textId="77777777" w:rsidR="0017561A" w:rsidRPr="00192CCA" w:rsidRDefault="0017561A" w:rsidP="004E0520">
            <w:pPr>
              <w:rPr>
                <w:sz w:val="20"/>
                <w:szCs w:val="20"/>
              </w:rPr>
            </w:pPr>
          </w:p>
        </w:tc>
        <w:tc>
          <w:tcPr>
            <w:tcW w:w="709" w:type="dxa"/>
          </w:tcPr>
          <w:p w14:paraId="1FF30204" w14:textId="77777777" w:rsidR="0017561A" w:rsidRPr="00192CCA" w:rsidRDefault="0017561A" w:rsidP="004E0520">
            <w:pPr>
              <w:rPr>
                <w:sz w:val="20"/>
                <w:szCs w:val="20"/>
              </w:rPr>
            </w:pPr>
            <w:r w:rsidRPr="00192CCA">
              <w:rPr>
                <w:sz w:val="20"/>
                <w:szCs w:val="20"/>
              </w:rPr>
              <w:t>0.49</w:t>
            </w:r>
          </w:p>
        </w:tc>
        <w:tc>
          <w:tcPr>
            <w:tcW w:w="1417" w:type="dxa"/>
          </w:tcPr>
          <w:p w14:paraId="48A1073A" w14:textId="77777777" w:rsidR="0017561A" w:rsidRPr="00192CCA" w:rsidRDefault="0017561A" w:rsidP="004E0520">
            <w:pPr>
              <w:rPr>
                <w:sz w:val="20"/>
                <w:szCs w:val="20"/>
              </w:rPr>
            </w:pPr>
            <w:r w:rsidRPr="00192CCA">
              <w:rPr>
                <w:sz w:val="20"/>
                <w:szCs w:val="20"/>
              </w:rPr>
              <w:t>0.</w:t>
            </w:r>
            <w:r>
              <w:rPr>
                <w:sz w:val="20"/>
                <w:szCs w:val="20"/>
              </w:rPr>
              <w:t>32</w:t>
            </w:r>
            <w:r w:rsidRPr="00192CCA">
              <w:rPr>
                <w:sz w:val="20"/>
                <w:szCs w:val="20"/>
              </w:rPr>
              <w:t xml:space="preserve"> – 0.</w:t>
            </w:r>
            <w:r>
              <w:rPr>
                <w:sz w:val="20"/>
                <w:szCs w:val="20"/>
              </w:rPr>
              <w:t>76</w:t>
            </w:r>
          </w:p>
        </w:tc>
        <w:tc>
          <w:tcPr>
            <w:tcW w:w="992" w:type="dxa"/>
          </w:tcPr>
          <w:p w14:paraId="649F299D" w14:textId="77777777" w:rsidR="0017561A" w:rsidRPr="00192CCA" w:rsidRDefault="0017561A" w:rsidP="004E0520">
            <w:pPr>
              <w:rPr>
                <w:sz w:val="20"/>
                <w:szCs w:val="20"/>
              </w:rPr>
            </w:pPr>
            <w:r>
              <w:rPr>
                <w:sz w:val="20"/>
                <w:szCs w:val="20"/>
              </w:rPr>
              <w:t xml:space="preserve">  </w:t>
            </w:r>
            <w:r w:rsidRPr="00192CCA">
              <w:rPr>
                <w:sz w:val="20"/>
                <w:szCs w:val="20"/>
              </w:rPr>
              <w:t>0.001</w:t>
            </w:r>
          </w:p>
        </w:tc>
        <w:tc>
          <w:tcPr>
            <w:tcW w:w="709" w:type="dxa"/>
          </w:tcPr>
          <w:p w14:paraId="490C5B4E" w14:textId="77777777" w:rsidR="0017561A" w:rsidRPr="00192CCA" w:rsidRDefault="0017561A" w:rsidP="004E0520">
            <w:pPr>
              <w:rPr>
                <w:sz w:val="20"/>
                <w:szCs w:val="20"/>
              </w:rPr>
            </w:pPr>
            <w:r w:rsidRPr="00192CCA">
              <w:rPr>
                <w:sz w:val="20"/>
                <w:szCs w:val="20"/>
              </w:rPr>
              <w:t>0.4</w:t>
            </w:r>
            <w:r>
              <w:rPr>
                <w:sz w:val="20"/>
                <w:szCs w:val="20"/>
              </w:rPr>
              <w:t>4</w:t>
            </w:r>
          </w:p>
        </w:tc>
        <w:tc>
          <w:tcPr>
            <w:tcW w:w="1418" w:type="dxa"/>
          </w:tcPr>
          <w:p w14:paraId="7A178F0E" w14:textId="77777777" w:rsidR="0017561A" w:rsidRPr="00192CCA" w:rsidRDefault="0017561A" w:rsidP="004E0520">
            <w:pPr>
              <w:rPr>
                <w:sz w:val="20"/>
                <w:szCs w:val="20"/>
              </w:rPr>
            </w:pPr>
            <w:r w:rsidRPr="00192CCA">
              <w:rPr>
                <w:sz w:val="20"/>
                <w:szCs w:val="20"/>
              </w:rPr>
              <w:t>0.</w:t>
            </w:r>
            <w:r>
              <w:rPr>
                <w:sz w:val="20"/>
                <w:szCs w:val="20"/>
              </w:rPr>
              <w:t>27</w:t>
            </w:r>
            <w:r w:rsidRPr="00192CCA">
              <w:rPr>
                <w:sz w:val="20"/>
                <w:szCs w:val="20"/>
              </w:rPr>
              <w:t xml:space="preserve"> – 0.</w:t>
            </w:r>
            <w:r>
              <w:rPr>
                <w:sz w:val="20"/>
                <w:szCs w:val="20"/>
              </w:rPr>
              <w:t>71</w:t>
            </w:r>
          </w:p>
        </w:tc>
        <w:tc>
          <w:tcPr>
            <w:tcW w:w="992" w:type="dxa"/>
          </w:tcPr>
          <w:p w14:paraId="74D8167A" w14:textId="77777777" w:rsidR="0017561A" w:rsidRPr="00192CCA" w:rsidRDefault="0017561A" w:rsidP="004E0520">
            <w:pPr>
              <w:rPr>
                <w:sz w:val="20"/>
                <w:szCs w:val="20"/>
              </w:rPr>
            </w:pPr>
            <w:r>
              <w:rPr>
                <w:sz w:val="20"/>
                <w:szCs w:val="20"/>
              </w:rPr>
              <w:t xml:space="preserve">  </w:t>
            </w:r>
            <w:r w:rsidRPr="00192CCA">
              <w:rPr>
                <w:sz w:val="20"/>
                <w:szCs w:val="20"/>
              </w:rPr>
              <w:t>0.001</w:t>
            </w:r>
          </w:p>
        </w:tc>
      </w:tr>
      <w:tr w:rsidR="0017561A" w:rsidRPr="00AB4B54" w14:paraId="2D7F593C" w14:textId="77777777" w:rsidTr="004E0520">
        <w:trPr>
          <w:jc w:val="center"/>
        </w:trPr>
        <w:tc>
          <w:tcPr>
            <w:tcW w:w="3823" w:type="dxa"/>
          </w:tcPr>
          <w:p w14:paraId="4729F60D" w14:textId="77777777" w:rsidR="0017561A" w:rsidRPr="00192CCA" w:rsidRDefault="0017561A" w:rsidP="004E0520">
            <w:pPr>
              <w:rPr>
                <w:sz w:val="20"/>
                <w:szCs w:val="20"/>
              </w:rPr>
            </w:pPr>
          </w:p>
        </w:tc>
        <w:tc>
          <w:tcPr>
            <w:tcW w:w="1417" w:type="dxa"/>
          </w:tcPr>
          <w:p w14:paraId="2FD12E62" w14:textId="77777777" w:rsidR="0017561A" w:rsidRPr="00192CCA" w:rsidRDefault="0017561A" w:rsidP="004E0520">
            <w:pPr>
              <w:rPr>
                <w:sz w:val="20"/>
                <w:szCs w:val="20"/>
              </w:rPr>
            </w:pPr>
          </w:p>
        </w:tc>
        <w:tc>
          <w:tcPr>
            <w:tcW w:w="1418" w:type="dxa"/>
          </w:tcPr>
          <w:p w14:paraId="06ED4164" w14:textId="77777777" w:rsidR="0017561A" w:rsidRPr="00192CCA" w:rsidRDefault="0017561A" w:rsidP="004E0520">
            <w:pPr>
              <w:rPr>
                <w:sz w:val="20"/>
                <w:szCs w:val="20"/>
              </w:rPr>
            </w:pPr>
          </w:p>
        </w:tc>
        <w:tc>
          <w:tcPr>
            <w:tcW w:w="992" w:type="dxa"/>
          </w:tcPr>
          <w:p w14:paraId="56F2605C" w14:textId="77777777" w:rsidR="0017561A" w:rsidRPr="00192CCA" w:rsidRDefault="0017561A" w:rsidP="004E0520">
            <w:pPr>
              <w:rPr>
                <w:sz w:val="20"/>
                <w:szCs w:val="20"/>
              </w:rPr>
            </w:pPr>
          </w:p>
        </w:tc>
        <w:tc>
          <w:tcPr>
            <w:tcW w:w="709" w:type="dxa"/>
          </w:tcPr>
          <w:p w14:paraId="2B678AC1" w14:textId="77777777" w:rsidR="0017561A" w:rsidRPr="00192CCA" w:rsidRDefault="0017561A" w:rsidP="004E0520">
            <w:pPr>
              <w:rPr>
                <w:sz w:val="20"/>
                <w:szCs w:val="20"/>
              </w:rPr>
            </w:pPr>
          </w:p>
        </w:tc>
        <w:tc>
          <w:tcPr>
            <w:tcW w:w="1417" w:type="dxa"/>
          </w:tcPr>
          <w:p w14:paraId="3E42E614" w14:textId="77777777" w:rsidR="0017561A" w:rsidRPr="00192CCA" w:rsidRDefault="0017561A" w:rsidP="004E0520">
            <w:pPr>
              <w:rPr>
                <w:sz w:val="20"/>
                <w:szCs w:val="20"/>
              </w:rPr>
            </w:pPr>
          </w:p>
        </w:tc>
        <w:tc>
          <w:tcPr>
            <w:tcW w:w="992" w:type="dxa"/>
          </w:tcPr>
          <w:p w14:paraId="2781708C" w14:textId="77777777" w:rsidR="0017561A" w:rsidRPr="00192CCA" w:rsidRDefault="0017561A" w:rsidP="004E0520">
            <w:pPr>
              <w:rPr>
                <w:sz w:val="20"/>
                <w:szCs w:val="20"/>
              </w:rPr>
            </w:pPr>
            <w:r>
              <w:rPr>
                <w:sz w:val="20"/>
                <w:szCs w:val="20"/>
              </w:rPr>
              <w:t xml:space="preserve">  </w:t>
            </w:r>
          </w:p>
        </w:tc>
        <w:tc>
          <w:tcPr>
            <w:tcW w:w="709" w:type="dxa"/>
          </w:tcPr>
          <w:p w14:paraId="2BC77830" w14:textId="77777777" w:rsidR="0017561A" w:rsidRPr="00192CCA" w:rsidRDefault="0017561A" w:rsidP="004E0520">
            <w:pPr>
              <w:rPr>
                <w:sz w:val="20"/>
                <w:szCs w:val="20"/>
              </w:rPr>
            </w:pPr>
          </w:p>
        </w:tc>
        <w:tc>
          <w:tcPr>
            <w:tcW w:w="1418" w:type="dxa"/>
          </w:tcPr>
          <w:p w14:paraId="1E5A8E4D" w14:textId="77777777" w:rsidR="0017561A" w:rsidRPr="00192CCA" w:rsidRDefault="0017561A" w:rsidP="004E0520">
            <w:pPr>
              <w:rPr>
                <w:sz w:val="20"/>
                <w:szCs w:val="20"/>
              </w:rPr>
            </w:pPr>
          </w:p>
        </w:tc>
        <w:tc>
          <w:tcPr>
            <w:tcW w:w="992" w:type="dxa"/>
          </w:tcPr>
          <w:p w14:paraId="1311D0AE" w14:textId="77777777" w:rsidR="0017561A" w:rsidRPr="00192CCA" w:rsidRDefault="0017561A" w:rsidP="004E0520">
            <w:pPr>
              <w:rPr>
                <w:sz w:val="20"/>
                <w:szCs w:val="20"/>
              </w:rPr>
            </w:pPr>
            <w:r>
              <w:rPr>
                <w:sz w:val="20"/>
                <w:szCs w:val="20"/>
              </w:rPr>
              <w:t xml:space="preserve">  </w:t>
            </w:r>
          </w:p>
        </w:tc>
      </w:tr>
      <w:tr w:rsidR="0017561A" w:rsidRPr="00AB4B54" w14:paraId="4CB3B793" w14:textId="77777777" w:rsidTr="004E0520">
        <w:trPr>
          <w:jc w:val="center"/>
        </w:trPr>
        <w:tc>
          <w:tcPr>
            <w:tcW w:w="3823" w:type="dxa"/>
          </w:tcPr>
          <w:p w14:paraId="098F2B37" w14:textId="77777777" w:rsidR="0017561A" w:rsidRPr="00192CCA" w:rsidRDefault="0017561A" w:rsidP="004E0520">
            <w:pPr>
              <w:rPr>
                <w:sz w:val="20"/>
                <w:szCs w:val="20"/>
              </w:rPr>
            </w:pPr>
            <w:r w:rsidRPr="00192CCA">
              <w:rPr>
                <w:b/>
                <w:bCs/>
                <w:sz w:val="20"/>
                <w:szCs w:val="20"/>
              </w:rPr>
              <w:t>Rural/Urban Residence</w:t>
            </w:r>
          </w:p>
        </w:tc>
        <w:tc>
          <w:tcPr>
            <w:tcW w:w="1417" w:type="dxa"/>
          </w:tcPr>
          <w:p w14:paraId="54799D58" w14:textId="77777777" w:rsidR="0017561A" w:rsidRPr="00192CCA" w:rsidRDefault="0017561A" w:rsidP="004E0520">
            <w:pPr>
              <w:rPr>
                <w:sz w:val="20"/>
                <w:szCs w:val="20"/>
              </w:rPr>
            </w:pPr>
          </w:p>
        </w:tc>
        <w:tc>
          <w:tcPr>
            <w:tcW w:w="1418" w:type="dxa"/>
          </w:tcPr>
          <w:p w14:paraId="589613EE" w14:textId="77777777" w:rsidR="0017561A" w:rsidRPr="00192CCA" w:rsidRDefault="0017561A" w:rsidP="004E0520">
            <w:pPr>
              <w:rPr>
                <w:sz w:val="20"/>
                <w:szCs w:val="20"/>
              </w:rPr>
            </w:pPr>
          </w:p>
        </w:tc>
        <w:tc>
          <w:tcPr>
            <w:tcW w:w="992" w:type="dxa"/>
          </w:tcPr>
          <w:p w14:paraId="10877EEF" w14:textId="77777777" w:rsidR="0017561A" w:rsidRPr="00192CCA" w:rsidRDefault="0017561A" w:rsidP="004E0520">
            <w:pPr>
              <w:rPr>
                <w:sz w:val="20"/>
                <w:szCs w:val="20"/>
              </w:rPr>
            </w:pPr>
            <w:r>
              <w:rPr>
                <w:sz w:val="20"/>
                <w:szCs w:val="20"/>
              </w:rPr>
              <w:t>0.042</w:t>
            </w:r>
          </w:p>
        </w:tc>
        <w:tc>
          <w:tcPr>
            <w:tcW w:w="709" w:type="dxa"/>
          </w:tcPr>
          <w:p w14:paraId="391D58C3" w14:textId="77777777" w:rsidR="0017561A" w:rsidRPr="00192CCA" w:rsidRDefault="0017561A" w:rsidP="004E0520">
            <w:pPr>
              <w:rPr>
                <w:sz w:val="20"/>
                <w:szCs w:val="20"/>
              </w:rPr>
            </w:pPr>
          </w:p>
        </w:tc>
        <w:tc>
          <w:tcPr>
            <w:tcW w:w="1417" w:type="dxa"/>
          </w:tcPr>
          <w:p w14:paraId="35E304AF" w14:textId="77777777" w:rsidR="0017561A" w:rsidRPr="00192CCA" w:rsidRDefault="0017561A" w:rsidP="004E0520">
            <w:pPr>
              <w:rPr>
                <w:sz w:val="20"/>
                <w:szCs w:val="20"/>
              </w:rPr>
            </w:pPr>
          </w:p>
        </w:tc>
        <w:tc>
          <w:tcPr>
            <w:tcW w:w="992" w:type="dxa"/>
          </w:tcPr>
          <w:p w14:paraId="6137913A" w14:textId="77777777" w:rsidR="0017561A" w:rsidRPr="00192CCA" w:rsidRDefault="0017561A" w:rsidP="004E0520">
            <w:pPr>
              <w:rPr>
                <w:sz w:val="20"/>
                <w:szCs w:val="20"/>
              </w:rPr>
            </w:pPr>
            <w:r>
              <w:rPr>
                <w:b/>
                <w:bCs/>
                <w:sz w:val="20"/>
                <w:szCs w:val="20"/>
              </w:rPr>
              <w:t xml:space="preserve">  0.042</w:t>
            </w:r>
          </w:p>
        </w:tc>
        <w:tc>
          <w:tcPr>
            <w:tcW w:w="709" w:type="dxa"/>
          </w:tcPr>
          <w:p w14:paraId="2BCB4E3D" w14:textId="77777777" w:rsidR="0017561A" w:rsidRPr="00192CCA" w:rsidRDefault="0017561A" w:rsidP="004E0520">
            <w:pPr>
              <w:rPr>
                <w:sz w:val="20"/>
                <w:szCs w:val="20"/>
              </w:rPr>
            </w:pPr>
          </w:p>
        </w:tc>
        <w:tc>
          <w:tcPr>
            <w:tcW w:w="1418" w:type="dxa"/>
          </w:tcPr>
          <w:p w14:paraId="318550C7" w14:textId="77777777" w:rsidR="0017561A" w:rsidRPr="00192CCA" w:rsidRDefault="0017561A" w:rsidP="004E0520">
            <w:pPr>
              <w:rPr>
                <w:sz w:val="20"/>
                <w:szCs w:val="20"/>
              </w:rPr>
            </w:pPr>
          </w:p>
        </w:tc>
        <w:tc>
          <w:tcPr>
            <w:tcW w:w="992" w:type="dxa"/>
          </w:tcPr>
          <w:p w14:paraId="6278BB3B" w14:textId="77777777" w:rsidR="0017561A" w:rsidRPr="00192CCA" w:rsidRDefault="0017561A" w:rsidP="004E0520">
            <w:pPr>
              <w:rPr>
                <w:sz w:val="20"/>
                <w:szCs w:val="20"/>
              </w:rPr>
            </w:pPr>
            <w:r>
              <w:rPr>
                <w:b/>
                <w:bCs/>
                <w:sz w:val="20"/>
                <w:szCs w:val="20"/>
              </w:rPr>
              <w:t xml:space="preserve">  </w:t>
            </w:r>
            <w:r w:rsidRPr="00192CCA">
              <w:rPr>
                <w:b/>
                <w:bCs/>
                <w:sz w:val="20"/>
                <w:szCs w:val="20"/>
              </w:rPr>
              <w:t>0.0</w:t>
            </w:r>
            <w:r>
              <w:rPr>
                <w:b/>
                <w:bCs/>
                <w:sz w:val="20"/>
                <w:szCs w:val="20"/>
              </w:rPr>
              <w:t>10</w:t>
            </w:r>
          </w:p>
        </w:tc>
      </w:tr>
      <w:tr w:rsidR="0017561A" w:rsidRPr="00AB4B54" w14:paraId="56295923" w14:textId="77777777" w:rsidTr="004E0520">
        <w:trPr>
          <w:jc w:val="center"/>
        </w:trPr>
        <w:tc>
          <w:tcPr>
            <w:tcW w:w="3823" w:type="dxa"/>
          </w:tcPr>
          <w:p w14:paraId="259666E2" w14:textId="77777777" w:rsidR="0017561A" w:rsidRPr="00192CCA" w:rsidRDefault="0017561A" w:rsidP="004E0520">
            <w:pPr>
              <w:rPr>
                <w:sz w:val="20"/>
                <w:szCs w:val="20"/>
              </w:rPr>
            </w:pPr>
            <w:r w:rsidRPr="00192CCA">
              <w:rPr>
                <w:sz w:val="20"/>
                <w:szCs w:val="20"/>
              </w:rPr>
              <w:t>Rural Village, Hamlet &amp; Isolated Dwellings</w:t>
            </w:r>
          </w:p>
        </w:tc>
        <w:tc>
          <w:tcPr>
            <w:tcW w:w="1417" w:type="dxa"/>
          </w:tcPr>
          <w:p w14:paraId="15F5B5D5" w14:textId="77777777" w:rsidR="0017561A" w:rsidRPr="00192CCA" w:rsidRDefault="0017561A" w:rsidP="004E0520">
            <w:pPr>
              <w:rPr>
                <w:sz w:val="20"/>
                <w:szCs w:val="20"/>
              </w:rPr>
            </w:pPr>
            <w:r>
              <w:rPr>
                <w:sz w:val="20"/>
                <w:szCs w:val="20"/>
              </w:rPr>
              <w:t>116 (49.15)</w:t>
            </w:r>
          </w:p>
        </w:tc>
        <w:tc>
          <w:tcPr>
            <w:tcW w:w="1418" w:type="dxa"/>
          </w:tcPr>
          <w:p w14:paraId="0E4D7C08" w14:textId="77777777" w:rsidR="0017561A" w:rsidRPr="00192CCA" w:rsidRDefault="0017561A" w:rsidP="004E0520">
            <w:pPr>
              <w:rPr>
                <w:sz w:val="20"/>
                <w:szCs w:val="20"/>
              </w:rPr>
            </w:pPr>
            <w:r>
              <w:rPr>
                <w:sz w:val="20"/>
                <w:szCs w:val="20"/>
              </w:rPr>
              <w:t>120 (50.85)</w:t>
            </w:r>
          </w:p>
        </w:tc>
        <w:tc>
          <w:tcPr>
            <w:tcW w:w="992" w:type="dxa"/>
          </w:tcPr>
          <w:p w14:paraId="4D9BF59A" w14:textId="77777777" w:rsidR="0017561A" w:rsidRPr="00192CCA" w:rsidRDefault="0017561A" w:rsidP="004E0520">
            <w:pPr>
              <w:rPr>
                <w:sz w:val="20"/>
                <w:szCs w:val="20"/>
              </w:rPr>
            </w:pPr>
          </w:p>
        </w:tc>
        <w:tc>
          <w:tcPr>
            <w:tcW w:w="709" w:type="dxa"/>
          </w:tcPr>
          <w:p w14:paraId="732A05B6" w14:textId="77777777" w:rsidR="0017561A" w:rsidRPr="00192CCA" w:rsidRDefault="0017561A" w:rsidP="004E0520">
            <w:pPr>
              <w:rPr>
                <w:sz w:val="20"/>
                <w:szCs w:val="20"/>
              </w:rPr>
            </w:pPr>
            <w:r>
              <w:rPr>
                <w:sz w:val="20"/>
                <w:szCs w:val="20"/>
              </w:rPr>
              <w:t>1.31</w:t>
            </w:r>
          </w:p>
        </w:tc>
        <w:tc>
          <w:tcPr>
            <w:tcW w:w="1417" w:type="dxa"/>
          </w:tcPr>
          <w:p w14:paraId="2E29FF1E" w14:textId="77777777" w:rsidR="0017561A" w:rsidRPr="00192CCA" w:rsidRDefault="0017561A" w:rsidP="004E0520">
            <w:pPr>
              <w:rPr>
                <w:sz w:val="20"/>
                <w:szCs w:val="20"/>
              </w:rPr>
            </w:pPr>
            <w:r w:rsidRPr="00192CCA">
              <w:rPr>
                <w:sz w:val="20"/>
                <w:szCs w:val="20"/>
              </w:rPr>
              <w:t>0</w:t>
            </w:r>
            <w:r>
              <w:rPr>
                <w:sz w:val="20"/>
                <w:szCs w:val="20"/>
              </w:rPr>
              <w:t>.99</w:t>
            </w:r>
            <w:r w:rsidRPr="00192CCA">
              <w:rPr>
                <w:sz w:val="20"/>
                <w:szCs w:val="20"/>
              </w:rPr>
              <w:t xml:space="preserve"> – </w:t>
            </w:r>
            <w:r>
              <w:rPr>
                <w:sz w:val="20"/>
                <w:szCs w:val="20"/>
              </w:rPr>
              <w:t>1.74</w:t>
            </w:r>
          </w:p>
        </w:tc>
        <w:tc>
          <w:tcPr>
            <w:tcW w:w="992" w:type="dxa"/>
          </w:tcPr>
          <w:p w14:paraId="1C2D003C" w14:textId="77777777" w:rsidR="0017561A" w:rsidRDefault="0017561A" w:rsidP="004E0520">
            <w:pPr>
              <w:rPr>
                <w:sz w:val="20"/>
                <w:szCs w:val="20"/>
              </w:rPr>
            </w:pPr>
            <w:r>
              <w:rPr>
                <w:sz w:val="20"/>
                <w:szCs w:val="20"/>
              </w:rPr>
              <w:t xml:space="preserve">  </w:t>
            </w:r>
            <w:r w:rsidRPr="00192CCA">
              <w:rPr>
                <w:sz w:val="20"/>
                <w:szCs w:val="20"/>
              </w:rPr>
              <w:t>0.0</w:t>
            </w:r>
            <w:r>
              <w:rPr>
                <w:sz w:val="20"/>
                <w:szCs w:val="20"/>
              </w:rPr>
              <w:t>58</w:t>
            </w:r>
          </w:p>
        </w:tc>
        <w:tc>
          <w:tcPr>
            <w:tcW w:w="709" w:type="dxa"/>
          </w:tcPr>
          <w:p w14:paraId="056ECB94" w14:textId="77777777" w:rsidR="0017561A" w:rsidRPr="00192CCA" w:rsidRDefault="0017561A" w:rsidP="004E0520">
            <w:pPr>
              <w:rPr>
                <w:sz w:val="20"/>
                <w:szCs w:val="20"/>
              </w:rPr>
            </w:pPr>
            <w:r>
              <w:rPr>
                <w:sz w:val="20"/>
                <w:szCs w:val="20"/>
              </w:rPr>
              <w:t>1.48</w:t>
            </w:r>
          </w:p>
        </w:tc>
        <w:tc>
          <w:tcPr>
            <w:tcW w:w="1418" w:type="dxa"/>
          </w:tcPr>
          <w:p w14:paraId="06848EB6" w14:textId="77777777" w:rsidR="0017561A" w:rsidRPr="00192CCA" w:rsidRDefault="0017561A" w:rsidP="004E0520">
            <w:pPr>
              <w:rPr>
                <w:sz w:val="20"/>
                <w:szCs w:val="20"/>
              </w:rPr>
            </w:pPr>
            <w:r>
              <w:rPr>
                <w:sz w:val="20"/>
                <w:szCs w:val="20"/>
              </w:rPr>
              <w:t>1.06</w:t>
            </w:r>
            <w:r w:rsidRPr="00192CCA">
              <w:rPr>
                <w:sz w:val="20"/>
                <w:szCs w:val="20"/>
              </w:rPr>
              <w:t xml:space="preserve"> – </w:t>
            </w:r>
            <w:r>
              <w:rPr>
                <w:sz w:val="20"/>
                <w:szCs w:val="20"/>
              </w:rPr>
              <w:t>2.04</w:t>
            </w:r>
          </w:p>
        </w:tc>
        <w:tc>
          <w:tcPr>
            <w:tcW w:w="992" w:type="dxa"/>
          </w:tcPr>
          <w:p w14:paraId="26639A76" w14:textId="77777777" w:rsidR="0017561A" w:rsidRPr="00192CCA" w:rsidRDefault="0017561A" w:rsidP="004E0520">
            <w:pPr>
              <w:rPr>
                <w:sz w:val="20"/>
                <w:szCs w:val="20"/>
              </w:rPr>
            </w:pPr>
            <w:r>
              <w:rPr>
                <w:sz w:val="20"/>
                <w:szCs w:val="20"/>
              </w:rPr>
              <w:t xml:space="preserve">  </w:t>
            </w:r>
            <w:r w:rsidRPr="00192CCA">
              <w:rPr>
                <w:sz w:val="20"/>
                <w:szCs w:val="20"/>
              </w:rPr>
              <w:t>0.0</w:t>
            </w:r>
            <w:r>
              <w:rPr>
                <w:sz w:val="20"/>
                <w:szCs w:val="20"/>
              </w:rPr>
              <w:t>20</w:t>
            </w:r>
          </w:p>
        </w:tc>
      </w:tr>
      <w:tr w:rsidR="0017561A" w:rsidRPr="00AB4B54" w14:paraId="5C056060" w14:textId="77777777" w:rsidTr="004E0520">
        <w:trPr>
          <w:jc w:val="center"/>
        </w:trPr>
        <w:tc>
          <w:tcPr>
            <w:tcW w:w="3823" w:type="dxa"/>
          </w:tcPr>
          <w:p w14:paraId="0B4D7D5E" w14:textId="77777777" w:rsidR="0017561A" w:rsidRPr="00192CCA" w:rsidRDefault="0017561A" w:rsidP="004E0520">
            <w:pPr>
              <w:rPr>
                <w:sz w:val="20"/>
                <w:szCs w:val="20"/>
              </w:rPr>
            </w:pPr>
            <w:r w:rsidRPr="00192CCA">
              <w:rPr>
                <w:sz w:val="20"/>
                <w:szCs w:val="20"/>
              </w:rPr>
              <w:t>Rural Town &amp; Fringe</w:t>
            </w:r>
          </w:p>
        </w:tc>
        <w:tc>
          <w:tcPr>
            <w:tcW w:w="1417" w:type="dxa"/>
          </w:tcPr>
          <w:p w14:paraId="36CF36F9" w14:textId="77777777" w:rsidR="0017561A" w:rsidRPr="00192CCA" w:rsidRDefault="0017561A" w:rsidP="004E0520">
            <w:pPr>
              <w:rPr>
                <w:sz w:val="20"/>
                <w:szCs w:val="20"/>
              </w:rPr>
            </w:pPr>
            <w:r>
              <w:rPr>
                <w:sz w:val="20"/>
                <w:szCs w:val="20"/>
              </w:rPr>
              <w:t>107 (41.80)</w:t>
            </w:r>
          </w:p>
        </w:tc>
        <w:tc>
          <w:tcPr>
            <w:tcW w:w="1418" w:type="dxa"/>
          </w:tcPr>
          <w:p w14:paraId="467CAE4C" w14:textId="77777777" w:rsidR="0017561A" w:rsidRPr="00192CCA" w:rsidRDefault="0017561A" w:rsidP="004E0520">
            <w:pPr>
              <w:rPr>
                <w:sz w:val="20"/>
                <w:szCs w:val="20"/>
              </w:rPr>
            </w:pPr>
            <w:r>
              <w:rPr>
                <w:sz w:val="20"/>
                <w:szCs w:val="20"/>
              </w:rPr>
              <w:t>149 (58.20)</w:t>
            </w:r>
          </w:p>
        </w:tc>
        <w:tc>
          <w:tcPr>
            <w:tcW w:w="992" w:type="dxa"/>
          </w:tcPr>
          <w:p w14:paraId="38376A28" w14:textId="77777777" w:rsidR="0017561A" w:rsidRPr="00192CCA" w:rsidRDefault="0017561A" w:rsidP="004E0520">
            <w:pPr>
              <w:rPr>
                <w:sz w:val="20"/>
                <w:szCs w:val="20"/>
              </w:rPr>
            </w:pPr>
          </w:p>
        </w:tc>
        <w:tc>
          <w:tcPr>
            <w:tcW w:w="709" w:type="dxa"/>
          </w:tcPr>
          <w:p w14:paraId="40F0647C" w14:textId="77777777" w:rsidR="0017561A" w:rsidRPr="00192CCA" w:rsidRDefault="0017561A" w:rsidP="004E0520">
            <w:pPr>
              <w:rPr>
                <w:sz w:val="20"/>
                <w:szCs w:val="20"/>
              </w:rPr>
            </w:pPr>
            <w:r>
              <w:rPr>
                <w:sz w:val="20"/>
                <w:szCs w:val="20"/>
              </w:rPr>
              <w:t>0.98</w:t>
            </w:r>
          </w:p>
        </w:tc>
        <w:tc>
          <w:tcPr>
            <w:tcW w:w="1417" w:type="dxa"/>
          </w:tcPr>
          <w:p w14:paraId="614BCEB9" w14:textId="77777777" w:rsidR="0017561A" w:rsidRPr="00192CCA" w:rsidRDefault="0017561A" w:rsidP="004E0520">
            <w:pPr>
              <w:rPr>
                <w:sz w:val="20"/>
                <w:szCs w:val="20"/>
              </w:rPr>
            </w:pPr>
            <w:r w:rsidRPr="00192CCA">
              <w:rPr>
                <w:sz w:val="20"/>
                <w:szCs w:val="20"/>
              </w:rPr>
              <w:t>0.</w:t>
            </w:r>
            <w:r>
              <w:rPr>
                <w:sz w:val="20"/>
                <w:szCs w:val="20"/>
              </w:rPr>
              <w:t>74</w:t>
            </w:r>
            <w:r w:rsidRPr="00192CCA">
              <w:rPr>
                <w:sz w:val="20"/>
                <w:szCs w:val="20"/>
              </w:rPr>
              <w:t xml:space="preserve"> – </w:t>
            </w:r>
            <w:r>
              <w:rPr>
                <w:sz w:val="20"/>
                <w:szCs w:val="20"/>
              </w:rPr>
              <w:t>1.29</w:t>
            </w:r>
          </w:p>
        </w:tc>
        <w:tc>
          <w:tcPr>
            <w:tcW w:w="992" w:type="dxa"/>
          </w:tcPr>
          <w:p w14:paraId="34467BB4" w14:textId="77777777" w:rsidR="0017561A" w:rsidRDefault="0017561A" w:rsidP="004E0520">
            <w:pPr>
              <w:rPr>
                <w:sz w:val="20"/>
                <w:szCs w:val="20"/>
              </w:rPr>
            </w:pPr>
            <w:r>
              <w:rPr>
                <w:sz w:val="20"/>
                <w:szCs w:val="20"/>
              </w:rPr>
              <w:t xml:space="preserve">  </w:t>
            </w:r>
            <w:r w:rsidRPr="00192CCA">
              <w:rPr>
                <w:sz w:val="20"/>
                <w:szCs w:val="20"/>
              </w:rPr>
              <w:t>0.</w:t>
            </w:r>
            <w:r>
              <w:rPr>
                <w:sz w:val="20"/>
                <w:szCs w:val="20"/>
              </w:rPr>
              <w:t>862</w:t>
            </w:r>
          </w:p>
        </w:tc>
        <w:tc>
          <w:tcPr>
            <w:tcW w:w="709" w:type="dxa"/>
          </w:tcPr>
          <w:p w14:paraId="0F0482D5" w14:textId="77777777" w:rsidR="0017561A" w:rsidRPr="00192CCA" w:rsidRDefault="0017561A" w:rsidP="004E0520">
            <w:pPr>
              <w:rPr>
                <w:sz w:val="20"/>
                <w:szCs w:val="20"/>
              </w:rPr>
            </w:pPr>
            <w:r>
              <w:rPr>
                <w:sz w:val="20"/>
                <w:szCs w:val="20"/>
              </w:rPr>
              <w:t>1.07</w:t>
            </w:r>
          </w:p>
        </w:tc>
        <w:tc>
          <w:tcPr>
            <w:tcW w:w="1418" w:type="dxa"/>
          </w:tcPr>
          <w:p w14:paraId="3B1BE212" w14:textId="77777777" w:rsidR="0017561A" w:rsidRPr="00192CCA" w:rsidRDefault="0017561A" w:rsidP="004E0520">
            <w:pPr>
              <w:rPr>
                <w:sz w:val="20"/>
                <w:szCs w:val="20"/>
              </w:rPr>
            </w:pPr>
            <w:r w:rsidRPr="00192CCA">
              <w:rPr>
                <w:sz w:val="20"/>
                <w:szCs w:val="20"/>
              </w:rPr>
              <w:t>0.</w:t>
            </w:r>
            <w:r>
              <w:rPr>
                <w:sz w:val="20"/>
                <w:szCs w:val="20"/>
              </w:rPr>
              <w:t>79</w:t>
            </w:r>
            <w:r w:rsidRPr="00192CCA">
              <w:rPr>
                <w:sz w:val="20"/>
                <w:szCs w:val="20"/>
              </w:rPr>
              <w:t xml:space="preserve"> – </w:t>
            </w:r>
            <w:r>
              <w:rPr>
                <w:sz w:val="20"/>
                <w:szCs w:val="20"/>
              </w:rPr>
              <w:t>1.46</w:t>
            </w:r>
          </w:p>
        </w:tc>
        <w:tc>
          <w:tcPr>
            <w:tcW w:w="992" w:type="dxa"/>
          </w:tcPr>
          <w:p w14:paraId="37BCAB53"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665</w:t>
            </w:r>
          </w:p>
        </w:tc>
      </w:tr>
      <w:tr w:rsidR="0017561A" w:rsidRPr="00AB4B54" w14:paraId="5991B293" w14:textId="77777777" w:rsidTr="004E0520">
        <w:trPr>
          <w:jc w:val="center"/>
        </w:trPr>
        <w:tc>
          <w:tcPr>
            <w:tcW w:w="3823" w:type="dxa"/>
          </w:tcPr>
          <w:p w14:paraId="554F18D1" w14:textId="77777777" w:rsidR="0017561A" w:rsidRPr="00192CCA" w:rsidRDefault="0017561A" w:rsidP="004E0520">
            <w:pPr>
              <w:rPr>
                <w:sz w:val="20"/>
                <w:szCs w:val="20"/>
              </w:rPr>
            </w:pPr>
            <w:r w:rsidRPr="00192CCA">
              <w:rPr>
                <w:sz w:val="20"/>
                <w:szCs w:val="20"/>
              </w:rPr>
              <w:t>Urban City &amp; Town</w:t>
            </w:r>
          </w:p>
        </w:tc>
        <w:tc>
          <w:tcPr>
            <w:tcW w:w="1417" w:type="dxa"/>
          </w:tcPr>
          <w:p w14:paraId="5677F0E0" w14:textId="77777777" w:rsidR="0017561A" w:rsidRPr="00192CCA" w:rsidRDefault="0017561A" w:rsidP="004E0520">
            <w:pPr>
              <w:rPr>
                <w:sz w:val="20"/>
                <w:szCs w:val="20"/>
              </w:rPr>
            </w:pPr>
            <w:r>
              <w:rPr>
                <w:sz w:val="20"/>
                <w:szCs w:val="20"/>
              </w:rPr>
              <w:t>457 (42.39)</w:t>
            </w:r>
          </w:p>
        </w:tc>
        <w:tc>
          <w:tcPr>
            <w:tcW w:w="1418" w:type="dxa"/>
          </w:tcPr>
          <w:p w14:paraId="5260B13E" w14:textId="77777777" w:rsidR="0017561A" w:rsidRPr="00192CCA" w:rsidRDefault="0017561A" w:rsidP="004E0520">
            <w:pPr>
              <w:rPr>
                <w:sz w:val="20"/>
                <w:szCs w:val="20"/>
              </w:rPr>
            </w:pPr>
            <w:r>
              <w:rPr>
                <w:sz w:val="20"/>
                <w:szCs w:val="20"/>
              </w:rPr>
              <w:t>621 (57.61)</w:t>
            </w:r>
          </w:p>
        </w:tc>
        <w:tc>
          <w:tcPr>
            <w:tcW w:w="992" w:type="dxa"/>
          </w:tcPr>
          <w:p w14:paraId="627C78A1" w14:textId="77777777" w:rsidR="0017561A" w:rsidRPr="00192CCA" w:rsidRDefault="0017561A" w:rsidP="004E0520">
            <w:pPr>
              <w:rPr>
                <w:sz w:val="20"/>
                <w:szCs w:val="20"/>
              </w:rPr>
            </w:pPr>
          </w:p>
        </w:tc>
        <w:tc>
          <w:tcPr>
            <w:tcW w:w="709" w:type="dxa"/>
          </w:tcPr>
          <w:p w14:paraId="5C2CA1E9" w14:textId="77777777" w:rsidR="0017561A" w:rsidRPr="00192CCA" w:rsidRDefault="0017561A" w:rsidP="004E0520">
            <w:pPr>
              <w:rPr>
                <w:sz w:val="20"/>
                <w:szCs w:val="20"/>
              </w:rPr>
            </w:pPr>
            <w:r w:rsidRPr="00192CCA">
              <w:rPr>
                <w:sz w:val="20"/>
                <w:szCs w:val="20"/>
              </w:rPr>
              <w:t>1.00</w:t>
            </w:r>
          </w:p>
        </w:tc>
        <w:tc>
          <w:tcPr>
            <w:tcW w:w="1417" w:type="dxa"/>
          </w:tcPr>
          <w:p w14:paraId="374C574A" w14:textId="77777777" w:rsidR="0017561A" w:rsidRPr="00192CCA" w:rsidRDefault="0017561A" w:rsidP="004E0520">
            <w:pPr>
              <w:rPr>
                <w:sz w:val="20"/>
                <w:szCs w:val="20"/>
              </w:rPr>
            </w:pPr>
            <w:r w:rsidRPr="00192CCA">
              <w:rPr>
                <w:sz w:val="20"/>
                <w:szCs w:val="20"/>
              </w:rPr>
              <w:t>-----     -----</w:t>
            </w:r>
          </w:p>
        </w:tc>
        <w:tc>
          <w:tcPr>
            <w:tcW w:w="992" w:type="dxa"/>
          </w:tcPr>
          <w:p w14:paraId="06BD7E17" w14:textId="77777777" w:rsidR="0017561A" w:rsidRDefault="0017561A" w:rsidP="004E0520">
            <w:pPr>
              <w:rPr>
                <w:sz w:val="20"/>
                <w:szCs w:val="20"/>
              </w:rPr>
            </w:pPr>
            <w:r>
              <w:rPr>
                <w:sz w:val="20"/>
                <w:szCs w:val="20"/>
              </w:rPr>
              <w:t xml:space="preserve">  </w:t>
            </w:r>
            <w:r w:rsidRPr="00192CCA">
              <w:rPr>
                <w:sz w:val="20"/>
                <w:szCs w:val="20"/>
              </w:rPr>
              <w:t>-------</w:t>
            </w:r>
          </w:p>
        </w:tc>
        <w:tc>
          <w:tcPr>
            <w:tcW w:w="709" w:type="dxa"/>
          </w:tcPr>
          <w:p w14:paraId="2E9AE16B" w14:textId="77777777" w:rsidR="0017561A" w:rsidRPr="00192CCA" w:rsidRDefault="0017561A" w:rsidP="004E0520">
            <w:pPr>
              <w:rPr>
                <w:sz w:val="20"/>
                <w:szCs w:val="20"/>
              </w:rPr>
            </w:pPr>
            <w:r>
              <w:rPr>
                <w:sz w:val="20"/>
                <w:szCs w:val="20"/>
              </w:rPr>
              <w:t>1.00</w:t>
            </w:r>
          </w:p>
        </w:tc>
        <w:tc>
          <w:tcPr>
            <w:tcW w:w="1418" w:type="dxa"/>
          </w:tcPr>
          <w:p w14:paraId="06C68E08" w14:textId="77777777" w:rsidR="0017561A" w:rsidRPr="00192CCA" w:rsidRDefault="0017561A" w:rsidP="004E0520">
            <w:pPr>
              <w:rPr>
                <w:sz w:val="20"/>
                <w:szCs w:val="20"/>
              </w:rPr>
            </w:pPr>
            <w:r w:rsidRPr="00192CCA">
              <w:rPr>
                <w:sz w:val="20"/>
                <w:szCs w:val="20"/>
              </w:rPr>
              <w:t>-----     -----</w:t>
            </w:r>
          </w:p>
        </w:tc>
        <w:tc>
          <w:tcPr>
            <w:tcW w:w="992" w:type="dxa"/>
          </w:tcPr>
          <w:p w14:paraId="0A437950" w14:textId="77777777" w:rsidR="0017561A" w:rsidRPr="00192CCA" w:rsidRDefault="0017561A" w:rsidP="004E0520">
            <w:pPr>
              <w:rPr>
                <w:sz w:val="20"/>
                <w:szCs w:val="20"/>
              </w:rPr>
            </w:pPr>
            <w:r>
              <w:rPr>
                <w:sz w:val="20"/>
                <w:szCs w:val="20"/>
              </w:rPr>
              <w:t xml:space="preserve">  </w:t>
            </w:r>
            <w:r w:rsidRPr="00192CCA">
              <w:rPr>
                <w:sz w:val="20"/>
                <w:szCs w:val="20"/>
              </w:rPr>
              <w:t>-------</w:t>
            </w:r>
          </w:p>
        </w:tc>
      </w:tr>
      <w:tr w:rsidR="0017561A" w:rsidRPr="00AB4B54" w14:paraId="4F8C319F" w14:textId="77777777" w:rsidTr="004E0520">
        <w:trPr>
          <w:jc w:val="center"/>
        </w:trPr>
        <w:tc>
          <w:tcPr>
            <w:tcW w:w="3823" w:type="dxa"/>
          </w:tcPr>
          <w:p w14:paraId="457C9A4D" w14:textId="77777777" w:rsidR="0017561A" w:rsidRPr="00192CCA" w:rsidRDefault="0017561A" w:rsidP="004E0520">
            <w:pPr>
              <w:rPr>
                <w:sz w:val="20"/>
                <w:szCs w:val="20"/>
              </w:rPr>
            </w:pPr>
            <w:r w:rsidRPr="00192CCA">
              <w:rPr>
                <w:sz w:val="20"/>
                <w:szCs w:val="20"/>
              </w:rPr>
              <w:t>Urban Conurbation</w:t>
            </w:r>
          </w:p>
        </w:tc>
        <w:tc>
          <w:tcPr>
            <w:tcW w:w="1417" w:type="dxa"/>
          </w:tcPr>
          <w:p w14:paraId="58386133" w14:textId="77777777" w:rsidR="0017561A" w:rsidRPr="00192CCA" w:rsidRDefault="0017561A" w:rsidP="004E0520">
            <w:pPr>
              <w:rPr>
                <w:sz w:val="20"/>
                <w:szCs w:val="20"/>
              </w:rPr>
            </w:pPr>
            <w:r>
              <w:rPr>
                <w:sz w:val="20"/>
                <w:szCs w:val="20"/>
              </w:rPr>
              <w:t>382 (47.81)</w:t>
            </w:r>
          </w:p>
        </w:tc>
        <w:tc>
          <w:tcPr>
            <w:tcW w:w="1418" w:type="dxa"/>
          </w:tcPr>
          <w:p w14:paraId="05F5CA95" w14:textId="77777777" w:rsidR="0017561A" w:rsidRPr="00192CCA" w:rsidRDefault="0017561A" w:rsidP="004E0520">
            <w:pPr>
              <w:rPr>
                <w:sz w:val="20"/>
                <w:szCs w:val="20"/>
              </w:rPr>
            </w:pPr>
            <w:r>
              <w:rPr>
                <w:sz w:val="20"/>
                <w:szCs w:val="20"/>
              </w:rPr>
              <w:t>417 (52.19)</w:t>
            </w:r>
          </w:p>
        </w:tc>
        <w:tc>
          <w:tcPr>
            <w:tcW w:w="992" w:type="dxa"/>
          </w:tcPr>
          <w:p w14:paraId="41695C91" w14:textId="77777777" w:rsidR="0017561A" w:rsidRPr="00192CCA" w:rsidRDefault="0017561A" w:rsidP="004E0520">
            <w:pPr>
              <w:rPr>
                <w:sz w:val="20"/>
                <w:szCs w:val="20"/>
              </w:rPr>
            </w:pPr>
          </w:p>
        </w:tc>
        <w:tc>
          <w:tcPr>
            <w:tcW w:w="709" w:type="dxa"/>
          </w:tcPr>
          <w:p w14:paraId="0211077D" w14:textId="77777777" w:rsidR="0017561A" w:rsidRPr="00192CCA" w:rsidRDefault="0017561A" w:rsidP="004E0520">
            <w:pPr>
              <w:rPr>
                <w:sz w:val="20"/>
                <w:szCs w:val="20"/>
              </w:rPr>
            </w:pPr>
            <w:r w:rsidRPr="00192CCA">
              <w:rPr>
                <w:sz w:val="20"/>
                <w:szCs w:val="20"/>
              </w:rPr>
              <w:t>1.</w:t>
            </w:r>
            <w:r>
              <w:rPr>
                <w:sz w:val="20"/>
                <w:szCs w:val="20"/>
              </w:rPr>
              <w:t>24</w:t>
            </w:r>
          </w:p>
        </w:tc>
        <w:tc>
          <w:tcPr>
            <w:tcW w:w="1417" w:type="dxa"/>
          </w:tcPr>
          <w:p w14:paraId="6258ED99" w14:textId="77777777" w:rsidR="0017561A" w:rsidRPr="00192CCA" w:rsidRDefault="0017561A" w:rsidP="004E0520">
            <w:pPr>
              <w:rPr>
                <w:sz w:val="20"/>
                <w:szCs w:val="20"/>
              </w:rPr>
            </w:pPr>
            <w:r>
              <w:rPr>
                <w:sz w:val="20"/>
                <w:szCs w:val="20"/>
              </w:rPr>
              <w:t>1.04 – 1.50</w:t>
            </w:r>
          </w:p>
        </w:tc>
        <w:tc>
          <w:tcPr>
            <w:tcW w:w="992" w:type="dxa"/>
          </w:tcPr>
          <w:p w14:paraId="089FE05A" w14:textId="77777777" w:rsidR="0017561A" w:rsidRDefault="0017561A" w:rsidP="004E0520">
            <w:pPr>
              <w:rPr>
                <w:sz w:val="20"/>
                <w:szCs w:val="20"/>
              </w:rPr>
            </w:pPr>
            <w:r>
              <w:rPr>
                <w:sz w:val="20"/>
                <w:szCs w:val="20"/>
              </w:rPr>
              <w:t xml:space="preserve">  0.020</w:t>
            </w:r>
          </w:p>
        </w:tc>
        <w:tc>
          <w:tcPr>
            <w:tcW w:w="709" w:type="dxa"/>
          </w:tcPr>
          <w:p w14:paraId="786E9809" w14:textId="77777777" w:rsidR="0017561A" w:rsidRPr="00192CCA" w:rsidRDefault="0017561A" w:rsidP="004E0520">
            <w:pPr>
              <w:rPr>
                <w:sz w:val="20"/>
                <w:szCs w:val="20"/>
              </w:rPr>
            </w:pPr>
            <w:r w:rsidRPr="00192CCA">
              <w:rPr>
                <w:sz w:val="20"/>
                <w:szCs w:val="20"/>
              </w:rPr>
              <w:t>1.</w:t>
            </w:r>
            <w:r>
              <w:rPr>
                <w:sz w:val="20"/>
                <w:szCs w:val="20"/>
              </w:rPr>
              <w:t>45</w:t>
            </w:r>
          </w:p>
        </w:tc>
        <w:tc>
          <w:tcPr>
            <w:tcW w:w="1418" w:type="dxa"/>
          </w:tcPr>
          <w:p w14:paraId="45CB8C14" w14:textId="77777777" w:rsidR="0017561A" w:rsidRPr="00192CCA" w:rsidRDefault="0017561A" w:rsidP="004E0520">
            <w:pPr>
              <w:rPr>
                <w:sz w:val="20"/>
                <w:szCs w:val="20"/>
              </w:rPr>
            </w:pPr>
            <w:r>
              <w:rPr>
                <w:sz w:val="20"/>
                <w:szCs w:val="20"/>
              </w:rPr>
              <w:t>1.11 – 1.87</w:t>
            </w:r>
          </w:p>
        </w:tc>
        <w:tc>
          <w:tcPr>
            <w:tcW w:w="992" w:type="dxa"/>
          </w:tcPr>
          <w:p w14:paraId="2CC9AA04" w14:textId="77777777" w:rsidR="0017561A" w:rsidRPr="00192CCA" w:rsidRDefault="0017561A" w:rsidP="004E0520">
            <w:pPr>
              <w:rPr>
                <w:sz w:val="20"/>
                <w:szCs w:val="20"/>
              </w:rPr>
            </w:pPr>
            <w:r>
              <w:rPr>
                <w:sz w:val="20"/>
                <w:szCs w:val="20"/>
              </w:rPr>
              <w:t xml:space="preserve">  0.005</w:t>
            </w:r>
          </w:p>
        </w:tc>
      </w:tr>
      <w:tr w:rsidR="0017561A" w:rsidRPr="00AB4B54" w14:paraId="0671AE76" w14:textId="77777777" w:rsidTr="004E0520">
        <w:trPr>
          <w:jc w:val="center"/>
        </w:trPr>
        <w:tc>
          <w:tcPr>
            <w:tcW w:w="3823" w:type="dxa"/>
            <w:tcBorders>
              <w:bottom w:val="single" w:sz="4" w:space="0" w:color="auto"/>
            </w:tcBorders>
          </w:tcPr>
          <w:p w14:paraId="50587641" w14:textId="77777777" w:rsidR="0017561A" w:rsidRPr="00192CCA" w:rsidRDefault="0017561A" w:rsidP="004E0520">
            <w:pPr>
              <w:rPr>
                <w:sz w:val="20"/>
                <w:szCs w:val="20"/>
              </w:rPr>
            </w:pPr>
          </w:p>
        </w:tc>
        <w:tc>
          <w:tcPr>
            <w:tcW w:w="1417" w:type="dxa"/>
            <w:tcBorders>
              <w:bottom w:val="single" w:sz="4" w:space="0" w:color="auto"/>
            </w:tcBorders>
          </w:tcPr>
          <w:p w14:paraId="6CBD7F1E" w14:textId="77777777" w:rsidR="0017561A" w:rsidRPr="00192CCA" w:rsidRDefault="0017561A" w:rsidP="004E0520">
            <w:pPr>
              <w:rPr>
                <w:sz w:val="20"/>
                <w:szCs w:val="20"/>
              </w:rPr>
            </w:pPr>
          </w:p>
        </w:tc>
        <w:tc>
          <w:tcPr>
            <w:tcW w:w="1418" w:type="dxa"/>
            <w:tcBorders>
              <w:bottom w:val="single" w:sz="4" w:space="0" w:color="auto"/>
            </w:tcBorders>
          </w:tcPr>
          <w:p w14:paraId="3CC28421" w14:textId="77777777" w:rsidR="0017561A" w:rsidRPr="00192CCA" w:rsidRDefault="0017561A" w:rsidP="004E0520">
            <w:pPr>
              <w:rPr>
                <w:sz w:val="20"/>
                <w:szCs w:val="20"/>
              </w:rPr>
            </w:pPr>
          </w:p>
        </w:tc>
        <w:tc>
          <w:tcPr>
            <w:tcW w:w="992" w:type="dxa"/>
            <w:tcBorders>
              <w:bottom w:val="single" w:sz="4" w:space="0" w:color="auto"/>
            </w:tcBorders>
          </w:tcPr>
          <w:p w14:paraId="0D53C4ED" w14:textId="77777777" w:rsidR="0017561A" w:rsidRPr="00192CCA" w:rsidRDefault="0017561A" w:rsidP="004E0520">
            <w:pPr>
              <w:rPr>
                <w:sz w:val="20"/>
                <w:szCs w:val="20"/>
              </w:rPr>
            </w:pPr>
          </w:p>
        </w:tc>
        <w:tc>
          <w:tcPr>
            <w:tcW w:w="709" w:type="dxa"/>
            <w:tcBorders>
              <w:bottom w:val="single" w:sz="4" w:space="0" w:color="auto"/>
            </w:tcBorders>
          </w:tcPr>
          <w:p w14:paraId="61B670E4" w14:textId="77777777" w:rsidR="0017561A" w:rsidRPr="00192CCA" w:rsidRDefault="0017561A" w:rsidP="004E0520">
            <w:pPr>
              <w:rPr>
                <w:sz w:val="20"/>
                <w:szCs w:val="20"/>
              </w:rPr>
            </w:pPr>
          </w:p>
        </w:tc>
        <w:tc>
          <w:tcPr>
            <w:tcW w:w="1417" w:type="dxa"/>
            <w:tcBorders>
              <w:bottom w:val="single" w:sz="4" w:space="0" w:color="auto"/>
            </w:tcBorders>
          </w:tcPr>
          <w:p w14:paraId="2F15CEE5" w14:textId="77777777" w:rsidR="0017561A" w:rsidRPr="00192CCA" w:rsidRDefault="0017561A" w:rsidP="004E0520">
            <w:pPr>
              <w:rPr>
                <w:sz w:val="20"/>
                <w:szCs w:val="20"/>
              </w:rPr>
            </w:pPr>
          </w:p>
        </w:tc>
        <w:tc>
          <w:tcPr>
            <w:tcW w:w="992" w:type="dxa"/>
            <w:tcBorders>
              <w:bottom w:val="single" w:sz="4" w:space="0" w:color="auto"/>
            </w:tcBorders>
          </w:tcPr>
          <w:p w14:paraId="72AEE887" w14:textId="77777777" w:rsidR="0017561A" w:rsidRDefault="0017561A" w:rsidP="004E0520">
            <w:pPr>
              <w:rPr>
                <w:sz w:val="20"/>
                <w:szCs w:val="20"/>
              </w:rPr>
            </w:pPr>
          </w:p>
        </w:tc>
        <w:tc>
          <w:tcPr>
            <w:tcW w:w="709" w:type="dxa"/>
            <w:tcBorders>
              <w:bottom w:val="single" w:sz="4" w:space="0" w:color="auto"/>
            </w:tcBorders>
          </w:tcPr>
          <w:p w14:paraId="3B1B6BDE" w14:textId="77777777" w:rsidR="0017561A" w:rsidRPr="00192CCA" w:rsidRDefault="0017561A" w:rsidP="004E0520">
            <w:pPr>
              <w:rPr>
                <w:sz w:val="20"/>
                <w:szCs w:val="20"/>
              </w:rPr>
            </w:pPr>
          </w:p>
        </w:tc>
        <w:tc>
          <w:tcPr>
            <w:tcW w:w="1418" w:type="dxa"/>
            <w:tcBorders>
              <w:bottom w:val="single" w:sz="4" w:space="0" w:color="auto"/>
            </w:tcBorders>
          </w:tcPr>
          <w:p w14:paraId="260601FC" w14:textId="77777777" w:rsidR="0017561A" w:rsidRPr="00192CCA" w:rsidRDefault="0017561A" w:rsidP="004E0520">
            <w:pPr>
              <w:rPr>
                <w:sz w:val="20"/>
                <w:szCs w:val="20"/>
              </w:rPr>
            </w:pPr>
          </w:p>
        </w:tc>
        <w:tc>
          <w:tcPr>
            <w:tcW w:w="992" w:type="dxa"/>
            <w:tcBorders>
              <w:bottom w:val="single" w:sz="4" w:space="0" w:color="auto"/>
            </w:tcBorders>
          </w:tcPr>
          <w:p w14:paraId="4F86EE52" w14:textId="77777777" w:rsidR="0017561A" w:rsidRPr="00192CCA" w:rsidRDefault="0017561A" w:rsidP="004E0520">
            <w:pPr>
              <w:rPr>
                <w:sz w:val="20"/>
                <w:szCs w:val="20"/>
              </w:rPr>
            </w:pPr>
          </w:p>
        </w:tc>
      </w:tr>
    </w:tbl>
    <w:p w14:paraId="523EA335" w14:textId="77777777" w:rsidR="0017561A" w:rsidRDefault="0017561A" w:rsidP="0017561A">
      <w:pPr>
        <w:spacing w:line="360" w:lineRule="auto"/>
        <w:jc w:val="both"/>
        <w:rPr>
          <w:b/>
          <w:bCs/>
          <w:sz w:val="22"/>
          <w:szCs w:val="22"/>
        </w:rPr>
      </w:pPr>
    </w:p>
    <w:p w14:paraId="480806E3" w14:textId="77777777" w:rsidR="0017561A" w:rsidRDefault="0017561A" w:rsidP="0017561A">
      <w:pPr>
        <w:spacing w:line="360" w:lineRule="auto"/>
        <w:jc w:val="both"/>
        <w:rPr>
          <w:sz w:val="22"/>
          <w:szCs w:val="22"/>
        </w:rPr>
      </w:pPr>
      <w:r w:rsidRPr="00940DA7">
        <w:rPr>
          <w:b/>
          <w:bCs/>
          <w:sz w:val="22"/>
          <w:szCs w:val="22"/>
        </w:rPr>
        <w:t xml:space="preserve">Table </w:t>
      </w:r>
      <w:r>
        <w:rPr>
          <w:b/>
          <w:bCs/>
          <w:sz w:val="22"/>
          <w:szCs w:val="22"/>
        </w:rPr>
        <w:t xml:space="preserve">3 </w:t>
      </w:r>
      <w:r w:rsidRPr="00DC2BF4">
        <w:rPr>
          <w:sz w:val="22"/>
          <w:szCs w:val="22"/>
        </w:rPr>
        <w:t>Continued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417"/>
        <w:gridCol w:w="1418"/>
        <w:gridCol w:w="992"/>
        <w:gridCol w:w="709"/>
        <w:gridCol w:w="1417"/>
        <w:gridCol w:w="992"/>
        <w:gridCol w:w="709"/>
        <w:gridCol w:w="1418"/>
        <w:gridCol w:w="992"/>
      </w:tblGrid>
      <w:tr w:rsidR="0017561A" w:rsidRPr="00842867" w14:paraId="000EDC13" w14:textId="77777777" w:rsidTr="004E0520">
        <w:trPr>
          <w:jc w:val="center"/>
        </w:trPr>
        <w:tc>
          <w:tcPr>
            <w:tcW w:w="3823" w:type="dxa"/>
            <w:tcBorders>
              <w:top w:val="single" w:sz="4" w:space="0" w:color="auto"/>
            </w:tcBorders>
          </w:tcPr>
          <w:p w14:paraId="76FD1C1C" w14:textId="77777777" w:rsidR="0017561A" w:rsidRPr="007C6648" w:rsidRDefault="0017561A" w:rsidP="004E0520">
            <w:pPr>
              <w:rPr>
                <w:sz w:val="20"/>
                <w:szCs w:val="20"/>
              </w:rPr>
            </w:pPr>
          </w:p>
        </w:tc>
        <w:tc>
          <w:tcPr>
            <w:tcW w:w="1417" w:type="dxa"/>
            <w:tcBorders>
              <w:top w:val="single" w:sz="4" w:space="0" w:color="auto"/>
            </w:tcBorders>
          </w:tcPr>
          <w:p w14:paraId="672C62B8" w14:textId="77777777" w:rsidR="0017561A" w:rsidRPr="007C6648" w:rsidRDefault="0017561A" w:rsidP="004E0520">
            <w:pPr>
              <w:rPr>
                <w:sz w:val="20"/>
                <w:szCs w:val="20"/>
              </w:rPr>
            </w:pPr>
          </w:p>
        </w:tc>
        <w:tc>
          <w:tcPr>
            <w:tcW w:w="1418" w:type="dxa"/>
            <w:tcBorders>
              <w:top w:val="single" w:sz="4" w:space="0" w:color="auto"/>
            </w:tcBorders>
          </w:tcPr>
          <w:p w14:paraId="2CD4131F" w14:textId="77777777" w:rsidR="0017561A" w:rsidRPr="007C6648" w:rsidRDefault="0017561A" w:rsidP="004E0520">
            <w:pPr>
              <w:rPr>
                <w:sz w:val="20"/>
                <w:szCs w:val="20"/>
              </w:rPr>
            </w:pPr>
          </w:p>
        </w:tc>
        <w:tc>
          <w:tcPr>
            <w:tcW w:w="992" w:type="dxa"/>
            <w:tcBorders>
              <w:top w:val="single" w:sz="4" w:space="0" w:color="auto"/>
            </w:tcBorders>
          </w:tcPr>
          <w:p w14:paraId="5EEE63C7" w14:textId="77777777" w:rsidR="0017561A" w:rsidRPr="00AB4B54" w:rsidRDefault="0017561A" w:rsidP="004E0520">
            <w:pPr>
              <w:rPr>
                <w:sz w:val="20"/>
                <w:szCs w:val="20"/>
              </w:rPr>
            </w:pPr>
          </w:p>
        </w:tc>
        <w:tc>
          <w:tcPr>
            <w:tcW w:w="3118" w:type="dxa"/>
            <w:gridSpan w:val="3"/>
            <w:tcBorders>
              <w:top w:val="single" w:sz="4" w:space="0" w:color="auto"/>
            </w:tcBorders>
          </w:tcPr>
          <w:p w14:paraId="7A76A91F" w14:textId="77777777" w:rsidR="0017561A" w:rsidRPr="001A1402" w:rsidRDefault="0017561A" w:rsidP="004E0520">
            <w:pPr>
              <w:rPr>
                <w:b/>
                <w:bCs/>
                <w:sz w:val="10"/>
                <w:szCs w:val="10"/>
              </w:rPr>
            </w:pPr>
          </w:p>
          <w:p w14:paraId="354316AE" w14:textId="77777777" w:rsidR="0017561A" w:rsidRDefault="0017561A" w:rsidP="004E0520">
            <w:pPr>
              <w:rPr>
                <w:b/>
                <w:bCs/>
                <w:sz w:val="20"/>
                <w:szCs w:val="20"/>
              </w:rPr>
            </w:pPr>
            <w:r w:rsidRPr="00842867">
              <w:rPr>
                <w:b/>
                <w:bCs/>
                <w:sz w:val="20"/>
                <w:szCs w:val="20"/>
              </w:rPr>
              <w:t>Unadjusted</w:t>
            </w:r>
          </w:p>
          <w:p w14:paraId="69C9D3D2" w14:textId="77777777" w:rsidR="0017561A" w:rsidRPr="001A1402" w:rsidRDefault="0017561A" w:rsidP="004E0520">
            <w:pPr>
              <w:rPr>
                <w:b/>
                <w:bCs/>
                <w:sz w:val="10"/>
                <w:szCs w:val="10"/>
              </w:rPr>
            </w:pPr>
          </w:p>
        </w:tc>
        <w:tc>
          <w:tcPr>
            <w:tcW w:w="3119" w:type="dxa"/>
            <w:gridSpan w:val="3"/>
            <w:tcBorders>
              <w:top w:val="single" w:sz="4" w:space="0" w:color="auto"/>
            </w:tcBorders>
          </w:tcPr>
          <w:p w14:paraId="7ED00B7B" w14:textId="77777777" w:rsidR="0017561A" w:rsidRPr="001A1402" w:rsidRDefault="0017561A" w:rsidP="004E0520">
            <w:pPr>
              <w:rPr>
                <w:b/>
                <w:bCs/>
                <w:sz w:val="10"/>
                <w:szCs w:val="10"/>
              </w:rPr>
            </w:pPr>
          </w:p>
          <w:p w14:paraId="0E5578FB" w14:textId="77777777" w:rsidR="0017561A" w:rsidRPr="00842867" w:rsidRDefault="0017561A" w:rsidP="004E0520">
            <w:pPr>
              <w:rPr>
                <w:b/>
                <w:bCs/>
                <w:sz w:val="20"/>
                <w:szCs w:val="20"/>
              </w:rPr>
            </w:pPr>
            <w:r w:rsidRPr="00842867">
              <w:rPr>
                <w:b/>
                <w:bCs/>
                <w:sz w:val="20"/>
                <w:szCs w:val="20"/>
              </w:rPr>
              <w:t>Adjusted</w:t>
            </w:r>
          </w:p>
        </w:tc>
      </w:tr>
      <w:tr w:rsidR="0017561A" w:rsidRPr="00AB4B54" w14:paraId="55A3FB5A" w14:textId="77777777" w:rsidTr="004E0520">
        <w:trPr>
          <w:jc w:val="center"/>
        </w:trPr>
        <w:tc>
          <w:tcPr>
            <w:tcW w:w="3823" w:type="dxa"/>
            <w:tcBorders>
              <w:bottom w:val="single" w:sz="4" w:space="0" w:color="auto"/>
            </w:tcBorders>
          </w:tcPr>
          <w:p w14:paraId="551D82CB" w14:textId="77777777" w:rsidR="0017561A" w:rsidRPr="007C6648" w:rsidRDefault="0017561A" w:rsidP="004E0520">
            <w:pPr>
              <w:rPr>
                <w:sz w:val="20"/>
                <w:szCs w:val="20"/>
              </w:rPr>
            </w:pPr>
          </w:p>
        </w:tc>
        <w:tc>
          <w:tcPr>
            <w:tcW w:w="1417" w:type="dxa"/>
            <w:tcBorders>
              <w:bottom w:val="single" w:sz="4" w:space="0" w:color="auto"/>
            </w:tcBorders>
          </w:tcPr>
          <w:p w14:paraId="682F80EF" w14:textId="77777777" w:rsidR="0017561A" w:rsidRDefault="0017561A" w:rsidP="004E0520">
            <w:pPr>
              <w:rPr>
                <w:sz w:val="20"/>
                <w:szCs w:val="20"/>
              </w:rPr>
            </w:pPr>
            <w:r w:rsidRPr="007C6648">
              <w:rPr>
                <w:sz w:val="20"/>
                <w:szCs w:val="20"/>
              </w:rPr>
              <w:t>N</w:t>
            </w:r>
            <w:r>
              <w:rPr>
                <w:sz w:val="20"/>
                <w:szCs w:val="20"/>
              </w:rPr>
              <w:t>umber</w:t>
            </w:r>
            <w:r w:rsidRPr="007C6648">
              <w:rPr>
                <w:sz w:val="20"/>
                <w:szCs w:val="20"/>
              </w:rPr>
              <w:t xml:space="preserve"> (%) </w:t>
            </w:r>
            <w:r>
              <w:rPr>
                <w:sz w:val="20"/>
                <w:szCs w:val="20"/>
              </w:rPr>
              <w:t>Receiving</w:t>
            </w:r>
          </w:p>
          <w:p w14:paraId="01723A7A" w14:textId="77777777" w:rsidR="0017561A" w:rsidRDefault="0017561A" w:rsidP="004E0520">
            <w:pPr>
              <w:rPr>
                <w:sz w:val="20"/>
                <w:szCs w:val="20"/>
              </w:rPr>
            </w:pPr>
            <w:r w:rsidRPr="007C6648">
              <w:rPr>
                <w:sz w:val="20"/>
                <w:szCs w:val="20"/>
              </w:rPr>
              <w:t>Trastuzumab</w:t>
            </w:r>
          </w:p>
          <w:p w14:paraId="163A1225" w14:textId="77777777" w:rsidR="0017561A" w:rsidRPr="007C6648" w:rsidRDefault="0017561A" w:rsidP="004E0520">
            <w:pPr>
              <w:rPr>
                <w:sz w:val="20"/>
                <w:szCs w:val="20"/>
              </w:rPr>
            </w:pPr>
            <w:r>
              <w:rPr>
                <w:sz w:val="20"/>
                <w:szCs w:val="20"/>
              </w:rPr>
              <w:t>n = 1,062 (44.83)</w:t>
            </w:r>
          </w:p>
        </w:tc>
        <w:tc>
          <w:tcPr>
            <w:tcW w:w="1418" w:type="dxa"/>
            <w:tcBorders>
              <w:bottom w:val="single" w:sz="4" w:space="0" w:color="auto"/>
            </w:tcBorders>
          </w:tcPr>
          <w:p w14:paraId="4CD6D548" w14:textId="77777777" w:rsidR="0017561A" w:rsidRDefault="0017561A" w:rsidP="004E0520">
            <w:pPr>
              <w:rPr>
                <w:sz w:val="20"/>
                <w:szCs w:val="20"/>
              </w:rPr>
            </w:pPr>
            <w:r w:rsidRPr="007C6648">
              <w:rPr>
                <w:sz w:val="20"/>
                <w:szCs w:val="20"/>
              </w:rPr>
              <w:t xml:space="preserve">Number (%) </w:t>
            </w:r>
            <w:r>
              <w:rPr>
                <w:sz w:val="20"/>
                <w:szCs w:val="20"/>
              </w:rPr>
              <w:t>n</w:t>
            </w:r>
            <w:r w:rsidRPr="007C6648">
              <w:rPr>
                <w:sz w:val="20"/>
                <w:szCs w:val="20"/>
              </w:rPr>
              <w:t xml:space="preserve">ot </w:t>
            </w:r>
            <w:r>
              <w:rPr>
                <w:sz w:val="20"/>
                <w:szCs w:val="20"/>
              </w:rPr>
              <w:t>Receiving</w:t>
            </w:r>
            <w:r w:rsidRPr="007C6648">
              <w:rPr>
                <w:sz w:val="20"/>
                <w:szCs w:val="20"/>
              </w:rPr>
              <w:t xml:space="preserve"> Trastuzumab</w:t>
            </w:r>
          </w:p>
          <w:p w14:paraId="68C10734" w14:textId="77777777" w:rsidR="0017561A" w:rsidRDefault="0017561A" w:rsidP="004E0520">
            <w:pPr>
              <w:rPr>
                <w:sz w:val="20"/>
                <w:szCs w:val="20"/>
              </w:rPr>
            </w:pPr>
            <w:r>
              <w:rPr>
                <w:sz w:val="20"/>
                <w:szCs w:val="20"/>
              </w:rPr>
              <w:t>n = 1,307 (55.17)</w:t>
            </w:r>
          </w:p>
          <w:p w14:paraId="503E4888" w14:textId="77777777" w:rsidR="0017561A" w:rsidRPr="001A1402" w:rsidRDefault="0017561A" w:rsidP="004E0520">
            <w:pPr>
              <w:rPr>
                <w:sz w:val="10"/>
                <w:szCs w:val="10"/>
              </w:rPr>
            </w:pPr>
          </w:p>
        </w:tc>
        <w:tc>
          <w:tcPr>
            <w:tcW w:w="992" w:type="dxa"/>
            <w:tcBorders>
              <w:bottom w:val="single" w:sz="4" w:space="0" w:color="auto"/>
            </w:tcBorders>
          </w:tcPr>
          <w:p w14:paraId="00715FCE" w14:textId="77777777" w:rsidR="0017561A" w:rsidRPr="00AB4B54" w:rsidRDefault="0017561A" w:rsidP="004E0520">
            <w:pPr>
              <w:rPr>
                <w:sz w:val="20"/>
                <w:szCs w:val="20"/>
              </w:rPr>
            </w:pPr>
            <w:r w:rsidRPr="00AB4B54">
              <w:rPr>
                <w:sz w:val="20"/>
                <w:szCs w:val="20"/>
              </w:rPr>
              <w:t>P Value</w:t>
            </w:r>
            <w:r>
              <w:rPr>
                <w:sz w:val="20"/>
                <w:szCs w:val="20"/>
                <w:vertAlign w:val="superscript"/>
              </w:rPr>
              <w:t>a</w:t>
            </w:r>
          </w:p>
        </w:tc>
        <w:tc>
          <w:tcPr>
            <w:tcW w:w="709" w:type="dxa"/>
            <w:tcBorders>
              <w:bottom w:val="single" w:sz="4" w:space="0" w:color="auto"/>
            </w:tcBorders>
          </w:tcPr>
          <w:p w14:paraId="1874FF83" w14:textId="77777777" w:rsidR="0017561A" w:rsidRPr="007C6648" w:rsidRDefault="0017561A" w:rsidP="004E0520">
            <w:pPr>
              <w:rPr>
                <w:sz w:val="20"/>
                <w:szCs w:val="20"/>
              </w:rPr>
            </w:pPr>
            <w:r w:rsidRPr="007C6648">
              <w:rPr>
                <w:sz w:val="20"/>
                <w:szCs w:val="20"/>
              </w:rPr>
              <w:t>OR</w:t>
            </w:r>
          </w:p>
        </w:tc>
        <w:tc>
          <w:tcPr>
            <w:tcW w:w="1417" w:type="dxa"/>
            <w:tcBorders>
              <w:bottom w:val="single" w:sz="4" w:space="0" w:color="auto"/>
            </w:tcBorders>
          </w:tcPr>
          <w:p w14:paraId="5B7AF55E" w14:textId="77777777" w:rsidR="0017561A" w:rsidRPr="007C6648" w:rsidRDefault="0017561A" w:rsidP="004E0520">
            <w:pPr>
              <w:rPr>
                <w:sz w:val="20"/>
                <w:szCs w:val="20"/>
              </w:rPr>
            </w:pPr>
            <w:r w:rsidRPr="007C6648">
              <w:rPr>
                <w:sz w:val="20"/>
                <w:szCs w:val="20"/>
              </w:rPr>
              <w:t>95% CI</w:t>
            </w:r>
          </w:p>
        </w:tc>
        <w:tc>
          <w:tcPr>
            <w:tcW w:w="992" w:type="dxa"/>
            <w:tcBorders>
              <w:bottom w:val="single" w:sz="4" w:space="0" w:color="auto"/>
            </w:tcBorders>
          </w:tcPr>
          <w:p w14:paraId="17240602" w14:textId="77777777" w:rsidR="0017561A" w:rsidRPr="00AB4B54" w:rsidRDefault="0017561A" w:rsidP="004E0520">
            <w:pPr>
              <w:rPr>
                <w:sz w:val="20"/>
                <w:szCs w:val="20"/>
              </w:rPr>
            </w:pPr>
            <w:r w:rsidRPr="00AB4B54">
              <w:rPr>
                <w:sz w:val="20"/>
                <w:szCs w:val="20"/>
              </w:rPr>
              <w:t>P Value</w:t>
            </w:r>
            <w:r>
              <w:rPr>
                <w:sz w:val="20"/>
                <w:szCs w:val="20"/>
                <w:vertAlign w:val="superscript"/>
              </w:rPr>
              <w:t>b</w:t>
            </w:r>
          </w:p>
        </w:tc>
        <w:tc>
          <w:tcPr>
            <w:tcW w:w="709" w:type="dxa"/>
            <w:tcBorders>
              <w:bottom w:val="single" w:sz="4" w:space="0" w:color="auto"/>
            </w:tcBorders>
          </w:tcPr>
          <w:p w14:paraId="5C073758" w14:textId="77777777" w:rsidR="0017561A" w:rsidRPr="007C6648" w:rsidRDefault="0017561A" w:rsidP="004E0520">
            <w:pPr>
              <w:rPr>
                <w:sz w:val="20"/>
                <w:szCs w:val="20"/>
              </w:rPr>
            </w:pPr>
            <w:r w:rsidRPr="007C6648">
              <w:rPr>
                <w:sz w:val="20"/>
                <w:szCs w:val="20"/>
              </w:rPr>
              <w:t>OR</w:t>
            </w:r>
          </w:p>
        </w:tc>
        <w:tc>
          <w:tcPr>
            <w:tcW w:w="1418" w:type="dxa"/>
            <w:tcBorders>
              <w:bottom w:val="single" w:sz="4" w:space="0" w:color="auto"/>
            </w:tcBorders>
          </w:tcPr>
          <w:p w14:paraId="1BE302CA" w14:textId="77777777" w:rsidR="0017561A" w:rsidRPr="007C6648" w:rsidRDefault="0017561A" w:rsidP="004E0520">
            <w:pPr>
              <w:rPr>
                <w:sz w:val="20"/>
                <w:szCs w:val="20"/>
              </w:rPr>
            </w:pPr>
            <w:r w:rsidRPr="007C6648">
              <w:rPr>
                <w:sz w:val="20"/>
                <w:szCs w:val="20"/>
              </w:rPr>
              <w:t>95% CI</w:t>
            </w:r>
          </w:p>
        </w:tc>
        <w:tc>
          <w:tcPr>
            <w:tcW w:w="992" w:type="dxa"/>
            <w:tcBorders>
              <w:bottom w:val="single" w:sz="4" w:space="0" w:color="auto"/>
            </w:tcBorders>
          </w:tcPr>
          <w:p w14:paraId="6EEEAE5C" w14:textId="77777777" w:rsidR="0017561A" w:rsidRPr="00AB4B54" w:rsidRDefault="0017561A" w:rsidP="004E0520">
            <w:pPr>
              <w:rPr>
                <w:sz w:val="20"/>
                <w:szCs w:val="20"/>
              </w:rPr>
            </w:pPr>
            <w:r w:rsidRPr="00AB4B54">
              <w:rPr>
                <w:sz w:val="20"/>
                <w:szCs w:val="20"/>
              </w:rPr>
              <w:t>P Value</w:t>
            </w:r>
            <w:r>
              <w:rPr>
                <w:sz w:val="20"/>
                <w:szCs w:val="20"/>
                <w:vertAlign w:val="superscript"/>
              </w:rPr>
              <w:t>b</w:t>
            </w:r>
          </w:p>
        </w:tc>
      </w:tr>
      <w:tr w:rsidR="0017561A" w:rsidRPr="000E6139" w14:paraId="67280E51" w14:textId="77777777" w:rsidTr="004E0520">
        <w:trPr>
          <w:jc w:val="center"/>
        </w:trPr>
        <w:tc>
          <w:tcPr>
            <w:tcW w:w="3823" w:type="dxa"/>
          </w:tcPr>
          <w:p w14:paraId="0EEE962C" w14:textId="77777777" w:rsidR="0017561A" w:rsidRPr="00192CCA" w:rsidRDefault="0017561A" w:rsidP="004E0520">
            <w:pPr>
              <w:rPr>
                <w:sz w:val="20"/>
                <w:szCs w:val="20"/>
              </w:rPr>
            </w:pPr>
          </w:p>
        </w:tc>
        <w:tc>
          <w:tcPr>
            <w:tcW w:w="1417" w:type="dxa"/>
          </w:tcPr>
          <w:p w14:paraId="7203CDBA" w14:textId="77777777" w:rsidR="0017561A" w:rsidRPr="00192CCA" w:rsidRDefault="0017561A" w:rsidP="004E0520">
            <w:pPr>
              <w:rPr>
                <w:sz w:val="20"/>
                <w:szCs w:val="20"/>
              </w:rPr>
            </w:pPr>
          </w:p>
        </w:tc>
        <w:tc>
          <w:tcPr>
            <w:tcW w:w="1418" w:type="dxa"/>
          </w:tcPr>
          <w:p w14:paraId="16F85E2C" w14:textId="77777777" w:rsidR="0017561A" w:rsidRPr="00192CCA" w:rsidRDefault="0017561A" w:rsidP="004E0520">
            <w:pPr>
              <w:rPr>
                <w:sz w:val="20"/>
                <w:szCs w:val="20"/>
              </w:rPr>
            </w:pPr>
          </w:p>
        </w:tc>
        <w:tc>
          <w:tcPr>
            <w:tcW w:w="992" w:type="dxa"/>
          </w:tcPr>
          <w:p w14:paraId="51416C5D" w14:textId="77777777" w:rsidR="0017561A" w:rsidRPr="00192CCA" w:rsidRDefault="0017561A" w:rsidP="004E0520">
            <w:pPr>
              <w:rPr>
                <w:sz w:val="20"/>
                <w:szCs w:val="20"/>
              </w:rPr>
            </w:pPr>
          </w:p>
        </w:tc>
        <w:tc>
          <w:tcPr>
            <w:tcW w:w="709" w:type="dxa"/>
          </w:tcPr>
          <w:p w14:paraId="55E71655" w14:textId="77777777" w:rsidR="0017561A" w:rsidRPr="00192CCA" w:rsidRDefault="0017561A" w:rsidP="004E0520">
            <w:pPr>
              <w:rPr>
                <w:sz w:val="20"/>
                <w:szCs w:val="20"/>
              </w:rPr>
            </w:pPr>
          </w:p>
        </w:tc>
        <w:tc>
          <w:tcPr>
            <w:tcW w:w="1417" w:type="dxa"/>
          </w:tcPr>
          <w:p w14:paraId="1D509FF6" w14:textId="77777777" w:rsidR="0017561A" w:rsidRPr="00192CCA" w:rsidRDefault="0017561A" w:rsidP="004E0520">
            <w:pPr>
              <w:rPr>
                <w:sz w:val="20"/>
                <w:szCs w:val="20"/>
              </w:rPr>
            </w:pPr>
          </w:p>
        </w:tc>
        <w:tc>
          <w:tcPr>
            <w:tcW w:w="992" w:type="dxa"/>
          </w:tcPr>
          <w:p w14:paraId="3915551E" w14:textId="77777777" w:rsidR="0017561A" w:rsidRPr="00192CCA" w:rsidRDefault="0017561A" w:rsidP="004E0520">
            <w:pPr>
              <w:rPr>
                <w:sz w:val="20"/>
                <w:szCs w:val="20"/>
              </w:rPr>
            </w:pPr>
          </w:p>
        </w:tc>
        <w:tc>
          <w:tcPr>
            <w:tcW w:w="709" w:type="dxa"/>
          </w:tcPr>
          <w:p w14:paraId="026F34F2" w14:textId="77777777" w:rsidR="0017561A" w:rsidRPr="00192CCA" w:rsidRDefault="0017561A" w:rsidP="004E0520">
            <w:pPr>
              <w:rPr>
                <w:sz w:val="20"/>
                <w:szCs w:val="20"/>
              </w:rPr>
            </w:pPr>
          </w:p>
        </w:tc>
        <w:tc>
          <w:tcPr>
            <w:tcW w:w="1418" w:type="dxa"/>
          </w:tcPr>
          <w:p w14:paraId="7F4EE19B" w14:textId="77777777" w:rsidR="0017561A" w:rsidRPr="00192CCA" w:rsidRDefault="0017561A" w:rsidP="004E0520">
            <w:pPr>
              <w:rPr>
                <w:sz w:val="20"/>
                <w:szCs w:val="20"/>
              </w:rPr>
            </w:pPr>
          </w:p>
        </w:tc>
        <w:tc>
          <w:tcPr>
            <w:tcW w:w="992" w:type="dxa"/>
          </w:tcPr>
          <w:p w14:paraId="1031F246" w14:textId="77777777" w:rsidR="0017561A" w:rsidRPr="00192CCA" w:rsidRDefault="0017561A" w:rsidP="004E0520">
            <w:pPr>
              <w:rPr>
                <w:sz w:val="20"/>
                <w:szCs w:val="20"/>
              </w:rPr>
            </w:pPr>
          </w:p>
        </w:tc>
      </w:tr>
      <w:tr w:rsidR="0017561A" w:rsidRPr="000E6139" w14:paraId="1B20E8F4" w14:textId="77777777" w:rsidTr="004E0520">
        <w:trPr>
          <w:jc w:val="center"/>
        </w:trPr>
        <w:tc>
          <w:tcPr>
            <w:tcW w:w="3823" w:type="dxa"/>
          </w:tcPr>
          <w:p w14:paraId="06BA1DAF" w14:textId="77777777" w:rsidR="0017561A" w:rsidRPr="00192CCA" w:rsidRDefault="0017561A" w:rsidP="004E0520">
            <w:pPr>
              <w:rPr>
                <w:sz w:val="20"/>
                <w:szCs w:val="20"/>
              </w:rPr>
            </w:pPr>
            <w:r w:rsidRPr="00192CCA">
              <w:rPr>
                <w:b/>
                <w:bCs/>
                <w:sz w:val="20"/>
                <w:szCs w:val="20"/>
              </w:rPr>
              <w:t>Government Region</w:t>
            </w:r>
          </w:p>
        </w:tc>
        <w:tc>
          <w:tcPr>
            <w:tcW w:w="1417" w:type="dxa"/>
          </w:tcPr>
          <w:p w14:paraId="2D117766" w14:textId="77777777" w:rsidR="0017561A" w:rsidRPr="00192CCA" w:rsidRDefault="0017561A" w:rsidP="004E0520">
            <w:pPr>
              <w:rPr>
                <w:sz w:val="20"/>
                <w:szCs w:val="20"/>
              </w:rPr>
            </w:pPr>
          </w:p>
        </w:tc>
        <w:tc>
          <w:tcPr>
            <w:tcW w:w="1418" w:type="dxa"/>
          </w:tcPr>
          <w:p w14:paraId="121E6012" w14:textId="77777777" w:rsidR="0017561A" w:rsidRPr="00192CCA" w:rsidRDefault="0017561A" w:rsidP="004E0520">
            <w:pPr>
              <w:rPr>
                <w:sz w:val="20"/>
                <w:szCs w:val="20"/>
              </w:rPr>
            </w:pPr>
          </w:p>
        </w:tc>
        <w:tc>
          <w:tcPr>
            <w:tcW w:w="992" w:type="dxa"/>
          </w:tcPr>
          <w:p w14:paraId="3258481D" w14:textId="77777777" w:rsidR="0017561A" w:rsidRPr="00192CCA" w:rsidRDefault="0017561A" w:rsidP="004E0520">
            <w:pPr>
              <w:rPr>
                <w:sz w:val="20"/>
                <w:szCs w:val="20"/>
              </w:rPr>
            </w:pPr>
            <w:r>
              <w:rPr>
                <w:sz w:val="20"/>
                <w:szCs w:val="20"/>
              </w:rPr>
              <w:t>0</w:t>
            </w:r>
            <w:r w:rsidRPr="00192CCA">
              <w:rPr>
                <w:sz w:val="20"/>
                <w:szCs w:val="20"/>
              </w:rPr>
              <w:t>.00</w:t>
            </w:r>
            <w:r>
              <w:rPr>
                <w:sz w:val="20"/>
                <w:szCs w:val="20"/>
              </w:rPr>
              <w:t>3</w:t>
            </w:r>
          </w:p>
        </w:tc>
        <w:tc>
          <w:tcPr>
            <w:tcW w:w="709" w:type="dxa"/>
          </w:tcPr>
          <w:p w14:paraId="7FD35580" w14:textId="77777777" w:rsidR="0017561A" w:rsidRPr="00192CCA" w:rsidRDefault="0017561A" w:rsidP="004E0520">
            <w:pPr>
              <w:rPr>
                <w:sz w:val="20"/>
                <w:szCs w:val="20"/>
              </w:rPr>
            </w:pPr>
          </w:p>
        </w:tc>
        <w:tc>
          <w:tcPr>
            <w:tcW w:w="1417" w:type="dxa"/>
          </w:tcPr>
          <w:p w14:paraId="69840EF3" w14:textId="77777777" w:rsidR="0017561A" w:rsidRPr="00192CCA" w:rsidRDefault="0017561A" w:rsidP="004E0520">
            <w:pPr>
              <w:rPr>
                <w:sz w:val="20"/>
                <w:szCs w:val="20"/>
              </w:rPr>
            </w:pPr>
          </w:p>
        </w:tc>
        <w:tc>
          <w:tcPr>
            <w:tcW w:w="992" w:type="dxa"/>
          </w:tcPr>
          <w:p w14:paraId="0A3E7F6F" w14:textId="77777777" w:rsidR="0017561A" w:rsidRPr="00192CCA" w:rsidRDefault="0017561A" w:rsidP="004E0520">
            <w:pPr>
              <w:rPr>
                <w:sz w:val="20"/>
                <w:szCs w:val="20"/>
              </w:rPr>
            </w:pPr>
            <w:r>
              <w:rPr>
                <w:b/>
                <w:bCs/>
                <w:sz w:val="20"/>
                <w:szCs w:val="20"/>
              </w:rPr>
              <w:t xml:space="preserve">  </w:t>
            </w:r>
            <w:r w:rsidRPr="00192CCA">
              <w:rPr>
                <w:b/>
                <w:bCs/>
                <w:sz w:val="20"/>
                <w:szCs w:val="20"/>
              </w:rPr>
              <w:t>0.00</w:t>
            </w:r>
            <w:r>
              <w:rPr>
                <w:b/>
                <w:bCs/>
                <w:sz w:val="20"/>
                <w:szCs w:val="20"/>
              </w:rPr>
              <w:t>2</w:t>
            </w:r>
          </w:p>
        </w:tc>
        <w:tc>
          <w:tcPr>
            <w:tcW w:w="709" w:type="dxa"/>
          </w:tcPr>
          <w:p w14:paraId="1AAB822B" w14:textId="77777777" w:rsidR="0017561A" w:rsidRPr="00192CCA" w:rsidRDefault="0017561A" w:rsidP="004E0520">
            <w:pPr>
              <w:rPr>
                <w:sz w:val="20"/>
                <w:szCs w:val="20"/>
              </w:rPr>
            </w:pPr>
          </w:p>
        </w:tc>
        <w:tc>
          <w:tcPr>
            <w:tcW w:w="1418" w:type="dxa"/>
          </w:tcPr>
          <w:p w14:paraId="40AD71FB" w14:textId="77777777" w:rsidR="0017561A" w:rsidRPr="00192CCA" w:rsidRDefault="0017561A" w:rsidP="004E0520">
            <w:pPr>
              <w:rPr>
                <w:sz w:val="20"/>
                <w:szCs w:val="20"/>
              </w:rPr>
            </w:pPr>
          </w:p>
        </w:tc>
        <w:tc>
          <w:tcPr>
            <w:tcW w:w="992" w:type="dxa"/>
          </w:tcPr>
          <w:p w14:paraId="58FA732A" w14:textId="77777777" w:rsidR="0017561A" w:rsidRPr="00192CCA" w:rsidRDefault="0017561A" w:rsidP="004E0520">
            <w:pPr>
              <w:rPr>
                <w:sz w:val="20"/>
                <w:szCs w:val="20"/>
              </w:rPr>
            </w:pPr>
            <w:r>
              <w:rPr>
                <w:b/>
                <w:bCs/>
                <w:sz w:val="20"/>
                <w:szCs w:val="20"/>
              </w:rPr>
              <w:t xml:space="preserve"> &lt;</w:t>
            </w:r>
            <w:r w:rsidRPr="00192CCA">
              <w:rPr>
                <w:b/>
                <w:bCs/>
                <w:sz w:val="20"/>
                <w:szCs w:val="20"/>
              </w:rPr>
              <w:t>0.00</w:t>
            </w:r>
            <w:r>
              <w:rPr>
                <w:b/>
                <w:bCs/>
                <w:sz w:val="20"/>
                <w:szCs w:val="20"/>
              </w:rPr>
              <w:t>1</w:t>
            </w:r>
          </w:p>
        </w:tc>
      </w:tr>
      <w:tr w:rsidR="0017561A" w:rsidRPr="000E6139" w14:paraId="1F4FD088" w14:textId="77777777" w:rsidTr="004E0520">
        <w:trPr>
          <w:jc w:val="center"/>
        </w:trPr>
        <w:tc>
          <w:tcPr>
            <w:tcW w:w="3823" w:type="dxa"/>
          </w:tcPr>
          <w:p w14:paraId="5895922F" w14:textId="77777777" w:rsidR="0017561A" w:rsidRPr="00192CCA" w:rsidRDefault="0017561A" w:rsidP="004E0520">
            <w:pPr>
              <w:rPr>
                <w:b/>
                <w:bCs/>
                <w:sz w:val="20"/>
                <w:szCs w:val="20"/>
              </w:rPr>
            </w:pPr>
            <w:r w:rsidRPr="00192CCA">
              <w:rPr>
                <w:sz w:val="20"/>
                <w:szCs w:val="20"/>
              </w:rPr>
              <w:t>North West</w:t>
            </w:r>
          </w:p>
        </w:tc>
        <w:tc>
          <w:tcPr>
            <w:tcW w:w="1417" w:type="dxa"/>
          </w:tcPr>
          <w:p w14:paraId="7D160217" w14:textId="77777777" w:rsidR="0017561A" w:rsidRPr="00192CCA" w:rsidRDefault="0017561A" w:rsidP="004E0520">
            <w:pPr>
              <w:rPr>
                <w:sz w:val="20"/>
                <w:szCs w:val="20"/>
              </w:rPr>
            </w:pPr>
            <w:r>
              <w:rPr>
                <w:sz w:val="20"/>
                <w:szCs w:val="20"/>
              </w:rPr>
              <w:t>170 (48.02)</w:t>
            </w:r>
          </w:p>
        </w:tc>
        <w:tc>
          <w:tcPr>
            <w:tcW w:w="1418" w:type="dxa"/>
          </w:tcPr>
          <w:p w14:paraId="505B3792" w14:textId="77777777" w:rsidR="0017561A" w:rsidRPr="00192CCA" w:rsidRDefault="0017561A" w:rsidP="004E0520">
            <w:pPr>
              <w:rPr>
                <w:sz w:val="20"/>
                <w:szCs w:val="20"/>
              </w:rPr>
            </w:pPr>
            <w:r>
              <w:rPr>
                <w:sz w:val="20"/>
                <w:szCs w:val="20"/>
              </w:rPr>
              <w:t>184 (51.98)</w:t>
            </w:r>
          </w:p>
        </w:tc>
        <w:tc>
          <w:tcPr>
            <w:tcW w:w="992" w:type="dxa"/>
          </w:tcPr>
          <w:p w14:paraId="566FC89C" w14:textId="77777777" w:rsidR="0017561A" w:rsidRPr="00192CCA" w:rsidRDefault="0017561A" w:rsidP="004E0520">
            <w:pPr>
              <w:rPr>
                <w:sz w:val="20"/>
                <w:szCs w:val="20"/>
              </w:rPr>
            </w:pPr>
          </w:p>
        </w:tc>
        <w:tc>
          <w:tcPr>
            <w:tcW w:w="709" w:type="dxa"/>
          </w:tcPr>
          <w:p w14:paraId="196FEA15" w14:textId="77777777" w:rsidR="0017561A" w:rsidRPr="00192CCA" w:rsidRDefault="0017561A" w:rsidP="004E0520">
            <w:pPr>
              <w:rPr>
                <w:sz w:val="20"/>
                <w:szCs w:val="20"/>
              </w:rPr>
            </w:pPr>
            <w:r w:rsidRPr="00192CCA">
              <w:rPr>
                <w:sz w:val="20"/>
                <w:szCs w:val="20"/>
              </w:rPr>
              <w:t>1.00</w:t>
            </w:r>
          </w:p>
        </w:tc>
        <w:tc>
          <w:tcPr>
            <w:tcW w:w="1417" w:type="dxa"/>
          </w:tcPr>
          <w:p w14:paraId="7573E032" w14:textId="77777777" w:rsidR="0017561A" w:rsidRPr="00192CCA" w:rsidRDefault="0017561A" w:rsidP="004E0520">
            <w:pPr>
              <w:rPr>
                <w:sz w:val="20"/>
                <w:szCs w:val="20"/>
              </w:rPr>
            </w:pPr>
            <w:r w:rsidRPr="00192CCA">
              <w:rPr>
                <w:sz w:val="20"/>
                <w:szCs w:val="20"/>
              </w:rPr>
              <w:t>-----     -----</w:t>
            </w:r>
          </w:p>
        </w:tc>
        <w:tc>
          <w:tcPr>
            <w:tcW w:w="992" w:type="dxa"/>
          </w:tcPr>
          <w:p w14:paraId="796CE3AF" w14:textId="77777777" w:rsidR="0017561A" w:rsidRPr="00192CCA" w:rsidRDefault="0017561A" w:rsidP="004E0520">
            <w:pPr>
              <w:rPr>
                <w:b/>
                <w:bCs/>
                <w:sz w:val="20"/>
                <w:szCs w:val="20"/>
              </w:rPr>
            </w:pPr>
            <w:r>
              <w:rPr>
                <w:sz w:val="20"/>
                <w:szCs w:val="20"/>
              </w:rPr>
              <w:t xml:space="preserve">  </w:t>
            </w:r>
            <w:r w:rsidRPr="00192CCA">
              <w:rPr>
                <w:sz w:val="20"/>
                <w:szCs w:val="20"/>
              </w:rPr>
              <w:t>-------</w:t>
            </w:r>
          </w:p>
        </w:tc>
        <w:tc>
          <w:tcPr>
            <w:tcW w:w="709" w:type="dxa"/>
          </w:tcPr>
          <w:p w14:paraId="6167A4A3" w14:textId="77777777" w:rsidR="0017561A" w:rsidRPr="00192CCA" w:rsidRDefault="0017561A" w:rsidP="004E0520">
            <w:pPr>
              <w:rPr>
                <w:sz w:val="20"/>
                <w:szCs w:val="20"/>
              </w:rPr>
            </w:pPr>
            <w:r w:rsidRPr="00192CCA">
              <w:rPr>
                <w:sz w:val="20"/>
                <w:szCs w:val="20"/>
              </w:rPr>
              <w:t>1.00</w:t>
            </w:r>
          </w:p>
        </w:tc>
        <w:tc>
          <w:tcPr>
            <w:tcW w:w="1418" w:type="dxa"/>
          </w:tcPr>
          <w:p w14:paraId="6023E8FD" w14:textId="77777777" w:rsidR="0017561A" w:rsidRPr="00192CCA" w:rsidRDefault="0017561A" w:rsidP="004E0520">
            <w:pPr>
              <w:rPr>
                <w:sz w:val="20"/>
                <w:szCs w:val="20"/>
              </w:rPr>
            </w:pPr>
            <w:r w:rsidRPr="00192CCA">
              <w:rPr>
                <w:sz w:val="20"/>
                <w:szCs w:val="20"/>
              </w:rPr>
              <w:t>-----     -----</w:t>
            </w:r>
          </w:p>
        </w:tc>
        <w:tc>
          <w:tcPr>
            <w:tcW w:w="992" w:type="dxa"/>
          </w:tcPr>
          <w:p w14:paraId="5CAE21B4" w14:textId="77777777" w:rsidR="0017561A" w:rsidRPr="00192CCA" w:rsidRDefault="0017561A" w:rsidP="004E0520">
            <w:pPr>
              <w:rPr>
                <w:b/>
                <w:bCs/>
                <w:sz w:val="20"/>
                <w:szCs w:val="20"/>
              </w:rPr>
            </w:pPr>
            <w:r>
              <w:rPr>
                <w:sz w:val="20"/>
                <w:szCs w:val="20"/>
              </w:rPr>
              <w:t xml:space="preserve">  </w:t>
            </w:r>
            <w:r w:rsidRPr="00192CCA">
              <w:rPr>
                <w:sz w:val="20"/>
                <w:szCs w:val="20"/>
              </w:rPr>
              <w:t>-------</w:t>
            </w:r>
          </w:p>
        </w:tc>
      </w:tr>
      <w:tr w:rsidR="0017561A" w:rsidRPr="000E6139" w14:paraId="33F0E226" w14:textId="77777777" w:rsidTr="004E0520">
        <w:trPr>
          <w:jc w:val="center"/>
        </w:trPr>
        <w:tc>
          <w:tcPr>
            <w:tcW w:w="3823" w:type="dxa"/>
          </w:tcPr>
          <w:p w14:paraId="53FFB896" w14:textId="77777777" w:rsidR="0017561A" w:rsidRPr="00192CCA" w:rsidRDefault="0017561A" w:rsidP="004E0520">
            <w:pPr>
              <w:rPr>
                <w:sz w:val="20"/>
                <w:szCs w:val="20"/>
              </w:rPr>
            </w:pPr>
            <w:r w:rsidRPr="00192CCA">
              <w:rPr>
                <w:sz w:val="20"/>
                <w:szCs w:val="20"/>
              </w:rPr>
              <w:t>North East</w:t>
            </w:r>
          </w:p>
        </w:tc>
        <w:tc>
          <w:tcPr>
            <w:tcW w:w="1417" w:type="dxa"/>
          </w:tcPr>
          <w:p w14:paraId="145941C4" w14:textId="77777777" w:rsidR="0017561A" w:rsidRPr="00192CCA" w:rsidRDefault="0017561A" w:rsidP="004E0520">
            <w:pPr>
              <w:rPr>
                <w:sz w:val="20"/>
                <w:szCs w:val="20"/>
              </w:rPr>
            </w:pPr>
            <w:r>
              <w:rPr>
                <w:sz w:val="20"/>
                <w:szCs w:val="20"/>
              </w:rPr>
              <w:t>63 (42.00)</w:t>
            </w:r>
          </w:p>
        </w:tc>
        <w:tc>
          <w:tcPr>
            <w:tcW w:w="1418" w:type="dxa"/>
          </w:tcPr>
          <w:p w14:paraId="3F3CA590" w14:textId="77777777" w:rsidR="0017561A" w:rsidRPr="00192CCA" w:rsidRDefault="0017561A" w:rsidP="004E0520">
            <w:pPr>
              <w:rPr>
                <w:sz w:val="20"/>
                <w:szCs w:val="20"/>
              </w:rPr>
            </w:pPr>
            <w:r>
              <w:rPr>
                <w:sz w:val="20"/>
                <w:szCs w:val="20"/>
              </w:rPr>
              <w:t>87 (58.00)</w:t>
            </w:r>
          </w:p>
        </w:tc>
        <w:tc>
          <w:tcPr>
            <w:tcW w:w="992" w:type="dxa"/>
          </w:tcPr>
          <w:p w14:paraId="14A86958" w14:textId="77777777" w:rsidR="0017561A" w:rsidRPr="00192CCA" w:rsidRDefault="0017561A" w:rsidP="004E0520">
            <w:pPr>
              <w:rPr>
                <w:sz w:val="20"/>
                <w:szCs w:val="20"/>
              </w:rPr>
            </w:pPr>
          </w:p>
        </w:tc>
        <w:tc>
          <w:tcPr>
            <w:tcW w:w="709" w:type="dxa"/>
          </w:tcPr>
          <w:p w14:paraId="1BDE1B41" w14:textId="77777777" w:rsidR="0017561A" w:rsidRPr="00192CCA" w:rsidRDefault="0017561A" w:rsidP="004E0520">
            <w:pPr>
              <w:rPr>
                <w:sz w:val="20"/>
                <w:szCs w:val="20"/>
              </w:rPr>
            </w:pPr>
            <w:r w:rsidRPr="00192CCA">
              <w:rPr>
                <w:sz w:val="20"/>
                <w:szCs w:val="20"/>
              </w:rPr>
              <w:t>0.</w:t>
            </w:r>
            <w:r>
              <w:rPr>
                <w:sz w:val="20"/>
                <w:szCs w:val="20"/>
              </w:rPr>
              <w:t>78</w:t>
            </w:r>
          </w:p>
        </w:tc>
        <w:tc>
          <w:tcPr>
            <w:tcW w:w="1417" w:type="dxa"/>
          </w:tcPr>
          <w:p w14:paraId="32C84EA0" w14:textId="77777777" w:rsidR="0017561A" w:rsidRPr="00192CCA" w:rsidRDefault="0017561A" w:rsidP="004E0520">
            <w:pPr>
              <w:rPr>
                <w:sz w:val="20"/>
                <w:szCs w:val="20"/>
              </w:rPr>
            </w:pPr>
            <w:r w:rsidRPr="00192CCA">
              <w:rPr>
                <w:sz w:val="20"/>
                <w:szCs w:val="20"/>
              </w:rPr>
              <w:t>0.</w:t>
            </w:r>
            <w:r>
              <w:rPr>
                <w:sz w:val="20"/>
                <w:szCs w:val="20"/>
              </w:rPr>
              <w:t>53</w:t>
            </w:r>
            <w:r w:rsidRPr="00192CCA">
              <w:rPr>
                <w:sz w:val="20"/>
                <w:szCs w:val="20"/>
              </w:rPr>
              <w:t xml:space="preserve"> – </w:t>
            </w:r>
            <w:r>
              <w:rPr>
                <w:sz w:val="20"/>
                <w:szCs w:val="20"/>
              </w:rPr>
              <w:t>1.15</w:t>
            </w:r>
          </w:p>
        </w:tc>
        <w:tc>
          <w:tcPr>
            <w:tcW w:w="992" w:type="dxa"/>
          </w:tcPr>
          <w:p w14:paraId="497D2AF0"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215</w:t>
            </w:r>
          </w:p>
        </w:tc>
        <w:tc>
          <w:tcPr>
            <w:tcW w:w="709" w:type="dxa"/>
          </w:tcPr>
          <w:p w14:paraId="61E518B8" w14:textId="77777777" w:rsidR="0017561A" w:rsidRPr="00192CCA" w:rsidRDefault="0017561A" w:rsidP="004E0520">
            <w:pPr>
              <w:rPr>
                <w:sz w:val="20"/>
                <w:szCs w:val="20"/>
              </w:rPr>
            </w:pPr>
            <w:r w:rsidRPr="00192CCA">
              <w:rPr>
                <w:sz w:val="20"/>
                <w:szCs w:val="20"/>
              </w:rPr>
              <w:t>0.</w:t>
            </w:r>
            <w:r>
              <w:rPr>
                <w:sz w:val="20"/>
                <w:szCs w:val="20"/>
              </w:rPr>
              <w:t>60</w:t>
            </w:r>
          </w:p>
        </w:tc>
        <w:tc>
          <w:tcPr>
            <w:tcW w:w="1418" w:type="dxa"/>
          </w:tcPr>
          <w:p w14:paraId="2CF23B63" w14:textId="77777777" w:rsidR="0017561A" w:rsidRPr="00192CCA" w:rsidRDefault="0017561A" w:rsidP="004E0520">
            <w:pPr>
              <w:rPr>
                <w:sz w:val="20"/>
                <w:szCs w:val="20"/>
              </w:rPr>
            </w:pPr>
            <w:r w:rsidRPr="00192CCA">
              <w:rPr>
                <w:sz w:val="20"/>
                <w:szCs w:val="20"/>
              </w:rPr>
              <w:t>0.</w:t>
            </w:r>
            <w:r>
              <w:rPr>
                <w:sz w:val="20"/>
                <w:szCs w:val="20"/>
              </w:rPr>
              <w:t>39</w:t>
            </w:r>
            <w:r w:rsidRPr="00192CCA">
              <w:rPr>
                <w:sz w:val="20"/>
                <w:szCs w:val="20"/>
              </w:rPr>
              <w:t xml:space="preserve"> – 0.</w:t>
            </w:r>
            <w:r>
              <w:rPr>
                <w:sz w:val="20"/>
                <w:szCs w:val="20"/>
              </w:rPr>
              <w:t>93</w:t>
            </w:r>
          </w:p>
        </w:tc>
        <w:tc>
          <w:tcPr>
            <w:tcW w:w="992" w:type="dxa"/>
          </w:tcPr>
          <w:p w14:paraId="63DD180F" w14:textId="77777777" w:rsidR="0017561A" w:rsidRPr="00192CCA" w:rsidRDefault="0017561A" w:rsidP="004E0520">
            <w:pPr>
              <w:rPr>
                <w:sz w:val="20"/>
                <w:szCs w:val="20"/>
              </w:rPr>
            </w:pPr>
            <w:r>
              <w:rPr>
                <w:sz w:val="20"/>
                <w:szCs w:val="20"/>
              </w:rPr>
              <w:t xml:space="preserve">  </w:t>
            </w:r>
            <w:r w:rsidRPr="00192CCA">
              <w:rPr>
                <w:sz w:val="20"/>
                <w:szCs w:val="20"/>
              </w:rPr>
              <w:t>0.0</w:t>
            </w:r>
            <w:r>
              <w:rPr>
                <w:sz w:val="20"/>
                <w:szCs w:val="20"/>
              </w:rPr>
              <w:t>23</w:t>
            </w:r>
          </w:p>
        </w:tc>
      </w:tr>
      <w:tr w:rsidR="0017561A" w:rsidRPr="000E6139" w14:paraId="45A10D98" w14:textId="77777777" w:rsidTr="004E0520">
        <w:trPr>
          <w:jc w:val="center"/>
        </w:trPr>
        <w:tc>
          <w:tcPr>
            <w:tcW w:w="3823" w:type="dxa"/>
          </w:tcPr>
          <w:p w14:paraId="3B209875" w14:textId="77777777" w:rsidR="0017561A" w:rsidRPr="00192CCA" w:rsidRDefault="0017561A" w:rsidP="004E0520">
            <w:pPr>
              <w:rPr>
                <w:sz w:val="20"/>
                <w:szCs w:val="20"/>
              </w:rPr>
            </w:pPr>
            <w:r w:rsidRPr="00192CCA">
              <w:rPr>
                <w:sz w:val="20"/>
                <w:szCs w:val="20"/>
              </w:rPr>
              <w:t>West Midlands</w:t>
            </w:r>
          </w:p>
        </w:tc>
        <w:tc>
          <w:tcPr>
            <w:tcW w:w="1417" w:type="dxa"/>
          </w:tcPr>
          <w:p w14:paraId="6C85935F" w14:textId="77777777" w:rsidR="0017561A" w:rsidRPr="00192CCA" w:rsidRDefault="0017561A" w:rsidP="004E0520">
            <w:pPr>
              <w:rPr>
                <w:sz w:val="20"/>
                <w:szCs w:val="20"/>
              </w:rPr>
            </w:pPr>
            <w:r>
              <w:rPr>
                <w:sz w:val="20"/>
                <w:szCs w:val="20"/>
              </w:rPr>
              <w:t>85 (34.55)</w:t>
            </w:r>
          </w:p>
        </w:tc>
        <w:tc>
          <w:tcPr>
            <w:tcW w:w="1418" w:type="dxa"/>
          </w:tcPr>
          <w:p w14:paraId="5B739FAB" w14:textId="77777777" w:rsidR="0017561A" w:rsidRPr="00192CCA" w:rsidRDefault="0017561A" w:rsidP="004E0520">
            <w:pPr>
              <w:rPr>
                <w:sz w:val="20"/>
                <w:szCs w:val="20"/>
              </w:rPr>
            </w:pPr>
            <w:r>
              <w:rPr>
                <w:sz w:val="20"/>
                <w:szCs w:val="20"/>
              </w:rPr>
              <w:t>161 (65.45)</w:t>
            </w:r>
          </w:p>
        </w:tc>
        <w:tc>
          <w:tcPr>
            <w:tcW w:w="992" w:type="dxa"/>
          </w:tcPr>
          <w:p w14:paraId="7DC13C35" w14:textId="77777777" w:rsidR="0017561A" w:rsidRPr="00192CCA" w:rsidRDefault="0017561A" w:rsidP="004E0520">
            <w:pPr>
              <w:rPr>
                <w:sz w:val="20"/>
                <w:szCs w:val="20"/>
              </w:rPr>
            </w:pPr>
          </w:p>
        </w:tc>
        <w:tc>
          <w:tcPr>
            <w:tcW w:w="709" w:type="dxa"/>
          </w:tcPr>
          <w:p w14:paraId="792FBC54" w14:textId="77777777" w:rsidR="0017561A" w:rsidRPr="00192CCA" w:rsidRDefault="0017561A" w:rsidP="004E0520">
            <w:pPr>
              <w:rPr>
                <w:sz w:val="20"/>
                <w:szCs w:val="20"/>
              </w:rPr>
            </w:pPr>
            <w:r w:rsidRPr="00192CCA">
              <w:rPr>
                <w:sz w:val="20"/>
                <w:szCs w:val="20"/>
              </w:rPr>
              <w:t>0.</w:t>
            </w:r>
            <w:r>
              <w:rPr>
                <w:sz w:val="20"/>
                <w:szCs w:val="20"/>
              </w:rPr>
              <w:t>57</w:t>
            </w:r>
          </w:p>
        </w:tc>
        <w:tc>
          <w:tcPr>
            <w:tcW w:w="1417" w:type="dxa"/>
          </w:tcPr>
          <w:p w14:paraId="3758E51E" w14:textId="77777777" w:rsidR="0017561A" w:rsidRPr="00192CCA" w:rsidRDefault="0017561A" w:rsidP="004E0520">
            <w:pPr>
              <w:rPr>
                <w:sz w:val="20"/>
                <w:szCs w:val="20"/>
              </w:rPr>
            </w:pPr>
            <w:r w:rsidRPr="00192CCA">
              <w:rPr>
                <w:sz w:val="20"/>
                <w:szCs w:val="20"/>
              </w:rPr>
              <w:t>0.</w:t>
            </w:r>
            <w:r>
              <w:rPr>
                <w:sz w:val="20"/>
                <w:szCs w:val="20"/>
              </w:rPr>
              <w:t>41</w:t>
            </w:r>
            <w:r w:rsidRPr="00192CCA">
              <w:rPr>
                <w:sz w:val="20"/>
                <w:szCs w:val="20"/>
              </w:rPr>
              <w:t xml:space="preserve"> – 0.</w:t>
            </w:r>
            <w:r>
              <w:rPr>
                <w:sz w:val="20"/>
                <w:szCs w:val="20"/>
              </w:rPr>
              <w:t>80</w:t>
            </w:r>
          </w:p>
        </w:tc>
        <w:tc>
          <w:tcPr>
            <w:tcW w:w="992" w:type="dxa"/>
          </w:tcPr>
          <w:p w14:paraId="685A7A73" w14:textId="77777777" w:rsidR="0017561A" w:rsidRPr="00192CCA" w:rsidRDefault="0017561A" w:rsidP="004E0520">
            <w:pPr>
              <w:rPr>
                <w:sz w:val="20"/>
                <w:szCs w:val="20"/>
              </w:rPr>
            </w:pPr>
            <w:r>
              <w:rPr>
                <w:sz w:val="20"/>
                <w:szCs w:val="20"/>
              </w:rPr>
              <w:t xml:space="preserve">  </w:t>
            </w:r>
            <w:r w:rsidRPr="00192CCA">
              <w:rPr>
                <w:sz w:val="20"/>
                <w:szCs w:val="20"/>
              </w:rPr>
              <w:t>0.001</w:t>
            </w:r>
          </w:p>
        </w:tc>
        <w:tc>
          <w:tcPr>
            <w:tcW w:w="709" w:type="dxa"/>
          </w:tcPr>
          <w:p w14:paraId="721883B6" w14:textId="77777777" w:rsidR="0017561A" w:rsidRPr="00192CCA" w:rsidRDefault="0017561A" w:rsidP="004E0520">
            <w:pPr>
              <w:rPr>
                <w:sz w:val="20"/>
                <w:szCs w:val="20"/>
              </w:rPr>
            </w:pPr>
            <w:r w:rsidRPr="00192CCA">
              <w:rPr>
                <w:sz w:val="20"/>
                <w:szCs w:val="20"/>
              </w:rPr>
              <w:t>0.</w:t>
            </w:r>
            <w:r>
              <w:rPr>
                <w:sz w:val="20"/>
                <w:szCs w:val="20"/>
              </w:rPr>
              <w:t>38</w:t>
            </w:r>
          </w:p>
        </w:tc>
        <w:tc>
          <w:tcPr>
            <w:tcW w:w="1418" w:type="dxa"/>
          </w:tcPr>
          <w:p w14:paraId="3181D993" w14:textId="77777777" w:rsidR="0017561A" w:rsidRPr="00192CCA" w:rsidRDefault="0017561A" w:rsidP="004E0520">
            <w:pPr>
              <w:rPr>
                <w:sz w:val="20"/>
                <w:szCs w:val="20"/>
              </w:rPr>
            </w:pPr>
            <w:r w:rsidRPr="00192CCA">
              <w:rPr>
                <w:sz w:val="20"/>
                <w:szCs w:val="20"/>
              </w:rPr>
              <w:t>0.</w:t>
            </w:r>
            <w:r>
              <w:rPr>
                <w:sz w:val="20"/>
                <w:szCs w:val="20"/>
              </w:rPr>
              <w:t>26</w:t>
            </w:r>
            <w:r w:rsidRPr="00192CCA">
              <w:rPr>
                <w:sz w:val="20"/>
                <w:szCs w:val="20"/>
              </w:rPr>
              <w:t xml:space="preserve"> – 0.</w:t>
            </w:r>
            <w:r>
              <w:rPr>
                <w:sz w:val="20"/>
                <w:szCs w:val="20"/>
              </w:rPr>
              <w:t>56</w:t>
            </w:r>
          </w:p>
        </w:tc>
        <w:tc>
          <w:tcPr>
            <w:tcW w:w="992" w:type="dxa"/>
          </w:tcPr>
          <w:p w14:paraId="5D84AB00" w14:textId="77777777" w:rsidR="0017561A" w:rsidRPr="00192CCA" w:rsidRDefault="0017561A" w:rsidP="004E0520">
            <w:pPr>
              <w:rPr>
                <w:sz w:val="20"/>
                <w:szCs w:val="20"/>
              </w:rPr>
            </w:pPr>
            <w:r w:rsidRPr="00192CCA">
              <w:rPr>
                <w:sz w:val="20"/>
                <w:szCs w:val="20"/>
              </w:rPr>
              <w:t>&lt;0.001</w:t>
            </w:r>
          </w:p>
        </w:tc>
      </w:tr>
      <w:tr w:rsidR="0017561A" w:rsidRPr="000E6139" w14:paraId="1DE86C2E" w14:textId="77777777" w:rsidTr="004E0520">
        <w:trPr>
          <w:jc w:val="center"/>
        </w:trPr>
        <w:tc>
          <w:tcPr>
            <w:tcW w:w="3823" w:type="dxa"/>
          </w:tcPr>
          <w:p w14:paraId="4E935DF4" w14:textId="77777777" w:rsidR="0017561A" w:rsidRPr="00192CCA" w:rsidRDefault="0017561A" w:rsidP="004E0520">
            <w:pPr>
              <w:rPr>
                <w:sz w:val="20"/>
                <w:szCs w:val="20"/>
              </w:rPr>
            </w:pPr>
            <w:r w:rsidRPr="00192CCA">
              <w:rPr>
                <w:sz w:val="20"/>
                <w:szCs w:val="20"/>
              </w:rPr>
              <w:t>Yorkshire &amp; the Humber</w:t>
            </w:r>
          </w:p>
        </w:tc>
        <w:tc>
          <w:tcPr>
            <w:tcW w:w="1417" w:type="dxa"/>
          </w:tcPr>
          <w:p w14:paraId="06883C66" w14:textId="77777777" w:rsidR="0017561A" w:rsidRPr="00192CCA" w:rsidRDefault="0017561A" w:rsidP="004E0520">
            <w:pPr>
              <w:rPr>
                <w:sz w:val="20"/>
                <w:szCs w:val="20"/>
              </w:rPr>
            </w:pPr>
            <w:r>
              <w:rPr>
                <w:sz w:val="20"/>
                <w:szCs w:val="20"/>
              </w:rPr>
              <w:t>130 (51.18)</w:t>
            </w:r>
          </w:p>
        </w:tc>
        <w:tc>
          <w:tcPr>
            <w:tcW w:w="1418" w:type="dxa"/>
          </w:tcPr>
          <w:p w14:paraId="3381D7F7" w14:textId="77777777" w:rsidR="0017561A" w:rsidRPr="00192CCA" w:rsidRDefault="0017561A" w:rsidP="004E0520">
            <w:pPr>
              <w:rPr>
                <w:sz w:val="20"/>
                <w:szCs w:val="20"/>
              </w:rPr>
            </w:pPr>
            <w:r>
              <w:rPr>
                <w:sz w:val="20"/>
                <w:szCs w:val="20"/>
              </w:rPr>
              <w:t>124 (48.82)</w:t>
            </w:r>
          </w:p>
        </w:tc>
        <w:tc>
          <w:tcPr>
            <w:tcW w:w="992" w:type="dxa"/>
          </w:tcPr>
          <w:p w14:paraId="17470071" w14:textId="77777777" w:rsidR="0017561A" w:rsidRPr="00192CCA" w:rsidRDefault="0017561A" w:rsidP="004E0520">
            <w:pPr>
              <w:rPr>
                <w:sz w:val="20"/>
                <w:szCs w:val="20"/>
              </w:rPr>
            </w:pPr>
          </w:p>
        </w:tc>
        <w:tc>
          <w:tcPr>
            <w:tcW w:w="709" w:type="dxa"/>
          </w:tcPr>
          <w:p w14:paraId="19E89D22" w14:textId="77777777" w:rsidR="0017561A" w:rsidRPr="00192CCA" w:rsidRDefault="0017561A" w:rsidP="004E0520">
            <w:pPr>
              <w:rPr>
                <w:sz w:val="20"/>
                <w:szCs w:val="20"/>
              </w:rPr>
            </w:pPr>
            <w:r w:rsidRPr="00192CCA">
              <w:rPr>
                <w:sz w:val="20"/>
                <w:szCs w:val="20"/>
              </w:rPr>
              <w:t>1.</w:t>
            </w:r>
            <w:r>
              <w:rPr>
                <w:sz w:val="20"/>
                <w:szCs w:val="20"/>
              </w:rPr>
              <w:t>13</w:t>
            </w:r>
          </w:p>
        </w:tc>
        <w:tc>
          <w:tcPr>
            <w:tcW w:w="1417" w:type="dxa"/>
          </w:tcPr>
          <w:p w14:paraId="0BE0F008" w14:textId="77777777" w:rsidR="0017561A" w:rsidRPr="00192CCA" w:rsidRDefault="0017561A" w:rsidP="004E0520">
            <w:pPr>
              <w:rPr>
                <w:sz w:val="20"/>
                <w:szCs w:val="20"/>
              </w:rPr>
            </w:pPr>
            <w:r>
              <w:rPr>
                <w:sz w:val="20"/>
                <w:szCs w:val="20"/>
              </w:rPr>
              <w:t>0.82</w:t>
            </w:r>
            <w:r w:rsidRPr="00192CCA">
              <w:rPr>
                <w:sz w:val="20"/>
                <w:szCs w:val="20"/>
              </w:rPr>
              <w:t xml:space="preserve"> – 1.</w:t>
            </w:r>
            <w:r>
              <w:rPr>
                <w:sz w:val="20"/>
                <w:szCs w:val="20"/>
              </w:rPr>
              <w:t>57</w:t>
            </w:r>
          </w:p>
        </w:tc>
        <w:tc>
          <w:tcPr>
            <w:tcW w:w="992" w:type="dxa"/>
          </w:tcPr>
          <w:p w14:paraId="4F650BBE"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442</w:t>
            </w:r>
          </w:p>
        </w:tc>
        <w:tc>
          <w:tcPr>
            <w:tcW w:w="709" w:type="dxa"/>
          </w:tcPr>
          <w:p w14:paraId="728051A3" w14:textId="77777777" w:rsidR="0017561A" w:rsidRPr="00192CCA" w:rsidRDefault="0017561A" w:rsidP="004E0520">
            <w:pPr>
              <w:rPr>
                <w:sz w:val="20"/>
                <w:szCs w:val="20"/>
              </w:rPr>
            </w:pPr>
            <w:r>
              <w:rPr>
                <w:sz w:val="20"/>
                <w:szCs w:val="20"/>
              </w:rPr>
              <w:t>0.84</w:t>
            </w:r>
          </w:p>
        </w:tc>
        <w:tc>
          <w:tcPr>
            <w:tcW w:w="1418" w:type="dxa"/>
          </w:tcPr>
          <w:p w14:paraId="3FC8BD58" w14:textId="77777777" w:rsidR="0017561A" w:rsidRPr="00192CCA" w:rsidRDefault="0017561A" w:rsidP="004E0520">
            <w:pPr>
              <w:rPr>
                <w:sz w:val="20"/>
                <w:szCs w:val="20"/>
              </w:rPr>
            </w:pPr>
            <w:r>
              <w:rPr>
                <w:sz w:val="20"/>
                <w:szCs w:val="20"/>
              </w:rPr>
              <w:t>0.58</w:t>
            </w:r>
            <w:r w:rsidRPr="00192CCA">
              <w:rPr>
                <w:sz w:val="20"/>
                <w:szCs w:val="20"/>
              </w:rPr>
              <w:t xml:space="preserve"> – </w:t>
            </w:r>
            <w:r>
              <w:rPr>
                <w:sz w:val="20"/>
                <w:szCs w:val="20"/>
              </w:rPr>
              <w:t>1.21</w:t>
            </w:r>
          </w:p>
        </w:tc>
        <w:tc>
          <w:tcPr>
            <w:tcW w:w="992" w:type="dxa"/>
          </w:tcPr>
          <w:p w14:paraId="1314BECD"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350</w:t>
            </w:r>
          </w:p>
        </w:tc>
      </w:tr>
      <w:tr w:rsidR="0017561A" w:rsidRPr="000E6139" w14:paraId="29BA6F0B" w14:textId="77777777" w:rsidTr="004E0520">
        <w:trPr>
          <w:jc w:val="center"/>
        </w:trPr>
        <w:tc>
          <w:tcPr>
            <w:tcW w:w="3823" w:type="dxa"/>
          </w:tcPr>
          <w:p w14:paraId="788AF2E7" w14:textId="77777777" w:rsidR="0017561A" w:rsidRPr="00192CCA" w:rsidRDefault="0017561A" w:rsidP="004E0520">
            <w:pPr>
              <w:rPr>
                <w:sz w:val="20"/>
                <w:szCs w:val="20"/>
              </w:rPr>
            </w:pPr>
            <w:r w:rsidRPr="00192CCA">
              <w:rPr>
                <w:sz w:val="20"/>
                <w:szCs w:val="20"/>
              </w:rPr>
              <w:t>East Midlands</w:t>
            </w:r>
          </w:p>
        </w:tc>
        <w:tc>
          <w:tcPr>
            <w:tcW w:w="1417" w:type="dxa"/>
          </w:tcPr>
          <w:p w14:paraId="05959217" w14:textId="77777777" w:rsidR="0017561A" w:rsidRPr="00192CCA" w:rsidRDefault="0017561A" w:rsidP="004E0520">
            <w:pPr>
              <w:rPr>
                <w:sz w:val="20"/>
                <w:szCs w:val="20"/>
              </w:rPr>
            </w:pPr>
            <w:r>
              <w:rPr>
                <w:sz w:val="20"/>
                <w:szCs w:val="20"/>
              </w:rPr>
              <w:t>89 (52.35)</w:t>
            </w:r>
          </w:p>
        </w:tc>
        <w:tc>
          <w:tcPr>
            <w:tcW w:w="1418" w:type="dxa"/>
          </w:tcPr>
          <w:p w14:paraId="56122DBB" w14:textId="77777777" w:rsidR="0017561A" w:rsidRPr="00192CCA" w:rsidRDefault="0017561A" w:rsidP="004E0520">
            <w:pPr>
              <w:rPr>
                <w:sz w:val="20"/>
                <w:szCs w:val="20"/>
              </w:rPr>
            </w:pPr>
            <w:r>
              <w:rPr>
                <w:sz w:val="20"/>
                <w:szCs w:val="20"/>
              </w:rPr>
              <w:t>81 (47.65)</w:t>
            </w:r>
          </w:p>
        </w:tc>
        <w:tc>
          <w:tcPr>
            <w:tcW w:w="992" w:type="dxa"/>
          </w:tcPr>
          <w:p w14:paraId="127153AD" w14:textId="77777777" w:rsidR="0017561A" w:rsidRPr="00192CCA" w:rsidRDefault="0017561A" w:rsidP="004E0520">
            <w:pPr>
              <w:rPr>
                <w:sz w:val="20"/>
                <w:szCs w:val="20"/>
              </w:rPr>
            </w:pPr>
          </w:p>
        </w:tc>
        <w:tc>
          <w:tcPr>
            <w:tcW w:w="709" w:type="dxa"/>
          </w:tcPr>
          <w:p w14:paraId="20A3C72D" w14:textId="77777777" w:rsidR="0017561A" w:rsidRPr="00192CCA" w:rsidRDefault="0017561A" w:rsidP="004E0520">
            <w:pPr>
              <w:rPr>
                <w:sz w:val="20"/>
                <w:szCs w:val="20"/>
              </w:rPr>
            </w:pPr>
            <w:r w:rsidRPr="00192CCA">
              <w:rPr>
                <w:sz w:val="20"/>
                <w:szCs w:val="20"/>
              </w:rPr>
              <w:t>1.</w:t>
            </w:r>
            <w:r>
              <w:rPr>
                <w:sz w:val="20"/>
                <w:szCs w:val="20"/>
              </w:rPr>
              <w:t>19</w:t>
            </w:r>
          </w:p>
        </w:tc>
        <w:tc>
          <w:tcPr>
            <w:tcW w:w="1417" w:type="dxa"/>
          </w:tcPr>
          <w:p w14:paraId="461CCD15" w14:textId="77777777" w:rsidR="0017561A" w:rsidRPr="00192CCA" w:rsidRDefault="0017561A" w:rsidP="004E0520">
            <w:pPr>
              <w:rPr>
                <w:sz w:val="20"/>
                <w:szCs w:val="20"/>
              </w:rPr>
            </w:pPr>
            <w:r>
              <w:rPr>
                <w:sz w:val="20"/>
                <w:szCs w:val="20"/>
              </w:rPr>
              <w:t>0.82</w:t>
            </w:r>
            <w:r w:rsidRPr="00192CCA">
              <w:rPr>
                <w:sz w:val="20"/>
                <w:szCs w:val="20"/>
              </w:rPr>
              <w:t xml:space="preserve"> – 1.</w:t>
            </w:r>
            <w:r>
              <w:rPr>
                <w:sz w:val="20"/>
                <w:szCs w:val="20"/>
              </w:rPr>
              <w:t>72</w:t>
            </w:r>
          </w:p>
        </w:tc>
        <w:tc>
          <w:tcPr>
            <w:tcW w:w="992" w:type="dxa"/>
          </w:tcPr>
          <w:p w14:paraId="59F48042" w14:textId="77777777" w:rsidR="0017561A" w:rsidRPr="00192CCA" w:rsidRDefault="0017561A" w:rsidP="004E0520">
            <w:pPr>
              <w:rPr>
                <w:sz w:val="20"/>
                <w:szCs w:val="20"/>
              </w:rPr>
            </w:pPr>
            <w:r>
              <w:rPr>
                <w:sz w:val="20"/>
                <w:szCs w:val="20"/>
              </w:rPr>
              <w:t xml:space="preserve">  </w:t>
            </w:r>
            <w:r w:rsidRPr="00192CCA">
              <w:rPr>
                <w:sz w:val="20"/>
                <w:szCs w:val="20"/>
              </w:rPr>
              <w:t>0.35</w:t>
            </w:r>
            <w:r>
              <w:rPr>
                <w:sz w:val="20"/>
                <w:szCs w:val="20"/>
              </w:rPr>
              <w:t>4</w:t>
            </w:r>
          </w:p>
        </w:tc>
        <w:tc>
          <w:tcPr>
            <w:tcW w:w="709" w:type="dxa"/>
          </w:tcPr>
          <w:p w14:paraId="13E957D2" w14:textId="77777777" w:rsidR="0017561A" w:rsidRPr="00192CCA" w:rsidRDefault="0017561A" w:rsidP="004E0520">
            <w:pPr>
              <w:rPr>
                <w:sz w:val="20"/>
                <w:szCs w:val="20"/>
              </w:rPr>
            </w:pPr>
            <w:r>
              <w:rPr>
                <w:sz w:val="20"/>
                <w:szCs w:val="20"/>
              </w:rPr>
              <w:t>0.95</w:t>
            </w:r>
          </w:p>
        </w:tc>
        <w:tc>
          <w:tcPr>
            <w:tcW w:w="1418" w:type="dxa"/>
          </w:tcPr>
          <w:p w14:paraId="79DABFB8" w14:textId="77777777" w:rsidR="0017561A" w:rsidRPr="00192CCA" w:rsidRDefault="0017561A" w:rsidP="004E0520">
            <w:pPr>
              <w:rPr>
                <w:sz w:val="20"/>
                <w:szCs w:val="20"/>
              </w:rPr>
            </w:pPr>
            <w:r w:rsidRPr="00192CCA">
              <w:rPr>
                <w:sz w:val="20"/>
                <w:szCs w:val="20"/>
              </w:rPr>
              <w:t>0.</w:t>
            </w:r>
            <w:r>
              <w:rPr>
                <w:sz w:val="20"/>
                <w:szCs w:val="20"/>
              </w:rPr>
              <w:t>62</w:t>
            </w:r>
            <w:r w:rsidRPr="00192CCA">
              <w:rPr>
                <w:sz w:val="20"/>
                <w:szCs w:val="20"/>
              </w:rPr>
              <w:t xml:space="preserve"> – 1.</w:t>
            </w:r>
            <w:r>
              <w:rPr>
                <w:sz w:val="20"/>
                <w:szCs w:val="20"/>
              </w:rPr>
              <w:t>46</w:t>
            </w:r>
          </w:p>
        </w:tc>
        <w:tc>
          <w:tcPr>
            <w:tcW w:w="992" w:type="dxa"/>
          </w:tcPr>
          <w:p w14:paraId="57F9EB08"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815</w:t>
            </w:r>
          </w:p>
        </w:tc>
      </w:tr>
      <w:tr w:rsidR="0017561A" w:rsidRPr="000E6139" w14:paraId="043199E1" w14:textId="77777777" w:rsidTr="004E0520">
        <w:trPr>
          <w:jc w:val="center"/>
        </w:trPr>
        <w:tc>
          <w:tcPr>
            <w:tcW w:w="3823" w:type="dxa"/>
          </w:tcPr>
          <w:p w14:paraId="7042CA5E" w14:textId="77777777" w:rsidR="0017561A" w:rsidRPr="00192CCA" w:rsidRDefault="0017561A" w:rsidP="004E0520">
            <w:pPr>
              <w:rPr>
                <w:sz w:val="20"/>
                <w:szCs w:val="20"/>
              </w:rPr>
            </w:pPr>
            <w:r w:rsidRPr="00192CCA">
              <w:rPr>
                <w:sz w:val="20"/>
                <w:szCs w:val="20"/>
              </w:rPr>
              <w:t>East of England</w:t>
            </w:r>
          </w:p>
        </w:tc>
        <w:tc>
          <w:tcPr>
            <w:tcW w:w="1417" w:type="dxa"/>
          </w:tcPr>
          <w:p w14:paraId="4D5A5C07" w14:textId="77777777" w:rsidR="0017561A" w:rsidRPr="00192CCA" w:rsidRDefault="0017561A" w:rsidP="004E0520">
            <w:pPr>
              <w:rPr>
                <w:sz w:val="20"/>
                <w:szCs w:val="20"/>
              </w:rPr>
            </w:pPr>
            <w:r>
              <w:rPr>
                <w:sz w:val="20"/>
                <w:szCs w:val="20"/>
              </w:rPr>
              <w:t>143 (41.57)</w:t>
            </w:r>
          </w:p>
        </w:tc>
        <w:tc>
          <w:tcPr>
            <w:tcW w:w="1418" w:type="dxa"/>
          </w:tcPr>
          <w:p w14:paraId="1E895754" w14:textId="77777777" w:rsidR="0017561A" w:rsidRPr="00192CCA" w:rsidRDefault="0017561A" w:rsidP="004E0520">
            <w:pPr>
              <w:rPr>
                <w:sz w:val="20"/>
                <w:szCs w:val="20"/>
              </w:rPr>
            </w:pPr>
            <w:r>
              <w:rPr>
                <w:sz w:val="20"/>
                <w:szCs w:val="20"/>
              </w:rPr>
              <w:t>201 (58.43)</w:t>
            </w:r>
          </w:p>
        </w:tc>
        <w:tc>
          <w:tcPr>
            <w:tcW w:w="992" w:type="dxa"/>
          </w:tcPr>
          <w:p w14:paraId="15E802BE" w14:textId="77777777" w:rsidR="0017561A" w:rsidRPr="00192CCA" w:rsidRDefault="0017561A" w:rsidP="004E0520">
            <w:pPr>
              <w:rPr>
                <w:sz w:val="20"/>
                <w:szCs w:val="20"/>
              </w:rPr>
            </w:pPr>
          </w:p>
        </w:tc>
        <w:tc>
          <w:tcPr>
            <w:tcW w:w="709" w:type="dxa"/>
          </w:tcPr>
          <w:p w14:paraId="00BDE29B" w14:textId="77777777" w:rsidR="0017561A" w:rsidRPr="00192CCA" w:rsidRDefault="0017561A" w:rsidP="004E0520">
            <w:pPr>
              <w:rPr>
                <w:sz w:val="20"/>
                <w:szCs w:val="20"/>
              </w:rPr>
            </w:pPr>
            <w:r w:rsidRPr="00192CCA">
              <w:rPr>
                <w:sz w:val="20"/>
                <w:szCs w:val="20"/>
              </w:rPr>
              <w:t>0</w:t>
            </w:r>
            <w:r>
              <w:rPr>
                <w:sz w:val="20"/>
                <w:szCs w:val="20"/>
              </w:rPr>
              <w:t>.77</w:t>
            </w:r>
          </w:p>
        </w:tc>
        <w:tc>
          <w:tcPr>
            <w:tcW w:w="1417" w:type="dxa"/>
          </w:tcPr>
          <w:p w14:paraId="0FAB14E6" w14:textId="77777777" w:rsidR="0017561A" w:rsidRPr="00192CCA" w:rsidRDefault="0017561A" w:rsidP="004E0520">
            <w:pPr>
              <w:rPr>
                <w:sz w:val="20"/>
                <w:szCs w:val="20"/>
              </w:rPr>
            </w:pPr>
            <w:r w:rsidRPr="00192CCA">
              <w:rPr>
                <w:sz w:val="20"/>
                <w:szCs w:val="20"/>
              </w:rPr>
              <w:t>0.</w:t>
            </w:r>
            <w:r>
              <w:rPr>
                <w:sz w:val="20"/>
                <w:szCs w:val="20"/>
              </w:rPr>
              <w:t>57</w:t>
            </w:r>
            <w:r w:rsidRPr="00192CCA">
              <w:rPr>
                <w:sz w:val="20"/>
                <w:szCs w:val="20"/>
              </w:rPr>
              <w:t xml:space="preserve"> – </w:t>
            </w:r>
            <w:r>
              <w:rPr>
                <w:sz w:val="20"/>
                <w:szCs w:val="20"/>
              </w:rPr>
              <w:t>1.04</w:t>
            </w:r>
          </w:p>
        </w:tc>
        <w:tc>
          <w:tcPr>
            <w:tcW w:w="992" w:type="dxa"/>
          </w:tcPr>
          <w:p w14:paraId="314D8510" w14:textId="77777777" w:rsidR="0017561A" w:rsidRPr="00192CCA" w:rsidRDefault="0017561A" w:rsidP="004E0520">
            <w:pPr>
              <w:rPr>
                <w:sz w:val="20"/>
                <w:szCs w:val="20"/>
              </w:rPr>
            </w:pPr>
            <w:r>
              <w:rPr>
                <w:sz w:val="20"/>
                <w:szCs w:val="20"/>
              </w:rPr>
              <w:t xml:space="preserve">  </w:t>
            </w:r>
            <w:r w:rsidRPr="00192CCA">
              <w:rPr>
                <w:sz w:val="20"/>
                <w:szCs w:val="20"/>
              </w:rPr>
              <w:t>0.0</w:t>
            </w:r>
            <w:r>
              <w:rPr>
                <w:sz w:val="20"/>
                <w:szCs w:val="20"/>
              </w:rPr>
              <w:t>87</w:t>
            </w:r>
          </w:p>
        </w:tc>
        <w:tc>
          <w:tcPr>
            <w:tcW w:w="709" w:type="dxa"/>
          </w:tcPr>
          <w:p w14:paraId="05F67D10" w14:textId="77777777" w:rsidR="0017561A" w:rsidRPr="00192CCA" w:rsidRDefault="0017561A" w:rsidP="004E0520">
            <w:pPr>
              <w:rPr>
                <w:sz w:val="20"/>
                <w:szCs w:val="20"/>
              </w:rPr>
            </w:pPr>
            <w:r w:rsidRPr="00192CCA">
              <w:rPr>
                <w:sz w:val="20"/>
                <w:szCs w:val="20"/>
              </w:rPr>
              <w:t>0.</w:t>
            </w:r>
            <w:r>
              <w:rPr>
                <w:sz w:val="20"/>
                <w:szCs w:val="20"/>
              </w:rPr>
              <w:t>68</w:t>
            </w:r>
          </w:p>
        </w:tc>
        <w:tc>
          <w:tcPr>
            <w:tcW w:w="1418" w:type="dxa"/>
          </w:tcPr>
          <w:p w14:paraId="5C287A28" w14:textId="77777777" w:rsidR="0017561A" w:rsidRPr="00192CCA" w:rsidRDefault="0017561A" w:rsidP="004E0520">
            <w:pPr>
              <w:rPr>
                <w:sz w:val="20"/>
                <w:szCs w:val="20"/>
              </w:rPr>
            </w:pPr>
            <w:r w:rsidRPr="00192CCA">
              <w:rPr>
                <w:sz w:val="20"/>
                <w:szCs w:val="20"/>
              </w:rPr>
              <w:t>0.</w:t>
            </w:r>
            <w:r>
              <w:rPr>
                <w:sz w:val="20"/>
                <w:szCs w:val="20"/>
              </w:rPr>
              <w:t>48</w:t>
            </w:r>
            <w:r w:rsidRPr="00192CCA">
              <w:rPr>
                <w:sz w:val="20"/>
                <w:szCs w:val="20"/>
              </w:rPr>
              <w:t xml:space="preserve"> – 0.</w:t>
            </w:r>
            <w:r>
              <w:rPr>
                <w:sz w:val="20"/>
                <w:szCs w:val="20"/>
              </w:rPr>
              <w:t>99</w:t>
            </w:r>
          </w:p>
        </w:tc>
        <w:tc>
          <w:tcPr>
            <w:tcW w:w="992" w:type="dxa"/>
          </w:tcPr>
          <w:p w14:paraId="17E34097" w14:textId="77777777" w:rsidR="0017561A" w:rsidRPr="00192CCA" w:rsidRDefault="0017561A" w:rsidP="004E0520">
            <w:pPr>
              <w:rPr>
                <w:sz w:val="20"/>
                <w:szCs w:val="20"/>
              </w:rPr>
            </w:pPr>
            <w:r>
              <w:rPr>
                <w:sz w:val="20"/>
                <w:szCs w:val="20"/>
              </w:rPr>
              <w:t xml:space="preserve">  0</w:t>
            </w:r>
            <w:r w:rsidRPr="00192CCA">
              <w:rPr>
                <w:sz w:val="20"/>
                <w:szCs w:val="20"/>
              </w:rPr>
              <w:t>.0</w:t>
            </w:r>
            <w:r>
              <w:rPr>
                <w:sz w:val="20"/>
                <w:szCs w:val="20"/>
              </w:rPr>
              <w:t>42</w:t>
            </w:r>
          </w:p>
        </w:tc>
      </w:tr>
      <w:tr w:rsidR="0017561A" w:rsidRPr="000E6139" w14:paraId="7608267F" w14:textId="77777777" w:rsidTr="004E0520">
        <w:trPr>
          <w:jc w:val="center"/>
        </w:trPr>
        <w:tc>
          <w:tcPr>
            <w:tcW w:w="3823" w:type="dxa"/>
          </w:tcPr>
          <w:p w14:paraId="7DE908FA" w14:textId="77777777" w:rsidR="0017561A" w:rsidRPr="00192CCA" w:rsidRDefault="0017561A" w:rsidP="004E0520">
            <w:pPr>
              <w:rPr>
                <w:sz w:val="20"/>
                <w:szCs w:val="20"/>
              </w:rPr>
            </w:pPr>
            <w:r w:rsidRPr="00192CCA">
              <w:rPr>
                <w:sz w:val="20"/>
                <w:szCs w:val="20"/>
              </w:rPr>
              <w:t>South East</w:t>
            </w:r>
          </w:p>
        </w:tc>
        <w:tc>
          <w:tcPr>
            <w:tcW w:w="1417" w:type="dxa"/>
          </w:tcPr>
          <w:p w14:paraId="700A6085" w14:textId="77777777" w:rsidR="0017561A" w:rsidRPr="00192CCA" w:rsidRDefault="0017561A" w:rsidP="004E0520">
            <w:pPr>
              <w:rPr>
                <w:sz w:val="20"/>
                <w:szCs w:val="20"/>
              </w:rPr>
            </w:pPr>
            <w:r>
              <w:rPr>
                <w:sz w:val="20"/>
                <w:szCs w:val="20"/>
              </w:rPr>
              <w:t>185 (46.84)</w:t>
            </w:r>
          </w:p>
        </w:tc>
        <w:tc>
          <w:tcPr>
            <w:tcW w:w="1418" w:type="dxa"/>
          </w:tcPr>
          <w:p w14:paraId="5925B857" w14:textId="77777777" w:rsidR="0017561A" w:rsidRPr="00192CCA" w:rsidRDefault="0017561A" w:rsidP="004E0520">
            <w:pPr>
              <w:rPr>
                <w:sz w:val="20"/>
                <w:szCs w:val="20"/>
              </w:rPr>
            </w:pPr>
            <w:r>
              <w:rPr>
                <w:sz w:val="20"/>
                <w:szCs w:val="20"/>
              </w:rPr>
              <w:t>210 (53.16)</w:t>
            </w:r>
          </w:p>
        </w:tc>
        <w:tc>
          <w:tcPr>
            <w:tcW w:w="992" w:type="dxa"/>
          </w:tcPr>
          <w:p w14:paraId="171DBC59" w14:textId="77777777" w:rsidR="0017561A" w:rsidRPr="00192CCA" w:rsidRDefault="0017561A" w:rsidP="004E0520">
            <w:pPr>
              <w:rPr>
                <w:sz w:val="20"/>
                <w:szCs w:val="20"/>
              </w:rPr>
            </w:pPr>
          </w:p>
        </w:tc>
        <w:tc>
          <w:tcPr>
            <w:tcW w:w="709" w:type="dxa"/>
          </w:tcPr>
          <w:p w14:paraId="6ACF5488" w14:textId="77777777" w:rsidR="0017561A" w:rsidRPr="00192CCA" w:rsidRDefault="0017561A" w:rsidP="004E0520">
            <w:pPr>
              <w:rPr>
                <w:sz w:val="20"/>
                <w:szCs w:val="20"/>
              </w:rPr>
            </w:pPr>
            <w:r w:rsidRPr="00192CCA">
              <w:rPr>
                <w:sz w:val="20"/>
                <w:szCs w:val="20"/>
              </w:rPr>
              <w:t>0.</w:t>
            </w:r>
            <w:r>
              <w:rPr>
                <w:sz w:val="20"/>
                <w:szCs w:val="20"/>
              </w:rPr>
              <w:t>95</w:t>
            </w:r>
          </w:p>
        </w:tc>
        <w:tc>
          <w:tcPr>
            <w:tcW w:w="1417" w:type="dxa"/>
          </w:tcPr>
          <w:p w14:paraId="2EEADA12" w14:textId="77777777" w:rsidR="0017561A" w:rsidRPr="00192CCA" w:rsidRDefault="0017561A" w:rsidP="004E0520">
            <w:pPr>
              <w:rPr>
                <w:sz w:val="20"/>
                <w:szCs w:val="20"/>
              </w:rPr>
            </w:pPr>
            <w:r w:rsidRPr="00192CCA">
              <w:rPr>
                <w:sz w:val="20"/>
                <w:szCs w:val="20"/>
              </w:rPr>
              <w:t>0.</w:t>
            </w:r>
            <w:r>
              <w:rPr>
                <w:sz w:val="20"/>
                <w:szCs w:val="20"/>
              </w:rPr>
              <w:t>72</w:t>
            </w:r>
            <w:r w:rsidRPr="00192CCA">
              <w:rPr>
                <w:sz w:val="20"/>
                <w:szCs w:val="20"/>
              </w:rPr>
              <w:t xml:space="preserve"> – 1.</w:t>
            </w:r>
            <w:r>
              <w:rPr>
                <w:sz w:val="20"/>
                <w:szCs w:val="20"/>
              </w:rPr>
              <w:t>27</w:t>
            </w:r>
          </w:p>
        </w:tc>
        <w:tc>
          <w:tcPr>
            <w:tcW w:w="992" w:type="dxa"/>
          </w:tcPr>
          <w:p w14:paraId="02BCB757"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745</w:t>
            </w:r>
          </w:p>
        </w:tc>
        <w:tc>
          <w:tcPr>
            <w:tcW w:w="709" w:type="dxa"/>
          </w:tcPr>
          <w:p w14:paraId="1CD22D12" w14:textId="77777777" w:rsidR="0017561A" w:rsidRPr="00192CCA" w:rsidRDefault="0017561A" w:rsidP="004E0520">
            <w:pPr>
              <w:rPr>
                <w:sz w:val="20"/>
                <w:szCs w:val="20"/>
              </w:rPr>
            </w:pPr>
            <w:r w:rsidRPr="00192CCA">
              <w:rPr>
                <w:sz w:val="20"/>
                <w:szCs w:val="20"/>
              </w:rPr>
              <w:t>0.</w:t>
            </w:r>
            <w:r>
              <w:rPr>
                <w:sz w:val="20"/>
                <w:szCs w:val="20"/>
              </w:rPr>
              <w:t>81</w:t>
            </w:r>
          </w:p>
        </w:tc>
        <w:tc>
          <w:tcPr>
            <w:tcW w:w="1418" w:type="dxa"/>
          </w:tcPr>
          <w:p w14:paraId="4617C250" w14:textId="77777777" w:rsidR="0017561A" w:rsidRPr="00192CCA" w:rsidRDefault="0017561A" w:rsidP="004E0520">
            <w:pPr>
              <w:rPr>
                <w:sz w:val="20"/>
                <w:szCs w:val="20"/>
              </w:rPr>
            </w:pPr>
            <w:r w:rsidRPr="00192CCA">
              <w:rPr>
                <w:sz w:val="20"/>
                <w:szCs w:val="20"/>
              </w:rPr>
              <w:t>0.</w:t>
            </w:r>
            <w:r>
              <w:rPr>
                <w:sz w:val="20"/>
                <w:szCs w:val="20"/>
              </w:rPr>
              <w:t>57</w:t>
            </w:r>
            <w:r w:rsidRPr="00192CCA">
              <w:rPr>
                <w:sz w:val="20"/>
                <w:szCs w:val="20"/>
              </w:rPr>
              <w:t xml:space="preserve"> – </w:t>
            </w:r>
            <w:r>
              <w:rPr>
                <w:sz w:val="20"/>
                <w:szCs w:val="20"/>
              </w:rPr>
              <w:t>1.15</w:t>
            </w:r>
          </w:p>
        </w:tc>
        <w:tc>
          <w:tcPr>
            <w:tcW w:w="992" w:type="dxa"/>
          </w:tcPr>
          <w:p w14:paraId="18865F71"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235</w:t>
            </w:r>
          </w:p>
        </w:tc>
      </w:tr>
      <w:tr w:rsidR="0017561A" w:rsidRPr="000E6139" w14:paraId="5F27C29D" w14:textId="77777777" w:rsidTr="004E0520">
        <w:trPr>
          <w:jc w:val="center"/>
        </w:trPr>
        <w:tc>
          <w:tcPr>
            <w:tcW w:w="3823" w:type="dxa"/>
          </w:tcPr>
          <w:p w14:paraId="31B9DC09" w14:textId="77777777" w:rsidR="0017561A" w:rsidRPr="00192CCA" w:rsidRDefault="0017561A" w:rsidP="004E0520">
            <w:pPr>
              <w:rPr>
                <w:sz w:val="20"/>
                <w:szCs w:val="20"/>
              </w:rPr>
            </w:pPr>
            <w:r w:rsidRPr="00192CCA">
              <w:rPr>
                <w:sz w:val="20"/>
                <w:szCs w:val="20"/>
              </w:rPr>
              <w:t>South West</w:t>
            </w:r>
          </w:p>
        </w:tc>
        <w:tc>
          <w:tcPr>
            <w:tcW w:w="1417" w:type="dxa"/>
          </w:tcPr>
          <w:p w14:paraId="423B0F86" w14:textId="77777777" w:rsidR="0017561A" w:rsidRPr="00192CCA" w:rsidRDefault="0017561A" w:rsidP="004E0520">
            <w:pPr>
              <w:rPr>
                <w:sz w:val="20"/>
                <w:szCs w:val="20"/>
              </w:rPr>
            </w:pPr>
            <w:r>
              <w:rPr>
                <w:sz w:val="20"/>
                <w:szCs w:val="20"/>
              </w:rPr>
              <w:t>88 (41.31)</w:t>
            </w:r>
          </w:p>
        </w:tc>
        <w:tc>
          <w:tcPr>
            <w:tcW w:w="1418" w:type="dxa"/>
          </w:tcPr>
          <w:p w14:paraId="6ECF61BE" w14:textId="77777777" w:rsidR="0017561A" w:rsidRPr="00192CCA" w:rsidRDefault="0017561A" w:rsidP="004E0520">
            <w:pPr>
              <w:rPr>
                <w:sz w:val="20"/>
                <w:szCs w:val="20"/>
              </w:rPr>
            </w:pPr>
            <w:r>
              <w:rPr>
                <w:sz w:val="20"/>
                <w:szCs w:val="20"/>
              </w:rPr>
              <w:t>125 (58.69)</w:t>
            </w:r>
          </w:p>
        </w:tc>
        <w:tc>
          <w:tcPr>
            <w:tcW w:w="992" w:type="dxa"/>
          </w:tcPr>
          <w:p w14:paraId="24E59C9A" w14:textId="77777777" w:rsidR="0017561A" w:rsidRPr="00192CCA" w:rsidRDefault="0017561A" w:rsidP="004E0520">
            <w:pPr>
              <w:rPr>
                <w:sz w:val="20"/>
                <w:szCs w:val="20"/>
              </w:rPr>
            </w:pPr>
          </w:p>
        </w:tc>
        <w:tc>
          <w:tcPr>
            <w:tcW w:w="709" w:type="dxa"/>
          </w:tcPr>
          <w:p w14:paraId="17B58D0D" w14:textId="77777777" w:rsidR="0017561A" w:rsidRPr="00192CCA" w:rsidRDefault="0017561A" w:rsidP="004E0520">
            <w:pPr>
              <w:rPr>
                <w:sz w:val="20"/>
                <w:szCs w:val="20"/>
              </w:rPr>
            </w:pPr>
            <w:r w:rsidRPr="00192CCA">
              <w:rPr>
                <w:sz w:val="20"/>
                <w:szCs w:val="20"/>
              </w:rPr>
              <w:t>0.</w:t>
            </w:r>
            <w:r>
              <w:rPr>
                <w:sz w:val="20"/>
                <w:szCs w:val="20"/>
              </w:rPr>
              <w:t>76</w:t>
            </w:r>
          </w:p>
        </w:tc>
        <w:tc>
          <w:tcPr>
            <w:tcW w:w="1417" w:type="dxa"/>
          </w:tcPr>
          <w:p w14:paraId="2AF0DBAE" w14:textId="77777777" w:rsidR="0017561A" w:rsidRPr="00192CCA" w:rsidRDefault="0017561A" w:rsidP="004E0520">
            <w:pPr>
              <w:rPr>
                <w:sz w:val="20"/>
                <w:szCs w:val="20"/>
              </w:rPr>
            </w:pPr>
            <w:r w:rsidRPr="00192CCA">
              <w:rPr>
                <w:sz w:val="20"/>
                <w:szCs w:val="20"/>
              </w:rPr>
              <w:t>0.</w:t>
            </w:r>
            <w:r>
              <w:rPr>
                <w:sz w:val="20"/>
                <w:szCs w:val="20"/>
              </w:rPr>
              <w:t>54</w:t>
            </w:r>
            <w:r w:rsidRPr="00192CCA">
              <w:rPr>
                <w:sz w:val="20"/>
                <w:szCs w:val="20"/>
              </w:rPr>
              <w:t xml:space="preserve"> – 1.0</w:t>
            </w:r>
            <w:r>
              <w:rPr>
                <w:sz w:val="20"/>
                <w:szCs w:val="20"/>
              </w:rPr>
              <w:t>7</w:t>
            </w:r>
          </w:p>
        </w:tc>
        <w:tc>
          <w:tcPr>
            <w:tcW w:w="992" w:type="dxa"/>
          </w:tcPr>
          <w:p w14:paraId="75285F46"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121</w:t>
            </w:r>
          </w:p>
        </w:tc>
        <w:tc>
          <w:tcPr>
            <w:tcW w:w="709" w:type="dxa"/>
          </w:tcPr>
          <w:p w14:paraId="28DC020F" w14:textId="77777777" w:rsidR="0017561A" w:rsidRPr="00192CCA" w:rsidRDefault="0017561A" w:rsidP="004E0520">
            <w:pPr>
              <w:rPr>
                <w:sz w:val="20"/>
                <w:szCs w:val="20"/>
              </w:rPr>
            </w:pPr>
            <w:r w:rsidRPr="00192CCA">
              <w:rPr>
                <w:sz w:val="20"/>
                <w:szCs w:val="20"/>
              </w:rPr>
              <w:t>0.</w:t>
            </w:r>
            <w:r>
              <w:rPr>
                <w:sz w:val="20"/>
                <w:szCs w:val="20"/>
              </w:rPr>
              <w:t>84</w:t>
            </w:r>
          </w:p>
        </w:tc>
        <w:tc>
          <w:tcPr>
            <w:tcW w:w="1418" w:type="dxa"/>
          </w:tcPr>
          <w:p w14:paraId="1B47B612" w14:textId="77777777" w:rsidR="0017561A" w:rsidRPr="00192CCA" w:rsidRDefault="0017561A" w:rsidP="004E0520">
            <w:pPr>
              <w:rPr>
                <w:sz w:val="20"/>
                <w:szCs w:val="20"/>
              </w:rPr>
            </w:pPr>
            <w:r w:rsidRPr="00192CCA">
              <w:rPr>
                <w:sz w:val="20"/>
                <w:szCs w:val="20"/>
              </w:rPr>
              <w:t>0.</w:t>
            </w:r>
            <w:r>
              <w:rPr>
                <w:sz w:val="20"/>
                <w:szCs w:val="20"/>
              </w:rPr>
              <w:t>56</w:t>
            </w:r>
            <w:r w:rsidRPr="00192CCA">
              <w:rPr>
                <w:sz w:val="20"/>
                <w:szCs w:val="20"/>
              </w:rPr>
              <w:t xml:space="preserve"> – 1.</w:t>
            </w:r>
            <w:r>
              <w:rPr>
                <w:sz w:val="20"/>
                <w:szCs w:val="20"/>
              </w:rPr>
              <w:t>27</w:t>
            </w:r>
          </w:p>
        </w:tc>
        <w:tc>
          <w:tcPr>
            <w:tcW w:w="992" w:type="dxa"/>
          </w:tcPr>
          <w:p w14:paraId="292081FE"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418</w:t>
            </w:r>
          </w:p>
        </w:tc>
      </w:tr>
      <w:tr w:rsidR="0017561A" w:rsidRPr="000E6139" w14:paraId="258D4F76" w14:textId="77777777" w:rsidTr="004E0520">
        <w:trPr>
          <w:jc w:val="center"/>
        </w:trPr>
        <w:tc>
          <w:tcPr>
            <w:tcW w:w="3823" w:type="dxa"/>
          </w:tcPr>
          <w:p w14:paraId="1361FCF8" w14:textId="77777777" w:rsidR="0017561A" w:rsidRPr="00192CCA" w:rsidRDefault="0017561A" w:rsidP="004E0520">
            <w:pPr>
              <w:rPr>
                <w:sz w:val="20"/>
                <w:szCs w:val="20"/>
              </w:rPr>
            </w:pPr>
            <w:r w:rsidRPr="00192CCA">
              <w:rPr>
                <w:sz w:val="20"/>
                <w:szCs w:val="20"/>
              </w:rPr>
              <w:t>London</w:t>
            </w:r>
          </w:p>
        </w:tc>
        <w:tc>
          <w:tcPr>
            <w:tcW w:w="1417" w:type="dxa"/>
          </w:tcPr>
          <w:p w14:paraId="31327A34" w14:textId="77777777" w:rsidR="0017561A" w:rsidRPr="00192CCA" w:rsidRDefault="0017561A" w:rsidP="004E0520">
            <w:pPr>
              <w:rPr>
                <w:sz w:val="20"/>
                <w:szCs w:val="20"/>
              </w:rPr>
            </w:pPr>
            <w:r>
              <w:rPr>
                <w:sz w:val="20"/>
                <w:szCs w:val="20"/>
              </w:rPr>
              <w:t>109 (44.86)</w:t>
            </w:r>
          </w:p>
        </w:tc>
        <w:tc>
          <w:tcPr>
            <w:tcW w:w="1418" w:type="dxa"/>
          </w:tcPr>
          <w:p w14:paraId="7886FAFF" w14:textId="77777777" w:rsidR="0017561A" w:rsidRPr="00192CCA" w:rsidRDefault="0017561A" w:rsidP="004E0520">
            <w:pPr>
              <w:rPr>
                <w:sz w:val="20"/>
                <w:szCs w:val="20"/>
              </w:rPr>
            </w:pPr>
            <w:r>
              <w:rPr>
                <w:sz w:val="20"/>
                <w:szCs w:val="20"/>
              </w:rPr>
              <w:t>134 (55.14)</w:t>
            </w:r>
          </w:p>
        </w:tc>
        <w:tc>
          <w:tcPr>
            <w:tcW w:w="992" w:type="dxa"/>
          </w:tcPr>
          <w:p w14:paraId="6D580E3B" w14:textId="77777777" w:rsidR="0017561A" w:rsidRPr="00192CCA" w:rsidRDefault="0017561A" w:rsidP="004E0520">
            <w:pPr>
              <w:rPr>
                <w:sz w:val="20"/>
                <w:szCs w:val="20"/>
              </w:rPr>
            </w:pPr>
          </w:p>
        </w:tc>
        <w:tc>
          <w:tcPr>
            <w:tcW w:w="709" w:type="dxa"/>
          </w:tcPr>
          <w:p w14:paraId="6626E88A" w14:textId="77777777" w:rsidR="0017561A" w:rsidRPr="00192CCA" w:rsidRDefault="0017561A" w:rsidP="004E0520">
            <w:pPr>
              <w:rPr>
                <w:sz w:val="20"/>
                <w:szCs w:val="20"/>
              </w:rPr>
            </w:pPr>
            <w:r>
              <w:rPr>
                <w:sz w:val="20"/>
                <w:szCs w:val="20"/>
              </w:rPr>
              <w:t>0.88</w:t>
            </w:r>
          </w:p>
        </w:tc>
        <w:tc>
          <w:tcPr>
            <w:tcW w:w="1417" w:type="dxa"/>
          </w:tcPr>
          <w:p w14:paraId="7DB3E0C1" w14:textId="77777777" w:rsidR="0017561A" w:rsidRPr="00192CCA" w:rsidRDefault="0017561A" w:rsidP="004E0520">
            <w:pPr>
              <w:rPr>
                <w:sz w:val="20"/>
                <w:szCs w:val="20"/>
              </w:rPr>
            </w:pPr>
            <w:r w:rsidRPr="00192CCA">
              <w:rPr>
                <w:sz w:val="20"/>
                <w:szCs w:val="20"/>
              </w:rPr>
              <w:t>0.</w:t>
            </w:r>
            <w:r>
              <w:rPr>
                <w:sz w:val="20"/>
                <w:szCs w:val="20"/>
              </w:rPr>
              <w:t>63</w:t>
            </w:r>
            <w:r w:rsidRPr="00192CCA">
              <w:rPr>
                <w:sz w:val="20"/>
                <w:szCs w:val="20"/>
              </w:rPr>
              <w:t xml:space="preserve"> – 1.</w:t>
            </w:r>
            <w:r>
              <w:rPr>
                <w:sz w:val="20"/>
                <w:szCs w:val="20"/>
              </w:rPr>
              <w:t>22</w:t>
            </w:r>
          </w:p>
        </w:tc>
        <w:tc>
          <w:tcPr>
            <w:tcW w:w="992" w:type="dxa"/>
          </w:tcPr>
          <w:p w14:paraId="78C23828" w14:textId="77777777" w:rsidR="0017561A" w:rsidRPr="00192CCA" w:rsidRDefault="0017561A" w:rsidP="004E0520">
            <w:pPr>
              <w:rPr>
                <w:sz w:val="20"/>
                <w:szCs w:val="20"/>
              </w:rPr>
            </w:pPr>
            <w:r>
              <w:rPr>
                <w:sz w:val="20"/>
                <w:szCs w:val="20"/>
              </w:rPr>
              <w:t xml:space="preserve">  </w:t>
            </w:r>
            <w:r w:rsidRPr="00192CCA">
              <w:rPr>
                <w:sz w:val="20"/>
                <w:szCs w:val="20"/>
              </w:rPr>
              <w:t>0.4</w:t>
            </w:r>
            <w:r>
              <w:rPr>
                <w:sz w:val="20"/>
                <w:szCs w:val="20"/>
              </w:rPr>
              <w:t>46</w:t>
            </w:r>
          </w:p>
        </w:tc>
        <w:tc>
          <w:tcPr>
            <w:tcW w:w="709" w:type="dxa"/>
          </w:tcPr>
          <w:p w14:paraId="4DF153E3" w14:textId="77777777" w:rsidR="0017561A" w:rsidRPr="00192CCA" w:rsidRDefault="0017561A" w:rsidP="004E0520">
            <w:pPr>
              <w:rPr>
                <w:sz w:val="20"/>
                <w:szCs w:val="20"/>
              </w:rPr>
            </w:pPr>
            <w:r w:rsidRPr="00192CCA">
              <w:rPr>
                <w:sz w:val="20"/>
                <w:szCs w:val="20"/>
              </w:rPr>
              <w:t>0.</w:t>
            </w:r>
            <w:r>
              <w:rPr>
                <w:sz w:val="20"/>
                <w:szCs w:val="20"/>
              </w:rPr>
              <w:t>56</w:t>
            </w:r>
          </w:p>
        </w:tc>
        <w:tc>
          <w:tcPr>
            <w:tcW w:w="1418" w:type="dxa"/>
          </w:tcPr>
          <w:p w14:paraId="3E2C00F5" w14:textId="77777777" w:rsidR="0017561A" w:rsidRPr="00192CCA" w:rsidRDefault="0017561A" w:rsidP="004E0520">
            <w:pPr>
              <w:rPr>
                <w:sz w:val="20"/>
                <w:szCs w:val="20"/>
              </w:rPr>
            </w:pPr>
            <w:r w:rsidRPr="00192CCA">
              <w:rPr>
                <w:sz w:val="20"/>
                <w:szCs w:val="20"/>
              </w:rPr>
              <w:t>0.</w:t>
            </w:r>
            <w:r>
              <w:rPr>
                <w:sz w:val="20"/>
                <w:szCs w:val="20"/>
              </w:rPr>
              <w:t>38</w:t>
            </w:r>
            <w:r w:rsidRPr="00192CCA">
              <w:rPr>
                <w:sz w:val="20"/>
                <w:szCs w:val="20"/>
              </w:rPr>
              <w:t xml:space="preserve"> – 0.</w:t>
            </w:r>
            <w:r>
              <w:rPr>
                <w:sz w:val="20"/>
                <w:szCs w:val="20"/>
              </w:rPr>
              <w:t>83</w:t>
            </w:r>
          </w:p>
        </w:tc>
        <w:tc>
          <w:tcPr>
            <w:tcW w:w="992" w:type="dxa"/>
          </w:tcPr>
          <w:p w14:paraId="392D9A82" w14:textId="77777777" w:rsidR="0017561A" w:rsidRPr="00EB73B8" w:rsidRDefault="0017561A" w:rsidP="004E0520">
            <w:pPr>
              <w:rPr>
                <w:sz w:val="20"/>
                <w:szCs w:val="20"/>
              </w:rPr>
            </w:pPr>
            <w:r>
              <w:rPr>
                <w:sz w:val="20"/>
                <w:szCs w:val="20"/>
              </w:rPr>
              <w:t xml:space="preserve">  </w:t>
            </w:r>
            <w:r w:rsidRPr="00192CCA">
              <w:rPr>
                <w:sz w:val="20"/>
                <w:szCs w:val="20"/>
              </w:rPr>
              <w:t>0.00</w:t>
            </w:r>
            <w:r>
              <w:rPr>
                <w:sz w:val="20"/>
                <w:szCs w:val="20"/>
              </w:rPr>
              <w:t>4</w:t>
            </w:r>
          </w:p>
        </w:tc>
      </w:tr>
      <w:tr w:rsidR="0017561A" w:rsidRPr="000E6139" w14:paraId="657CDF57" w14:textId="77777777" w:rsidTr="004E0520">
        <w:trPr>
          <w:jc w:val="center"/>
        </w:trPr>
        <w:tc>
          <w:tcPr>
            <w:tcW w:w="3823" w:type="dxa"/>
          </w:tcPr>
          <w:p w14:paraId="392E1A5D" w14:textId="77777777" w:rsidR="0017561A" w:rsidRPr="00192CCA" w:rsidRDefault="0017561A" w:rsidP="004E0520">
            <w:pPr>
              <w:rPr>
                <w:sz w:val="20"/>
                <w:szCs w:val="20"/>
              </w:rPr>
            </w:pPr>
          </w:p>
        </w:tc>
        <w:tc>
          <w:tcPr>
            <w:tcW w:w="1417" w:type="dxa"/>
          </w:tcPr>
          <w:p w14:paraId="38B639FA" w14:textId="77777777" w:rsidR="0017561A" w:rsidRDefault="0017561A" w:rsidP="004E0520">
            <w:pPr>
              <w:rPr>
                <w:sz w:val="20"/>
                <w:szCs w:val="20"/>
              </w:rPr>
            </w:pPr>
          </w:p>
        </w:tc>
        <w:tc>
          <w:tcPr>
            <w:tcW w:w="1418" w:type="dxa"/>
          </w:tcPr>
          <w:p w14:paraId="41DAFDA4" w14:textId="77777777" w:rsidR="0017561A" w:rsidRDefault="0017561A" w:rsidP="004E0520">
            <w:pPr>
              <w:rPr>
                <w:sz w:val="20"/>
                <w:szCs w:val="20"/>
              </w:rPr>
            </w:pPr>
          </w:p>
        </w:tc>
        <w:tc>
          <w:tcPr>
            <w:tcW w:w="992" w:type="dxa"/>
          </w:tcPr>
          <w:p w14:paraId="094163E8" w14:textId="77777777" w:rsidR="0017561A" w:rsidRPr="00192CCA" w:rsidRDefault="0017561A" w:rsidP="004E0520">
            <w:pPr>
              <w:rPr>
                <w:sz w:val="20"/>
                <w:szCs w:val="20"/>
              </w:rPr>
            </w:pPr>
          </w:p>
        </w:tc>
        <w:tc>
          <w:tcPr>
            <w:tcW w:w="709" w:type="dxa"/>
          </w:tcPr>
          <w:p w14:paraId="2CA28144" w14:textId="77777777" w:rsidR="0017561A" w:rsidRDefault="0017561A" w:rsidP="004E0520">
            <w:pPr>
              <w:rPr>
                <w:sz w:val="20"/>
                <w:szCs w:val="20"/>
              </w:rPr>
            </w:pPr>
          </w:p>
        </w:tc>
        <w:tc>
          <w:tcPr>
            <w:tcW w:w="1417" w:type="dxa"/>
          </w:tcPr>
          <w:p w14:paraId="7145DA34" w14:textId="77777777" w:rsidR="0017561A" w:rsidRPr="00192CCA" w:rsidRDefault="0017561A" w:rsidP="004E0520">
            <w:pPr>
              <w:rPr>
                <w:sz w:val="20"/>
                <w:szCs w:val="20"/>
              </w:rPr>
            </w:pPr>
          </w:p>
        </w:tc>
        <w:tc>
          <w:tcPr>
            <w:tcW w:w="992" w:type="dxa"/>
          </w:tcPr>
          <w:p w14:paraId="1FD0E831" w14:textId="77777777" w:rsidR="0017561A" w:rsidRDefault="0017561A" w:rsidP="004E0520">
            <w:pPr>
              <w:rPr>
                <w:sz w:val="20"/>
                <w:szCs w:val="20"/>
              </w:rPr>
            </w:pPr>
          </w:p>
        </w:tc>
        <w:tc>
          <w:tcPr>
            <w:tcW w:w="709" w:type="dxa"/>
          </w:tcPr>
          <w:p w14:paraId="2C685779" w14:textId="77777777" w:rsidR="0017561A" w:rsidRPr="00192CCA" w:rsidRDefault="0017561A" w:rsidP="004E0520">
            <w:pPr>
              <w:rPr>
                <w:sz w:val="20"/>
                <w:szCs w:val="20"/>
              </w:rPr>
            </w:pPr>
          </w:p>
        </w:tc>
        <w:tc>
          <w:tcPr>
            <w:tcW w:w="1418" w:type="dxa"/>
          </w:tcPr>
          <w:p w14:paraId="39F09539" w14:textId="77777777" w:rsidR="0017561A" w:rsidRPr="00192CCA" w:rsidRDefault="0017561A" w:rsidP="004E0520">
            <w:pPr>
              <w:rPr>
                <w:sz w:val="20"/>
                <w:szCs w:val="20"/>
              </w:rPr>
            </w:pPr>
          </w:p>
        </w:tc>
        <w:tc>
          <w:tcPr>
            <w:tcW w:w="992" w:type="dxa"/>
          </w:tcPr>
          <w:p w14:paraId="5D99847F" w14:textId="77777777" w:rsidR="0017561A" w:rsidRDefault="0017561A" w:rsidP="004E0520">
            <w:pPr>
              <w:rPr>
                <w:sz w:val="20"/>
                <w:szCs w:val="20"/>
              </w:rPr>
            </w:pPr>
          </w:p>
        </w:tc>
      </w:tr>
      <w:tr w:rsidR="0017561A" w:rsidRPr="000E6139" w14:paraId="60D80288" w14:textId="77777777" w:rsidTr="004E0520">
        <w:trPr>
          <w:jc w:val="center"/>
        </w:trPr>
        <w:tc>
          <w:tcPr>
            <w:tcW w:w="3823" w:type="dxa"/>
          </w:tcPr>
          <w:p w14:paraId="0290F955" w14:textId="77777777" w:rsidR="0017561A" w:rsidRPr="00192CCA" w:rsidRDefault="0017561A" w:rsidP="004E0520">
            <w:pPr>
              <w:rPr>
                <w:sz w:val="20"/>
                <w:szCs w:val="20"/>
              </w:rPr>
            </w:pPr>
            <w:r w:rsidRPr="00192CCA">
              <w:rPr>
                <w:b/>
                <w:bCs/>
                <w:sz w:val="20"/>
                <w:szCs w:val="20"/>
              </w:rPr>
              <w:t>Grade</w:t>
            </w:r>
          </w:p>
        </w:tc>
        <w:tc>
          <w:tcPr>
            <w:tcW w:w="1417" w:type="dxa"/>
          </w:tcPr>
          <w:p w14:paraId="0EB9D480" w14:textId="77777777" w:rsidR="0017561A" w:rsidRDefault="0017561A" w:rsidP="004E0520">
            <w:pPr>
              <w:rPr>
                <w:sz w:val="20"/>
                <w:szCs w:val="20"/>
              </w:rPr>
            </w:pPr>
          </w:p>
        </w:tc>
        <w:tc>
          <w:tcPr>
            <w:tcW w:w="1418" w:type="dxa"/>
          </w:tcPr>
          <w:p w14:paraId="0A19E2D6" w14:textId="77777777" w:rsidR="0017561A" w:rsidRDefault="0017561A" w:rsidP="004E0520">
            <w:pPr>
              <w:rPr>
                <w:sz w:val="20"/>
                <w:szCs w:val="20"/>
              </w:rPr>
            </w:pPr>
          </w:p>
        </w:tc>
        <w:tc>
          <w:tcPr>
            <w:tcW w:w="992" w:type="dxa"/>
          </w:tcPr>
          <w:p w14:paraId="1E1FD5EE" w14:textId="77777777" w:rsidR="0017561A" w:rsidRPr="00192CCA" w:rsidRDefault="0017561A" w:rsidP="004E0520">
            <w:pPr>
              <w:rPr>
                <w:sz w:val="20"/>
                <w:szCs w:val="20"/>
              </w:rPr>
            </w:pPr>
            <w:r w:rsidRPr="00192CCA">
              <w:rPr>
                <w:sz w:val="20"/>
                <w:szCs w:val="20"/>
              </w:rPr>
              <w:t>&lt;0.001</w:t>
            </w:r>
          </w:p>
        </w:tc>
        <w:tc>
          <w:tcPr>
            <w:tcW w:w="709" w:type="dxa"/>
          </w:tcPr>
          <w:p w14:paraId="465EC90D" w14:textId="77777777" w:rsidR="0017561A" w:rsidRDefault="0017561A" w:rsidP="004E0520">
            <w:pPr>
              <w:rPr>
                <w:sz w:val="20"/>
                <w:szCs w:val="20"/>
              </w:rPr>
            </w:pPr>
          </w:p>
        </w:tc>
        <w:tc>
          <w:tcPr>
            <w:tcW w:w="1417" w:type="dxa"/>
          </w:tcPr>
          <w:p w14:paraId="3D53DD67" w14:textId="77777777" w:rsidR="0017561A" w:rsidRPr="00192CCA" w:rsidRDefault="0017561A" w:rsidP="004E0520">
            <w:pPr>
              <w:rPr>
                <w:sz w:val="20"/>
                <w:szCs w:val="20"/>
              </w:rPr>
            </w:pPr>
          </w:p>
        </w:tc>
        <w:tc>
          <w:tcPr>
            <w:tcW w:w="992" w:type="dxa"/>
          </w:tcPr>
          <w:p w14:paraId="55617E8D" w14:textId="77777777" w:rsidR="0017561A" w:rsidRDefault="0017561A" w:rsidP="004E0520">
            <w:pPr>
              <w:rPr>
                <w:sz w:val="20"/>
                <w:szCs w:val="20"/>
              </w:rPr>
            </w:pPr>
            <w:r w:rsidRPr="00192CCA">
              <w:rPr>
                <w:b/>
                <w:bCs/>
                <w:sz w:val="20"/>
                <w:szCs w:val="20"/>
              </w:rPr>
              <w:t>&lt;0.001</w:t>
            </w:r>
          </w:p>
        </w:tc>
        <w:tc>
          <w:tcPr>
            <w:tcW w:w="709" w:type="dxa"/>
          </w:tcPr>
          <w:p w14:paraId="1840C1AA" w14:textId="77777777" w:rsidR="0017561A" w:rsidRPr="00192CCA" w:rsidRDefault="0017561A" w:rsidP="004E0520">
            <w:pPr>
              <w:rPr>
                <w:sz w:val="20"/>
                <w:szCs w:val="20"/>
              </w:rPr>
            </w:pPr>
          </w:p>
        </w:tc>
        <w:tc>
          <w:tcPr>
            <w:tcW w:w="1418" w:type="dxa"/>
          </w:tcPr>
          <w:p w14:paraId="07525374" w14:textId="77777777" w:rsidR="0017561A" w:rsidRPr="00192CCA" w:rsidRDefault="0017561A" w:rsidP="004E0520">
            <w:pPr>
              <w:rPr>
                <w:sz w:val="20"/>
                <w:szCs w:val="20"/>
              </w:rPr>
            </w:pPr>
          </w:p>
        </w:tc>
        <w:tc>
          <w:tcPr>
            <w:tcW w:w="992" w:type="dxa"/>
          </w:tcPr>
          <w:p w14:paraId="7C58418F" w14:textId="77777777" w:rsidR="0017561A" w:rsidRDefault="0017561A" w:rsidP="004E0520">
            <w:pPr>
              <w:rPr>
                <w:sz w:val="20"/>
                <w:szCs w:val="20"/>
              </w:rPr>
            </w:pPr>
            <w:r>
              <w:rPr>
                <w:b/>
                <w:bCs/>
                <w:sz w:val="20"/>
                <w:szCs w:val="20"/>
              </w:rPr>
              <w:t xml:space="preserve">  </w:t>
            </w:r>
            <w:r w:rsidRPr="00192CCA">
              <w:rPr>
                <w:b/>
                <w:bCs/>
                <w:sz w:val="20"/>
                <w:szCs w:val="20"/>
              </w:rPr>
              <w:t>0.0</w:t>
            </w:r>
            <w:r>
              <w:rPr>
                <w:b/>
                <w:bCs/>
                <w:sz w:val="20"/>
                <w:szCs w:val="20"/>
              </w:rPr>
              <w:t>30</w:t>
            </w:r>
          </w:p>
        </w:tc>
      </w:tr>
      <w:tr w:rsidR="0017561A" w:rsidRPr="000E6139" w14:paraId="657B4A7F" w14:textId="77777777" w:rsidTr="004E0520">
        <w:trPr>
          <w:jc w:val="center"/>
        </w:trPr>
        <w:tc>
          <w:tcPr>
            <w:tcW w:w="3823" w:type="dxa"/>
          </w:tcPr>
          <w:p w14:paraId="59E617B6" w14:textId="77777777" w:rsidR="0017561A" w:rsidRPr="00192CCA" w:rsidRDefault="0017561A" w:rsidP="004E0520">
            <w:pPr>
              <w:rPr>
                <w:sz w:val="20"/>
                <w:szCs w:val="20"/>
              </w:rPr>
            </w:pPr>
            <w:r w:rsidRPr="00192CCA">
              <w:rPr>
                <w:sz w:val="20"/>
                <w:szCs w:val="20"/>
              </w:rPr>
              <w:t xml:space="preserve">Well Differentiated </w:t>
            </w:r>
          </w:p>
        </w:tc>
        <w:tc>
          <w:tcPr>
            <w:tcW w:w="1417" w:type="dxa"/>
          </w:tcPr>
          <w:p w14:paraId="6B288811" w14:textId="77777777" w:rsidR="0017561A" w:rsidRDefault="0017561A" w:rsidP="004E0520">
            <w:pPr>
              <w:rPr>
                <w:sz w:val="20"/>
                <w:szCs w:val="20"/>
              </w:rPr>
            </w:pPr>
            <w:r>
              <w:rPr>
                <w:sz w:val="20"/>
                <w:szCs w:val="20"/>
              </w:rPr>
              <w:t>8 (22.86)</w:t>
            </w:r>
          </w:p>
        </w:tc>
        <w:tc>
          <w:tcPr>
            <w:tcW w:w="1418" w:type="dxa"/>
          </w:tcPr>
          <w:p w14:paraId="0CF8E40C" w14:textId="77777777" w:rsidR="0017561A" w:rsidRDefault="0017561A" w:rsidP="004E0520">
            <w:pPr>
              <w:rPr>
                <w:sz w:val="20"/>
                <w:szCs w:val="20"/>
              </w:rPr>
            </w:pPr>
            <w:r>
              <w:rPr>
                <w:sz w:val="20"/>
                <w:szCs w:val="20"/>
              </w:rPr>
              <w:t>27 (77.14)</w:t>
            </w:r>
          </w:p>
        </w:tc>
        <w:tc>
          <w:tcPr>
            <w:tcW w:w="992" w:type="dxa"/>
          </w:tcPr>
          <w:p w14:paraId="43515B2E" w14:textId="77777777" w:rsidR="0017561A" w:rsidRPr="00192CCA" w:rsidRDefault="0017561A" w:rsidP="004E0520">
            <w:pPr>
              <w:rPr>
                <w:sz w:val="20"/>
                <w:szCs w:val="20"/>
              </w:rPr>
            </w:pPr>
          </w:p>
        </w:tc>
        <w:tc>
          <w:tcPr>
            <w:tcW w:w="709" w:type="dxa"/>
          </w:tcPr>
          <w:p w14:paraId="2323BDBE" w14:textId="77777777" w:rsidR="0017561A" w:rsidRDefault="0017561A" w:rsidP="004E0520">
            <w:pPr>
              <w:rPr>
                <w:sz w:val="20"/>
                <w:szCs w:val="20"/>
              </w:rPr>
            </w:pPr>
            <w:r w:rsidRPr="00192CCA">
              <w:rPr>
                <w:sz w:val="20"/>
                <w:szCs w:val="20"/>
              </w:rPr>
              <w:t>0.</w:t>
            </w:r>
            <w:r>
              <w:rPr>
                <w:sz w:val="20"/>
                <w:szCs w:val="20"/>
              </w:rPr>
              <w:t>30</w:t>
            </w:r>
          </w:p>
        </w:tc>
        <w:tc>
          <w:tcPr>
            <w:tcW w:w="1417" w:type="dxa"/>
          </w:tcPr>
          <w:p w14:paraId="2D32E72F" w14:textId="77777777" w:rsidR="0017561A" w:rsidRPr="00192CCA" w:rsidRDefault="0017561A" w:rsidP="004E0520">
            <w:pPr>
              <w:rPr>
                <w:sz w:val="20"/>
                <w:szCs w:val="20"/>
              </w:rPr>
            </w:pPr>
            <w:r w:rsidRPr="00192CCA">
              <w:rPr>
                <w:sz w:val="20"/>
                <w:szCs w:val="20"/>
              </w:rPr>
              <w:t>0.1</w:t>
            </w:r>
            <w:r>
              <w:rPr>
                <w:sz w:val="20"/>
                <w:szCs w:val="20"/>
              </w:rPr>
              <w:t>4</w:t>
            </w:r>
            <w:r w:rsidRPr="00192CCA">
              <w:rPr>
                <w:sz w:val="20"/>
                <w:szCs w:val="20"/>
              </w:rPr>
              <w:t xml:space="preserve"> – 0.</w:t>
            </w:r>
            <w:r>
              <w:rPr>
                <w:sz w:val="20"/>
                <w:szCs w:val="20"/>
              </w:rPr>
              <w:t>67</w:t>
            </w:r>
          </w:p>
        </w:tc>
        <w:tc>
          <w:tcPr>
            <w:tcW w:w="992" w:type="dxa"/>
          </w:tcPr>
          <w:p w14:paraId="14DBC2A7" w14:textId="77777777" w:rsidR="0017561A" w:rsidRDefault="0017561A" w:rsidP="004E0520">
            <w:pPr>
              <w:rPr>
                <w:sz w:val="20"/>
                <w:szCs w:val="20"/>
              </w:rPr>
            </w:pPr>
            <w:r>
              <w:rPr>
                <w:sz w:val="20"/>
                <w:szCs w:val="20"/>
              </w:rPr>
              <w:t xml:space="preserve">  0</w:t>
            </w:r>
            <w:r w:rsidRPr="00192CCA">
              <w:rPr>
                <w:sz w:val="20"/>
                <w:szCs w:val="20"/>
              </w:rPr>
              <w:t>.00</w:t>
            </w:r>
            <w:r>
              <w:rPr>
                <w:sz w:val="20"/>
                <w:szCs w:val="20"/>
              </w:rPr>
              <w:t>3</w:t>
            </w:r>
          </w:p>
        </w:tc>
        <w:tc>
          <w:tcPr>
            <w:tcW w:w="709" w:type="dxa"/>
          </w:tcPr>
          <w:p w14:paraId="4DC74C92" w14:textId="77777777" w:rsidR="0017561A" w:rsidRPr="00192CCA" w:rsidRDefault="0017561A" w:rsidP="004E0520">
            <w:pPr>
              <w:rPr>
                <w:sz w:val="20"/>
                <w:szCs w:val="20"/>
              </w:rPr>
            </w:pPr>
            <w:r w:rsidRPr="00192CCA">
              <w:rPr>
                <w:sz w:val="20"/>
                <w:szCs w:val="20"/>
              </w:rPr>
              <w:t>0.</w:t>
            </w:r>
            <w:r>
              <w:rPr>
                <w:sz w:val="20"/>
                <w:szCs w:val="20"/>
              </w:rPr>
              <w:t>33</w:t>
            </w:r>
          </w:p>
        </w:tc>
        <w:tc>
          <w:tcPr>
            <w:tcW w:w="1418" w:type="dxa"/>
          </w:tcPr>
          <w:p w14:paraId="71D156F3" w14:textId="77777777" w:rsidR="0017561A" w:rsidRPr="00192CCA" w:rsidRDefault="0017561A" w:rsidP="004E0520">
            <w:pPr>
              <w:rPr>
                <w:sz w:val="20"/>
                <w:szCs w:val="20"/>
              </w:rPr>
            </w:pPr>
            <w:r w:rsidRPr="00192CCA">
              <w:rPr>
                <w:sz w:val="20"/>
                <w:szCs w:val="20"/>
              </w:rPr>
              <w:t>0.1</w:t>
            </w:r>
            <w:r>
              <w:rPr>
                <w:sz w:val="20"/>
                <w:szCs w:val="20"/>
              </w:rPr>
              <w:t>4</w:t>
            </w:r>
            <w:r w:rsidRPr="00192CCA">
              <w:rPr>
                <w:sz w:val="20"/>
                <w:szCs w:val="20"/>
              </w:rPr>
              <w:t xml:space="preserve"> – 0.</w:t>
            </w:r>
            <w:r>
              <w:rPr>
                <w:sz w:val="20"/>
                <w:szCs w:val="20"/>
              </w:rPr>
              <w:t>78</w:t>
            </w:r>
          </w:p>
        </w:tc>
        <w:tc>
          <w:tcPr>
            <w:tcW w:w="992" w:type="dxa"/>
          </w:tcPr>
          <w:p w14:paraId="0701A749" w14:textId="77777777" w:rsidR="0017561A" w:rsidRDefault="0017561A" w:rsidP="004E0520">
            <w:pPr>
              <w:rPr>
                <w:sz w:val="20"/>
                <w:szCs w:val="20"/>
              </w:rPr>
            </w:pPr>
            <w:r>
              <w:rPr>
                <w:sz w:val="20"/>
                <w:szCs w:val="20"/>
              </w:rPr>
              <w:t xml:space="preserve">  0</w:t>
            </w:r>
            <w:r w:rsidRPr="00192CCA">
              <w:rPr>
                <w:sz w:val="20"/>
                <w:szCs w:val="20"/>
              </w:rPr>
              <w:t>.0</w:t>
            </w:r>
            <w:r>
              <w:rPr>
                <w:sz w:val="20"/>
                <w:szCs w:val="20"/>
              </w:rPr>
              <w:t>11</w:t>
            </w:r>
          </w:p>
        </w:tc>
      </w:tr>
      <w:tr w:rsidR="0017561A" w:rsidRPr="000E6139" w14:paraId="5AB1CC45" w14:textId="77777777" w:rsidTr="004E0520">
        <w:trPr>
          <w:jc w:val="center"/>
        </w:trPr>
        <w:tc>
          <w:tcPr>
            <w:tcW w:w="3823" w:type="dxa"/>
          </w:tcPr>
          <w:p w14:paraId="45E5E611" w14:textId="77777777" w:rsidR="0017561A" w:rsidRPr="00192CCA" w:rsidRDefault="0017561A" w:rsidP="004E0520">
            <w:pPr>
              <w:rPr>
                <w:sz w:val="20"/>
                <w:szCs w:val="20"/>
              </w:rPr>
            </w:pPr>
            <w:r w:rsidRPr="00192CCA">
              <w:rPr>
                <w:sz w:val="20"/>
                <w:szCs w:val="20"/>
              </w:rPr>
              <w:t>Moderately Differentiated</w:t>
            </w:r>
          </w:p>
        </w:tc>
        <w:tc>
          <w:tcPr>
            <w:tcW w:w="1417" w:type="dxa"/>
          </w:tcPr>
          <w:p w14:paraId="1FB804A7" w14:textId="77777777" w:rsidR="0017561A" w:rsidRDefault="0017561A" w:rsidP="004E0520">
            <w:pPr>
              <w:rPr>
                <w:sz w:val="20"/>
                <w:szCs w:val="20"/>
              </w:rPr>
            </w:pPr>
            <w:r>
              <w:rPr>
                <w:sz w:val="20"/>
                <w:szCs w:val="20"/>
              </w:rPr>
              <w:t>386 (40.42)</w:t>
            </w:r>
          </w:p>
        </w:tc>
        <w:tc>
          <w:tcPr>
            <w:tcW w:w="1418" w:type="dxa"/>
          </w:tcPr>
          <w:p w14:paraId="71973269" w14:textId="77777777" w:rsidR="0017561A" w:rsidRDefault="0017561A" w:rsidP="004E0520">
            <w:pPr>
              <w:rPr>
                <w:sz w:val="20"/>
                <w:szCs w:val="20"/>
              </w:rPr>
            </w:pPr>
            <w:r>
              <w:rPr>
                <w:sz w:val="20"/>
                <w:szCs w:val="20"/>
              </w:rPr>
              <w:t>569 (59.58)</w:t>
            </w:r>
          </w:p>
        </w:tc>
        <w:tc>
          <w:tcPr>
            <w:tcW w:w="992" w:type="dxa"/>
          </w:tcPr>
          <w:p w14:paraId="5075EBBE" w14:textId="77777777" w:rsidR="0017561A" w:rsidRPr="00192CCA" w:rsidRDefault="0017561A" w:rsidP="004E0520">
            <w:pPr>
              <w:rPr>
                <w:sz w:val="20"/>
                <w:szCs w:val="20"/>
              </w:rPr>
            </w:pPr>
          </w:p>
        </w:tc>
        <w:tc>
          <w:tcPr>
            <w:tcW w:w="709" w:type="dxa"/>
          </w:tcPr>
          <w:p w14:paraId="56E1ACC4" w14:textId="77777777" w:rsidR="0017561A" w:rsidRDefault="0017561A" w:rsidP="004E0520">
            <w:pPr>
              <w:rPr>
                <w:sz w:val="20"/>
                <w:szCs w:val="20"/>
              </w:rPr>
            </w:pPr>
            <w:r w:rsidRPr="00192CCA">
              <w:rPr>
                <w:sz w:val="20"/>
                <w:szCs w:val="20"/>
              </w:rPr>
              <w:t>0.</w:t>
            </w:r>
            <w:r>
              <w:rPr>
                <w:sz w:val="20"/>
                <w:szCs w:val="20"/>
              </w:rPr>
              <w:t>69</w:t>
            </w:r>
          </w:p>
        </w:tc>
        <w:tc>
          <w:tcPr>
            <w:tcW w:w="1417" w:type="dxa"/>
          </w:tcPr>
          <w:p w14:paraId="2AADC5C1" w14:textId="77777777" w:rsidR="0017561A" w:rsidRPr="00192CCA" w:rsidRDefault="0017561A" w:rsidP="004E0520">
            <w:pPr>
              <w:rPr>
                <w:sz w:val="20"/>
                <w:szCs w:val="20"/>
              </w:rPr>
            </w:pPr>
            <w:r w:rsidRPr="00192CCA">
              <w:rPr>
                <w:sz w:val="20"/>
                <w:szCs w:val="20"/>
              </w:rPr>
              <w:t>0.</w:t>
            </w:r>
            <w:r>
              <w:rPr>
                <w:sz w:val="20"/>
                <w:szCs w:val="20"/>
              </w:rPr>
              <w:t>58</w:t>
            </w:r>
            <w:r w:rsidRPr="00192CCA">
              <w:rPr>
                <w:sz w:val="20"/>
                <w:szCs w:val="20"/>
              </w:rPr>
              <w:t xml:space="preserve"> – 0.</w:t>
            </w:r>
            <w:r>
              <w:rPr>
                <w:sz w:val="20"/>
                <w:szCs w:val="20"/>
              </w:rPr>
              <w:t>82</w:t>
            </w:r>
          </w:p>
        </w:tc>
        <w:tc>
          <w:tcPr>
            <w:tcW w:w="992" w:type="dxa"/>
          </w:tcPr>
          <w:p w14:paraId="67883BD4" w14:textId="77777777" w:rsidR="0017561A" w:rsidRDefault="0017561A" w:rsidP="004E0520">
            <w:pPr>
              <w:rPr>
                <w:sz w:val="20"/>
                <w:szCs w:val="20"/>
              </w:rPr>
            </w:pPr>
            <w:r>
              <w:rPr>
                <w:sz w:val="20"/>
                <w:szCs w:val="20"/>
              </w:rPr>
              <w:t xml:space="preserve">  </w:t>
            </w:r>
            <w:r w:rsidRPr="00192CCA">
              <w:rPr>
                <w:sz w:val="20"/>
                <w:szCs w:val="20"/>
              </w:rPr>
              <w:t>0.00</w:t>
            </w:r>
            <w:r>
              <w:rPr>
                <w:sz w:val="20"/>
                <w:szCs w:val="20"/>
              </w:rPr>
              <w:t>0</w:t>
            </w:r>
          </w:p>
        </w:tc>
        <w:tc>
          <w:tcPr>
            <w:tcW w:w="709" w:type="dxa"/>
          </w:tcPr>
          <w:p w14:paraId="706C0F20" w14:textId="77777777" w:rsidR="0017561A" w:rsidRPr="00192CCA" w:rsidRDefault="0017561A" w:rsidP="004E0520">
            <w:pPr>
              <w:rPr>
                <w:sz w:val="20"/>
                <w:szCs w:val="20"/>
              </w:rPr>
            </w:pPr>
            <w:r w:rsidRPr="00192CCA">
              <w:rPr>
                <w:sz w:val="20"/>
                <w:szCs w:val="20"/>
              </w:rPr>
              <w:t>0.</w:t>
            </w:r>
            <w:r>
              <w:rPr>
                <w:sz w:val="20"/>
                <w:szCs w:val="20"/>
              </w:rPr>
              <w:t>86</w:t>
            </w:r>
          </w:p>
        </w:tc>
        <w:tc>
          <w:tcPr>
            <w:tcW w:w="1418" w:type="dxa"/>
          </w:tcPr>
          <w:p w14:paraId="7C8D3A07" w14:textId="77777777" w:rsidR="0017561A" w:rsidRPr="00192CCA" w:rsidRDefault="0017561A" w:rsidP="004E0520">
            <w:pPr>
              <w:rPr>
                <w:sz w:val="20"/>
                <w:szCs w:val="20"/>
              </w:rPr>
            </w:pPr>
            <w:r w:rsidRPr="00192CCA">
              <w:rPr>
                <w:sz w:val="20"/>
                <w:szCs w:val="20"/>
              </w:rPr>
              <w:t>0.</w:t>
            </w:r>
            <w:r>
              <w:rPr>
                <w:sz w:val="20"/>
                <w:szCs w:val="20"/>
              </w:rPr>
              <w:t>71</w:t>
            </w:r>
            <w:r w:rsidRPr="00192CCA">
              <w:rPr>
                <w:sz w:val="20"/>
                <w:szCs w:val="20"/>
              </w:rPr>
              <w:t xml:space="preserve"> – </w:t>
            </w:r>
            <w:r>
              <w:rPr>
                <w:sz w:val="20"/>
                <w:szCs w:val="20"/>
              </w:rPr>
              <w:t>1.04</w:t>
            </w:r>
          </w:p>
        </w:tc>
        <w:tc>
          <w:tcPr>
            <w:tcW w:w="992" w:type="dxa"/>
          </w:tcPr>
          <w:p w14:paraId="50F8250A" w14:textId="77777777" w:rsidR="0017561A" w:rsidRDefault="0017561A" w:rsidP="004E0520">
            <w:pPr>
              <w:rPr>
                <w:sz w:val="20"/>
                <w:szCs w:val="20"/>
              </w:rPr>
            </w:pPr>
            <w:r>
              <w:rPr>
                <w:sz w:val="20"/>
                <w:szCs w:val="20"/>
              </w:rPr>
              <w:t xml:space="preserve">  </w:t>
            </w:r>
            <w:r w:rsidRPr="00192CCA">
              <w:rPr>
                <w:sz w:val="20"/>
                <w:szCs w:val="20"/>
              </w:rPr>
              <w:t>0.</w:t>
            </w:r>
            <w:r>
              <w:rPr>
                <w:sz w:val="20"/>
                <w:szCs w:val="20"/>
              </w:rPr>
              <w:t>117</w:t>
            </w:r>
          </w:p>
        </w:tc>
      </w:tr>
      <w:tr w:rsidR="0017561A" w:rsidRPr="000E6139" w14:paraId="7BD1073F" w14:textId="77777777" w:rsidTr="004E0520">
        <w:trPr>
          <w:jc w:val="center"/>
        </w:trPr>
        <w:tc>
          <w:tcPr>
            <w:tcW w:w="3823" w:type="dxa"/>
          </w:tcPr>
          <w:p w14:paraId="71F65286" w14:textId="77777777" w:rsidR="0017561A" w:rsidRPr="00192CCA" w:rsidRDefault="0017561A" w:rsidP="004E0520">
            <w:pPr>
              <w:rPr>
                <w:sz w:val="20"/>
                <w:szCs w:val="20"/>
              </w:rPr>
            </w:pPr>
            <w:r w:rsidRPr="00192CCA">
              <w:rPr>
                <w:sz w:val="20"/>
                <w:szCs w:val="20"/>
              </w:rPr>
              <w:t>Poorly Differentiated</w:t>
            </w:r>
          </w:p>
        </w:tc>
        <w:tc>
          <w:tcPr>
            <w:tcW w:w="1417" w:type="dxa"/>
          </w:tcPr>
          <w:p w14:paraId="11C8C842" w14:textId="77777777" w:rsidR="0017561A" w:rsidRDefault="0017561A" w:rsidP="004E0520">
            <w:pPr>
              <w:rPr>
                <w:sz w:val="20"/>
                <w:szCs w:val="20"/>
              </w:rPr>
            </w:pPr>
            <w:r>
              <w:rPr>
                <w:sz w:val="20"/>
                <w:szCs w:val="20"/>
              </w:rPr>
              <w:t>609 (49.59)</w:t>
            </w:r>
          </w:p>
        </w:tc>
        <w:tc>
          <w:tcPr>
            <w:tcW w:w="1418" w:type="dxa"/>
          </w:tcPr>
          <w:p w14:paraId="5EB73CE7" w14:textId="77777777" w:rsidR="0017561A" w:rsidRDefault="0017561A" w:rsidP="004E0520">
            <w:pPr>
              <w:rPr>
                <w:sz w:val="20"/>
                <w:szCs w:val="20"/>
              </w:rPr>
            </w:pPr>
            <w:r>
              <w:rPr>
                <w:sz w:val="20"/>
                <w:szCs w:val="20"/>
              </w:rPr>
              <w:t>619 (50.41)</w:t>
            </w:r>
          </w:p>
        </w:tc>
        <w:tc>
          <w:tcPr>
            <w:tcW w:w="992" w:type="dxa"/>
          </w:tcPr>
          <w:p w14:paraId="36A85B36" w14:textId="77777777" w:rsidR="0017561A" w:rsidRPr="00192CCA" w:rsidRDefault="0017561A" w:rsidP="004E0520">
            <w:pPr>
              <w:rPr>
                <w:sz w:val="20"/>
                <w:szCs w:val="20"/>
              </w:rPr>
            </w:pPr>
          </w:p>
        </w:tc>
        <w:tc>
          <w:tcPr>
            <w:tcW w:w="709" w:type="dxa"/>
          </w:tcPr>
          <w:p w14:paraId="73BFF2AB" w14:textId="77777777" w:rsidR="0017561A" w:rsidRDefault="0017561A" w:rsidP="004E0520">
            <w:pPr>
              <w:rPr>
                <w:sz w:val="20"/>
                <w:szCs w:val="20"/>
              </w:rPr>
            </w:pPr>
            <w:r w:rsidRPr="00192CCA">
              <w:rPr>
                <w:sz w:val="20"/>
                <w:szCs w:val="20"/>
              </w:rPr>
              <w:t>1.00</w:t>
            </w:r>
          </w:p>
        </w:tc>
        <w:tc>
          <w:tcPr>
            <w:tcW w:w="1417" w:type="dxa"/>
          </w:tcPr>
          <w:p w14:paraId="25CD71F9" w14:textId="77777777" w:rsidR="0017561A" w:rsidRPr="00192CCA" w:rsidRDefault="0017561A" w:rsidP="004E0520">
            <w:pPr>
              <w:rPr>
                <w:sz w:val="20"/>
                <w:szCs w:val="20"/>
              </w:rPr>
            </w:pPr>
            <w:r w:rsidRPr="00192CCA">
              <w:rPr>
                <w:sz w:val="20"/>
                <w:szCs w:val="20"/>
              </w:rPr>
              <w:t>-----     -----</w:t>
            </w:r>
          </w:p>
        </w:tc>
        <w:tc>
          <w:tcPr>
            <w:tcW w:w="992" w:type="dxa"/>
          </w:tcPr>
          <w:p w14:paraId="559A2DDB" w14:textId="77777777" w:rsidR="0017561A" w:rsidRDefault="0017561A" w:rsidP="004E0520">
            <w:pPr>
              <w:rPr>
                <w:sz w:val="20"/>
                <w:szCs w:val="20"/>
              </w:rPr>
            </w:pPr>
            <w:r>
              <w:rPr>
                <w:sz w:val="20"/>
                <w:szCs w:val="20"/>
              </w:rPr>
              <w:t xml:space="preserve">  </w:t>
            </w:r>
            <w:r w:rsidRPr="00192CCA">
              <w:rPr>
                <w:sz w:val="20"/>
                <w:szCs w:val="20"/>
              </w:rPr>
              <w:t>-------</w:t>
            </w:r>
          </w:p>
        </w:tc>
        <w:tc>
          <w:tcPr>
            <w:tcW w:w="709" w:type="dxa"/>
          </w:tcPr>
          <w:p w14:paraId="16DE0094" w14:textId="77777777" w:rsidR="0017561A" w:rsidRPr="00192CCA" w:rsidRDefault="0017561A" w:rsidP="004E0520">
            <w:pPr>
              <w:rPr>
                <w:sz w:val="20"/>
                <w:szCs w:val="20"/>
              </w:rPr>
            </w:pPr>
            <w:r w:rsidRPr="00192CCA">
              <w:rPr>
                <w:sz w:val="20"/>
                <w:szCs w:val="20"/>
              </w:rPr>
              <w:t>1.00</w:t>
            </w:r>
          </w:p>
        </w:tc>
        <w:tc>
          <w:tcPr>
            <w:tcW w:w="1418" w:type="dxa"/>
          </w:tcPr>
          <w:p w14:paraId="5DC8F552" w14:textId="77777777" w:rsidR="0017561A" w:rsidRPr="00192CCA" w:rsidRDefault="0017561A" w:rsidP="004E0520">
            <w:pPr>
              <w:rPr>
                <w:sz w:val="20"/>
                <w:szCs w:val="20"/>
              </w:rPr>
            </w:pPr>
            <w:r w:rsidRPr="00192CCA">
              <w:rPr>
                <w:sz w:val="20"/>
                <w:szCs w:val="20"/>
              </w:rPr>
              <w:t>-----     -----</w:t>
            </w:r>
          </w:p>
        </w:tc>
        <w:tc>
          <w:tcPr>
            <w:tcW w:w="992" w:type="dxa"/>
          </w:tcPr>
          <w:p w14:paraId="0178368A" w14:textId="77777777" w:rsidR="0017561A" w:rsidRDefault="0017561A" w:rsidP="004E0520">
            <w:pPr>
              <w:rPr>
                <w:sz w:val="20"/>
                <w:szCs w:val="20"/>
              </w:rPr>
            </w:pPr>
            <w:r>
              <w:rPr>
                <w:sz w:val="20"/>
                <w:szCs w:val="20"/>
              </w:rPr>
              <w:t xml:space="preserve">  </w:t>
            </w:r>
            <w:r w:rsidRPr="00192CCA">
              <w:rPr>
                <w:sz w:val="20"/>
                <w:szCs w:val="20"/>
              </w:rPr>
              <w:t>-------</w:t>
            </w:r>
          </w:p>
        </w:tc>
      </w:tr>
      <w:tr w:rsidR="0017561A" w:rsidRPr="000E6139" w14:paraId="4CA78079" w14:textId="77777777" w:rsidTr="004E0520">
        <w:trPr>
          <w:jc w:val="center"/>
        </w:trPr>
        <w:tc>
          <w:tcPr>
            <w:tcW w:w="3823" w:type="dxa"/>
          </w:tcPr>
          <w:p w14:paraId="1D100828" w14:textId="77777777" w:rsidR="0017561A" w:rsidRPr="00192CCA" w:rsidRDefault="0017561A" w:rsidP="004E0520">
            <w:pPr>
              <w:rPr>
                <w:sz w:val="20"/>
                <w:szCs w:val="20"/>
              </w:rPr>
            </w:pPr>
            <w:r w:rsidRPr="00192CCA">
              <w:rPr>
                <w:sz w:val="20"/>
                <w:szCs w:val="20"/>
              </w:rPr>
              <w:t>Other</w:t>
            </w:r>
            <w:r>
              <w:rPr>
                <w:sz w:val="20"/>
                <w:szCs w:val="20"/>
                <w:vertAlign w:val="superscript"/>
              </w:rPr>
              <w:t>f</w:t>
            </w:r>
          </w:p>
        </w:tc>
        <w:tc>
          <w:tcPr>
            <w:tcW w:w="1417" w:type="dxa"/>
          </w:tcPr>
          <w:p w14:paraId="0B15A6C0" w14:textId="77777777" w:rsidR="0017561A" w:rsidRDefault="0017561A" w:rsidP="004E0520">
            <w:pPr>
              <w:rPr>
                <w:sz w:val="20"/>
                <w:szCs w:val="20"/>
              </w:rPr>
            </w:pPr>
            <w:r>
              <w:rPr>
                <w:sz w:val="20"/>
                <w:szCs w:val="20"/>
              </w:rPr>
              <w:t>59 (39.07)</w:t>
            </w:r>
          </w:p>
        </w:tc>
        <w:tc>
          <w:tcPr>
            <w:tcW w:w="1418" w:type="dxa"/>
          </w:tcPr>
          <w:p w14:paraId="58AABA69" w14:textId="77777777" w:rsidR="0017561A" w:rsidRDefault="0017561A" w:rsidP="004E0520">
            <w:pPr>
              <w:rPr>
                <w:sz w:val="20"/>
                <w:szCs w:val="20"/>
              </w:rPr>
            </w:pPr>
            <w:r>
              <w:rPr>
                <w:sz w:val="20"/>
                <w:szCs w:val="20"/>
              </w:rPr>
              <w:t>92 (60.93)</w:t>
            </w:r>
          </w:p>
        </w:tc>
        <w:tc>
          <w:tcPr>
            <w:tcW w:w="992" w:type="dxa"/>
          </w:tcPr>
          <w:p w14:paraId="28BE43DC" w14:textId="77777777" w:rsidR="0017561A" w:rsidRPr="00192CCA" w:rsidRDefault="0017561A" w:rsidP="004E0520">
            <w:pPr>
              <w:rPr>
                <w:sz w:val="20"/>
                <w:szCs w:val="20"/>
              </w:rPr>
            </w:pPr>
          </w:p>
        </w:tc>
        <w:tc>
          <w:tcPr>
            <w:tcW w:w="709" w:type="dxa"/>
          </w:tcPr>
          <w:p w14:paraId="263E101D" w14:textId="77777777" w:rsidR="0017561A" w:rsidRDefault="0017561A" w:rsidP="004E0520">
            <w:pPr>
              <w:rPr>
                <w:sz w:val="20"/>
                <w:szCs w:val="20"/>
              </w:rPr>
            </w:pPr>
            <w:r w:rsidRPr="00192CCA">
              <w:rPr>
                <w:sz w:val="20"/>
                <w:szCs w:val="20"/>
              </w:rPr>
              <w:t>0.</w:t>
            </w:r>
            <w:r>
              <w:rPr>
                <w:sz w:val="20"/>
                <w:szCs w:val="20"/>
              </w:rPr>
              <w:t>65</w:t>
            </w:r>
          </w:p>
        </w:tc>
        <w:tc>
          <w:tcPr>
            <w:tcW w:w="1417" w:type="dxa"/>
          </w:tcPr>
          <w:p w14:paraId="35FCDD10" w14:textId="77777777" w:rsidR="0017561A" w:rsidRPr="00192CCA" w:rsidRDefault="0017561A" w:rsidP="004E0520">
            <w:pPr>
              <w:rPr>
                <w:sz w:val="20"/>
                <w:szCs w:val="20"/>
              </w:rPr>
            </w:pPr>
            <w:r w:rsidRPr="00192CCA">
              <w:rPr>
                <w:sz w:val="20"/>
                <w:szCs w:val="20"/>
              </w:rPr>
              <w:t>0.</w:t>
            </w:r>
            <w:r>
              <w:rPr>
                <w:sz w:val="20"/>
                <w:szCs w:val="20"/>
              </w:rPr>
              <w:t>46</w:t>
            </w:r>
            <w:r w:rsidRPr="00192CCA">
              <w:rPr>
                <w:sz w:val="20"/>
                <w:szCs w:val="20"/>
              </w:rPr>
              <w:t xml:space="preserve"> – 0.</w:t>
            </w:r>
            <w:r>
              <w:rPr>
                <w:sz w:val="20"/>
                <w:szCs w:val="20"/>
              </w:rPr>
              <w:t>92</w:t>
            </w:r>
          </w:p>
        </w:tc>
        <w:tc>
          <w:tcPr>
            <w:tcW w:w="992" w:type="dxa"/>
          </w:tcPr>
          <w:p w14:paraId="40B96EF4" w14:textId="77777777" w:rsidR="0017561A" w:rsidRDefault="0017561A" w:rsidP="004E0520">
            <w:pPr>
              <w:rPr>
                <w:sz w:val="20"/>
                <w:szCs w:val="20"/>
              </w:rPr>
            </w:pPr>
            <w:r>
              <w:rPr>
                <w:sz w:val="20"/>
                <w:szCs w:val="20"/>
              </w:rPr>
              <w:t xml:space="preserve">  </w:t>
            </w:r>
            <w:r w:rsidRPr="00192CCA">
              <w:rPr>
                <w:sz w:val="20"/>
                <w:szCs w:val="20"/>
              </w:rPr>
              <w:t>0.01</w:t>
            </w:r>
            <w:r>
              <w:rPr>
                <w:sz w:val="20"/>
                <w:szCs w:val="20"/>
              </w:rPr>
              <w:t>5</w:t>
            </w:r>
          </w:p>
        </w:tc>
        <w:tc>
          <w:tcPr>
            <w:tcW w:w="709" w:type="dxa"/>
          </w:tcPr>
          <w:p w14:paraId="24E24CB3" w14:textId="77777777" w:rsidR="0017561A" w:rsidRPr="00192CCA" w:rsidRDefault="0017561A" w:rsidP="004E0520">
            <w:pPr>
              <w:rPr>
                <w:sz w:val="20"/>
                <w:szCs w:val="20"/>
              </w:rPr>
            </w:pPr>
            <w:r w:rsidRPr="00192CCA">
              <w:rPr>
                <w:sz w:val="20"/>
                <w:szCs w:val="20"/>
              </w:rPr>
              <w:t>0.</w:t>
            </w:r>
            <w:r>
              <w:rPr>
                <w:sz w:val="20"/>
                <w:szCs w:val="20"/>
              </w:rPr>
              <w:t>87</w:t>
            </w:r>
          </w:p>
        </w:tc>
        <w:tc>
          <w:tcPr>
            <w:tcW w:w="1418" w:type="dxa"/>
          </w:tcPr>
          <w:p w14:paraId="18A54280" w14:textId="77777777" w:rsidR="0017561A" w:rsidRPr="00192CCA" w:rsidRDefault="0017561A" w:rsidP="004E0520">
            <w:pPr>
              <w:rPr>
                <w:sz w:val="20"/>
                <w:szCs w:val="20"/>
              </w:rPr>
            </w:pPr>
            <w:r w:rsidRPr="00192CCA">
              <w:rPr>
                <w:sz w:val="20"/>
                <w:szCs w:val="20"/>
              </w:rPr>
              <w:t>0.5</w:t>
            </w:r>
            <w:r>
              <w:rPr>
                <w:sz w:val="20"/>
                <w:szCs w:val="20"/>
              </w:rPr>
              <w:t>9</w:t>
            </w:r>
            <w:r w:rsidRPr="00192CCA">
              <w:rPr>
                <w:sz w:val="20"/>
                <w:szCs w:val="20"/>
              </w:rPr>
              <w:t xml:space="preserve"> – </w:t>
            </w:r>
            <w:r>
              <w:rPr>
                <w:sz w:val="20"/>
                <w:szCs w:val="20"/>
              </w:rPr>
              <w:t>1.29</w:t>
            </w:r>
          </w:p>
        </w:tc>
        <w:tc>
          <w:tcPr>
            <w:tcW w:w="992" w:type="dxa"/>
          </w:tcPr>
          <w:p w14:paraId="16F4E951" w14:textId="77777777" w:rsidR="0017561A" w:rsidRDefault="0017561A" w:rsidP="004E0520">
            <w:pPr>
              <w:rPr>
                <w:sz w:val="20"/>
                <w:szCs w:val="20"/>
              </w:rPr>
            </w:pPr>
            <w:r>
              <w:rPr>
                <w:sz w:val="20"/>
                <w:szCs w:val="20"/>
              </w:rPr>
              <w:t xml:space="preserve">  </w:t>
            </w:r>
            <w:r w:rsidRPr="00192CCA">
              <w:rPr>
                <w:sz w:val="20"/>
                <w:szCs w:val="20"/>
              </w:rPr>
              <w:t>0.</w:t>
            </w:r>
            <w:r>
              <w:rPr>
                <w:sz w:val="20"/>
                <w:szCs w:val="20"/>
              </w:rPr>
              <w:t>491</w:t>
            </w:r>
          </w:p>
        </w:tc>
      </w:tr>
      <w:tr w:rsidR="0017561A" w:rsidRPr="000E6139" w14:paraId="5B8D1117" w14:textId="77777777" w:rsidTr="004E0520">
        <w:trPr>
          <w:trHeight w:val="73"/>
          <w:jc w:val="center"/>
        </w:trPr>
        <w:tc>
          <w:tcPr>
            <w:tcW w:w="3823" w:type="dxa"/>
          </w:tcPr>
          <w:p w14:paraId="50F876B3" w14:textId="77777777" w:rsidR="0017561A" w:rsidRPr="00192CCA" w:rsidRDefault="0017561A" w:rsidP="004E0520">
            <w:pPr>
              <w:rPr>
                <w:sz w:val="20"/>
                <w:szCs w:val="20"/>
              </w:rPr>
            </w:pPr>
          </w:p>
        </w:tc>
        <w:tc>
          <w:tcPr>
            <w:tcW w:w="1417" w:type="dxa"/>
          </w:tcPr>
          <w:p w14:paraId="66EE9B93" w14:textId="77777777" w:rsidR="0017561A" w:rsidRDefault="0017561A" w:rsidP="004E0520">
            <w:pPr>
              <w:rPr>
                <w:sz w:val="20"/>
                <w:szCs w:val="20"/>
              </w:rPr>
            </w:pPr>
          </w:p>
        </w:tc>
        <w:tc>
          <w:tcPr>
            <w:tcW w:w="1418" w:type="dxa"/>
          </w:tcPr>
          <w:p w14:paraId="6AD33B7A" w14:textId="77777777" w:rsidR="0017561A" w:rsidRDefault="0017561A" w:rsidP="004E0520">
            <w:pPr>
              <w:rPr>
                <w:sz w:val="20"/>
                <w:szCs w:val="20"/>
              </w:rPr>
            </w:pPr>
          </w:p>
        </w:tc>
        <w:tc>
          <w:tcPr>
            <w:tcW w:w="992" w:type="dxa"/>
          </w:tcPr>
          <w:p w14:paraId="449DB8CC" w14:textId="77777777" w:rsidR="0017561A" w:rsidRPr="00192CCA" w:rsidRDefault="0017561A" w:rsidP="004E0520">
            <w:pPr>
              <w:rPr>
                <w:sz w:val="20"/>
                <w:szCs w:val="20"/>
              </w:rPr>
            </w:pPr>
          </w:p>
        </w:tc>
        <w:tc>
          <w:tcPr>
            <w:tcW w:w="709" w:type="dxa"/>
          </w:tcPr>
          <w:p w14:paraId="71C73F26" w14:textId="77777777" w:rsidR="0017561A" w:rsidRDefault="0017561A" w:rsidP="004E0520">
            <w:pPr>
              <w:rPr>
                <w:sz w:val="20"/>
                <w:szCs w:val="20"/>
              </w:rPr>
            </w:pPr>
          </w:p>
        </w:tc>
        <w:tc>
          <w:tcPr>
            <w:tcW w:w="1417" w:type="dxa"/>
          </w:tcPr>
          <w:p w14:paraId="03CE9B3B" w14:textId="77777777" w:rsidR="0017561A" w:rsidRPr="00192CCA" w:rsidRDefault="0017561A" w:rsidP="004E0520">
            <w:pPr>
              <w:rPr>
                <w:sz w:val="20"/>
                <w:szCs w:val="20"/>
              </w:rPr>
            </w:pPr>
          </w:p>
        </w:tc>
        <w:tc>
          <w:tcPr>
            <w:tcW w:w="992" w:type="dxa"/>
          </w:tcPr>
          <w:p w14:paraId="2825D4AB" w14:textId="77777777" w:rsidR="0017561A" w:rsidRDefault="0017561A" w:rsidP="004E0520">
            <w:pPr>
              <w:rPr>
                <w:sz w:val="20"/>
                <w:szCs w:val="20"/>
              </w:rPr>
            </w:pPr>
          </w:p>
        </w:tc>
        <w:tc>
          <w:tcPr>
            <w:tcW w:w="709" w:type="dxa"/>
          </w:tcPr>
          <w:p w14:paraId="4E5C5A5E" w14:textId="77777777" w:rsidR="0017561A" w:rsidRPr="00192CCA" w:rsidRDefault="0017561A" w:rsidP="004E0520">
            <w:pPr>
              <w:rPr>
                <w:sz w:val="20"/>
                <w:szCs w:val="20"/>
              </w:rPr>
            </w:pPr>
          </w:p>
        </w:tc>
        <w:tc>
          <w:tcPr>
            <w:tcW w:w="1418" w:type="dxa"/>
          </w:tcPr>
          <w:p w14:paraId="4803B578" w14:textId="77777777" w:rsidR="0017561A" w:rsidRPr="00192CCA" w:rsidRDefault="0017561A" w:rsidP="004E0520">
            <w:pPr>
              <w:rPr>
                <w:sz w:val="20"/>
                <w:szCs w:val="20"/>
              </w:rPr>
            </w:pPr>
          </w:p>
        </w:tc>
        <w:tc>
          <w:tcPr>
            <w:tcW w:w="992" w:type="dxa"/>
          </w:tcPr>
          <w:p w14:paraId="515596F5" w14:textId="77777777" w:rsidR="0017561A" w:rsidRDefault="0017561A" w:rsidP="004E0520">
            <w:pPr>
              <w:rPr>
                <w:sz w:val="20"/>
                <w:szCs w:val="20"/>
              </w:rPr>
            </w:pPr>
          </w:p>
        </w:tc>
      </w:tr>
      <w:tr w:rsidR="0017561A" w:rsidRPr="000E6139" w14:paraId="26318817" w14:textId="77777777" w:rsidTr="004E0520">
        <w:trPr>
          <w:jc w:val="center"/>
        </w:trPr>
        <w:tc>
          <w:tcPr>
            <w:tcW w:w="3823" w:type="dxa"/>
          </w:tcPr>
          <w:p w14:paraId="4DD58243" w14:textId="77777777" w:rsidR="0017561A" w:rsidRPr="00E60CF0" w:rsidRDefault="0017561A" w:rsidP="004E0520">
            <w:pPr>
              <w:rPr>
                <w:b/>
                <w:bCs/>
                <w:sz w:val="20"/>
                <w:szCs w:val="20"/>
              </w:rPr>
            </w:pPr>
            <w:r w:rsidRPr="00E60CF0">
              <w:rPr>
                <w:b/>
                <w:bCs/>
                <w:sz w:val="20"/>
                <w:szCs w:val="20"/>
              </w:rPr>
              <w:t>Received Surgery</w:t>
            </w:r>
            <w:r>
              <w:rPr>
                <w:b/>
                <w:bCs/>
                <w:sz w:val="20"/>
                <w:szCs w:val="20"/>
              </w:rPr>
              <w:t xml:space="preserve"> within 6 Months of Diagnosis</w:t>
            </w:r>
            <w:r>
              <w:rPr>
                <w:b/>
                <w:bCs/>
                <w:sz w:val="20"/>
                <w:szCs w:val="20"/>
                <w:vertAlign w:val="superscript"/>
              </w:rPr>
              <w:t>g</w:t>
            </w:r>
          </w:p>
        </w:tc>
        <w:tc>
          <w:tcPr>
            <w:tcW w:w="1417" w:type="dxa"/>
          </w:tcPr>
          <w:p w14:paraId="12F31531" w14:textId="77777777" w:rsidR="0017561A" w:rsidRDefault="0017561A" w:rsidP="004E0520">
            <w:pPr>
              <w:rPr>
                <w:sz w:val="20"/>
                <w:szCs w:val="20"/>
              </w:rPr>
            </w:pPr>
          </w:p>
        </w:tc>
        <w:tc>
          <w:tcPr>
            <w:tcW w:w="1418" w:type="dxa"/>
          </w:tcPr>
          <w:p w14:paraId="1280ABE8" w14:textId="77777777" w:rsidR="0017561A" w:rsidRDefault="0017561A" w:rsidP="004E0520">
            <w:pPr>
              <w:rPr>
                <w:sz w:val="20"/>
                <w:szCs w:val="20"/>
              </w:rPr>
            </w:pPr>
          </w:p>
        </w:tc>
        <w:tc>
          <w:tcPr>
            <w:tcW w:w="992" w:type="dxa"/>
          </w:tcPr>
          <w:p w14:paraId="6D4F921C" w14:textId="77777777" w:rsidR="0017561A" w:rsidRPr="00192CCA" w:rsidRDefault="0017561A" w:rsidP="004E0520">
            <w:pPr>
              <w:rPr>
                <w:sz w:val="20"/>
                <w:szCs w:val="20"/>
              </w:rPr>
            </w:pPr>
            <w:r w:rsidRPr="00192CCA">
              <w:rPr>
                <w:sz w:val="20"/>
                <w:szCs w:val="20"/>
              </w:rPr>
              <w:t>&lt;0.001</w:t>
            </w:r>
          </w:p>
        </w:tc>
        <w:tc>
          <w:tcPr>
            <w:tcW w:w="709" w:type="dxa"/>
          </w:tcPr>
          <w:p w14:paraId="20A52A2B" w14:textId="77777777" w:rsidR="0017561A" w:rsidRDefault="0017561A" w:rsidP="004E0520">
            <w:pPr>
              <w:rPr>
                <w:sz w:val="20"/>
                <w:szCs w:val="20"/>
              </w:rPr>
            </w:pPr>
          </w:p>
        </w:tc>
        <w:tc>
          <w:tcPr>
            <w:tcW w:w="1417" w:type="dxa"/>
          </w:tcPr>
          <w:p w14:paraId="7B4F7FF8" w14:textId="77777777" w:rsidR="0017561A" w:rsidRPr="00192CCA" w:rsidRDefault="0017561A" w:rsidP="004E0520">
            <w:pPr>
              <w:rPr>
                <w:sz w:val="20"/>
                <w:szCs w:val="20"/>
              </w:rPr>
            </w:pPr>
          </w:p>
        </w:tc>
        <w:tc>
          <w:tcPr>
            <w:tcW w:w="992" w:type="dxa"/>
          </w:tcPr>
          <w:p w14:paraId="33ED50D2" w14:textId="77777777" w:rsidR="0017561A" w:rsidRPr="00C466BF" w:rsidRDefault="0017561A" w:rsidP="004E0520">
            <w:pPr>
              <w:rPr>
                <w:b/>
                <w:bCs/>
                <w:sz w:val="20"/>
                <w:szCs w:val="20"/>
              </w:rPr>
            </w:pPr>
            <w:r>
              <w:rPr>
                <w:sz w:val="20"/>
                <w:szCs w:val="20"/>
              </w:rPr>
              <w:t xml:space="preserve">  </w:t>
            </w:r>
            <w:r w:rsidRPr="00C466BF">
              <w:rPr>
                <w:b/>
                <w:bCs/>
                <w:sz w:val="20"/>
                <w:szCs w:val="20"/>
              </w:rPr>
              <w:t>0.000</w:t>
            </w:r>
          </w:p>
        </w:tc>
        <w:tc>
          <w:tcPr>
            <w:tcW w:w="709" w:type="dxa"/>
          </w:tcPr>
          <w:p w14:paraId="32424834" w14:textId="77777777" w:rsidR="0017561A" w:rsidRPr="00192CCA" w:rsidRDefault="0017561A" w:rsidP="004E0520">
            <w:pPr>
              <w:rPr>
                <w:sz w:val="20"/>
                <w:szCs w:val="20"/>
              </w:rPr>
            </w:pPr>
          </w:p>
        </w:tc>
        <w:tc>
          <w:tcPr>
            <w:tcW w:w="1418" w:type="dxa"/>
          </w:tcPr>
          <w:p w14:paraId="33D8CA68" w14:textId="77777777" w:rsidR="0017561A" w:rsidRPr="00192CCA" w:rsidRDefault="0017561A" w:rsidP="004E0520">
            <w:pPr>
              <w:rPr>
                <w:sz w:val="20"/>
                <w:szCs w:val="20"/>
              </w:rPr>
            </w:pPr>
          </w:p>
        </w:tc>
        <w:tc>
          <w:tcPr>
            <w:tcW w:w="992" w:type="dxa"/>
          </w:tcPr>
          <w:p w14:paraId="1ED9D79E" w14:textId="77777777" w:rsidR="0017561A" w:rsidRPr="00C466BF" w:rsidRDefault="0017561A" w:rsidP="004E0520">
            <w:pPr>
              <w:rPr>
                <w:b/>
                <w:bCs/>
                <w:sz w:val="20"/>
                <w:szCs w:val="20"/>
              </w:rPr>
            </w:pPr>
            <w:r>
              <w:rPr>
                <w:sz w:val="20"/>
                <w:szCs w:val="20"/>
              </w:rPr>
              <w:t xml:space="preserve">  </w:t>
            </w:r>
            <w:r w:rsidRPr="00C466BF">
              <w:rPr>
                <w:b/>
                <w:bCs/>
                <w:sz w:val="20"/>
                <w:szCs w:val="20"/>
              </w:rPr>
              <w:t>0.016</w:t>
            </w:r>
          </w:p>
        </w:tc>
      </w:tr>
      <w:tr w:rsidR="0017561A" w:rsidRPr="000E6139" w14:paraId="1BE8E171" w14:textId="77777777" w:rsidTr="004E0520">
        <w:trPr>
          <w:jc w:val="center"/>
        </w:trPr>
        <w:tc>
          <w:tcPr>
            <w:tcW w:w="3823" w:type="dxa"/>
          </w:tcPr>
          <w:p w14:paraId="553E9CF7" w14:textId="77777777" w:rsidR="0017561A" w:rsidRPr="00192CCA" w:rsidRDefault="0017561A" w:rsidP="004E0520">
            <w:pPr>
              <w:rPr>
                <w:sz w:val="20"/>
                <w:szCs w:val="20"/>
              </w:rPr>
            </w:pPr>
            <w:r>
              <w:rPr>
                <w:sz w:val="20"/>
                <w:szCs w:val="20"/>
              </w:rPr>
              <w:t>Yes</w:t>
            </w:r>
          </w:p>
        </w:tc>
        <w:tc>
          <w:tcPr>
            <w:tcW w:w="1417" w:type="dxa"/>
          </w:tcPr>
          <w:p w14:paraId="5E189BED" w14:textId="77777777" w:rsidR="0017561A" w:rsidRDefault="0017561A" w:rsidP="004E0520">
            <w:pPr>
              <w:rPr>
                <w:sz w:val="20"/>
                <w:szCs w:val="20"/>
              </w:rPr>
            </w:pPr>
            <w:r>
              <w:rPr>
                <w:sz w:val="20"/>
                <w:szCs w:val="20"/>
              </w:rPr>
              <w:t>234 (52.70)</w:t>
            </w:r>
          </w:p>
        </w:tc>
        <w:tc>
          <w:tcPr>
            <w:tcW w:w="1418" w:type="dxa"/>
          </w:tcPr>
          <w:p w14:paraId="7122B806" w14:textId="77777777" w:rsidR="0017561A" w:rsidRDefault="0017561A" w:rsidP="004E0520">
            <w:pPr>
              <w:rPr>
                <w:sz w:val="20"/>
                <w:szCs w:val="20"/>
              </w:rPr>
            </w:pPr>
            <w:r>
              <w:rPr>
                <w:sz w:val="20"/>
                <w:szCs w:val="20"/>
              </w:rPr>
              <w:t>210 (47.30)</w:t>
            </w:r>
          </w:p>
        </w:tc>
        <w:tc>
          <w:tcPr>
            <w:tcW w:w="992" w:type="dxa"/>
          </w:tcPr>
          <w:p w14:paraId="5BFAB1B8" w14:textId="77777777" w:rsidR="0017561A" w:rsidRPr="00192CCA" w:rsidRDefault="0017561A" w:rsidP="004E0520">
            <w:pPr>
              <w:rPr>
                <w:sz w:val="20"/>
                <w:szCs w:val="20"/>
              </w:rPr>
            </w:pPr>
          </w:p>
        </w:tc>
        <w:tc>
          <w:tcPr>
            <w:tcW w:w="709" w:type="dxa"/>
          </w:tcPr>
          <w:p w14:paraId="3B80BD21" w14:textId="77777777" w:rsidR="0017561A" w:rsidRDefault="0017561A" w:rsidP="004E0520">
            <w:pPr>
              <w:rPr>
                <w:sz w:val="20"/>
                <w:szCs w:val="20"/>
              </w:rPr>
            </w:pPr>
            <w:r>
              <w:rPr>
                <w:sz w:val="20"/>
                <w:szCs w:val="20"/>
              </w:rPr>
              <w:t>1.48</w:t>
            </w:r>
          </w:p>
        </w:tc>
        <w:tc>
          <w:tcPr>
            <w:tcW w:w="1417" w:type="dxa"/>
          </w:tcPr>
          <w:p w14:paraId="54E47A4C" w14:textId="77777777" w:rsidR="0017561A" w:rsidRPr="00192CCA" w:rsidRDefault="0017561A" w:rsidP="004E0520">
            <w:pPr>
              <w:rPr>
                <w:sz w:val="20"/>
                <w:szCs w:val="20"/>
              </w:rPr>
            </w:pPr>
            <w:r>
              <w:rPr>
                <w:sz w:val="20"/>
                <w:szCs w:val="20"/>
              </w:rPr>
              <w:t>1.20 – 1.82</w:t>
            </w:r>
          </w:p>
        </w:tc>
        <w:tc>
          <w:tcPr>
            <w:tcW w:w="992" w:type="dxa"/>
          </w:tcPr>
          <w:p w14:paraId="5C34913F" w14:textId="77777777" w:rsidR="0017561A" w:rsidRDefault="0017561A" w:rsidP="004E0520">
            <w:pPr>
              <w:rPr>
                <w:sz w:val="20"/>
                <w:szCs w:val="20"/>
              </w:rPr>
            </w:pPr>
            <w:r w:rsidRPr="00192CCA">
              <w:rPr>
                <w:sz w:val="20"/>
                <w:szCs w:val="20"/>
              </w:rPr>
              <w:t>&lt;0.001</w:t>
            </w:r>
          </w:p>
        </w:tc>
        <w:tc>
          <w:tcPr>
            <w:tcW w:w="709" w:type="dxa"/>
          </w:tcPr>
          <w:p w14:paraId="67B4FD58" w14:textId="77777777" w:rsidR="0017561A" w:rsidRPr="00192CCA" w:rsidRDefault="0017561A" w:rsidP="004E0520">
            <w:pPr>
              <w:rPr>
                <w:sz w:val="20"/>
                <w:szCs w:val="20"/>
              </w:rPr>
            </w:pPr>
            <w:r>
              <w:rPr>
                <w:sz w:val="20"/>
                <w:szCs w:val="20"/>
              </w:rPr>
              <w:t>1.33</w:t>
            </w:r>
          </w:p>
        </w:tc>
        <w:tc>
          <w:tcPr>
            <w:tcW w:w="1418" w:type="dxa"/>
          </w:tcPr>
          <w:p w14:paraId="2568028B" w14:textId="77777777" w:rsidR="0017561A" w:rsidRPr="00192CCA" w:rsidRDefault="0017561A" w:rsidP="004E0520">
            <w:pPr>
              <w:rPr>
                <w:sz w:val="20"/>
                <w:szCs w:val="20"/>
              </w:rPr>
            </w:pPr>
            <w:r>
              <w:rPr>
                <w:sz w:val="20"/>
                <w:szCs w:val="20"/>
              </w:rPr>
              <w:t>1.05 – 1.69</w:t>
            </w:r>
          </w:p>
        </w:tc>
        <w:tc>
          <w:tcPr>
            <w:tcW w:w="992" w:type="dxa"/>
          </w:tcPr>
          <w:p w14:paraId="223665B7" w14:textId="77777777" w:rsidR="0017561A" w:rsidRDefault="0017561A" w:rsidP="004E0520">
            <w:pPr>
              <w:rPr>
                <w:sz w:val="20"/>
                <w:szCs w:val="20"/>
              </w:rPr>
            </w:pPr>
            <w:r>
              <w:rPr>
                <w:sz w:val="20"/>
                <w:szCs w:val="20"/>
              </w:rPr>
              <w:t xml:space="preserve">  0.016</w:t>
            </w:r>
          </w:p>
        </w:tc>
      </w:tr>
      <w:tr w:rsidR="0017561A" w:rsidRPr="000E6139" w14:paraId="11329F61" w14:textId="77777777" w:rsidTr="004E0520">
        <w:trPr>
          <w:jc w:val="center"/>
        </w:trPr>
        <w:tc>
          <w:tcPr>
            <w:tcW w:w="3823" w:type="dxa"/>
          </w:tcPr>
          <w:p w14:paraId="501D7C39" w14:textId="77777777" w:rsidR="0017561A" w:rsidRPr="00192CCA" w:rsidRDefault="0017561A" w:rsidP="004E0520">
            <w:pPr>
              <w:rPr>
                <w:sz w:val="20"/>
                <w:szCs w:val="20"/>
              </w:rPr>
            </w:pPr>
            <w:r>
              <w:rPr>
                <w:sz w:val="20"/>
                <w:szCs w:val="20"/>
              </w:rPr>
              <w:t>No</w:t>
            </w:r>
          </w:p>
        </w:tc>
        <w:tc>
          <w:tcPr>
            <w:tcW w:w="1417" w:type="dxa"/>
          </w:tcPr>
          <w:p w14:paraId="16337E30" w14:textId="77777777" w:rsidR="0017561A" w:rsidRDefault="0017561A" w:rsidP="004E0520">
            <w:pPr>
              <w:rPr>
                <w:sz w:val="20"/>
                <w:szCs w:val="20"/>
              </w:rPr>
            </w:pPr>
            <w:r>
              <w:rPr>
                <w:sz w:val="20"/>
                <w:szCs w:val="20"/>
              </w:rPr>
              <w:t>828 (43.01)</w:t>
            </w:r>
          </w:p>
        </w:tc>
        <w:tc>
          <w:tcPr>
            <w:tcW w:w="1418" w:type="dxa"/>
          </w:tcPr>
          <w:p w14:paraId="507CA4FE" w14:textId="77777777" w:rsidR="0017561A" w:rsidRDefault="0017561A" w:rsidP="004E0520">
            <w:pPr>
              <w:rPr>
                <w:sz w:val="20"/>
                <w:szCs w:val="20"/>
              </w:rPr>
            </w:pPr>
            <w:r>
              <w:rPr>
                <w:sz w:val="20"/>
                <w:szCs w:val="20"/>
              </w:rPr>
              <w:t>1,097 (56.99)</w:t>
            </w:r>
          </w:p>
        </w:tc>
        <w:tc>
          <w:tcPr>
            <w:tcW w:w="992" w:type="dxa"/>
          </w:tcPr>
          <w:p w14:paraId="58D28EE5" w14:textId="77777777" w:rsidR="0017561A" w:rsidRPr="00192CCA" w:rsidRDefault="0017561A" w:rsidP="004E0520">
            <w:pPr>
              <w:rPr>
                <w:sz w:val="20"/>
                <w:szCs w:val="20"/>
              </w:rPr>
            </w:pPr>
          </w:p>
        </w:tc>
        <w:tc>
          <w:tcPr>
            <w:tcW w:w="709" w:type="dxa"/>
          </w:tcPr>
          <w:p w14:paraId="20C0D33D" w14:textId="77777777" w:rsidR="0017561A" w:rsidRDefault="0017561A" w:rsidP="004E0520">
            <w:pPr>
              <w:rPr>
                <w:sz w:val="20"/>
                <w:szCs w:val="20"/>
              </w:rPr>
            </w:pPr>
            <w:r>
              <w:rPr>
                <w:sz w:val="20"/>
                <w:szCs w:val="20"/>
              </w:rPr>
              <w:t>1.00</w:t>
            </w:r>
          </w:p>
        </w:tc>
        <w:tc>
          <w:tcPr>
            <w:tcW w:w="1417" w:type="dxa"/>
          </w:tcPr>
          <w:p w14:paraId="2074A227" w14:textId="77777777" w:rsidR="0017561A" w:rsidRPr="00192CCA" w:rsidRDefault="0017561A" w:rsidP="004E0520">
            <w:pPr>
              <w:rPr>
                <w:sz w:val="20"/>
                <w:szCs w:val="20"/>
              </w:rPr>
            </w:pPr>
            <w:r w:rsidRPr="00192CCA">
              <w:rPr>
                <w:sz w:val="20"/>
                <w:szCs w:val="20"/>
              </w:rPr>
              <w:t>-----     -----</w:t>
            </w:r>
          </w:p>
        </w:tc>
        <w:tc>
          <w:tcPr>
            <w:tcW w:w="992" w:type="dxa"/>
          </w:tcPr>
          <w:p w14:paraId="357D8796" w14:textId="77777777" w:rsidR="0017561A" w:rsidRDefault="0017561A" w:rsidP="004E0520">
            <w:pPr>
              <w:rPr>
                <w:sz w:val="20"/>
                <w:szCs w:val="20"/>
              </w:rPr>
            </w:pPr>
            <w:r>
              <w:rPr>
                <w:sz w:val="20"/>
                <w:szCs w:val="20"/>
              </w:rPr>
              <w:t xml:space="preserve">  </w:t>
            </w:r>
            <w:r w:rsidRPr="00192CCA">
              <w:rPr>
                <w:sz w:val="20"/>
                <w:szCs w:val="20"/>
              </w:rPr>
              <w:t>-------</w:t>
            </w:r>
          </w:p>
        </w:tc>
        <w:tc>
          <w:tcPr>
            <w:tcW w:w="709" w:type="dxa"/>
          </w:tcPr>
          <w:p w14:paraId="2BC76208" w14:textId="77777777" w:rsidR="0017561A" w:rsidRPr="00192CCA" w:rsidRDefault="0017561A" w:rsidP="004E0520">
            <w:pPr>
              <w:rPr>
                <w:sz w:val="20"/>
                <w:szCs w:val="20"/>
              </w:rPr>
            </w:pPr>
            <w:r>
              <w:rPr>
                <w:sz w:val="20"/>
                <w:szCs w:val="20"/>
              </w:rPr>
              <w:t>1.00</w:t>
            </w:r>
          </w:p>
        </w:tc>
        <w:tc>
          <w:tcPr>
            <w:tcW w:w="1418" w:type="dxa"/>
          </w:tcPr>
          <w:p w14:paraId="1B088CE6" w14:textId="77777777" w:rsidR="0017561A" w:rsidRPr="00192CCA" w:rsidRDefault="0017561A" w:rsidP="004E0520">
            <w:pPr>
              <w:rPr>
                <w:sz w:val="20"/>
                <w:szCs w:val="20"/>
              </w:rPr>
            </w:pPr>
            <w:r w:rsidRPr="00192CCA">
              <w:rPr>
                <w:sz w:val="20"/>
                <w:szCs w:val="20"/>
              </w:rPr>
              <w:t>-----     -----</w:t>
            </w:r>
          </w:p>
        </w:tc>
        <w:tc>
          <w:tcPr>
            <w:tcW w:w="992" w:type="dxa"/>
          </w:tcPr>
          <w:p w14:paraId="32120BAD" w14:textId="77777777" w:rsidR="0017561A" w:rsidRDefault="0017561A" w:rsidP="004E0520">
            <w:pPr>
              <w:rPr>
                <w:sz w:val="20"/>
                <w:szCs w:val="20"/>
              </w:rPr>
            </w:pPr>
            <w:r>
              <w:rPr>
                <w:sz w:val="20"/>
                <w:szCs w:val="20"/>
              </w:rPr>
              <w:t xml:space="preserve">  </w:t>
            </w:r>
            <w:r w:rsidRPr="00192CCA">
              <w:rPr>
                <w:sz w:val="20"/>
                <w:szCs w:val="20"/>
              </w:rPr>
              <w:t>-------</w:t>
            </w:r>
          </w:p>
          <w:p w14:paraId="7956C78F" w14:textId="77777777" w:rsidR="0017561A" w:rsidRPr="00E60CF0" w:rsidRDefault="0017561A" w:rsidP="004E0520">
            <w:pPr>
              <w:rPr>
                <w:sz w:val="16"/>
                <w:szCs w:val="16"/>
              </w:rPr>
            </w:pPr>
          </w:p>
        </w:tc>
      </w:tr>
      <w:tr w:rsidR="0017561A" w:rsidRPr="000E6139" w14:paraId="52738E45" w14:textId="77777777" w:rsidTr="004E0520">
        <w:trPr>
          <w:jc w:val="center"/>
        </w:trPr>
        <w:tc>
          <w:tcPr>
            <w:tcW w:w="3823" w:type="dxa"/>
          </w:tcPr>
          <w:p w14:paraId="5E190B67" w14:textId="77777777" w:rsidR="0017561A" w:rsidRDefault="0017561A" w:rsidP="004E0520">
            <w:pPr>
              <w:rPr>
                <w:sz w:val="20"/>
                <w:szCs w:val="20"/>
              </w:rPr>
            </w:pPr>
            <w:r w:rsidRPr="00192CCA">
              <w:rPr>
                <w:b/>
                <w:bCs/>
                <w:sz w:val="20"/>
                <w:szCs w:val="20"/>
              </w:rPr>
              <w:t xml:space="preserve">Multiple </w:t>
            </w:r>
            <w:r>
              <w:rPr>
                <w:b/>
                <w:bCs/>
                <w:sz w:val="20"/>
                <w:szCs w:val="20"/>
              </w:rPr>
              <w:t>Tumors</w:t>
            </w:r>
            <w:r>
              <w:rPr>
                <w:b/>
                <w:bCs/>
                <w:sz w:val="20"/>
                <w:szCs w:val="20"/>
                <w:vertAlign w:val="superscript"/>
              </w:rPr>
              <w:t>h</w:t>
            </w:r>
          </w:p>
        </w:tc>
        <w:tc>
          <w:tcPr>
            <w:tcW w:w="1417" w:type="dxa"/>
          </w:tcPr>
          <w:p w14:paraId="01D74CFB" w14:textId="77777777" w:rsidR="0017561A" w:rsidRDefault="0017561A" w:rsidP="004E0520">
            <w:pPr>
              <w:rPr>
                <w:sz w:val="20"/>
                <w:szCs w:val="20"/>
              </w:rPr>
            </w:pPr>
          </w:p>
        </w:tc>
        <w:tc>
          <w:tcPr>
            <w:tcW w:w="1418" w:type="dxa"/>
          </w:tcPr>
          <w:p w14:paraId="3BB0F580" w14:textId="77777777" w:rsidR="0017561A" w:rsidRDefault="0017561A" w:rsidP="004E0520">
            <w:pPr>
              <w:rPr>
                <w:sz w:val="20"/>
                <w:szCs w:val="20"/>
              </w:rPr>
            </w:pPr>
          </w:p>
        </w:tc>
        <w:tc>
          <w:tcPr>
            <w:tcW w:w="992" w:type="dxa"/>
          </w:tcPr>
          <w:p w14:paraId="0EC711D0" w14:textId="77777777" w:rsidR="0017561A" w:rsidRPr="00192CCA" w:rsidRDefault="0017561A" w:rsidP="004E0520">
            <w:pPr>
              <w:rPr>
                <w:sz w:val="20"/>
                <w:szCs w:val="20"/>
              </w:rPr>
            </w:pPr>
            <w:r>
              <w:rPr>
                <w:sz w:val="20"/>
                <w:szCs w:val="20"/>
              </w:rPr>
              <w:t xml:space="preserve"> </w:t>
            </w:r>
            <w:r w:rsidRPr="00192CCA">
              <w:rPr>
                <w:sz w:val="20"/>
                <w:szCs w:val="20"/>
              </w:rPr>
              <w:t>0.001</w:t>
            </w:r>
          </w:p>
        </w:tc>
        <w:tc>
          <w:tcPr>
            <w:tcW w:w="709" w:type="dxa"/>
          </w:tcPr>
          <w:p w14:paraId="060308AC" w14:textId="77777777" w:rsidR="0017561A" w:rsidRDefault="0017561A" w:rsidP="004E0520">
            <w:pPr>
              <w:rPr>
                <w:sz w:val="20"/>
                <w:szCs w:val="20"/>
              </w:rPr>
            </w:pPr>
          </w:p>
        </w:tc>
        <w:tc>
          <w:tcPr>
            <w:tcW w:w="1417" w:type="dxa"/>
          </w:tcPr>
          <w:p w14:paraId="3D705320" w14:textId="77777777" w:rsidR="0017561A" w:rsidRDefault="0017561A" w:rsidP="004E0520">
            <w:pPr>
              <w:rPr>
                <w:sz w:val="20"/>
                <w:szCs w:val="20"/>
              </w:rPr>
            </w:pPr>
          </w:p>
        </w:tc>
        <w:tc>
          <w:tcPr>
            <w:tcW w:w="992" w:type="dxa"/>
          </w:tcPr>
          <w:p w14:paraId="1931C5A6" w14:textId="77777777" w:rsidR="0017561A" w:rsidRPr="00192CCA" w:rsidRDefault="0017561A" w:rsidP="004E0520">
            <w:pPr>
              <w:rPr>
                <w:sz w:val="20"/>
                <w:szCs w:val="20"/>
              </w:rPr>
            </w:pPr>
            <w:r>
              <w:rPr>
                <w:b/>
                <w:bCs/>
                <w:sz w:val="20"/>
                <w:szCs w:val="20"/>
              </w:rPr>
              <w:t xml:space="preserve">  </w:t>
            </w:r>
            <w:r w:rsidRPr="00192CCA">
              <w:rPr>
                <w:b/>
                <w:bCs/>
                <w:sz w:val="20"/>
                <w:szCs w:val="20"/>
              </w:rPr>
              <w:t>0.001</w:t>
            </w:r>
          </w:p>
        </w:tc>
        <w:tc>
          <w:tcPr>
            <w:tcW w:w="709" w:type="dxa"/>
          </w:tcPr>
          <w:p w14:paraId="25782EAC" w14:textId="77777777" w:rsidR="0017561A" w:rsidRDefault="0017561A" w:rsidP="004E0520">
            <w:pPr>
              <w:rPr>
                <w:sz w:val="20"/>
                <w:szCs w:val="20"/>
              </w:rPr>
            </w:pPr>
          </w:p>
        </w:tc>
        <w:tc>
          <w:tcPr>
            <w:tcW w:w="1418" w:type="dxa"/>
          </w:tcPr>
          <w:p w14:paraId="0EA34D43" w14:textId="77777777" w:rsidR="0017561A" w:rsidRPr="00192CCA" w:rsidRDefault="0017561A" w:rsidP="004E0520">
            <w:pPr>
              <w:rPr>
                <w:sz w:val="20"/>
                <w:szCs w:val="20"/>
              </w:rPr>
            </w:pPr>
          </w:p>
        </w:tc>
        <w:tc>
          <w:tcPr>
            <w:tcW w:w="992" w:type="dxa"/>
          </w:tcPr>
          <w:p w14:paraId="29D7AF79" w14:textId="17B7FD96" w:rsidR="0017561A" w:rsidRDefault="0017561A" w:rsidP="004E0520">
            <w:pPr>
              <w:rPr>
                <w:sz w:val="20"/>
                <w:szCs w:val="20"/>
              </w:rPr>
            </w:pPr>
            <w:r>
              <w:rPr>
                <w:sz w:val="20"/>
                <w:szCs w:val="20"/>
              </w:rPr>
              <w:t xml:space="preserve"> </w:t>
            </w:r>
            <w:r w:rsidRPr="00192CCA">
              <w:rPr>
                <w:sz w:val="20"/>
                <w:szCs w:val="20"/>
              </w:rPr>
              <w:t>-------</w:t>
            </w:r>
            <w:r w:rsidR="00B32B6C" w:rsidRPr="00887E7E">
              <w:rPr>
                <w:sz w:val="20"/>
                <w:szCs w:val="20"/>
                <w:vertAlign w:val="superscript"/>
              </w:rPr>
              <w:t>l</w:t>
            </w:r>
          </w:p>
        </w:tc>
      </w:tr>
      <w:tr w:rsidR="0017561A" w:rsidRPr="000E6139" w14:paraId="4FF031D1" w14:textId="77777777" w:rsidTr="004E0520">
        <w:trPr>
          <w:jc w:val="center"/>
        </w:trPr>
        <w:tc>
          <w:tcPr>
            <w:tcW w:w="3823" w:type="dxa"/>
          </w:tcPr>
          <w:p w14:paraId="3625DAB0" w14:textId="77777777" w:rsidR="0017561A" w:rsidRDefault="0017561A" w:rsidP="004E0520">
            <w:pPr>
              <w:rPr>
                <w:sz w:val="20"/>
                <w:szCs w:val="20"/>
              </w:rPr>
            </w:pPr>
            <w:r w:rsidRPr="00192CCA">
              <w:rPr>
                <w:sz w:val="20"/>
                <w:szCs w:val="20"/>
              </w:rPr>
              <w:t>1</w:t>
            </w:r>
            <w:r>
              <w:rPr>
                <w:sz w:val="20"/>
                <w:szCs w:val="20"/>
              </w:rPr>
              <w:t xml:space="preserve"> Tumor Only</w:t>
            </w:r>
          </w:p>
        </w:tc>
        <w:tc>
          <w:tcPr>
            <w:tcW w:w="1417" w:type="dxa"/>
          </w:tcPr>
          <w:p w14:paraId="654361CF" w14:textId="77777777" w:rsidR="0017561A" w:rsidRDefault="0017561A" w:rsidP="004E0520">
            <w:pPr>
              <w:rPr>
                <w:sz w:val="20"/>
                <w:szCs w:val="20"/>
              </w:rPr>
            </w:pPr>
            <w:r>
              <w:rPr>
                <w:sz w:val="20"/>
                <w:szCs w:val="20"/>
              </w:rPr>
              <w:t>941 (46.20)</w:t>
            </w:r>
          </w:p>
        </w:tc>
        <w:tc>
          <w:tcPr>
            <w:tcW w:w="1418" w:type="dxa"/>
          </w:tcPr>
          <w:p w14:paraId="650C342A" w14:textId="77777777" w:rsidR="0017561A" w:rsidRDefault="0017561A" w:rsidP="004E0520">
            <w:pPr>
              <w:rPr>
                <w:sz w:val="20"/>
                <w:szCs w:val="20"/>
              </w:rPr>
            </w:pPr>
            <w:r>
              <w:rPr>
                <w:sz w:val="20"/>
                <w:szCs w:val="20"/>
              </w:rPr>
              <w:t>1,096 (53.80)</w:t>
            </w:r>
          </w:p>
        </w:tc>
        <w:tc>
          <w:tcPr>
            <w:tcW w:w="992" w:type="dxa"/>
          </w:tcPr>
          <w:p w14:paraId="203A13AA" w14:textId="77777777" w:rsidR="0017561A" w:rsidRPr="00192CCA" w:rsidRDefault="0017561A" w:rsidP="004E0520">
            <w:pPr>
              <w:rPr>
                <w:sz w:val="20"/>
                <w:szCs w:val="20"/>
              </w:rPr>
            </w:pPr>
          </w:p>
        </w:tc>
        <w:tc>
          <w:tcPr>
            <w:tcW w:w="709" w:type="dxa"/>
          </w:tcPr>
          <w:p w14:paraId="6F112384" w14:textId="77777777" w:rsidR="0017561A" w:rsidRDefault="0017561A" w:rsidP="004E0520">
            <w:pPr>
              <w:rPr>
                <w:sz w:val="20"/>
                <w:szCs w:val="20"/>
              </w:rPr>
            </w:pPr>
            <w:r w:rsidRPr="00192CCA">
              <w:rPr>
                <w:sz w:val="20"/>
                <w:szCs w:val="20"/>
              </w:rPr>
              <w:t>1.00</w:t>
            </w:r>
          </w:p>
        </w:tc>
        <w:tc>
          <w:tcPr>
            <w:tcW w:w="1417" w:type="dxa"/>
          </w:tcPr>
          <w:p w14:paraId="7F8C7915" w14:textId="77777777" w:rsidR="0017561A" w:rsidRDefault="0017561A" w:rsidP="004E0520">
            <w:pPr>
              <w:rPr>
                <w:sz w:val="20"/>
                <w:szCs w:val="20"/>
              </w:rPr>
            </w:pPr>
            <w:r w:rsidRPr="00192CCA">
              <w:rPr>
                <w:sz w:val="20"/>
                <w:szCs w:val="20"/>
              </w:rPr>
              <w:t>-----     -----</w:t>
            </w:r>
          </w:p>
        </w:tc>
        <w:tc>
          <w:tcPr>
            <w:tcW w:w="992" w:type="dxa"/>
          </w:tcPr>
          <w:p w14:paraId="4B0E1DAE" w14:textId="77777777" w:rsidR="0017561A" w:rsidRPr="00192CCA" w:rsidRDefault="0017561A" w:rsidP="004E0520">
            <w:pPr>
              <w:rPr>
                <w:sz w:val="20"/>
                <w:szCs w:val="20"/>
              </w:rPr>
            </w:pPr>
            <w:r>
              <w:rPr>
                <w:sz w:val="20"/>
                <w:szCs w:val="20"/>
              </w:rPr>
              <w:t xml:space="preserve">  </w:t>
            </w:r>
            <w:r w:rsidRPr="00192CCA">
              <w:rPr>
                <w:sz w:val="20"/>
                <w:szCs w:val="20"/>
              </w:rPr>
              <w:t>-------</w:t>
            </w:r>
          </w:p>
        </w:tc>
        <w:tc>
          <w:tcPr>
            <w:tcW w:w="709" w:type="dxa"/>
          </w:tcPr>
          <w:p w14:paraId="77956A35" w14:textId="77777777" w:rsidR="0017561A" w:rsidRDefault="0017561A" w:rsidP="004E0520">
            <w:pPr>
              <w:rPr>
                <w:sz w:val="20"/>
                <w:szCs w:val="20"/>
              </w:rPr>
            </w:pPr>
            <w:r w:rsidRPr="00192CCA">
              <w:rPr>
                <w:sz w:val="20"/>
                <w:szCs w:val="20"/>
              </w:rPr>
              <w:t>-------</w:t>
            </w:r>
          </w:p>
        </w:tc>
        <w:tc>
          <w:tcPr>
            <w:tcW w:w="1418" w:type="dxa"/>
          </w:tcPr>
          <w:p w14:paraId="3A1876D4" w14:textId="77777777" w:rsidR="0017561A" w:rsidRPr="00192CCA" w:rsidRDefault="0017561A" w:rsidP="004E0520">
            <w:pPr>
              <w:rPr>
                <w:sz w:val="20"/>
                <w:szCs w:val="20"/>
              </w:rPr>
            </w:pPr>
            <w:r w:rsidRPr="00192CCA">
              <w:rPr>
                <w:sz w:val="20"/>
                <w:szCs w:val="20"/>
              </w:rPr>
              <w:t>-----     -----</w:t>
            </w:r>
          </w:p>
        </w:tc>
        <w:tc>
          <w:tcPr>
            <w:tcW w:w="992" w:type="dxa"/>
          </w:tcPr>
          <w:p w14:paraId="57937B5B" w14:textId="77777777" w:rsidR="0017561A" w:rsidRDefault="0017561A" w:rsidP="004E0520">
            <w:pPr>
              <w:rPr>
                <w:sz w:val="20"/>
                <w:szCs w:val="20"/>
              </w:rPr>
            </w:pPr>
            <w:r>
              <w:rPr>
                <w:sz w:val="20"/>
                <w:szCs w:val="20"/>
              </w:rPr>
              <w:t xml:space="preserve">  </w:t>
            </w:r>
            <w:r w:rsidRPr="00192CCA">
              <w:rPr>
                <w:sz w:val="20"/>
                <w:szCs w:val="20"/>
              </w:rPr>
              <w:t>-------</w:t>
            </w:r>
          </w:p>
        </w:tc>
      </w:tr>
      <w:tr w:rsidR="0017561A" w:rsidRPr="000E6139" w14:paraId="70E95BD3" w14:textId="77777777" w:rsidTr="004E0520">
        <w:trPr>
          <w:jc w:val="center"/>
        </w:trPr>
        <w:tc>
          <w:tcPr>
            <w:tcW w:w="3823" w:type="dxa"/>
          </w:tcPr>
          <w:p w14:paraId="4CB3FE02" w14:textId="77777777" w:rsidR="0017561A" w:rsidRDefault="0017561A" w:rsidP="004E0520">
            <w:pPr>
              <w:rPr>
                <w:sz w:val="20"/>
                <w:szCs w:val="20"/>
              </w:rPr>
            </w:pPr>
            <w:r w:rsidRPr="00192CCA">
              <w:rPr>
                <w:sz w:val="20"/>
                <w:szCs w:val="20"/>
              </w:rPr>
              <w:t>&gt;1</w:t>
            </w:r>
            <w:r>
              <w:rPr>
                <w:sz w:val="20"/>
                <w:szCs w:val="20"/>
              </w:rPr>
              <w:t xml:space="preserve"> Tumors</w:t>
            </w:r>
          </w:p>
        </w:tc>
        <w:tc>
          <w:tcPr>
            <w:tcW w:w="1417" w:type="dxa"/>
          </w:tcPr>
          <w:p w14:paraId="30247FD3" w14:textId="77777777" w:rsidR="0017561A" w:rsidRDefault="0017561A" w:rsidP="004E0520">
            <w:pPr>
              <w:rPr>
                <w:sz w:val="20"/>
                <w:szCs w:val="20"/>
              </w:rPr>
            </w:pPr>
            <w:r>
              <w:rPr>
                <w:sz w:val="20"/>
                <w:szCs w:val="20"/>
              </w:rPr>
              <w:t>121 (36.45)</w:t>
            </w:r>
          </w:p>
        </w:tc>
        <w:tc>
          <w:tcPr>
            <w:tcW w:w="1418" w:type="dxa"/>
          </w:tcPr>
          <w:p w14:paraId="0348871D" w14:textId="77777777" w:rsidR="0017561A" w:rsidRDefault="0017561A" w:rsidP="004E0520">
            <w:pPr>
              <w:rPr>
                <w:sz w:val="20"/>
                <w:szCs w:val="20"/>
              </w:rPr>
            </w:pPr>
            <w:r>
              <w:rPr>
                <w:sz w:val="20"/>
                <w:szCs w:val="20"/>
              </w:rPr>
              <w:t>211 (63.55)</w:t>
            </w:r>
          </w:p>
        </w:tc>
        <w:tc>
          <w:tcPr>
            <w:tcW w:w="992" w:type="dxa"/>
          </w:tcPr>
          <w:p w14:paraId="107425A0" w14:textId="77777777" w:rsidR="0017561A" w:rsidRPr="00192CCA" w:rsidRDefault="0017561A" w:rsidP="004E0520">
            <w:pPr>
              <w:rPr>
                <w:sz w:val="20"/>
                <w:szCs w:val="20"/>
              </w:rPr>
            </w:pPr>
          </w:p>
        </w:tc>
        <w:tc>
          <w:tcPr>
            <w:tcW w:w="709" w:type="dxa"/>
          </w:tcPr>
          <w:p w14:paraId="52D4268B" w14:textId="77777777" w:rsidR="0017561A" w:rsidRDefault="0017561A" w:rsidP="004E0520">
            <w:pPr>
              <w:rPr>
                <w:sz w:val="20"/>
                <w:szCs w:val="20"/>
              </w:rPr>
            </w:pPr>
            <w:r w:rsidRPr="00192CCA">
              <w:rPr>
                <w:sz w:val="20"/>
                <w:szCs w:val="20"/>
              </w:rPr>
              <w:t>0.6</w:t>
            </w:r>
            <w:r>
              <w:rPr>
                <w:sz w:val="20"/>
                <w:szCs w:val="20"/>
              </w:rPr>
              <w:t>7</w:t>
            </w:r>
          </w:p>
        </w:tc>
        <w:tc>
          <w:tcPr>
            <w:tcW w:w="1417" w:type="dxa"/>
          </w:tcPr>
          <w:p w14:paraId="2FD794EA" w14:textId="77777777" w:rsidR="0017561A" w:rsidRDefault="0017561A" w:rsidP="004E0520">
            <w:pPr>
              <w:rPr>
                <w:sz w:val="20"/>
                <w:szCs w:val="20"/>
              </w:rPr>
            </w:pPr>
            <w:r w:rsidRPr="00192CCA">
              <w:rPr>
                <w:sz w:val="20"/>
                <w:szCs w:val="20"/>
              </w:rPr>
              <w:t>0.5</w:t>
            </w:r>
            <w:r>
              <w:rPr>
                <w:sz w:val="20"/>
                <w:szCs w:val="20"/>
              </w:rPr>
              <w:t>3</w:t>
            </w:r>
            <w:r w:rsidRPr="00192CCA">
              <w:rPr>
                <w:sz w:val="20"/>
                <w:szCs w:val="20"/>
              </w:rPr>
              <w:t xml:space="preserve"> – 0.</w:t>
            </w:r>
            <w:r>
              <w:rPr>
                <w:sz w:val="20"/>
                <w:szCs w:val="20"/>
              </w:rPr>
              <w:t>85</w:t>
            </w:r>
          </w:p>
        </w:tc>
        <w:tc>
          <w:tcPr>
            <w:tcW w:w="992" w:type="dxa"/>
          </w:tcPr>
          <w:p w14:paraId="7C78967E" w14:textId="77777777" w:rsidR="0017561A" w:rsidRPr="00192CCA" w:rsidRDefault="0017561A" w:rsidP="004E0520">
            <w:pPr>
              <w:rPr>
                <w:sz w:val="20"/>
                <w:szCs w:val="20"/>
              </w:rPr>
            </w:pPr>
            <w:r>
              <w:rPr>
                <w:sz w:val="20"/>
                <w:szCs w:val="20"/>
              </w:rPr>
              <w:t xml:space="preserve">  </w:t>
            </w:r>
            <w:r w:rsidRPr="00192CCA">
              <w:rPr>
                <w:sz w:val="20"/>
                <w:szCs w:val="20"/>
              </w:rPr>
              <w:t>0.001</w:t>
            </w:r>
          </w:p>
        </w:tc>
        <w:tc>
          <w:tcPr>
            <w:tcW w:w="709" w:type="dxa"/>
          </w:tcPr>
          <w:p w14:paraId="39325689" w14:textId="77777777" w:rsidR="0017561A" w:rsidRDefault="0017561A" w:rsidP="004E0520">
            <w:pPr>
              <w:rPr>
                <w:sz w:val="20"/>
                <w:szCs w:val="20"/>
              </w:rPr>
            </w:pPr>
            <w:r w:rsidRPr="00192CCA">
              <w:rPr>
                <w:sz w:val="20"/>
                <w:szCs w:val="20"/>
              </w:rPr>
              <w:t>-------</w:t>
            </w:r>
          </w:p>
        </w:tc>
        <w:tc>
          <w:tcPr>
            <w:tcW w:w="1418" w:type="dxa"/>
          </w:tcPr>
          <w:p w14:paraId="5B2E9BDC" w14:textId="77777777" w:rsidR="0017561A" w:rsidRPr="00192CCA" w:rsidRDefault="0017561A" w:rsidP="004E0520">
            <w:pPr>
              <w:rPr>
                <w:sz w:val="20"/>
                <w:szCs w:val="20"/>
              </w:rPr>
            </w:pPr>
            <w:r w:rsidRPr="00192CCA">
              <w:rPr>
                <w:sz w:val="20"/>
                <w:szCs w:val="20"/>
              </w:rPr>
              <w:t>-----     -----</w:t>
            </w:r>
          </w:p>
        </w:tc>
        <w:tc>
          <w:tcPr>
            <w:tcW w:w="992" w:type="dxa"/>
          </w:tcPr>
          <w:p w14:paraId="261E3BD0" w14:textId="77777777" w:rsidR="0017561A" w:rsidRDefault="0017561A" w:rsidP="004E0520">
            <w:pPr>
              <w:rPr>
                <w:sz w:val="20"/>
                <w:szCs w:val="20"/>
              </w:rPr>
            </w:pPr>
            <w:r>
              <w:rPr>
                <w:sz w:val="20"/>
                <w:szCs w:val="20"/>
              </w:rPr>
              <w:t xml:space="preserve">  </w:t>
            </w:r>
            <w:r w:rsidRPr="00192CCA">
              <w:rPr>
                <w:sz w:val="20"/>
                <w:szCs w:val="20"/>
              </w:rPr>
              <w:t>-------</w:t>
            </w:r>
          </w:p>
        </w:tc>
      </w:tr>
      <w:tr w:rsidR="0017561A" w:rsidRPr="000E6139" w14:paraId="06666B55" w14:textId="77777777" w:rsidTr="004E0520">
        <w:trPr>
          <w:jc w:val="center"/>
        </w:trPr>
        <w:tc>
          <w:tcPr>
            <w:tcW w:w="3823" w:type="dxa"/>
            <w:tcBorders>
              <w:bottom w:val="single" w:sz="4" w:space="0" w:color="auto"/>
            </w:tcBorders>
          </w:tcPr>
          <w:p w14:paraId="43748F82" w14:textId="77777777" w:rsidR="0017561A" w:rsidRDefault="0017561A" w:rsidP="004E0520">
            <w:pPr>
              <w:rPr>
                <w:sz w:val="20"/>
                <w:szCs w:val="20"/>
              </w:rPr>
            </w:pPr>
          </w:p>
        </w:tc>
        <w:tc>
          <w:tcPr>
            <w:tcW w:w="1417" w:type="dxa"/>
            <w:tcBorders>
              <w:bottom w:val="single" w:sz="4" w:space="0" w:color="auto"/>
            </w:tcBorders>
          </w:tcPr>
          <w:p w14:paraId="69B2509B" w14:textId="77777777" w:rsidR="0017561A" w:rsidRDefault="0017561A" w:rsidP="004E0520">
            <w:pPr>
              <w:rPr>
                <w:sz w:val="20"/>
                <w:szCs w:val="20"/>
              </w:rPr>
            </w:pPr>
          </w:p>
        </w:tc>
        <w:tc>
          <w:tcPr>
            <w:tcW w:w="1418" w:type="dxa"/>
            <w:tcBorders>
              <w:bottom w:val="single" w:sz="4" w:space="0" w:color="auto"/>
            </w:tcBorders>
          </w:tcPr>
          <w:p w14:paraId="78CB371A" w14:textId="77777777" w:rsidR="0017561A" w:rsidRDefault="0017561A" w:rsidP="004E0520">
            <w:pPr>
              <w:rPr>
                <w:sz w:val="20"/>
                <w:szCs w:val="20"/>
              </w:rPr>
            </w:pPr>
          </w:p>
        </w:tc>
        <w:tc>
          <w:tcPr>
            <w:tcW w:w="992" w:type="dxa"/>
            <w:tcBorders>
              <w:bottom w:val="single" w:sz="4" w:space="0" w:color="auto"/>
            </w:tcBorders>
          </w:tcPr>
          <w:p w14:paraId="270DD6C2" w14:textId="77777777" w:rsidR="0017561A" w:rsidRPr="00192CCA" w:rsidRDefault="0017561A" w:rsidP="004E0520">
            <w:pPr>
              <w:rPr>
                <w:sz w:val="20"/>
                <w:szCs w:val="20"/>
              </w:rPr>
            </w:pPr>
          </w:p>
        </w:tc>
        <w:tc>
          <w:tcPr>
            <w:tcW w:w="709" w:type="dxa"/>
            <w:tcBorders>
              <w:bottom w:val="single" w:sz="4" w:space="0" w:color="auto"/>
            </w:tcBorders>
          </w:tcPr>
          <w:p w14:paraId="58F4A31F" w14:textId="77777777" w:rsidR="0017561A" w:rsidRDefault="0017561A" w:rsidP="004E0520">
            <w:pPr>
              <w:rPr>
                <w:sz w:val="20"/>
                <w:szCs w:val="20"/>
              </w:rPr>
            </w:pPr>
          </w:p>
        </w:tc>
        <w:tc>
          <w:tcPr>
            <w:tcW w:w="1417" w:type="dxa"/>
            <w:tcBorders>
              <w:bottom w:val="single" w:sz="4" w:space="0" w:color="auto"/>
            </w:tcBorders>
          </w:tcPr>
          <w:p w14:paraId="3C22C383" w14:textId="77777777" w:rsidR="0017561A" w:rsidRDefault="0017561A" w:rsidP="004E0520">
            <w:pPr>
              <w:rPr>
                <w:sz w:val="20"/>
                <w:szCs w:val="20"/>
              </w:rPr>
            </w:pPr>
          </w:p>
        </w:tc>
        <w:tc>
          <w:tcPr>
            <w:tcW w:w="992" w:type="dxa"/>
            <w:tcBorders>
              <w:bottom w:val="single" w:sz="4" w:space="0" w:color="auto"/>
            </w:tcBorders>
          </w:tcPr>
          <w:p w14:paraId="1CB35DF8" w14:textId="77777777" w:rsidR="0017561A" w:rsidRPr="00192CCA" w:rsidRDefault="0017561A" w:rsidP="004E0520">
            <w:pPr>
              <w:rPr>
                <w:sz w:val="20"/>
                <w:szCs w:val="20"/>
              </w:rPr>
            </w:pPr>
          </w:p>
        </w:tc>
        <w:tc>
          <w:tcPr>
            <w:tcW w:w="709" w:type="dxa"/>
            <w:tcBorders>
              <w:bottom w:val="single" w:sz="4" w:space="0" w:color="auto"/>
            </w:tcBorders>
          </w:tcPr>
          <w:p w14:paraId="2828C3B8" w14:textId="77777777" w:rsidR="0017561A" w:rsidRDefault="0017561A" w:rsidP="004E0520">
            <w:pPr>
              <w:rPr>
                <w:sz w:val="20"/>
                <w:szCs w:val="20"/>
              </w:rPr>
            </w:pPr>
          </w:p>
        </w:tc>
        <w:tc>
          <w:tcPr>
            <w:tcW w:w="1418" w:type="dxa"/>
            <w:tcBorders>
              <w:bottom w:val="single" w:sz="4" w:space="0" w:color="auto"/>
            </w:tcBorders>
          </w:tcPr>
          <w:p w14:paraId="3EE92E67" w14:textId="77777777" w:rsidR="0017561A" w:rsidRPr="00192CCA" w:rsidRDefault="0017561A" w:rsidP="004E0520">
            <w:pPr>
              <w:rPr>
                <w:sz w:val="20"/>
                <w:szCs w:val="20"/>
              </w:rPr>
            </w:pPr>
          </w:p>
        </w:tc>
        <w:tc>
          <w:tcPr>
            <w:tcW w:w="992" w:type="dxa"/>
            <w:tcBorders>
              <w:bottom w:val="single" w:sz="4" w:space="0" w:color="auto"/>
            </w:tcBorders>
          </w:tcPr>
          <w:p w14:paraId="12A606FA" w14:textId="77777777" w:rsidR="0017561A" w:rsidRDefault="0017561A" w:rsidP="004E0520">
            <w:pPr>
              <w:rPr>
                <w:sz w:val="20"/>
                <w:szCs w:val="20"/>
              </w:rPr>
            </w:pPr>
          </w:p>
        </w:tc>
      </w:tr>
      <w:tr w:rsidR="0017561A" w:rsidRPr="000E6139" w14:paraId="5811F231" w14:textId="77777777" w:rsidTr="004E0520">
        <w:trPr>
          <w:jc w:val="center"/>
        </w:trPr>
        <w:tc>
          <w:tcPr>
            <w:tcW w:w="3823" w:type="dxa"/>
            <w:tcBorders>
              <w:top w:val="single" w:sz="4" w:space="0" w:color="auto"/>
            </w:tcBorders>
          </w:tcPr>
          <w:p w14:paraId="22304C6F" w14:textId="77777777" w:rsidR="0017561A" w:rsidRPr="007C6648" w:rsidRDefault="0017561A" w:rsidP="004E0520">
            <w:pPr>
              <w:rPr>
                <w:sz w:val="20"/>
                <w:szCs w:val="20"/>
              </w:rPr>
            </w:pPr>
          </w:p>
        </w:tc>
        <w:tc>
          <w:tcPr>
            <w:tcW w:w="1417" w:type="dxa"/>
            <w:tcBorders>
              <w:top w:val="single" w:sz="4" w:space="0" w:color="auto"/>
            </w:tcBorders>
          </w:tcPr>
          <w:p w14:paraId="31F10CC6" w14:textId="77777777" w:rsidR="0017561A" w:rsidRDefault="0017561A" w:rsidP="004E0520">
            <w:pPr>
              <w:rPr>
                <w:sz w:val="20"/>
                <w:szCs w:val="20"/>
              </w:rPr>
            </w:pPr>
          </w:p>
        </w:tc>
        <w:tc>
          <w:tcPr>
            <w:tcW w:w="1418" w:type="dxa"/>
            <w:tcBorders>
              <w:top w:val="single" w:sz="4" w:space="0" w:color="auto"/>
            </w:tcBorders>
          </w:tcPr>
          <w:p w14:paraId="0783E897" w14:textId="77777777" w:rsidR="0017561A" w:rsidRDefault="0017561A" w:rsidP="004E0520">
            <w:pPr>
              <w:rPr>
                <w:sz w:val="20"/>
                <w:szCs w:val="20"/>
              </w:rPr>
            </w:pPr>
          </w:p>
        </w:tc>
        <w:tc>
          <w:tcPr>
            <w:tcW w:w="992" w:type="dxa"/>
            <w:tcBorders>
              <w:top w:val="single" w:sz="4" w:space="0" w:color="auto"/>
            </w:tcBorders>
          </w:tcPr>
          <w:p w14:paraId="6A7EA878" w14:textId="77777777" w:rsidR="0017561A" w:rsidRPr="000E6139" w:rsidRDefault="0017561A" w:rsidP="004E0520"/>
        </w:tc>
        <w:tc>
          <w:tcPr>
            <w:tcW w:w="709" w:type="dxa"/>
            <w:tcBorders>
              <w:top w:val="single" w:sz="4" w:space="0" w:color="auto"/>
            </w:tcBorders>
          </w:tcPr>
          <w:p w14:paraId="1811E59A" w14:textId="77777777" w:rsidR="0017561A" w:rsidRDefault="0017561A" w:rsidP="004E0520">
            <w:pPr>
              <w:rPr>
                <w:sz w:val="20"/>
                <w:szCs w:val="20"/>
              </w:rPr>
            </w:pPr>
          </w:p>
        </w:tc>
        <w:tc>
          <w:tcPr>
            <w:tcW w:w="1417" w:type="dxa"/>
            <w:tcBorders>
              <w:top w:val="single" w:sz="4" w:space="0" w:color="auto"/>
            </w:tcBorders>
          </w:tcPr>
          <w:p w14:paraId="01A20EE7" w14:textId="77777777" w:rsidR="0017561A" w:rsidRDefault="0017561A" w:rsidP="004E0520">
            <w:pPr>
              <w:rPr>
                <w:sz w:val="20"/>
                <w:szCs w:val="20"/>
              </w:rPr>
            </w:pPr>
          </w:p>
        </w:tc>
        <w:tc>
          <w:tcPr>
            <w:tcW w:w="992" w:type="dxa"/>
            <w:tcBorders>
              <w:top w:val="single" w:sz="4" w:space="0" w:color="auto"/>
            </w:tcBorders>
          </w:tcPr>
          <w:p w14:paraId="4122721C" w14:textId="77777777" w:rsidR="0017561A" w:rsidRPr="00AB4B54" w:rsidRDefault="0017561A" w:rsidP="004E0520">
            <w:pPr>
              <w:rPr>
                <w:sz w:val="20"/>
                <w:szCs w:val="20"/>
              </w:rPr>
            </w:pPr>
          </w:p>
        </w:tc>
        <w:tc>
          <w:tcPr>
            <w:tcW w:w="709" w:type="dxa"/>
            <w:tcBorders>
              <w:top w:val="single" w:sz="4" w:space="0" w:color="auto"/>
            </w:tcBorders>
          </w:tcPr>
          <w:p w14:paraId="61806CDE" w14:textId="77777777" w:rsidR="0017561A" w:rsidRDefault="0017561A" w:rsidP="004E0520">
            <w:pPr>
              <w:rPr>
                <w:sz w:val="20"/>
                <w:szCs w:val="20"/>
              </w:rPr>
            </w:pPr>
          </w:p>
        </w:tc>
        <w:tc>
          <w:tcPr>
            <w:tcW w:w="1418" w:type="dxa"/>
            <w:tcBorders>
              <w:top w:val="single" w:sz="4" w:space="0" w:color="auto"/>
            </w:tcBorders>
          </w:tcPr>
          <w:p w14:paraId="16DD7E02" w14:textId="77777777" w:rsidR="0017561A" w:rsidRDefault="0017561A" w:rsidP="004E0520">
            <w:pPr>
              <w:rPr>
                <w:sz w:val="20"/>
                <w:szCs w:val="20"/>
              </w:rPr>
            </w:pPr>
          </w:p>
        </w:tc>
        <w:tc>
          <w:tcPr>
            <w:tcW w:w="992" w:type="dxa"/>
            <w:tcBorders>
              <w:top w:val="single" w:sz="4" w:space="0" w:color="auto"/>
            </w:tcBorders>
          </w:tcPr>
          <w:p w14:paraId="4A37C1C8" w14:textId="77777777" w:rsidR="0017561A" w:rsidRPr="00256ACB" w:rsidRDefault="0017561A" w:rsidP="004E0520">
            <w:pPr>
              <w:rPr>
                <w:sz w:val="20"/>
                <w:szCs w:val="20"/>
              </w:rPr>
            </w:pPr>
          </w:p>
        </w:tc>
      </w:tr>
    </w:tbl>
    <w:p w14:paraId="43852827" w14:textId="77777777" w:rsidR="0017561A" w:rsidRDefault="0017561A" w:rsidP="0017561A">
      <w:pPr>
        <w:spacing w:line="360" w:lineRule="auto"/>
        <w:jc w:val="both"/>
        <w:rPr>
          <w:sz w:val="22"/>
          <w:szCs w:val="22"/>
        </w:rPr>
      </w:pPr>
    </w:p>
    <w:p w14:paraId="66623EA7" w14:textId="77777777" w:rsidR="0017561A" w:rsidRDefault="0017561A" w:rsidP="0017561A">
      <w:pPr>
        <w:spacing w:line="360" w:lineRule="auto"/>
        <w:jc w:val="both"/>
        <w:rPr>
          <w:sz w:val="22"/>
          <w:szCs w:val="22"/>
        </w:rPr>
      </w:pPr>
      <w:r w:rsidRPr="00940DA7">
        <w:rPr>
          <w:b/>
          <w:bCs/>
          <w:sz w:val="22"/>
          <w:szCs w:val="22"/>
        </w:rPr>
        <w:t xml:space="preserve">Table </w:t>
      </w:r>
      <w:r>
        <w:rPr>
          <w:b/>
          <w:bCs/>
          <w:sz w:val="22"/>
          <w:szCs w:val="22"/>
        </w:rPr>
        <w:t xml:space="preserve">3 </w:t>
      </w:r>
      <w:r w:rsidRPr="00DC2BF4">
        <w:rPr>
          <w:sz w:val="22"/>
          <w:szCs w:val="22"/>
        </w:rPr>
        <w:t>Continued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417"/>
        <w:gridCol w:w="1418"/>
        <w:gridCol w:w="992"/>
        <w:gridCol w:w="709"/>
        <w:gridCol w:w="1417"/>
        <w:gridCol w:w="992"/>
        <w:gridCol w:w="709"/>
        <w:gridCol w:w="1418"/>
        <w:gridCol w:w="992"/>
      </w:tblGrid>
      <w:tr w:rsidR="0017561A" w:rsidRPr="00842867" w14:paraId="759C8A09" w14:textId="77777777" w:rsidTr="004E0520">
        <w:trPr>
          <w:jc w:val="center"/>
        </w:trPr>
        <w:tc>
          <w:tcPr>
            <w:tcW w:w="3823" w:type="dxa"/>
            <w:tcBorders>
              <w:top w:val="single" w:sz="4" w:space="0" w:color="auto"/>
            </w:tcBorders>
          </w:tcPr>
          <w:p w14:paraId="620A6861" w14:textId="77777777" w:rsidR="0017561A" w:rsidRPr="007C6648" w:rsidRDefault="0017561A" w:rsidP="004E0520">
            <w:pPr>
              <w:rPr>
                <w:sz w:val="20"/>
                <w:szCs w:val="20"/>
              </w:rPr>
            </w:pPr>
          </w:p>
        </w:tc>
        <w:tc>
          <w:tcPr>
            <w:tcW w:w="1417" w:type="dxa"/>
            <w:tcBorders>
              <w:top w:val="single" w:sz="4" w:space="0" w:color="auto"/>
            </w:tcBorders>
          </w:tcPr>
          <w:p w14:paraId="445337AA" w14:textId="77777777" w:rsidR="0017561A" w:rsidRPr="007C6648" w:rsidRDefault="0017561A" w:rsidP="004E0520">
            <w:pPr>
              <w:rPr>
                <w:sz w:val="20"/>
                <w:szCs w:val="20"/>
              </w:rPr>
            </w:pPr>
          </w:p>
        </w:tc>
        <w:tc>
          <w:tcPr>
            <w:tcW w:w="1418" w:type="dxa"/>
            <w:tcBorders>
              <w:top w:val="single" w:sz="4" w:space="0" w:color="auto"/>
            </w:tcBorders>
          </w:tcPr>
          <w:p w14:paraId="478B5A36" w14:textId="77777777" w:rsidR="0017561A" w:rsidRPr="007C6648" w:rsidRDefault="0017561A" w:rsidP="004E0520">
            <w:pPr>
              <w:rPr>
                <w:sz w:val="20"/>
                <w:szCs w:val="20"/>
              </w:rPr>
            </w:pPr>
          </w:p>
        </w:tc>
        <w:tc>
          <w:tcPr>
            <w:tcW w:w="992" w:type="dxa"/>
            <w:tcBorders>
              <w:top w:val="single" w:sz="4" w:space="0" w:color="auto"/>
            </w:tcBorders>
          </w:tcPr>
          <w:p w14:paraId="4810A135" w14:textId="77777777" w:rsidR="0017561A" w:rsidRPr="00AB4B54" w:rsidRDefault="0017561A" w:rsidP="004E0520">
            <w:pPr>
              <w:rPr>
                <w:sz w:val="20"/>
                <w:szCs w:val="20"/>
              </w:rPr>
            </w:pPr>
          </w:p>
        </w:tc>
        <w:tc>
          <w:tcPr>
            <w:tcW w:w="3118" w:type="dxa"/>
            <w:gridSpan w:val="3"/>
            <w:tcBorders>
              <w:top w:val="single" w:sz="4" w:space="0" w:color="auto"/>
            </w:tcBorders>
          </w:tcPr>
          <w:p w14:paraId="4105550E" w14:textId="77777777" w:rsidR="0017561A" w:rsidRPr="001A1402" w:rsidRDefault="0017561A" w:rsidP="004E0520">
            <w:pPr>
              <w:rPr>
                <w:b/>
                <w:bCs/>
                <w:sz w:val="10"/>
                <w:szCs w:val="10"/>
              </w:rPr>
            </w:pPr>
          </w:p>
          <w:p w14:paraId="049CDC05" w14:textId="77777777" w:rsidR="0017561A" w:rsidRDefault="0017561A" w:rsidP="004E0520">
            <w:pPr>
              <w:rPr>
                <w:b/>
                <w:bCs/>
                <w:sz w:val="20"/>
                <w:szCs w:val="20"/>
              </w:rPr>
            </w:pPr>
            <w:r w:rsidRPr="00842867">
              <w:rPr>
                <w:b/>
                <w:bCs/>
                <w:sz w:val="20"/>
                <w:szCs w:val="20"/>
              </w:rPr>
              <w:t>Unadjusted</w:t>
            </w:r>
          </w:p>
          <w:p w14:paraId="10B16ECE" w14:textId="77777777" w:rsidR="0017561A" w:rsidRPr="001A1402" w:rsidRDefault="0017561A" w:rsidP="004E0520">
            <w:pPr>
              <w:rPr>
                <w:b/>
                <w:bCs/>
                <w:sz w:val="10"/>
                <w:szCs w:val="10"/>
              </w:rPr>
            </w:pPr>
          </w:p>
        </w:tc>
        <w:tc>
          <w:tcPr>
            <w:tcW w:w="3119" w:type="dxa"/>
            <w:gridSpan w:val="3"/>
            <w:tcBorders>
              <w:top w:val="single" w:sz="4" w:space="0" w:color="auto"/>
            </w:tcBorders>
          </w:tcPr>
          <w:p w14:paraId="01F49727" w14:textId="77777777" w:rsidR="0017561A" w:rsidRPr="001A1402" w:rsidRDefault="0017561A" w:rsidP="004E0520">
            <w:pPr>
              <w:rPr>
                <w:b/>
                <w:bCs/>
                <w:sz w:val="10"/>
                <w:szCs w:val="10"/>
              </w:rPr>
            </w:pPr>
          </w:p>
          <w:p w14:paraId="1F575D21" w14:textId="77777777" w:rsidR="0017561A" w:rsidRPr="00842867" w:rsidRDefault="0017561A" w:rsidP="004E0520">
            <w:pPr>
              <w:rPr>
                <w:b/>
                <w:bCs/>
                <w:sz w:val="20"/>
                <w:szCs w:val="20"/>
              </w:rPr>
            </w:pPr>
            <w:r w:rsidRPr="00842867">
              <w:rPr>
                <w:b/>
                <w:bCs/>
                <w:sz w:val="20"/>
                <w:szCs w:val="20"/>
              </w:rPr>
              <w:t>Adjusted</w:t>
            </w:r>
          </w:p>
        </w:tc>
      </w:tr>
      <w:tr w:rsidR="0017561A" w:rsidRPr="00AB4B54" w14:paraId="41FFA39D" w14:textId="77777777" w:rsidTr="004E0520">
        <w:trPr>
          <w:jc w:val="center"/>
        </w:trPr>
        <w:tc>
          <w:tcPr>
            <w:tcW w:w="3823" w:type="dxa"/>
            <w:tcBorders>
              <w:bottom w:val="single" w:sz="4" w:space="0" w:color="auto"/>
            </w:tcBorders>
          </w:tcPr>
          <w:p w14:paraId="11688451" w14:textId="77777777" w:rsidR="0017561A" w:rsidRPr="007C6648" w:rsidRDefault="0017561A" w:rsidP="004E0520">
            <w:pPr>
              <w:rPr>
                <w:sz w:val="20"/>
                <w:szCs w:val="20"/>
              </w:rPr>
            </w:pPr>
          </w:p>
        </w:tc>
        <w:tc>
          <w:tcPr>
            <w:tcW w:w="1417" w:type="dxa"/>
            <w:tcBorders>
              <w:bottom w:val="single" w:sz="4" w:space="0" w:color="auto"/>
            </w:tcBorders>
          </w:tcPr>
          <w:p w14:paraId="71A8D371" w14:textId="77777777" w:rsidR="0017561A" w:rsidRDefault="0017561A" w:rsidP="004E0520">
            <w:pPr>
              <w:rPr>
                <w:sz w:val="20"/>
                <w:szCs w:val="20"/>
              </w:rPr>
            </w:pPr>
            <w:r w:rsidRPr="007C6648">
              <w:rPr>
                <w:sz w:val="20"/>
                <w:szCs w:val="20"/>
              </w:rPr>
              <w:t>N</w:t>
            </w:r>
            <w:r>
              <w:rPr>
                <w:sz w:val="20"/>
                <w:szCs w:val="20"/>
              </w:rPr>
              <w:t>umber</w:t>
            </w:r>
            <w:r w:rsidRPr="007C6648">
              <w:rPr>
                <w:sz w:val="20"/>
                <w:szCs w:val="20"/>
              </w:rPr>
              <w:t xml:space="preserve"> (%) </w:t>
            </w:r>
            <w:r>
              <w:rPr>
                <w:sz w:val="20"/>
                <w:szCs w:val="20"/>
              </w:rPr>
              <w:t>Receiving</w:t>
            </w:r>
          </w:p>
          <w:p w14:paraId="74C482D8" w14:textId="77777777" w:rsidR="0017561A" w:rsidRDefault="0017561A" w:rsidP="004E0520">
            <w:pPr>
              <w:rPr>
                <w:sz w:val="20"/>
                <w:szCs w:val="20"/>
              </w:rPr>
            </w:pPr>
            <w:r w:rsidRPr="007C6648">
              <w:rPr>
                <w:sz w:val="20"/>
                <w:szCs w:val="20"/>
              </w:rPr>
              <w:t>Trastuzumab</w:t>
            </w:r>
          </w:p>
          <w:p w14:paraId="31DC8EC8" w14:textId="77777777" w:rsidR="0017561A" w:rsidRPr="007C6648" w:rsidRDefault="0017561A" w:rsidP="004E0520">
            <w:pPr>
              <w:rPr>
                <w:sz w:val="20"/>
                <w:szCs w:val="20"/>
              </w:rPr>
            </w:pPr>
            <w:r>
              <w:rPr>
                <w:sz w:val="20"/>
                <w:szCs w:val="20"/>
              </w:rPr>
              <w:t>n = 1,062 (44.83)</w:t>
            </w:r>
          </w:p>
        </w:tc>
        <w:tc>
          <w:tcPr>
            <w:tcW w:w="1418" w:type="dxa"/>
            <w:tcBorders>
              <w:bottom w:val="single" w:sz="4" w:space="0" w:color="auto"/>
            </w:tcBorders>
          </w:tcPr>
          <w:p w14:paraId="755E614D" w14:textId="77777777" w:rsidR="0017561A" w:rsidRDefault="0017561A" w:rsidP="004E0520">
            <w:pPr>
              <w:rPr>
                <w:sz w:val="20"/>
                <w:szCs w:val="20"/>
              </w:rPr>
            </w:pPr>
            <w:r w:rsidRPr="007C6648">
              <w:rPr>
                <w:sz w:val="20"/>
                <w:szCs w:val="20"/>
              </w:rPr>
              <w:t xml:space="preserve">Number (%) </w:t>
            </w:r>
            <w:r>
              <w:rPr>
                <w:sz w:val="20"/>
                <w:szCs w:val="20"/>
              </w:rPr>
              <w:t>n</w:t>
            </w:r>
            <w:r w:rsidRPr="007C6648">
              <w:rPr>
                <w:sz w:val="20"/>
                <w:szCs w:val="20"/>
              </w:rPr>
              <w:t xml:space="preserve">ot </w:t>
            </w:r>
            <w:r>
              <w:rPr>
                <w:sz w:val="20"/>
                <w:szCs w:val="20"/>
              </w:rPr>
              <w:t>Receiving</w:t>
            </w:r>
            <w:r w:rsidRPr="007C6648">
              <w:rPr>
                <w:sz w:val="20"/>
                <w:szCs w:val="20"/>
              </w:rPr>
              <w:t xml:space="preserve"> Trastuzumab</w:t>
            </w:r>
          </w:p>
          <w:p w14:paraId="40C7AE39" w14:textId="77777777" w:rsidR="0017561A" w:rsidRDefault="0017561A" w:rsidP="004E0520">
            <w:pPr>
              <w:rPr>
                <w:sz w:val="20"/>
                <w:szCs w:val="20"/>
              </w:rPr>
            </w:pPr>
            <w:r>
              <w:rPr>
                <w:sz w:val="20"/>
                <w:szCs w:val="20"/>
              </w:rPr>
              <w:t>n = 1,307 (55.17)</w:t>
            </w:r>
          </w:p>
          <w:p w14:paraId="4773A616" w14:textId="77777777" w:rsidR="0017561A" w:rsidRPr="001A1402" w:rsidRDefault="0017561A" w:rsidP="004E0520">
            <w:pPr>
              <w:rPr>
                <w:sz w:val="10"/>
                <w:szCs w:val="10"/>
              </w:rPr>
            </w:pPr>
          </w:p>
        </w:tc>
        <w:tc>
          <w:tcPr>
            <w:tcW w:w="992" w:type="dxa"/>
            <w:tcBorders>
              <w:bottom w:val="single" w:sz="4" w:space="0" w:color="auto"/>
            </w:tcBorders>
          </w:tcPr>
          <w:p w14:paraId="3AB76A9E" w14:textId="77777777" w:rsidR="0017561A" w:rsidRPr="00AB4B54" w:rsidRDefault="0017561A" w:rsidP="004E0520">
            <w:pPr>
              <w:rPr>
                <w:sz w:val="20"/>
                <w:szCs w:val="20"/>
              </w:rPr>
            </w:pPr>
            <w:r w:rsidRPr="00AB4B54">
              <w:rPr>
                <w:sz w:val="20"/>
                <w:szCs w:val="20"/>
              </w:rPr>
              <w:t>P Value</w:t>
            </w:r>
            <w:r>
              <w:rPr>
                <w:sz w:val="20"/>
                <w:szCs w:val="20"/>
                <w:vertAlign w:val="superscript"/>
              </w:rPr>
              <w:t>a</w:t>
            </w:r>
          </w:p>
        </w:tc>
        <w:tc>
          <w:tcPr>
            <w:tcW w:w="709" w:type="dxa"/>
            <w:tcBorders>
              <w:bottom w:val="single" w:sz="4" w:space="0" w:color="auto"/>
            </w:tcBorders>
          </w:tcPr>
          <w:p w14:paraId="2981F3F6" w14:textId="77777777" w:rsidR="0017561A" w:rsidRPr="007C6648" w:rsidRDefault="0017561A" w:rsidP="004E0520">
            <w:pPr>
              <w:rPr>
                <w:sz w:val="20"/>
                <w:szCs w:val="20"/>
              </w:rPr>
            </w:pPr>
            <w:r w:rsidRPr="007C6648">
              <w:rPr>
                <w:sz w:val="20"/>
                <w:szCs w:val="20"/>
              </w:rPr>
              <w:t>OR</w:t>
            </w:r>
          </w:p>
        </w:tc>
        <w:tc>
          <w:tcPr>
            <w:tcW w:w="1417" w:type="dxa"/>
            <w:tcBorders>
              <w:bottom w:val="single" w:sz="4" w:space="0" w:color="auto"/>
            </w:tcBorders>
          </w:tcPr>
          <w:p w14:paraId="7978DF8F" w14:textId="77777777" w:rsidR="0017561A" w:rsidRPr="007C6648" w:rsidRDefault="0017561A" w:rsidP="004E0520">
            <w:pPr>
              <w:rPr>
                <w:sz w:val="20"/>
                <w:szCs w:val="20"/>
              </w:rPr>
            </w:pPr>
            <w:r w:rsidRPr="007C6648">
              <w:rPr>
                <w:sz w:val="20"/>
                <w:szCs w:val="20"/>
              </w:rPr>
              <w:t>95% CI</w:t>
            </w:r>
          </w:p>
        </w:tc>
        <w:tc>
          <w:tcPr>
            <w:tcW w:w="992" w:type="dxa"/>
            <w:tcBorders>
              <w:bottom w:val="single" w:sz="4" w:space="0" w:color="auto"/>
            </w:tcBorders>
          </w:tcPr>
          <w:p w14:paraId="2D255DD2" w14:textId="77777777" w:rsidR="0017561A" w:rsidRPr="00AB4B54" w:rsidRDefault="0017561A" w:rsidP="004E0520">
            <w:pPr>
              <w:rPr>
                <w:sz w:val="20"/>
                <w:szCs w:val="20"/>
              </w:rPr>
            </w:pPr>
            <w:r w:rsidRPr="00AB4B54">
              <w:rPr>
                <w:sz w:val="20"/>
                <w:szCs w:val="20"/>
              </w:rPr>
              <w:t>P Value</w:t>
            </w:r>
            <w:r>
              <w:rPr>
                <w:sz w:val="20"/>
                <w:szCs w:val="20"/>
                <w:vertAlign w:val="superscript"/>
              </w:rPr>
              <w:t>b</w:t>
            </w:r>
          </w:p>
        </w:tc>
        <w:tc>
          <w:tcPr>
            <w:tcW w:w="709" w:type="dxa"/>
            <w:tcBorders>
              <w:bottom w:val="single" w:sz="4" w:space="0" w:color="auto"/>
            </w:tcBorders>
          </w:tcPr>
          <w:p w14:paraId="0D8D1849" w14:textId="77777777" w:rsidR="0017561A" w:rsidRPr="007C6648" w:rsidRDefault="0017561A" w:rsidP="004E0520">
            <w:pPr>
              <w:rPr>
                <w:sz w:val="20"/>
                <w:szCs w:val="20"/>
              </w:rPr>
            </w:pPr>
            <w:r w:rsidRPr="007C6648">
              <w:rPr>
                <w:sz w:val="20"/>
                <w:szCs w:val="20"/>
              </w:rPr>
              <w:t>OR</w:t>
            </w:r>
          </w:p>
        </w:tc>
        <w:tc>
          <w:tcPr>
            <w:tcW w:w="1418" w:type="dxa"/>
            <w:tcBorders>
              <w:bottom w:val="single" w:sz="4" w:space="0" w:color="auto"/>
            </w:tcBorders>
          </w:tcPr>
          <w:p w14:paraId="78E95792" w14:textId="77777777" w:rsidR="0017561A" w:rsidRPr="007C6648" w:rsidRDefault="0017561A" w:rsidP="004E0520">
            <w:pPr>
              <w:rPr>
                <w:sz w:val="20"/>
                <w:szCs w:val="20"/>
              </w:rPr>
            </w:pPr>
            <w:r w:rsidRPr="007C6648">
              <w:rPr>
                <w:sz w:val="20"/>
                <w:szCs w:val="20"/>
              </w:rPr>
              <w:t>95% CI</w:t>
            </w:r>
          </w:p>
        </w:tc>
        <w:tc>
          <w:tcPr>
            <w:tcW w:w="992" w:type="dxa"/>
            <w:tcBorders>
              <w:bottom w:val="single" w:sz="4" w:space="0" w:color="auto"/>
            </w:tcBorders>
          </w:tcPr>
          <w:p w14:paraId="2AD17EF1" w14:textId="77777777" w:rsidR="0017561A" w:rsidRPr="00AB4B54" w:rsidRDefault="0017561A" w:rsidP="004E0520">
            <w:pPr>
              <w:rPr>
                <w:sz w:val="20"/>
                <w:szCs w:val="20"/>
              </w:rPr>
            </w:pPr>
            <w:r w:rsidRPr="00AB4B54">
              <w:rPr>
                <w:sz w:val="20"/>
                <w:szCs w:val="20"/>
              </w:rPr>
              <w:t>P Value</w:t>
            </w:r>
            <w:r>
              <w:rPr>
                <w:sz w:val="20"/>
                <w:szCs w:val="20"/>
                <w:vertAlign w:val="superscript"/>
              </w:rPr>
              <w:t>b</w:t>
            </w:r>
          </w:p>
        </w:tc>
      </w:tr>
      <w:tr w:rsidR="0017561A" w:rsidRPr="000E6139" w14:paraId="467619AA" w14:textId="77777777" w:rsidTr="004E0520">
        <w:trPr>
          <w:jc w:val="center"/>
        </w:trPr>
        <w:tc>
          <w:tcPr>
            <w:tcW w:w="3823" w:type="dxa"/>
          </w:tcPr>
          <w:p w14:paraId="0734A37E" w14:textId="77777777" w:rsidR="0017561A" w:rsidRPr="00192CCA" w:rsidRDefault="0017561A" w:rsidP="004E0520">
            <w:pPr>
              <w:rPr>
                <w:sz w:val="20"/>
                <w:szCs w:val="20"/>
              </w:rPr>
            </w:pPr>
          </w:p>
        </w:tc>
        <w:tc>
          <w:tcPr>
            <w:tcW w:w="1417" w:type="dxa"/>
          </w:tcPr>
          <w:p w14:paraId="0970CA01" w14:textId="77777777" w:rsidR="0017561A" w:rsidRPr="00192CCA" w:rsidRDefault="0017561A" w:rsidP="004E0520">
            <w:pPr>
              <w:rPr>
                <w:sz w:val="20"/>
                <w:szCs w:val="20"/>
              </w:rPr>
            </w:pPr>
          </w:p>
        </w:tc>
        <w:tc>
          <w:tcPr>
            <w:tcW w:w="1418" w:type="dxa"/>
          </w:tcPr>
          <w:p w14:paraId="470248CD" w14:textId="77777777" w:rsidR="0017561A" w:rsidRPr="00192CCA" w:rsidRDefault="0017561A" w:rsidP="004E0520">
            <w:pPr>
              <w:rPr>
                <w:sz w:val="20"/>
                <w:szCs w:val="20"/>
              </w:rPr>
            </w:pPr>
          </w:p>
        </w:tc>
        <w:tc>
          <w:tcPr>
            <w:tcW w:w="992" w:type="dxa"/>
          </w:tcPr>
          <w:p w14:paraId="3DAFC268" w14:textId="77777777" w:rsidR="0017561A" w:rsidRPr="00192CCA" w:rsidRDefault="0017561A" w:rsidP="004E0520">
            <w:pPr>
              <w:rPr>
                <w:sz w:val="20"/>
                <w:szCs w:val="20"/>
              </w:rPr>
            </w:pPr>
          </w:p>
        </w:tc>
        <w:tc>
          <w:tcPr>
            <w:tcW w:w="709" w:type="dxa"/>
          </w:tcPr>
          <w:p w14:paraId="1AC1D2C5" w14:textId="77777777" w:rsidR="0017561A" w:rsidRPr="00192CCA" w:rsidRDefault="0017561A" w:rsidP="004E0520">
            <w:pPr>
              <w:rPr>
                <w:sz w:val="20"/>
                <w:szCs w:val="20"/>
              </w:rPr>
            </w:pPr>
          </w:p>
        </w:tc>
        <w:tc>
          <w:tcPr>
            <w:tcW w:w="1417" w:type="dxa"/>
          </w:tcPr>
          <w:p w14:paraId="18BF91E1" w14:textId="77777777" w:rsidR="0017561A" w:rsidRPr="00192CCA" w:rsidRDefault="0017561A" w:rsidP="004E0520">
            <w:pPr>
              <w:rPr>
                <w:sz w:val="20"/>
                <w:szCs w:val="20"/>
              </w:rPr>
            </w:pPr>
          </w:p>
        </w:tc>
        <w:tc>
          <w:tcPr>
            <w:tcW w:w="992" w:type="dxa"/>
          </w:tcPr>
          <w:p w14:paraId="084C3511" w14:textId="77777777" w:rsidR="0017561A" w:rsidRPr="00192CCA" w:rsidRDefault="0017561A" w:rsidP="004E0520">
            <w:pPr>
              <w:rPr>
                <w:sz w:val="20"/>
                <w:szCs w:val="20"/>
              </w:rPr>
            </w:pPr>
          </w:p>
        </w:tc>
        <w:tc>
          <w:tcPr>
            <w:tcW w:w="709" w:type="dxa"/>
          </w:tcPr>
          <w:p w14:paraId="6E9C75DC" w14:textId="77777777" w:rsidR="0017561A" w:rsidRPr="00192CCA" w:rsidRDefault="0017561A" w:rsidP="004E0520">
            <w:pPr>
              <w:rPr>
                <w:sz w:val="20"/>
                <w:szCs w:val="20"/>
              </w:rPr>
            </w:pPr>
          </w:p>
        </w:tc>
        <w:tc>
          <w:tcPr>
            <w:tcW w:w="1418" w:type="dxa"/>
          </w:tcPr>
          <w:p w14:paraId="03626AF7" w14:textId="77777777" w:rsidR="0017561A" w:rsidRPr="00192CCA" w:rsidRDefault="0017561A" w:rsidP="004E0520">
            <w:pPr>
              <w:rPr>
                <w:sz w:val="20"/>
                <w:szCs w:val="20"/>
              </w:rPr>
            </w:pPr>
          </w:p>
        </w:tc>
        <w:tc>
          <w:tcPr>
            <w:tcW w:w="992" w:type="dxa"/>
          </w:tcPr>
          <w:p w14:paraId="71AE4ABD" w14:textId="77777777" w:rsidR="0017561A" w:rsidRPr="00192CCA" w:rsidRDefault="0017561A" w:rsidP="004E0520">
            <w:pPr>
              <w:rPr>
                <w:sz w:val="20"/>
                <w:szCs w:val="20"/>
              </w:rPr>
            </w:pPr>
          </w:p>
        </w:tc>
      </w:tr>
      <w:tr w:rsidR="0017561A" w:rsidRPr="000E6139" w14:paraId="34D32F54" w14:textId="77777777" w:rsidTr="004E0520">
        <w:trPr>
          <w:jc w:val="center"/>
        </w:trPr>
        <w:tc>
          <w:tcPr>
            <w:tcW w:w="3823" w:type="dxa"/>
          </w:tcPr>
          <w:p w14:paraId="3BC362E7" w14:textId="77777777" w:rsidR="0017561A" w:rsidRPr="00192CCA" w:rsidRDefault="0017561A" w:rsidP="004E0520">
            <w:pPr>
              <w:rPr>
                <w:sz w:val="20"/>
                <w:szCs w:val="20"/>
              </w:rPr>
            </w:pPr>
            <w:r w:rsidRPr="00192CCA">
              <w:rPr>
                <w:b/>
                <w:bCs/>
                <w:sz w:val="20"/>
                <w:szCs w:val="20"/>
              </w:rPr>
              <w:t>ER Status</w:t>
            </w:r>
          </w:p>
        </w:tc>
        <w:tc>
          <w:tcPr>
            <w:tcW w:w="1417" w:type="dxa"/>
          </w:tcPr>
          <w:p w14:paraId="51B61115" w14:textId="77777777" w:rsidR="0017561A" w:rsidRPr="00192CCA" w:rsidRDefault="0017561A" w:rsidP="004E0520">
            <w:pPr>
              <w:rPr>
                <w:sz w:val="20"/>
                <w:szCs w:val="20"/>
              </w:rPr>
            </w:pPr>
          </w:p>
        </w:tc>
        <w:tc>
          <w:tcPr>
            <w:tcW w:w="1418" w:type="dxa"/>
          </w:tcPr>
          <w:p w14:paraId="50BA3250" w14:textId="77777777" w:rsidR="0017561A" w:rsidRPr="00192CCA" w:rsidRDefault="0017561A" w:rsidP="004E0520">
            <w:pPr>
              <w:rPr>
                <w:sz w:val="20"/>
                <w:szCs w:val="20"/>
              </w:rPr>
            </w:pPr>
          </w:p>
        </w:tc>
        <w:tc>
          <w:tcPr>
            <w:tcW w:w="992" w:type="dxa"/>
          </w:tcPr>
          <w:p w14:paraId="1228FF2E" w14:textId="77777777" w:rsidR="0017561A" w:rsidRPr="00192CCA" w:rsidRDefault="0017561A" w:rsidP="004E0520">
            <w:pPr>
              <w:rPr>
                <w:sz w:val="20"/>
                <w:szCs w:val="20"/>
              </w:rPr>
            </w:pPr>
            <w:r w:rsidRPr="00192CCA">
              <w:rPr>
                <w:sz w:val="20"/>
                <w:szCs w:val="20"/>
              </w:rPr>
              <w:t>&lt;0.001</w:t>
            </w:r>
          </w:p>
        </w:tc>
        <w:tc>
          <w:tcPr>
            <w:tcW w:w="709" w:type="dxa"/>
          </w:tcPr>
          <w:p w14:paraId="49D25290" w14:textId="77777777" w:rsidR="0017561A" w:rsidRPr="00192CCA" w:rsidRDefault="0017561A" w:rsidP="004E0520">
            <w:pPr>
              <w:rPr>
                <w:sz w:val="20"/>
                <w:szCs w:val="20"/>
              </w:rPr>
            </w:pPr>
          </w:p>
        </w:tc>
        <w:tc>
          <w:tcPr>
            <w:tcW w:w="1417" w:type="dxa"/>
          </w:tcPr>
          <w:p w14:paraId="24B649C3" w14:textId="77777777" w:rsidR="0017561A" w:rsidRPr="00192CCA" w:rsidRDefault="0017561A" w:rsidP="004E0520">
            <w:pPr>
              <w:rPr>
                <w:sz w:val="20"/>
                <w:szCs w:val="20"/>
              </w:rPr>
            </w:pPr>
          </w:p>
        </w:tc>
        <w:tc>
          <w:tcPr>
            <w:tcW w:w="992" w:type="dxa"/>
          </w:tcPr>
          <w:p w14:paraId="00388374" w14:textId="77777777" w:rsidR="0017561A" w:rsidRPr="00192CCA" w:rsidRDefault="0017561A" w:rsidP="004E0520">
            <w:pPr>
              <w:rPr>
                <w:sz w:val="20"/>
                <w:szCs w:val="20"/>
              </w:rPr>
            </w:pPr>
            <w:r w:rsidRPr="00192CCA">
              <w:rPr>
                <w:b/>
                <w:bCs/>
                <w:sz w:val="20"/>
                <w:szCs w:val="20"/>
              </w:rPr>
              <w:t>&lt;0.001</w:t>
            </w:r>
          </w:p>
        </w:tc>
        <w:tc>
          <w:tcPr>
            <w:tcW w:w="709" w:type="dxa"/>
          </w:tcPr>
          <w:p w14:paraId="1317A2CE" w14:textId="77777777" w:rsidR="0017561A" w:rsidRPr="00192CCA" w:rsidRDefault="0017561A" w:rsidP="004E0520">
            <w:pPr>
              <w:rPr>
                <w:sz w:val="20"/>
                <w:szCs w:val="20"/>
              </w:rPr>
            </w:pPr>
          </w:p>
        </w:tc>
        <w:tc>
          <w:tcPr>
            <w:tcW w:w="1418" w:type="dxa"/>
          </w:tcPr>
          <w:p w14:paraId="0CCD6C04" w14:textId="77777777" w:rsidR="0017561A" w:rsidRPr="00192CCA" w:rsidRDefault="0017561A" w:rsidP="004E0520">
            <w:pPr>
              <w:rPr>
                <w:sz w:val="20"/>
                <w:szCs w:val="20"/>
              </w:rPr>
            </w:pPr>
          </w:p>
        </w:tc>
        <w:tc>
          <w:tcPr>
            <w:tcW w:w="992" w:type="dxa"/>
          </w:tcPr>
          <w:p w14:paraId="3FB5999F" w14:textId="77777777" w:rsidR="0017561A" w:rsidRPr="00192CCA" w:rsidRDefault="0017561A" w:rsidP="004E0520">
            <w:pPr>
              <w:rPr>
                <w:sz w:val="20"/>
                <w:szCs w:val="20"/>
              </w:rPr>
            </w:pPr>
            <w:r w:rsidRPr="00192CCA">
              <w:rPr>
                <w:b/>
                <w:bCs/>
                <w:sz w:val="20"/>
                <w:szCs w:val="20"/>
              </w:rPr>
              <w:t>&lt;0.001</w:t>
            </w:r>
          </w:p>
        </w:tc>
      </w:tr>
      <w:tr w:rsidR="0017561A" w:rsidRPr="000E6139" w14:paraId="1F05D0FF" w14:textId="77777777" w:rsidTr="004E0520">
        <w:trPr>
          <w:jc w:val="center"/>
        </w:trPr>
        <w:tc>
          <w:tcPr>
            <w:tcW w:w="3823" w:type="dxa"/>
          </w:tcPr>
          <w:p w14:paraId="24CB68E8" w14:textId="77777777" w:rsidR="0017561A" w:rsidRPr="00192CCA" w:rsidRDefault="0017561A" w:rsidP="004E0520">
            <w:pPr>
              <w:rPr>
                <w:b/>
                <w:bCs/>
                <w:sz w:val="20"/>
                <w:szCs w:val="20"/>
              </w:rPr>
            </w:pPr>
            <w:r w:rsidRPr="00192CCA">
              <w:rPr>
                <w:sz w:val="20"/>
                <w:szCs w:val="20"/>
              </w:rPr>
              <w:t>Positive</w:t>
            </w:r>
            <w:r>
              <w:rPr>
                <w:sz w:val="20"/>
                <w:szCs w:val="20"/>
                <w:vertAlign w:val="superscript"/>
              </w:rPr>
              <w:t>i</w:t>
            </w:r>
          </w:p>
        </w:tc>
        <w:tc>
          <w:tcPr>
            <w:tcW w:w="1417" w:type="dxa"/>
          </w:tcPr>
          <w:p w14:paraId="2A845962" w14:textId="77777777" w:rsidR="0017561A" w:rsidRPr="00192CCA" w:rsidRDefault="0017561A" w:rsidP="004E0520">
            <w:pPr>
              <w:rPr>
                <w:sz w:val="20"/>
                <w:szCs w:val="20"/>
              </w:rPr>
            </w:pPr>
            <w:r>
              <w:rPr>
                <w:sz w:val="20"/>
                <w:szCs w:val="20"/>
              </w:rPr>
              <w:t>482 (38.31)</w:t>
            </w:r>
          </w:p>
        </w:tc>
        <w:tc>
          <w:tcPr>
            <w:tcW w:w="1418" w:type="dxa"/>
          </w:tcPr>
          <w:p w14:paraId="3265DAEC" w14:textId="77777777" w:rsidR="0017561A" w:rsidRPr="00192CCA" w:rsidRDefault="0017561A" w:rsidP="004E0520">
            <w:pPr>
              <w:rPr>
                <w:sz w:val="20"/>
                <w:szCs w:val="20"/>
              </w:rPr>
            </w:pPr>
            <w:r>
              <w:rPr>
                <w:sz w:val="20"/>
                <w:szCs w:val="20"/>
              </w:rPr>
              <w:t>776 (61.69)</w:t>
            </w:r>
          </w:p>
        </w:tc>
        <w:tc>
          <w:tcPr>
            <w:tcW w:w="992" w:type="dxa"/>
          </w:tcPr>
          <w:p w14:paraId="088C4CCE" w14:textId="77777777" w:rsidR="0017561A" w:rsidRPr="00192CCA" w:rsidRDefault="0017561A" w:rsidP="004E0520">
            <w:pPr>
              <w:rPr>
                <w:sz w:val="20"/>
                <w:szCs w:val="20"/>
              </w:rPr>
            </w:pPr>
          </w:p>
        </w:tc>
        <w:tc>
          <w:tcPr>
            <w:tcW w:w="709" w:type="dxa"/>
          </w:tcPr>
          <w:p w14:paraId="096B2FBD" w14:textId="77777777" w:rsidR="0017561A" w:rsidRPr="00192CCA" w:rsidRDefault="0017561A" w:rsidP="004E0520">
            <w:pPr>
              <w:rPr>
                <w:sz w:val="20"/>
                <w:szCs w:val="20"/>
              </w:rPr>
            </w:pPr>
            <w:r w:rsidRPr="00192CCA">
              <w:rPr>
                <w:sz w:val="20"/>
                <w:szCs w:val="20"/>
              </w:rPr>
              <w:t>1.00</w:t>
            </w:r>
          </w:p>
        </w:tc>
        <w:tc>
          <w:tcPr>
            <w:tcW w:w="1417" w:type="dxa"/>
          </w:tcPr>
          <w:p w14:paraId="70132246" w14:textId="77777777" w:rsidR="0017561A" w:rsidRPr="00192CCA" w:rsidRDefault="0017561A" w:rsidP="004E0520">
            <w:pPr>
              <w:rPr>
                <w:sz w:val="20"/>
                <w:szCs w:val="20"/>
              </w:rPr>
            </w:pPr>
            <w:r w:rsidRPr="00192CCA">
              <w:rPr>
                <w:sz w:val="20"/>
                <w:szCs w:val="20"/>
              </w:rPr>
              <w:t>-----     -----</w:t>
            </w:r>
          </w:p>
        </w:tc>
        <w:tc>
          <w:tcPr>
            <w:tcW w:w="992" w:type="dxa"/>
          </w:tcPr>
          <w:p w14:paraId="2916D59C" w14:textId="77777777" w:rsidR="0017561A" w:rsidRPr="00192CCA" w:rsidRDefault="0017561A" w:rsidP="004E0520">
            <w:pPr>
              <w:rPr>
                <w:b/>
                <w:bCs/>
                <w:sz w:val="20"/>
                <w:szCs w:val="20"/>
              </w:rPr>
            </w:pPr>
            <w:r w:rsidRPr="00192CCA">
              <w:rPr>
                <w:sz w:val="20"/>
                <w:szCs w:val="20"/>
              </w:rPr>
              <w:t>-------</w:t>
            </w:r>
          </w:p>
        </w:tc>
        <w:tc>
          <w:tcPr>
            <w:tcW w:w="709" w:type="dxa"/>
          </w:tcPr>
          <w:p w14:paraId="6C0D9703" w14:textId="77777777" w:rsidR="0017561A" w:rsidRPr="00192CCA" w:rsidRDefault="0017561A" w:rsidP="004E0520">
            <w:pPr>
              <w:rPr>
                <w:sz w:val="20"/>
                <w:szCs w:val="20"/>
              </w:rPr>
            </w:pPr>
            <w:r w:rsidRPr="00192CCA">
              <w:rPr>
                <w:sz w:val="20"/>
                <w:szCs w:val="20"/>
              </w:rPr>
              <w:t>1.00</w:t>
            </w:r>
          </w:p>
        </w:tc>
        <w:tc>
          <w:tcPr>
            <w:tcW w:w="1418" w:type="dxa"/>
          </w:tcPr>
          <w:p w14:paraId="60674A05" w14:textId="77777777" w:rsidR="0017561A" w:rsidRPr="00192CCA" w:rsidRDefault="0017561A" w:rsidP="004E0520">
            <w:pPr>
              <w:rPr>
                <w:sz w:val="20"/>
                <w:szCs w:val="20"/>
              </w:rPr>
            </w:pPr>
            <w:r w:rsidRPr="00192CCA">
              <w:rPr>
                <w:sz w:val="20"/>
                <w:szCs w:val="20"/>
              </w:rPr>
              <w:t>-----     -----</w:t>
            </w:r>
          </w:p>
        </w:tc>
        <w:tc>
          <w:tcPr>
            <w:tcW w:w="992" w:type="dxa"/>
          </w:tcPr>
          <w:p w14:paraId="758F8C49" w14:textId="77777777" w:rsidR="0017561A" w:rsidRPr="00192CCA" w:rsidRDefault="0017561A" w:rsidP="004E0520">
            <w:pPr>
              <w:rPr>
                <w:b/>
                <w:bCs/>
                <w:sz w:val="20"/>
                <w:szCs w:val="20"/>
              </w:rPr>
            </w:pPr>
            <w:r>
              <w:rPr>
                <w:sz w:val="20"/>
                <w:szCs w:val="20"/>
              </w:rPr>
              <w:t xml:space="preserve"> </w:t>
            </w:r>
            <w:r w:rsidRPr="00192CCA">
              <w:rPr>
                <w:sz w:val="20"/>
                <w:szCs w:val="20"/>
              </w:rPr>
              <w:t>-------</w:t>
            </w:r>
          </w:p>
        </w:tc>
      </w:tr>
      <w:tr w:rsidR="0017561A" w:rsidRPr="000E6139" w14:paraId="48AEF02C" w14:textId="77777777" w:rsidTr="004E0520">
        <w:trPr>
          <w:jc w:val="center"/>
        </w:trPr>
        <w:tc>
          <w:tcPr>
            <w:tcW w:w="3823" w:type="dxa"/>
          </w:tcPr>
          <w:p w14:paraId="3D2F7F82" w14:textId="77777777" w:rsidR="0017561A" w:rsidRPr="00192CCA" w:rsidRDefault="0017561A" w:rsidP="004E0520">
            <w:pPr>
              <w:rPr>
                <w:sz w:val="20"/>
                <w:szCs w:val="20"/>
              </w:rPr>
            </w:pPr>
            <w:r w:rsidRPr="00192CCA">
              <w:rPr>
                <w:sz w:val="20"/>
                <w:szCs w:val="20"/>
              </w:rPr>
              <w:t>Negative</w:t>
            </w:r>
          </w:p>
        </w:tc>
        <w:tc>
          <w:tcPr>
            <w:tcW w:w="1417" w:type="dxa"/>
          </w:tcPr>
          <w:p w14:paraId="623B72E5" w14:textId="77777777" w:rsidR="0017561A" w:rsidRPr="00192CCA" w:rsidRDefault="0017561A" w:rsidP="004E0520">
            <w:pPr>
              <w:rPr>
                <w:sz w:val="20"/>
                <w:szCs w:val="20"/>
              </w:rPr>
            </w:pPr>
            <w:r>
              <w:rPr>
                <w:sz w:val="20"/>
                <w:szCs w:val="20"/>
              </w:rPr>
              <w:t>367 (54.05)</w:t>
            </w:r>
          </w:p>
        </w:tc>
        <w:tc>
          <w:tcPr>
            <w:tcW w:w="1418" w:type="dxa"/>
          </w:tcPr>
          <w:p w14:paraId="1DB39EC6" w14:textId="77777777" w:rsidR="0017561A" w:rsidRPr="00192CCA" w:rsidRDefault="0017561A" w:rsidP="004E0520">
            <w:pPr>
              <w:rPr>
                <w:sz w:val="20"/>
                <w:szCs w:val="20"/>
              </w:rPr>
            </w:pPr>
            <w:r>
              <w:rPr>
                <w:sz w:val="20"/>
                <w:szCs w:val="20"/>
              </w:rPr>
              <w:t>312 (45.95)</w:t>
            </w:r>
          </w:p>
        </w:tc>
        <w:tc>
          <w:tcPr>
            <w:tcW w:w="992" w:type="dxa"/>
          </w:tcPr>
          <w:p w14:paraId="0EDED4C5" w14:textId="77777777" w:rsidR="0017561A" w:rsidRPr="00192CCA" w:rsidRDefault="0017561A" w:rsidP="004E0520">
            <w:pPr>
              <w:rPr>
                <w:sz w:val="20"/>
                <w:szCs w:val="20"/>
              </w:rPr>
            </w:pPr>
          </w:p>
        </w:tc>
        <w:tc>
          <w:tcPr>
            <w:tcW w:w="709" w:type="dxa"/>
          </w:tcPr>
          <w:p w14:paraId="15953DF2" w14:textId="77777777" w:rsidR="0017561A" w:rsidRPr="00192CCA" w:rsidRDefault="0017561A" w:rsidP="004E0520">
            <w:pPr>
              <w:rPr>
                <w:sz w:val="20"/>
                <w:szCs w:val="20"/>
              </w:rPr>
            </w:pPr>
            <w:r>
              <w:rPr>
                <w:sz w:val="20"/>
                <w:szCs w:val="20"/>
              </w:rPr>
              <w:t>1.89</w:t>
            </w:r>
          </w:p>
        </w:tc>
        <w:tc>
          <w:tcPr>
            <w:tcW w:w="1417" w:type="dxa"/>
          </w:tcPr>
          <w:p w14:paraId="19761F1E" w14:textId="77777777" w:rsidR="0017561A" w:rsidRPr="00192CCA" w:rsidRDefault="0017561A" w:rsidP="004E0520">
            <w:pPr>
              <w:rPr>
                <w:sz w:val="20"/>
                <w:szCs w:val="20"/>
              </w:rPr>
            </w:pPr>
            <w:r w:rsidRPr="00192CCA">
              <w:rPr>
                <w:sz w:val="20"/>
                <w:szCs w:val="20"/>
              </w:rPr>
              <w:t>1.</w:t>
            </w:r>
            <w:r>
              <w:rPr>
                <w:sz w:val="20"/>
                <w:szCs w:val="20"/>
              </w:rPr>
              <w:t>57</w:t>
            </w:r>
            <w:r w:rsidRPr="00192CCA">
              <w:rPr>
                <w:sz w:val="20"/>
                <w:szCs w:val="20"/>
              </w:rPr>
              <w:t xml:space="preserve"> – 2.</w:t>
            </w:r>
            <w:r>
              <w:rPr>
                <w:sz w:val="20"/>
                <w:szCs w:val="20"/>
              </w:rPr>
              <w:t>29</w:t>
            </w:r>
          </w:p>
        </w:tc>
        <w:tc>
          <w:tcPr>
            <w:tcW w:w="992" w:type="dxa"/>
          </w:tcPr>
          <w:p w14:paraId="63949032" w14:textId="77777777" w:rsidR="0017561A" w:rsidRPr="00192CCA" w:rsidRDefault="0017561A" w:rsidP="004E0520">
            <w:pPr>
              <w:rPr>
                <w:sz w:val="20"/>
                <w:szCs w:val="20"/>
              </w:rPr>
            </w:pPr>
            <w:r w:rsidRPr="00192CCA">
              <w:rPr>
                <w:sz w:val="20"/>
                <w:szCs w:val="20"/>
              </w:rPr>
              <w:t>&lt;0.001</w:t>
            </w:r>
          </w:p>
        </w:tc>
        <w:tc>
          <w:tcPr>
            <w:tcW w:w="709" w:type="dxa"/>
          </w:tcPr>
          <w:p w14:paraId="556CC73F" w14:textId="77777777" w:rsidR="0017561A" w:rsidRPr="00192CCA" w:rsidRDefault="0017561A" w:rsidP="004E0520">
            <w:pPr>
              <w:rPr>
                <w:sz w:val="20"/>
                <w:szCs w:val="20"/>
              </w:rPr>
            </w:pPr>
            <w:r>
              <w:rPr>
                <w:sz w:val="20"/>
                <w:szCs w:val="20"/>
              </w:rPr>
              <w:t>2.17</w:t>
            </w:r>
          </w:p>
        </w:tc>
        <w:tc>
          <w:tcPr>
            <w:tcW w:w="1418" w:type="dxa"/>
          </w:tcPr>
          <w:p w14:paraId="4924AA1B" w14:textId="77777777" w:rsidR="0017561A" w:rsidRPr="00192CCA" w:rsidRDefault="0017561A" w:rsidP="004E0520">
            <w:pPr>
              <w:rPr>
                <w:sz w:val="20"/>
                <w:szCs w:val="20"/>
              </w:rPr>
            </w:pPr>
            <w:r w:rsidRPr="00192CCA">
              <w:rPr>
                <w:sz w:val="20"/>
                <w:szCs w:val="20"/>
              </w:rPr>
              <w:t>1.7</w:t>
            </w:r>
            <w:r>
              <w:rPr>
                <w:sz w:val="20"/>
                <w:szCs w:val="20"/>
              </w:rPr>
              <w:t>4</w:t>
            </w:r>
            <w:r w:rsidRPr="00192CCA">
              <w:rPr>
                <w:sz w:val="20"/>
                <w:szCs w:val="20"/>
              </w:rPr>
              <w:t xml:space="preserve"> – </w:t>
            </w:r>
            <w:r>
              <w:rPr>
                <w:sz w:val="20"/>
                <w:szCs w:val="20"/>
              </w:rPr>
              <w:t>2.69</w:t>
            </w:r>
          </w:p>
        </w:tc>
        <w:tc>
          <w:tcPr>
            <w:tcW w:w="992" w:type="dxa"/>
          </w:tcPr>
          <w:p w14:paraId="1E9EAF11" w14:textId="77777777" w:rsidR="0017561A" w:rsidRPr="00192CCA" w:rsidRDefault="0017561A" w:rsidP="004E0520">
            <w:pPr>
              <w:rPr>
                <w:sz w:val="20"/>
                <w:szCs w:val="20"/>
              </w:rPr>
            </w:pPr>
            <w:r w:rsidRPr="00192CCA">
              <w:rPr>
                <w:sz w:val="20"/>
                <w:szCs w:val="20"/>
              </w:rPr>
              <w:t>&lt;0.001</w:t>
            </w:r>
          </w:p>
        </w:tc>
      </w:tr>
      <w:tr w:rsidR="0017561A" w:rsidRPr="000E6139" w14:paraId="4FF13ABF" w14:textId="77777777" w:rsidTr="004E0520">
        <w:trPr>
          <w:jc w:val="center"/>
        </w:trPr>
        <w:tc>
          <w:tcPr>
            <w:tcW w:w="3823" w:type="dxa"/>
          </w:tcPr>
          <w:p w14:paraId="7A40AF62" w14:textId="77777777" w:rsidR="0017561A" w:rsidRPr="00192CCA" w:rsidRDefault="0017561A" w:rsidP="004E0520">
            <w:pPr>
              <w:rPr>
                <w:sz w:val="20"/>
                <w:szCs w:val="20"/>
              </w:rPr>
            </w:pPr>
            <w:r w:rsidRPr="00192CCA">
              <w:rPr>
                <w:sz w:val="20"/>
                <w:szCs w:val="20"/>
              </w:rPr>
              <w:t>Unknown</w:t>
            </w:r>
            <w:r>
              <w:rPr>
                <w:sz w:val="20"/>
                <w:szCs w:val="20"/>
                <w:vertAlign w:val="superscript"/>
              </w:rPr>
              <w:t>j</w:t>
            </w:r>
          </w:p>
        </w:tc>
        <w:tc>
          <w:tcPr>
            <w:tcW w:w="1417" w:type="dxa"/>
          </w:tcPr>
          <w:p w14:paraId="1E9535EB" w14:textId="77777777" w:rsidR="0017561A" w:rsidRPr="00192CCA" w:rsidRDefault="0017561A" w:rsidP="004E0520">
            <w:pPr>
              <w:rPr>
                <w:sz w:val="20"/>
                <w:szCs w:val="20"/>
              </w:rPr>
            </w:pPr>
            <w:r>
              <w:rPr>
                <w:sz w:val="20"/>
                <w:szCs w:val="20"/>
              </w:rPr>
              <w:t>213 (49.31)</w:t>
            </w:r>
          </w:p>
        </w:tc>
        <w:tc>
          <w:tcPr>
            <w:tcW w:w="1418" w:type="dxa"/>
          </w:tcPr>
          <w:p w14:paraId="5D4240D3" w14:textId="77777777" w:rsidR="0017561A" w:rsidRPr="00192CCA" w:rsidRDefault="0017561A" w:rsidP="004E0520">
            <w:pPr>
              <w:rPr>
                <w:sz w:val="20"/>
                <w:szCs w:val="20"/>
              </w:rPr>
            </w:pPr>
            <w:r>
              <w:rPr>
                <w:sz w:val="20"/>
                <w:szCs w:val="20"/>
              </w:rPr>
              <w:t>219 (50.69)</w:t>
            </w:r>
          </w:p>
        </w:tc>
        <w:tc>
          <w:tcPr>
            <w:tcW w:w="992" w:type="dxa"/>
          </w:tcPr>
          <w:p w14:paraId="51BDD14B" w14:textId="77777777" w:rsidR="0017561A" w:rsidRPr="00192CCA" w:rsidRDefault="0017561A" w:rsidP="004E0520">
            <w:pPr>
              <w:rPr>
                <w:sz w:val="20"/>
                <w:szCs w:val="20"/>
              </w:rPr>
            </w:pPr>
          </w:p>
        </w:tc>
        <w:tc>
          <w:tcPr>
            <w:tcW w:w="709" w:type="dxa"/>
          </w:tcPr>
          <w:p w14:paraId="7A1300A3" w14:textId="77777777" w:rsidR="0017561A" w:rsidRPr="00192CCA" w:rsidRDefault="0017561A" w:rsidP="004E0520">
            <w:pPr>
              <w:rPr>
                <w:sz w:val="20"/>
                <w:szCs w:val="20"/>
              </w:rPr>
            </w:pPr>
            <w:r w:rsidRPr="00192CCA">
              <w:rPr>
                <w:sz w:val="20"/>
                <w:szCs w:val="20"/>
              </w:rPr>
              <w:t>1.</w:t>
            </w:r>
            <w:r>
              <w:rPr>
                <w:sz w:val="20"/>
                <w:szCs w:val="20"/>
              </w:rPr>
              <w:t>57</w:t>
            </w:r>
          </w:p>
        </w:tc>
        <w:tc>
          <w:tcPr>
            <w:tcW w:w="1417" w:type="dxa"/>
          </w:tcPr>
          <w:p w14:paraId="460C579D" w14:textId="77777777" w:rsidR="0017561A" w:rsidRPr="00192CCA" w:rsidRDefault="0017561A" w:rsidP="004E0520">
            <w:pPr>
              <w:rPr>
                <w:sz w:val="20"/>
                <w:szCs w:val="20"/>
              </w:rPr>
            </w:pPr>
            <w:r w:rsidRPr="00192CCA">
              <w:rPr>
                <w:sz w:val="20"/>
                <w:szCs w:val="20"/>
              </w:rPr>
              <w:t>1.</w:t>
            </w:r>
            <w:r>
              <w:rPr>
                <w:sz w:val="20"/>
                <w:szCs w:val="20"/>
              </w:rPr>
              <w:t>26</w:t>
            </w:r>
            <w:r w:rsidRPr="00192CCA">
              <w:rPr>
                <w:sz w:val="20"/>
                <w:szCs w:val="20"/>
              </w:rPr>
              <w:t xml:space="preserve"> – 1.</w:t>
            </w:r>
            <w:r>
              <w:rPr>
                <w:sz w:val="20"/>
                <w:szCs w:val="20"/>
              </w:rPr>
              <w:t>95</w:t>
            </w:r>
          </w:p>
        </w:tc>
        <w:tc>
          <w:tcPr>
            <w:tcW w:w="992" w:type="dxa"/>
          </w:tcPr>
          <w:p w14:paraId="6289F92D" w14:textId="77777777" w:rsidR="0017561A" w:rsidRPr="00192CCA" w:rsidRDefault="0017561A" w:rsidP="004E0520">
            <w:pPr>
              <w:rPr>
                <w:sz w:val="20"/>
                <w:szCs w:val="20"/>
              </w:rPr>
            </w:pPr>
            <w:r w:rsidRPr="00192CCA">
              <w:rPr>
                <w:sz w:val="20"/>
                <w:szCs w:val="20"/>
              </w:rPr>
              <w:t>&lt;0.001</w:t>
            </w:r>
          </w:p>
        </w:tc>
        <w:tc>
          <w:tcPr>
            <w:tcW w:w="709" w:type="dxa"/>
          </w:tcPr>
          <w:p w14:paraId="622916B3" w14:textId="77777777" w:rsidR="0017561A" w:rsidRPr="00192CCA" w:rsidRDefault="0017561A" w:rsidP="004E0520">
            <w:pPr>
              <w:rPr>
                <w:sz w:val="20"/>
                <w:szCs w:val="20"/>
              </w:rPr>
            </w:pPr>
            <w:r w:rsidRPr="00192CCA">
              <w:rPr>
                <w:sz w:val="20"/>
                <w:szCs w:val="20"/>
              </w:rPr>
              <w:t>1.</w:t>
            </w:r>
            <w:r>
              <w:rPr>
                <w:sz w:val="20"/>
                <w:szCs w:val="20"/>
              </w:rPr>
              <w:t>49</w:t>
            </w:r>
          </w:p>
        </w:tc>
        <w:tc>
          <w:tcPr>
            <w:tcW w:w="1418" w:type="dxa"/>
          </w:tcPr>
          <w:p w14:paraId="5D58CBAF" w14:textId="77777777" w:rsidR="0017561A" w:rsidRPr="00192CCA" w:rsidRDefault="0017561A" w:rsidP="004E0520">
            <w:pPr>
              <w:rPr>
                <w:sz w:val="20"/>
                <w:szCs w:val="20"/>
              </w:rPr>
            </w:pPr>
            <w:r w:rsidRPr="00192CCA">
              <w:rPr>
                <w:sz w:val="20"/>
                <w:szCs w:val="20"/>
              </w:rPr>
              <w:t>1.</w:t>
            </w:r>
            <w:r>
              <w:rPr>
                <w:sz w:val="20"/>
                <w:szCs w:val="20"/>
              </w:rPr>
              <w:t>16</w:t>
            </w:r>
            <w:r w:rsidRPr="00192CCA">
              <w:rPr>
                <w:sz w:val="20"/>
                <w:szCs w:val="20"/>
              </w:rPr>
              <w:t xml:space="preserve"> – 1.</w:t>
            </w:r>
            <w:r>
              <w:rPr>
                <w:sz w:val="20"/>
                <w:szCs w:val="20"/>
              </w:rPr>
              <w:t>93</w:t>
            </w:r>
          </w:p>
        </w:tc>
        <w:tc>
          <w:tcPr>
            <w:tcW w:w="992" w:type="dxa"/>
          </w:tcPr>
          <w:p w14:paraId="328ADFAD" w14:textId="77777777" w:rsidR="0017561A" w:rsidRPr="00192CCA" w:rsidRDefault="0017561A" w:rsidP="004E0520">
            <w:pPr>
              <w:rPr>
                <w:sz w:val="20"/>
                <w:szCs w:val="20"/>
              </w:rPr>
            </w:pPr>
            <w:r>
              <w:rPr>
                <w:sz w:val="20"/>
                <w:szCs w:val="20"/>
              </w:rPr>
              <w:t xml:space="preserve">  </w:t>
            </w:r>
            <w:r w:rsidRPr="00192CCA">
              <w:rPr>
                <w:sz w:val="20"/>
                <w:szCs w:val="20"/>
              </w:rPr>
              <w:t>0.00</w:t>
            </w:r>
            <w:r>
              <w:rPr>
                <w:sz w:val="20"/>
                <w:szCs w:val="20"/>
              </w:rPr>
              <w:t>2</w:t>
            </w:r>
          </w:p>
          <w:p w14:paraId="14B3C74B" w14:textId="77777777" w:rsidR="0017561A" w:rsidRPr="00192CCA" w:rsidRDefault="0017561A" w:rsidP="004E0520">
            <w:pPr>
              <w:rPr>
                <w:sz w:val="20"/>
                <w:szCs w:val="20"/>
              </w:rPr>
            </w:pPr>
          </w:p>
        </w:tc>
      </w:tr>
      <w:tr w:rsidR="0017561A" w:rsidRPr="000E6139" w14:paraId="01963FDE" w14:textId="77777777" w:rsidTr="004E0520">
        <w:trPr>
          <w:jc w:val="center"/>
        </w:trPr>
        <w:tc>
          <w:tcPr>
            <w:tcW w:w="3823" w:type="dxa"/>
          </w:tcPr>
          <w:p w14:paraId="74679B8F" w14:textId="77777777" w:rsidR="0017561A" w:rsidRPr="00192CCA" w:rsidRDefault="0017561A" w:rsidP="004E0520">
            <w:pPr>
              <w:rPr>
                <w:sz w:val="20"/>
                <w:szCs w:val="20"/>
              </w:rPr>
            </w:pPr>
            <w:r>
              <w:rPr>
                <w:b/>
                <w:bCs/>
                <w:sz w:val="20"/>
                <w:szCs w:val="20"/>
              </w:rPr>
              <w:t xml:space="preserve">No. of Comorbidities </w:t>
            </w:r>
            <w:r w:rsidRPr="00192CCA">
              <w:rPr>
                <w:b/>
                <w:bCs/>
                <w:sz w:val="20"/>
                <w:szCs w:val="20"/>
              </w:rPr>
              <w:t>(Between 78 to 6 Months Prior to Diagnosis)</w:t>
            </w:r>
            <w:r>
              <w:rPr>
                <w:b/>
                <w:bCs/>
                <w:sz w:val="20"/>
                <w:szCs w:val="20"/>
                <w:vertAlign w:val="superscript"/>
              </w:rPr>
              <w:t>k</w:t>
            </w:r>
          </w:p>
        </w:tc>
        <w:tc>
          <w:tcPr>
            <w:tcW w:w="1417" w:type="dxa"/>
          </w:tcPr>
          <w:p w14:paraId="45C7A58D" w14:textId="77777777" w:rsidR="0017561A" w:rsidRDefault="0017561A" w:rsidP="004E0520">
            <w:pPr>
              <w:rPr>
                <w:sz w:val="20"/>
                <w:szCs w:val="20"/>
              </w:rPr>
            </w:pPr>
          </w:p>
        </w:tc>
        <w:tc>
          <w:tcPr>
            <w:tcW w:w="1418" w:type="dxa"/>
          </w:tcPr>
          <w:p w14:paraId="1726DB95" w14:textId="77777777" w:rsidR="0017561A" w:rsidRDefault="0017561A" w:rsidP="004E0520">
            <w:pPr>
              <w:rPr>
                <w:sz w:val="20"/>
                <w:szCs w:val="20"/>
              </w:rPr>
            </w:pPr>
          </w:p>
        </w:tc>
        <w:tc>
          <w:tcPr>
            <w:tcW w:w="992" w:type="dxa"/>
          </w:tcPr>
          <w:p w14:paraId="48C28FF0" w14:textId="77777777" w:rsidR="0017561A" w:rsidRPr="00192CCA" w:rsidRDefault="0017561A" w:rsidP="004E0520">
            <w:pPr>
              <w:rPr>
                <w:sz w:val="20"/>
                <w:szCs w:val="20"/>
              </w:rPr>
            </w:pPr>
          </w:p>
          <w:p w14:paraId="6B18B57D" w14:textId="77777777" w:rsidR="0017561A" w:rsidRPr="00192CCA" w:rsidRDefault="0017561A" w:rsidP="004E0520">
            <w:pPr>
              <w:rPr>
                <w:sz w:val="20"/>
                <w:szCs w:val="20"/>
              </w:rPr>
            </w:pPr>
            <w:r w:rsidRPr="00192CCA">
              <w:rPr>
                <w:sz w:val="20"/>
                <w:szCs w:val="20"/>
              </w:rPr>
              <w:t>&lt;0.001</w:t>
            </w:r>
          </w:p>
        </w:tc>
        <w:tc>
          <w:tcPr>
            <w:tcW w:w="709" w:type="dxa"/>
          </w:tcPr>
          <w:p w14:paraId="2DF76B4E" w14:textId="77777777" w:rsidR="0017561A" w:rsidRPr="00192CCA" w:rsidRDefault="0017561A" w:rsidP="004E0520">
            <w:pPr>
              <w:rPr>
                <w:sz w:val="20"/>
                <w:szCs w:val="20"/>
              </w:rPr>
            </w:pPr>
          </w:p>
        </w:tc>
        <w:tc>
          <w:tcPr>
            <w:tcW w:w="1417" w:type="dxa"/>
          </w:tcPr>
          <w:p w14:paraId="07DC6296" w14:textId="77777777" w:rsidR="0017561A" w:rsidRPr="00192CCA" w:rsidRDefault="0017561A" w:rsidP="004E0520">
            <w:pPr>
              <w:rPr>
                <w:sz w:val="20"/>
                <w:szCs w:val="20"/>
              </w:rPr>
            </w:pPr>
          </w:p>
        </w:tc>
        <w:tc>
          <w:tcPr>
            <w:tcW w:w="992" w:type="dxa"/>
          </w:tcPr>
          <w:p w14:paraId="2CBEC067" w14:textId="77777777" w:rsidR="0017561A" w:rsidRPr="00192CCA" w:rsidRDefault="0017561A" w:rsidP="004E0520">
            <w:pPr>
              <w:rPr>
                <w:b/>
                <w:bCs/>
                <w:sz w:val="20"/>
                <w:szCs w:val="20"/>
              </w:rPr>
            </w:pPr>
          </w:p>
          <w:p w14:paraId="2CE7F3D4" w14:textId="77777777" w:rsidR="0017561A" w:rsidRPr="00192CCA" w:rsidRDefault="0017561A" w:rsidP="004E0520">
            <w:pPr>
              <w:rPr>
                <w:sz w:val="20"/>
                <w:szCs w:val="20"/>
              </w:rPr>
            </w:pPr>
            <w:r w:rsidRPr="00192CCA">
              <w:rPr>
                <w:b/>
                <w:bCs/>
                <w:sz w:val="20"/>
                <w:szCs w:val="20"/>
              </w:rPr>
              <w:t>&lt;0.001</w:t>
            </w:r>
          </w:p>
        </w:tc>
        <w:tc>
          <w:tcPr>
            <w:tcW w:w="709" w:type="dxa"/>
          </w:tcPr>
          <w:p w14:paraId="5981DFA2" w14:textId="77777777" w:rsidR="0017561A" w:rsidRPr="00192CCA" w:rsidRDefault="0017561A" w:rsidP="004E0520">
            <w:pPr>
              <w:rPr>
                <w:sz w:val="20"/>
                <w:szCs w:val="20"/>
              </w:rPr>
            </w:pPr>
          </w:p>
        </w:tc>
        <w:tc>
          <w:tcPr>
            <w:tcW w:w="1418" w:type="dxa"/>
          </w:tcPr>
          <w:p w14:paraId="666D3EF6" w14:textId="77777777" w:rsidR="0017561A" w:rsidRPr="00192CCA" w:rsidRDefault="0017561A" w:rsidP="004E0520">
            <w:pPr>
              <w:rPr>
                <w:sz w:val="20"/>
                <w:szCs w:val="20"/>
              </w:rPr>
            </w:pPr>
          </w:p>
        </w:tc>
        <w:tc>
          <w:tcPr>
            <w:tcW w:w="992" w:type="dxa"/>
          </w:tcPr>
          <w:p w14:paraId="08155FE7" w14:textId="77777777" w:rsidR="0017561A" w:rsidRPr="00192CCA" w:rsidRDefault="0017561A" w:rsidP="004E0520">
            <w:pPr>
              <w:rPr>
                <w:b/>
                <w:bCs/>
                <w:sz w:val="20"/>
                <w:szCs w:val="20"/>
              </w:rPr>
            </w:pPr>
          </w:p>
          <w:p w14:paraId="370CD00C" w14:textId="77777777" w:rsidR="0017561A" w:rsidRPr="00192CCA" w:rsidRDefault="0017561A" w:rsidP="004E0520">
            <w:pPr>
              <w:rPr>
                <w:sz w:val="20"/>
                <w:szCs w:val="20"/>
              </w:rPr>
            </w:pPr>
            <w:r>
              <w:rPr>
                <w:b/>
                <w:bCs/>
                <w:sz w:val="20"/>
                <w:szCs w:val="20"/>
              </w:rPr>
              <w:t xml:space="preserve">  </w:t>
            </w:r>
            <w:r w:rsidRPr="00192CCA">
              <w:rPr>
                <w:b/>
                <w:bCs/>
                <w:sz w:val="20"/>
                <w:szCs w:val="20"/>
              </w:rPr>
              <w:t>0.01</w:t>
            </w:r>
            <w:r>
              <w:rPr>
                <w:b/>
                <w:bCs/>
                <w:sz w:val="20"/>
                <w:szCs w:val="20"/>
              </w:rPr>
              <w:t>5</w:t>
            </w:r>
          </w:p>
        </w:tc>
      </w:tr>
      <w:tr w:rsidR="0017561A" w:rsidRPr="000E6139" w14:paraId="37F62598" w14:textId="77777777" w:rsidTr="004E0520">
        <w:trPr>
          <w:jc w:val="center"/>
        </w:trPr>
        <w:tc>
          <w:tcPr>
            <w:tcW w:w="3823" w:type="dxa"/>
          </w:tcPr>
          <w:p w14:paraId="7C1CE383" w14:textId="77777777" w:rsidR="0017561A" w:rsidRPr="007C6648" w:rsidRDefault="0017561A" w:rsidP="004E0520">
            <w:pPr>
              <w:rPr>
                <w:sz w:val="20"/>
                <w:szCs w:val="20"/>
              </w:rPr>
            </w:pPr>
            <w:r w:rsidRPr="00192CCA">
              <w:rPr>
                <w:sz w:val="20"/>
                <w:szCs w:val="20"/>
              </w:rPr>
              <w:t>0</w:t>
            </w:r>
          </w:p>
        </w:tc>
        <w:tc>
          <w:tcPr>
            <w:tcW w:w="1417" w:type="dxa"/>
          </w:tcPr>
          <w:p w14:paraId="7B511DCF" w14:textId="77777777" w:rsidR="0017561A" w:rsidRDefault="0017561A" w:rsidP="004E0520">
            <w:pPr>
              <w:rPr>
                <w:sz w:val="20"/>
                <w:szCs w:val="20"/>
              </w:rPr>
            </w:pPr>
            <w:r>
              <w:rPr>
                <w:sz w:val="20"/>
                <w:szCs w:val="20"/>
              </w:rPr>
              <w:t>906 (46.97)</w:t>
            </w:r>
          </w:p>
        </w:tc>
        <w:tc>
          <w:tcPr>
            <w:tcW w:w="1418" w:type="dxa"/>
          </w:tcPr>
          <w:p w14:paraId="71F1984A" w14:textId="77777777" w:rsidR="0017561A" w:rsidRDefault="0017561A" w:rsidP="004E0520">
            <w:pPr>
              <w:rPr>
                <w:sz w:val="20"/>
                <w:szCs w:val="20"/>
              </w:rPr>
            </w:pPr>
            <w:r>
              <w:rPr>
                <w:sz w:val="20"/>
                <w:szCs w:val="20"/>
              </w:rPr>
              <w:t>1,023 (53.03)</w:t>
            </w:r>
          </w:p>
        </w:tc>
        <w:tc>
          <w:tcPr>
            <w:tcW w:w="992" w:type="dxa"/>
          </w:tcPr>
          <w:p w14:paraId="5C6C4618" w14:textId="77777777" w:rsidR="0017561A" w:rsidRPr="000E6139" w:rsidRDefault="0017561A" w:rsidP="004E0520"/>
        </w:tc>
        <w:tc>
          <w:tcPr>
            <w:tcW w:w="709" w:type="dxa"/>
          </w:tcPr>
          <w:p w14:paraId="40C9E042" w14:textId="77777777" w:rsidR="0017561A" w:rsidRDefault="0017561A" w:rsidP="004E0520">
            <w:pPr>
              <w:rPr>
                <w:sz w:val="20"/>
                <w:szCs w:val="20"/>
              </w:rPr>
            </w:pPr>
            <w:r w:rsidRPr="00192CCA">
              <w:rPr>
                <w:sz w:val="20"/>
                <w:szCs w:val="20"/>
              </w:rPr>
              <w:t>1.00</w:t>
            </w:r>
          </w:p>
        </w:tc>
        <w:tc>
          <w:tcPr>
            <w:tcW w:w="1417" w:type="dxa"/>
          </w:tcPr>
          <w:p w14:paraId="1BAD2024" w14:textId="77777777" w:rsidR="0017561A" w:rsidRDefault="0017561A" w:rsidP="004E0520">
            <w:pPr>
              <w:rPr>
                <w:sz w:val="20"/>
                <w:szCs w:val="20"/>
              </w:rPr>
            </w:pPr>
            <w:r w:rsidRPr="00192CCA">
              <w:rPr>
                <w:sz w:val="20"/>
                <w:szCs w:val="20"/>
              </w:rPr>
              <w:t>-----     -----</w:t>
            </w:r>
          </w:p>
        </w:tc>
        <w:tc>
          <w:tcPr>
            <w:tcW w:w="992" w:type="dxa"/>
          </w:tcPr>
          <w:p w14:paraId="5BB6C896" w14:textId="77777777" w:rsidR="0017561A" w:rsidRPr="00256ACB" w:rsidRDefault="0017561A" w:rsidP="004E0520">
            <w:pPr>
              <w:rPr>
                <w:sz w:val="20"/>
                <w:szCs w:val="20"/>
              </w:rPr>
            </w:pPr>
            <w:r>
              <w:rPr>
                <w:sz w:val="20"/>
                <w:szCs w:val="20"/>
              </w:rPr>
              <w:t xml:space="preserve">  </w:t>
            </w:r>
            <w:r w:rsidRPr="00192CCA">
              <w:rPr>
                <w:sz w:val="20"/>
                <w:szCs w:val="20"/>
              </w:rPr>
              <w:t>-------</w:t>
            </w:r>
          </w:p>
        </w:tc>
        <w:tc>
          <w:tcPr>
            <w:tcW w:w="709" w:type="dxa"/>
          </w:tcPr>
          <w:p w14:paraId="0E3A1596" w14:textId="77777777" w:rsidR="0017561A" w:rsidRDefault="0017561A" w:rsidP="004E0520">
            <w:pPr>
              <w:rPr>
                <w:sz w:val="20"/>
                <w:szCs w:val="20"/>
              </w:rPr>
            </w:pPr>
            <w:r w:rsidRPr="00192CCA">
              <w:rPr>
                <w:sz w:val="20"/>
                <w:szCs w:val="20"/>
              </w:rPr>
              <w:t>1.00</w:t>
            </w:r>
          </w:p>
        </w:tc>
        <w:tc>
          <w:tcPr>
            <w:tcW w:w="1418" w:type="dxa"/>
          </w:tcPr>
          <w:p w14:paraId="655ACEF7" w14:textId="77777777" w:rsidR="0017561A" w:rsidRDefault="0017561A" w:rsidP="004E0520">
            <w:pPr>
              <w:rPr>
                <w:sz w:val="20"/>
                <w:szCs w:val="20"/>
              </w:rPr>
            </w:pPr>
            <w:r w:rsidRPr="00192CCA">
              <w:rPr>
                <w:sz w:val="20"/>
                <w:szCs w:val="20"/>
              </w:rPr>
              <w:t>-----     -----</w:t>
            </w:r>
          </w:p>
        </w:tc>
        <w:tc>
          <w:tcPr>
            <w:tcW w:w="992" w:type="dxa"/>
          </w:tcPr>
          <w:p w14:paraId="67C2D1C3" w14:textId="77777777" w:rsidR="0017561A" w:rsidRPr="00256ACB" w:rsidRDefault="0017561A" w:rsidP="004E0520">
            <w:pPr>
              <w:rPr>
                <w:sz w:val="20"/>
                <w:szCs w:val="20"/>
              </w:rPr>
            </w:pPr>
            <w:r>
              <w:rPr>
                <w:sz w:val="20"/>
                <w:szCs w:val="20"/>
              </w:rPr>
              <w:t xml:space="preserve">  </w:t>
            </w:r>
            <w:r w:rsidRPr="00192CCA">
              <w:rPr>
                <w:sz w:val="20"/>
                <w:szCs w:val="20"/>
              </w:rPr>
              <w:t>-------</w:t>
            </w:r>
          </w:p>
        </w:tc>
      </w:tr>
      <w:tr w:rsidR="0017561A" w:rsidRPr="000E6139" w14:paraId="1DB9132F" w14:textId="77777777" w:rsidTr="004E0520">
        <w:trPr>
          <w:jc w:val="center"/>
        </w:trPr>
        <w:tc>
          <w:tcPr>
            <w:tcW w:w="3823" w:type="dxa"/>
          </w:tcPr>
          <w:p w14:paraId="790D0671" w14:textId="77777777" w:rsidR="0017561A" w:rsidRPr="00192CCA" w:rsidRDefault="0017561A" w:rsidP="004E0520">
            <w:pPr>
              <w:rPr>
                <w:sz w:val="20"/>
                <w:szCs w:val="20"/>
              </w:rPr>
            </w:pPr>
            <w:r w:rsidRPr="00192CCA">
              <w:rPr>
                <w:sz w:val="20"/>
                <w:szCs w:val="20"/>
              </w:rPr>
              <w:t>1-2</w:t>
            </w:r>
          </w:p>
        </w:tc>
        <w:tc>
          <w:tcPr>
            <w:tcW w:w="1417" w:type="dxa"/>
          </w:tcPr>
          <w:p w14:paraId="03BD0F2C" w14:textId="77777777" w:rsidR="0017561A" w:rsidRPr="00192CCA" w:rsidRDefault="0017561A" w:rsidP="004E0520">
            <w:pPr>
              <w:rPr>
                <w:sz w:val="20"/>
                <w:szCs w:val="20"/>
              </w:rPr>
            </w:pPr>
            <w:r>
              <w:rPr>
                <w:sz w:val="20"/>
                <w:szCs w:val="20"/>
              </w:rPr>
              <w:t>136 (38.53)</w:t>
            </w:r>
          </w:p>
        </w:tc>
        <w:tc>
          <w:tcPr>
            <w:tcW w:w="1418" w:type="dxa"/>
          </w:tcPr>
          <w:p w14:paraId="06FBB0AD" w14:textId="77777777" w:rsidR="0017561A" w:rsidRPr="00192CCA" w:rsidRDefault="0017561A" w:rsidP="004E0520">
            <w:pPr>
              <w:rPr>
                <w:sz w:val="20"/>
                <w:szCs w:val="20"/>
              </w:rPr>
            </w:pPr>
            <w:r>
              <w:rPr>
                <w:sz w:val="20"/>
                <w:szCs w:val="20"/>
              </w:rPr>
              <w:t>217 (61.47)</w:t>
            </w:r>
          </w:p>
        </w:tc>
        <w:tc>
          <w:tcPr>
            <w:tcW w:w="992" w:type="dxa"/>
          </w:tcPr>
          <w:p w14:paraId="00B59E57" w14:textId="77777777" w:rsidR="0017561A" w:rsidRPr="000E6139" w:rsidRDefault="0017561A" w:rsidP="004E0520"/>
        </w:tc>
        <w:tc>
          <w:tcPr>
            <w:tcW w:w="709" w:type="dxa"/>
          </w:tcPr>
          <w:p w14:paraId="528819A4" w14:textId="77777777" w:rsidR="0017561A" w:rsidRPr="00192CCA" w:rsidRDefault="0017561A" w:rsidP="004E0520">
            <w:pPr>
              <w:rPr>
                <w:sz w:val="20"/>
                <w:szCs w:val="20"/>
              </w:rPr>
            </w:pPr>
            <w:r w:rsidRPr="00192CCA">
              <w:rPr>
                <w:sz w:val="20"/>
                <w:szCs w:val="20"/>
              </w:rPr>
              <w:t>0.</w:t>
            </w:r>
            <w:r>
              <w:rPr>
                <w:sz w:val="20"/>
                <w:szCs w:val="20"/>
              </w:rPr>
              <w:t>71</w:t>
            </w:r>
          </w:p>
        </w:tc>
        <w:tc>
          <w:tcPr>
            <w:tcW w:w="1417" w:type="dxa"/>
          </w:tcPr>
          <w:p w14:paraId="4A4C7E99" w14:textId="77777777" w:rsidR="0017561A" w:rsidRPr="00192CCA" w:rsidRDefault="0017561A" w:rsidP="004E0520">
            <w:pPr>
              <w:rPr>
                <w:sz w:val="20"/>
                <w:szCs w:val="20"/>
              </w:rPr>
            </w:pPr>
            <w:r w:rsidRPr="00192CCA">
              <w:rPr>
                <w:sz w:val="20"/>
                <w:szCs w:val="20"/>
              </w:rPr>
              <w:t>0.5</w:t>
            </w:r>
            <w:r>
              <w:rPr>
                <w:sz w:val="20"/>
                <w:szCs w:val="20"/>
              </w:rPr>
              <w:t>6</w:t>
            </w:r>
            <w:r w:rsidRPr="00192CCA">
              <w:rPr>
                <w:sz w:val="20"/>
                <w:szCs w:val="20"/>
              </w:rPr>
              <w:t xml:space="preserve"> – 0.</w:t>
            </w:r>
            <w:r>
              <w:rPr>
                <w:sz w:val="20"/>
                <w:szCs w:val="20"/>
              </w:rPr>
              <w:t>89</w:t>
            </w:r>
          </w:p>
        </w:tc>
        <w:tc>
          <w:tcPr>
            <w:tcW w:w="992" w:type="dxa"/>
          </w:tcPr>
          <w:p w14:paraId="73A1869A" w14:textId="77777777" w:rsidR="0017561A" w:rsidRDefault="0017561A" w:rsidP="004E0520">
            <w:pPr>
              <w:rPr>
                <w:sz w:val="20"/>
                <w:szCs w:val="20"/>
              </w:rPr>
            </w:pPr>
            <w:r>
              <w:rPr>
                <w:sz w:val="20"/>
                <w:szCs w:val="20"/>
              </w:rPr>
              <w:t xml:space="preserve">  </w:t>
            </w:r>
            <w:r w:rsidRPr="00192CCA">
              <w:rPr>
                <w:sz w:val="20"/>
                <w:szCs w:val="20"/>
              </w:rPr>
              <w:t>0.0</w:t>
            </w:r>
            <w:r>
              <w:rPr>
                <w:sz w:val="20"/>
                <w:szCs w:val="20"/>
              </w:rPr>
              <w:t>04</w:t>
            </w:r>
          </w:p>
        </w:tc>
        <w:tc>
          <w:tcPr>
            <w:tcW w:w="709" w:type="dxa"/>
          </w:tcPr>
          <w:p w14:paraId="16B5A5AD" w14:textId="77777777" w:rsidR="0017561A" w:rsidRPr="00192CCA" w:rsidRDefault="0017561A" w:rsidP="004E0520">
            <w:pPr>
              <w:rPr>
                <w:sz w:val="20"/>
                <w:szCs w:val="20"/>
              </w:rPr>
            </w:pPr>
            <w:r w:rsidRPr="00192CCA">
              <w:rPr>
                <w:sz w:val="20"/>
                <w:szCs w:val="20"/>
              </w:rPr>
              <w:t>0.</w:t>
            </w:r>
            <w:r>
              <w:rPr>
                <w:sz w:val="20"/>
                <w:szCs w:val="20"/>
              </w:rPr>
              <w:t>94</w:t>
            </w:r>
          </w:p>
        </w:tc>
        <w:tc>
          <w:tcPr>
            <w:tcW w:w="1418" w:type="dxa"/>
          </w:tcPr>
          <w:p w14:paraId="51A1AEB2" w14:textId="77777777" w:rsidR="0017561A" w:rsidRPr="00192CCA" w:rsidRDefault="0017561A" w:rsidP="004E0520">
            <w:pPr>
              <w:rPr>
                <w:sz w:val="20"/>
                <w:szCs w:val="20"/>
              </w:rPr>
            </w:pPr>
            <w:r w:rsidRPr="00192CCA">
              <w:rPr>
                <w:sz w:val="20"/>
                <w:szCs w:val="20"/>
              </w:rPr>
              <w:t>0.</w:t>
            </w:r>
            <w:r>
              <w:rPr>
                <w:sz w:val="20"/>
                <w:szCs w:val="20"/>
              </w:rPr>
              <w:t>72</w:t>
            </w:r>
            <w:r w:rsidRPr="00192CCA">
              <w:rPr>
                <w:sz w:val="20"/>
                <w:szCs w:val="20"/>
              </w:rPr>
              <w:t xml:space="preserve"> – </w:t>
            </w:r>
            <w:r>
              <w:rPr>
                <w:sz w:val="20"/>
                <w:szCs w:val="20"/>
              </w:rPr>
              <w:t>1.22</w:t>
            </w:r>
          </w:p>
        </w:tc>
        <w:tc>
          <w:tcPr>
            <w:tcW w:w="992" w:type="dxa"/>
          </w:tcPr>
          <w:p w14:paraId="42B7BC21" w14:textId="77777777" w:rsidR="0017561A" w:rsidRDefault="0017561A" w:rsidP="004E0520">
            <w:pPr>
              <w:rPr>
                <w:sz w:val="20"/>
                <w:szCs w:val="20"/>
              </w:rPr>
            </w:pPr>
            <w:r>
              <w:rPr>
                <w:sz w:val="20"/>
                <w:szCs w:val="20"/>
              </w:rPr>
              <w:t xml:space="preserve">  </w:t>
            </w:r>
            <w:r w:rsidRPr="00192CCA">
              <w:rPr>
                <w:sz w:val="20"/>
                <w:szCs w:val="20"/>
              </w:rPr>
              <w:t>0.</w:t>
            </w:r>
            <w:r>
              <w:rPr>
                <w:sz w:val="20"/>
                <w:szCs w:val="20"/>
              </w:rPr>
              <w:t>634</w:t>
            </w:r>
          </w:p>
        </w:tc>
      </w:tr>
      <w:tr w:rsidR="0017561A" w:rsidRPr="000E6139" w14:paraId="02418F53" w14:textId="77777777" w:rsidTr="004E0520">
        <w:trPr>
          <w:jc w:val="center"/>
        </w:trPr>
        <w:tc>
          <w:tcPr>
            <w:tcW w:w="3823" w:type="dxa"/>
          </w:tcPr>
          <w:p w14:paraId="6021B9B4" w14:textId="77777777" w:rsidR="0017561A" w:rsidRPr="00192CCA" w:rsidRDefault="0017561A" w:rsidP="004E0520">
            <w:pPr>
              <w:rPr>
                <w:sz w:val="20"/>
                <w:szCs w:val="20"/>
              </w:rPr>
            </w:pPr>
            <w:r w:rsidRPr="00192CCA">
              <w:rPr>
                <w:sz w:val="20"/>
                <w:szCs w:val="20"/>
              </w:rPr>
              <w:t>3+</w:t>
            </w:r>
          </w:p>
        </w:tc>
        <w:tc>
          <w:tcPr>
            <w:tcW w:w="1417" w:type="dxa"/>
          </w:tcPr>
          <w:p w14:paraId="08DE211C" w14:textId="77777777" w:rsidR="0017561A" w:rsidRPr="00192CCA" w:rsidRDefault="0017561A" w:rsidP="004E0520">
            <w:pPr>
              <w:rPr>
                <w:sz w:val="20"/>
                <w:szCs w:val="20"/>
              </w:rPr>
            </w:pPr>
            <w:r>
              <w:rPr>
                <w:sz w:val="20"/>
                <w:szCs w:val="20"/>
              </w:rPr>
              <w:t>20 (22.99)</w:t>
            </w:r>
          </w:p>
        </w:tc>
        <w:tc>
          <w:tcPr>
            <w:tcW w:w="1418" w:type="dxa"/>
          </w:tcPr>
          <w:p w14:paraId="4CA8E62B" w14:textId="77777777" w:rsidR="0017561A" w:rsidRPr="00192CCA" w:rsidRDefault="0017561A" w:rsidP="004E0520">
            <w:pPr>
              <w:rPr>
                <w:sz w:val="20"/>
                <w:szCs w:val="20"/>
              </w:rPr>
            </w:pPr>
            <w:r>
              <w:rPr>
                <w:sz w:val="20"/>
                <w:szCs w:val="20"/>
              </w:rPr>
              <w:t>67 (77.01)</w:t>
            </w:r>
          </w:p>
        </w:tc>
        <w:tc>
          <w:tcPr>
            <w:tcW w:w="992" w:type="dxa"/>
          </w:tcPr>
          <w:p w14:paraId="0692E5E7" w14:textId="77777777" w:rsidR="0017561A" w:rsidRPr="000E6139" w:rsidRDefault="0017561A" w:rsidP="004E0520"/>
        </w:tc>
        <w:tc>
          <w:tcPr>
            <w:tcW w:w="709" w:type="dxa"/>
          </w:tcPr>
          <w:p w14:paraId="4C8A8012" w14:textId="77777777" w:rsidR="0017561A" w:rsidRPr="00192CCA" w:rsidRDefault="0017561A" w:rsidP="004E0520">
            <w:pPr>
              <w:rPr>
                <w:sz w:val="20"/>
                <w:szCs w:val="20"/>
              </w:rPr>
            </w:pPr>
            <w:r w:rsidRPr="00192CCA">
              <w:rPr>
                <w:sz w:val="20"/>
                <w:szCs w:val="20"/>
              </w:rPr>
              <w:t>0.</w:t>
            </w:r>
            <w:r>
              <w:rPr>
                <w:sz w:val="20"/>
                <w:szCs w:val="20"/>
              </w:rPr>
              <w:t>34</w:t>
            </w:r>
          </w:p>
        </w:tc>
        <w:tc>
          <w:tcPr>
            <w:tcW w:w="1417" w:type="dxa"/>
          </w:tcPr>
          <w:p w14:paraId="7860125F" w14:textId="77777777" w:rsidR="0017561A" w:rsidRPr="00192CCA" w:rsidRDefault="0017561A" w:rsidP="004E0520">
            <w:pPr>
              <w:rPr>
                <w:sz w:val="20"/>
                <w:szCs w:val="20"/>
              </w:rPr>
            </w:pPr>
            <w:r w:rsidRPr="00192CCA">
              <w:rPr>
                <w:sz w:val="20"/>
                <w:szCs w:val="20"/>
              </w:rPr>
              <w:t>0.</w:t>
            </w:r>
            <w:r>
              <w:rPr>
                <w:sz w:val="20"/>
                <w:szCs w:val="20"/>
              </w:rPr>
              <w:t>20</w:t>
            </w:r>
            <w:r w:rsidRPr="00192CCA">
              <w:rPr>
                <w:sz w:val="20"/>
                <w:szCs w:val="20"/>
              </w:rPr>
              <w:t xml:space="preserve"> – 0.</w:t>
            </w:r>
            <w:r>
              <w:rPr>
                <w:sz w:val="20"/>
                <w:szCs w:val="20"/>
              </w:rPr>
              <w:t>56</w:t>
            </w:r>
          </w:p>
        </w:tc>
        <w:tc>
          <w:tcPr>
            <w:tcW w:w="992" w:type="dxa"/>
          </w:tcPr>
          <w:p w14:paraId="18ADAC91" w14:textId="77777777" w:rsidR="0017561A" w:rsidRPr="00192CCA" w:rsidRDefault="0017561A" w:rsidP="004E0520">
            <w:pPr>
              <w:rPr>
                <w:sz w:val="20"/>
                <w:szCs w:val="20"/>
              </w:rPr>
            </w:pPr>
            <w:r w:rsidRPr="00192CCA">
              <w:rPr>
                <w:sz w:val="20"/>
                <w:szCs w:val="20"/>
              </w:rPr>
              <w:t>&lt;0.001</w:t>
            </w:r>
          </w:p>
        </w:tc>
        <w:tc>
          <w:tcPr>
            <w:tcW w:w="709" w:type="dxa"/>
          </w:tcPr>
          <w:p w14:paraId="59C1F949" w14:textId="77777777" w:rsidR="0017561A" w:rsidRPr="00192CCA" w:rsidRDefault="0017561A" w:rsidP="004E0520">
            <w:pPr>
              <w:rPr>
                <w:sz w:val="20"/>
                <w:szCs w:val="20"/>
              </w:rPr>
            </w:pPr>
            <w:r w:rsidRPr="00192CCA">
              <w:rPr>
                <w:sz w:val="20"/>
                <w:szCs w:val="20"/>
              </w:rPr>
              <w:t>0.</w:t>
            </w:r>
            <w:r>
              <w:rPr>
                <w:sz w:val="20"/>
                <w:szCs w:val="20"/>
              </w:rPr>
              <w:t>46</w:t>
            </w:r>
          </w:p>
        </w:tc>
        <w:tc>
          <w:tcPr>
            <w:tcW w:w="1418" w:type="dxa"/>
          </w:tcPr>
          <w:p w14:paraId="018551B8" w14:textId="77777777" w:rsidR="0017561A" w:rsidRPr="00192CCA" w:rsidRDefault="0017561A" w:rsidP="004E0520">
            <w:pPr>
              <w:rPr>
                <w:sz w:val="20"/>
                <w:szCs w:val="20"/>
              </w:rPr>
            </w:pPr>
            <w:r w:rsidRPr="00192CCA">
              <w:rPr>
                <w:sz w:val="20"/>
                <w:szCs w:val="20"/>
              </w:rPr>
              <w:t>0.</w:t>
            </w:r>
            <w:r>
              <w:rPr>
                <w:sz w:val="20"/>
                <w:szCs w:val="20"/>
              </w:rPr>
              <w:t>26</w:t>
            </w:r>
            <w:r w:rsidRPr="00192CCA">
              <w:rPr>
                <w:sz w:val="20"/>
                <w:szCs w:val="20"/>
              </w:rPr>
              <w:t xml:space="preserve"> – </w:t>
            </w:r>
            <w:r>
              <w:rPr>
                <w:sz w:val="20"/>
                <w:szCs w:val="20"/>
              </w:rPr>
              <w:t>0.80</w:t>
            </w:r>
          </w:p>
        </w:tc>
        <w:tc>
          <w:tcPr>
            <w:tcW w:w="992" w:type="dxa"/>
          </w:tcPr>
          <w:p w14:paraId="729CBE68" w14:textId="77777777" w:rsidR="0017561A" w:rsidRPr="00192CCA" w:rsidRDefault="0017561A" w:rsidP="004E0520">
            <w:pPr>
              <w:rPr>
                <w:sz w:val="20"/>
                <w:szCs w:val="20"/>
              </w:rPr>
            </w:pPr>
            <w:r>
              <w:rPr>
                <w:sz w:val="20"/>
                <w:szCs w:val="20"/>
              </w:rPr>
              <w:t xml:space="preserve">  </w:t>
            </w:r>
            <w:r w:rsidRPr="00192CCA">
              <w:rPr>
                <w:sz w:val="20"/>
                <w:szCs w:val="20"/>
              </w:rPr>
              <w:t>0.00</w:t>
            </w:r>
            <w:r>
              <w:rPr>
                <w:sz w:val="20"/>
                <w:szCs w:val="20"/>
              </w:rPr>
              <w:t>6</w:t>
            </w:r>
          </w:p>
        </w:tc>
      </w:tr>
      <w:tr w:rsidR="0017561A" w:rsidRPr="00192CCA" w14:paraId="73088308"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2824259E" w14:textId="77777777" w:rsidR="0017561A" w:rsidRPr="00192CCA" w:rsidRDefault="0017561A" w:rsidP="004E0520">
            <w:pPr>
              <w:rPr>
                <w:sz w:val="20"/>
                <w:szCs w:val="20"/>
              </w:rPr>
            </w:pPr>
          </w:p>
        </w:tc>
        <w:tc>
          <w:tcPr>
            <w:tcW w:w="1417" w:type="dxa"/>
            <w:tcBorders>
              <w:top w:val="nil"/>
              <w:left w:val="nil"/>
              <w:bottom w:val="nil"/>
              <w:right w:val="nil"/>
            </w:tcBorders>
          </w:tcPr>
          <w:p w14:paraId="0DC3D64D" w14:textId="77777777" w:rsidR="0017561A" w:rsidRPr="00192CCA" w:rsidRDefault="0017561A" w:rsidP="004E0520">
            <w:pPr>
              <w:rPr>
                <w:sz w:val="20"/>
                <w:szCs w:val="20"/>
              </w:rPr>
            </w:pPr>
          </w:p>
        </w:tc>
        <w:tc>
          <w:tcPr>
            <w:tcW w:w="1418" w:type="dxa"/>
            <w:tcBorders>
              <w:top w:val="nil"/>
              <w:left w:val="nil"/>
              <w:bottom w:val="nil"/>
              <w:right w:val="nil"/>
            </w:tcBorders>
          </w:tcPr>
          <w:p w14:paraId="2D00FF6C" w14:textId="77777777" w:rsidR="0017561A" w:rsidRPr="00192CCA" w:rsidRDefault="0017561A" w:rsidP="004E0520">
            <w:pPr>
              <w:rPr>
                <w:sz w:val="20"/>
                <w:szCs w:val="20"/>
              </w:rPr>
            </w:pPr>
          </w:p>
        </w:tc>
        <w:tc>
          <w:tcPr>
            <w:tcW w:w="992" w:type="dxa"/>
            <w:tcBorders>
              <w:top w:val="nil"/>
              <w:left w:val="nil"/>
              <w:bottom w:val="nil"/>
              <w:right w:val="nil"/>
            </w:tcBorders>
          </w:tcPr>
          <w:p w14:paraId="1A539599" w14:textId="77777777" w:rsidR="0017561A" w:rsidRPr="00192CCA" w:rsidRDefault="0017561A" w:rsidP="004E0520">
            <w:pPr>
              <w:rPr>
                <w:sz w:val="20"/>
                <w:szCs w:val="20"/>
              </w:rPr>
            </w:pPr>
          </w:p>
        </w:tc>
        <w:tc>
          <w:tcPr>
            <w:tcW w:w="709" w:type="dxa"/>
            <w:tcBorders>
              <w:top w:val="nil"/>
              <w:left w:val="nil"/>
              <w:bottom w:val="nil"/>
              <w:right w:val="nil"/>
            </w:tcBorders>
          </w:tcPr>
          <w:p w14:paraId="139ECD60" w14:textId="77777777" w:rsidR="0017561A" w:rsidRPr="00192CCA" w:rsidRDefault="0017561A" w:rsidP="004E0520">
            <w:pPr>
              <w:rPr>
                <w:sz w:val="20"/>
                <w:szCs w:val="20"/>
              </w:rPr>
            </w:pPr>
          </w:p>
        </w:tc>
        <w:tc>
          <w:tcPr>
            <w:tcW w:w="1417" w:type="dxa"/>
            <w:tcBorders>
              <w:top w:val="nil"/>
              <w:left w:val="nil"/>
              <w:bottom w:val="nil"/>
              <w:right w:val="nil"/>
            </w:tcBorders>
          </w:tcPr>
          <w:p w14:paraId="4E399798" w14:textId="77777777" w:rsidR="0017561A" w:rsidRPr="00192CCA" w:rsidRDefault="0017561A" w:rsidP="004E0520">
            <w:pPr>
              <w:rPr>
                <w:sz w:val="20"/>
                <w:szCs w:val="20"/>
              </w:rPr>
            </w:pPr>
          </w:p>
        </w:tc>
        <w:tc>
          <w:tcPr>
            <w:tcW w:w="992" w:type="dxa"/>
            <w:tcBorders>
              <w:top w:val="nil"/>
              <w:left w:val="nil"/>
              <w:bottom w:val="nil"/>
              <w:right w:val="nil"/>
            </w:tcBorders>
          </w:tcPr>
          <w:p w14:paraId="12797325" w14:textId="77777777" w:rsidR="0017561A" w:rsidRPr="00192CCA" w:rsidRDefault="0017561A" w:rsidP="004E0520">
            <w:pPr>
              <w:rPr>
                <w:sz w:val="20"/>
                <w:szCs w:val="20"/>
              </w:rPr>
            </w:pPr>
          </w:p>
        </w:tc>
        <w:tc>
          <w:tcPr>
            <w:tcW w:w="709" w:type="dxa"/>
            <w:tcBorders>
              <w:top w:val="nil"/>
              <w:left w:val="nil"/>
              <w:bottom w:val="nil"/>
              <w:right w:val="nil"/>
            </w:tcBorders>
          </w:tcPr>
          <w:p w14:paraId="58430C82" w14:textId="77777777" w:rsidR="0017561A" w:rsidRPr="00192CCA" w:rsidRDefault="0017561A" w:rsidP="004E0520">
            <w:pPr>
              <w:rPr>
                <w:sz w:val="20"/>
                <w:szCs w:val="20"/>
              </w:rPr>
            </w:pPr>
          </w:p>
        </w:tc>
        <w:tc>
          <w:tcPr>
            <w:tcW w:w="1418" w:type="dxa"/>
            <w:tcBorders>
              <w:top w:val="nil"/>
              <w:left w:val="nil"/>
              <w:bottom w:val="nil"/>
              <w:right w:val="nil"/>
            </w:tcBorders>
          </w:tcPr>
          <w:p w14:paraId="1F43CEAA" w14:textId="77777777" w:rsidR="0017561A" w:rsidRPr="00192CCA" w:rsidRDefault="0017561A" w:rsidP="004E0520">
            <w:pPr>
              <w:rPr>
                <w:sz w:val="20"/>
                <w:szCs w:val="20"/>
              </w:rPr>
            </w:pPr>
          </w:p>
        </w:tc>
        <w:tc>
          <w:tcPr>
            <w:tcW w:w="992" w:type="dxa"/>
            <w:tcBorders>
              <w:top w:val="nil"/>
              <w:left w:val="nil"/>
              <w:bottom w:val="nil"/>
              <w:right w:val="nil"/>
            </w:tcBorders>
          </w:tcPr>
          <w:p w14:paraId="075C17C5" w14:textId="77777777" w:rsidR="0017561A" w:rsidRPr="00192CCA" w:rsidRDefault="0017561A" w:rsidP="004E0520">
            <w:pPr>
              <w:rPr>
                <w:sz w:val="20"/>
                <w:szCs w:val="20"/>
              </w:rPr>
            </w:pPr>
          </w:p>
        </w:tc>
      </w:tr>
      <w:tr w:rsidR="0017561A" w:rsidRPr="00192CCA" w14:paraId="44C4B549"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2897B907" w14:textId="77777777" w:rsidR="0017561A" w:rsidRPr="00192CCA" w:rsidRDefault="0017561A" w:rsidP="004E0520">
            <w:pPr>
              <w:rPr>
                <w:sz w:val="20"/>
                <w:szCs w:val="20"/>
              </w:rPr>
            </w:pPr>
            <w:r w:rsidRPr="00192CCA">
              <w:rPr>
                <w:b/>
                <w:bCs/>
                <w:sz w:val="20"/>
                <w:szCs w:val="20"/>
              </w:rPr>
              <w:t>Discussed at MDT</w:t>
            </w:r>
          </w:p>
        </w:tc>
        <w:tc>
          <w:tcPr>
            <w:tcW w:w="1417" w:type="dxa"/>
            <w:tcBorders>
              <w:top w:val="nil"/>
              <w:left w:val="nil"/>
              <w:bottom w:val="nil"/>
              <w:right w:val="nil"/>
            </w:tcBorders>
          </w:tcPr>
          <w:p w14:paraId="5FA20367" w14:textId="77777777" w:rsidR="0017561A" w:rsidRPr="00192CCA" w:rsidRDefault="0017561A" w:rsidP="004E0520">
            <w:pPr>
              <w:rPr>
                <w:sz w:val="20"/>
                <w:szCs w:val="20"/>
              </w:rPr>
            </w:pPr>
          </w:p>
        </w:tc>
        <w:tc>
          <w:tcPr>
            <w:tcW w:w="1418" w:type="dxa"/>
            <w:tcBorders>
              <w:top w:val="nil"/>
              <w:left w:val="nil"/>
              <w:bottom w:val="nil"/>
              <w:right w:val="nil"/>
            </w:tcBorders>
          </w:tcPr>
          <w:p w14:paraId="656979A8" w14:textId="77777777" w:rsidR="0017561A" w:rsidRPr="00192CCA" w:rsidRDefault="0017561A" w:rsidP="004E0520">
            <w:pPr>
              <w:rPr>
                <w:sz w:val="20"/>
                <w:szCs w:val="20"/>
              </w:rPr>
            </w:pPr>
          </w:p>
        </w:tc>
        <w:tc>
          <w:tcPr>
            <w:tcW w:w="992" w:type="dxa"/>
            <w:tcBorders>
              <w:top w:val="nil"/>
              <w:left w:val="nil"/>
              <w:bottom w:val="nil"/>
              <w:right w:val="nil"/>
            </w:tcBorders>
          </w:tcPr>
          <w:p w14:paraId="1A6D09CF" w14:textId="77777777" w:rsidR="0017561A" w:rsidRPr="00192CCA" w:rsidRDefault="0017561A" w:rsidP="004E0520">
            <w:pPr>
              <w:rPr>
                <w:sz w:val="20"/>
                <w:szCs w:val="20"/>
              </w:rPr>
            </w:pPr>
            <w:r>
              <w:rPr>
                <w:sz w:val="20"/>
                <w:szCs w:val="20"/>
              </w:rPr>
              <w:t xml:space="preserve">   </w:t>
            </w:r>
            <w:r w:rsidRPr="00192CCA">
              <w:rPr>
                <w:sz w:val="20"/>
                <w:szCs w:val="20"/>
              </w:rPr>
              <w:t>0.001</w:t>
            </w:r>
          </w:p>
        </w:tc>
        <w:tc>
          <w:tcPr>
            <w:tcW w:w="709" w:type="dxa"/>
            <w:tcBorders>
              <w:top w:val="nil"/>
              <w:left w:val="nil"/>
              <w:bottom w:val="nil"/>
              <w:right w:val="nil"/>
            </w:tcBorders>
          </w:tcPr>
          <w:p w14:paraId="641E13A1" w14:textId="77777777" w:rsidR="0017561A" w:rsidRPr="00192CCA" w:rsidRDefault="0017561A" w:rsidP="004E0520">
            <w:pPr>
              <w:rPr>
                <w:sz w:val="20"/>
                <w:szCs w:val="20"/>
              </w:rPr>
            </w:pPr>
          </w:p>
        </w:tc>
        <w:tc>
          <w:tcPr>
            <w:tcW w:w="1417" w:type="dxa"/>
            <w:tcBorders>
              <w:top w:val="nil"/>
              <w:left w:val="nil"/>
              <w:bottom w:val="nil"/>
              <w:right w:val="nil"/>
            </w:tcBorders>
          </w:tcPr>
          <w:p w14:paraId="70E3E1A0" w14:textId="77777777" w:rsidR="0017561A" w:rsidRPr="00192CCA" w:rsidRDefault="0017561A" w:rsidP="004E0520">
            <w:pPr>
              <w:rPr>
                <w:sz w:val="20"/>
                <w:szCs w:val="20"/>
              </w:rPr>
            </w:pPr>
          </w:p>
        </w:tc>
        <w:tc>
          <w:tcPr>
            <w:tcW w:w="992" w:type="dxa"/>
            <w:tcBorders>
              <w:top w:val="nil"/>
              <w:left w:val="nil"/>
              <w:bottom w:val="nil"/>
              <w:right w:val="nil"/>
            </w:tcBorders>
          </w:tcPr>
          <w:p w14:paraId="7153A4AB" w14:textId="77777777" w:rsidR="0017561A" w:rsidRPr="00192CCA" w:rsidRDefault="0017561A" w:rsidP="004E0520">
            <w:pPr>
              <w:rPr>
                <w:sz w:val="20"/>
                <w:szCs w:val="20"/>
              </w:rPr>
            </w:pPr>
            <w:r>
              <w:rPr>
                <w:b/>
                <w:bCs/>
                <w:sz w:val="20"/>
                <w:szCs w:val="20"/>
              </w:rPr>
              <w:t xml:space="preserve">  </w:t>
            </w:r>
            <w:r w:rsidRPr="00192CCA">
              <w:rPr>
                <w:b/>
                <w:bCs/>
                <w:sz w:val="20"/>
                <w:szCs w:val="20"/>
              </w:rPr>
              <w:t>0.001</w:t>
            </w:r>
          </w:p>
        </w:tc>
        <w:tc>
          <w:tcPr>
            <w:tcW w:w="709" w:type="dxa"/>
            <w:tcBorders>
              <w:top w:val="nil"/>
              <w:left w:val="nil"/>
              <w:bottom w:val="nil"/>
              <w:right w:val="nil"/>
            </w:tcBorders>
          </w:tcPr>
          <w:p w14:paraId="30E12364" w14:textId="77777777" w:rsidR="0017561A" w:rsidRPr="00192CCA" w:rsidRDefault="0017561A" w:rsidP="004E0520">
            <w:pPr>
              <w:rPr>
                <w:sz w:val="20"/>
                <w:szCs w:val="20"/>
              </w:rPr>
            </w:pPr>
          </w:p>
        </w:tc>
        <w:tc>
          <w:tcPr>
            <w:tcW w:w="1418" w:type="dxa"/>
            <w:tcBorders>
              <w:top w:val="nil"/>
              <w:left w:val="nil"/>
              <w:bottom w:val="nil"/>
              <w:right w:val="nil"/>
            </w:tcBorders>
          </w:tcPr>
          <w:p w14:paraId="48178320" w14:textId="77777777" w:rsidR="0017561A" w:rsidRPr="00192CCA" w:rsidRDefault="0017561A" w:rsidP="004E0520">
            <w:pPr>
              <w:rPr>
                <w:sz w:val="20"/>
                <w:szCs w:val="20"/>
              </w:rPr>
            </w:pPr>
          </w:p>
        </w:tc>
        <w:tc>
          <w:tcPr>
            <w:tcW w:w="992" w:type="dxa"/>
            <w:tcBorders>
              <w:top w:val="nil"/>
              <w:left w:val="nil"/>
              <w:bottom w:val="nil"/>
              <w:right w:val="nil"/>
            </w:tcBorders>
          </w:tcPr>
          <w:p w14:paraId="490E4D9F" w14:textId="77777777" w:rsidR="0017561A" w:rsidRPr="00192CCA" w:rsidRDefault="0017561A" w:rsidP="004E0520">
            <w:pPr>
              <w:rPr>
                <w:sz w:val="20"/>
                <w:szCs w:val="20"/>
              </w:rPr>
            </w:pPr>
            <w:r w:rsidRPr="00192CCA">
              <w:rPr>
                <w:b/>
                <w:bCs/>
                <w:sz w:val="20"/>
                <w:szCs w:val="20"/>
              </w:rPr>
              <w:t>&lt;0.001</w:t>
            </w:r>
          </w:p>
        </w:tc>
      </w:tr>
      <w:tr w:rsidR="0017561A" w:rsidRPr="00192CCA" w14:paraId="0A91F7CC"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496B9A45" w14:textId="77777777" w:rsidR="0017561A" w:rsidRPr="00192CCA" w:rsidRDefault="0017561A" w:rsidP="004E0520">
            <w:pPr>
              <w:rPr>
                <w:b/>
                <w:bCs/>
                <w:sz w:val="20"/>
                <w:szCs w:val="20"/>
              </w:rPr>
            </w:pPr>
            <w:r w:rsidRPr="00192CCA">
              <w:rPr>
                <w:sz w:val="20"/>
                <w:szCs w:val="20"/>
              </w:rPr>
              <w:t>Yes</w:t>
            </w:r>
          </w:p>
        </w:tc>
        <w:tc>
          <w:tcPr>
            <w:tcW w:w="1417" w:type="dxa"/>
            <w:tcBorders>
              <w:top w:val="nil"/>
              <w:left w:val="nil"/>
              <w:bottom w:val="nil"/>
              <w:right w:val="nil"/>
            </w:tcBorders>
          </w:tcPr>
          <w:p w14:paraId="400A205C" w14:textId="77777777" w:rsidR="0017561A" w:rsidRPr="00192CCA" w:rsidRDefault="0017561A" w:rsidP="004E0520">
            <w:pPr>
              <w:rPr>
                <w:sz w:val="20"/>
                <w:szCs w:val="20"/>
              </w:rPr>
            </w:pPr>
            <w:r>
              <w:rPr>
                <w:sz w:val="20"/>
                <w:szCs w:val="20"/>
              </w:rPr>
              <w:t>637 (48.08)</w:t>
            </w:r>
          </w:p>
        </w:tc>
        <w:tc>
          <w:tcPr>
            <w:tcW w:w="1418" w:type="dxa"/>
            <w:tcBorders>
              <w:top w:val="nil"/>
              <w:left w:val="nil"/>
              <w:bottom w:val="nil"/>
              <w:right w:val="nil"/>
            </w:tcBorders>
          </w:tcPr>
          <w:p w14:paraId="5F883459" w14:textId="77777777" w:rsidR="0017561A" w:rsidRPr="00192CCA" w:rsidRDefault="0017561A" w:rsidP="004E0520">
            <w:pPr>
              <w:rPr>
                <w:sz w:val="20"/>
                <w:szCs w:val="20"/>
              </w:rPr>
            </w:pPr>
            <w:r>
              <w:rPr>
                <w:sz w:val="20"/>
                <w:szCs w:val="20"/>
              </w:rPr>
              <w:t>688 (51.92)</w:t>
            </w:r>
          </w:p>
        </w:tc>
        <w:tc>
          <w:tcPr>
            <w:tcW w:w="992" w:type="dxa"/>
            <w:tcBorders>
              <w:top w:val="nil"/>
              <w:left w:val="nil"/>
              <w:bottom w:val="nil"/>
              <w:right w:val="nil"/>
            </w:tcBorders>
          </w:tcPr>
          <w:p w14:paraId="074D2CC0" w14:textId="77777777" w:rsidR="0017561A" w:rsidRPr="00192CCA" w:rsidRDefault="0017561A" w:rsidP="004E0520">
            <w:pPr>
              <w:rPr>
                <w:sz w:val="20"/>
                <w:szCs w:val="20"/>
              </w:rPr>
            </w:pPr>
          </w:p>
        </w:tc>
        <w:tc>
          <w:tcPr>
            <w:tcW w:w="709" w:type="dxa"/>
            <w:tcBorders>
              <w:top w:val="nil"/>
              <w:left w:val="nil"/>
              <w:bottom w:val="nil"/>
              <w:right w:val="nil"/>
            </w:tcBorders>
          </w:tcPr>
          <w:p w14:paraId="36BA833D" w14:textId="77777777" w:rsidR="0017561A" w:rsidRPr="00192CCA" w:rsidRDefault="0017561A" w:rsidP="004E0520">
            <w:pPr>
              <w:rPr>
                <w:sz w:val="20"/>
                <w:szCs w:val="20"/>
              </w:rPr>
            </w:pPr>
            <w:r w:rsidRPr="00192CCA">
              <w:rPr>
                <w:sz w:val="20"/>
                <w:szCs w:val="20"/>
              </w:rPr>
              <w:t>1.00</w:t>
            </w:r>
          </w:p>
        </w:tc>
        <w:tc>
          <w:tcPr>
            <w:tcW w:w="1417" w:type="dxa"/>
            <w:tcBorders>
              <w:top w:val="nil"/>
              <w:left w:val="nil"/>
              <w:bottom w:val="nil"/>
              <w:right w:val="nil"/>
            </w:tcBorders>
          </w:tcPr>
          <w:p w14:paraId="2C498B8F" w14:textId="77777777" w:rsidR="0017561A" w:rsidRPr="00192CCA" w:rsidRDefault="0017561A" w:rsidP="004E0520">
            <w:pPr>
              <w:rPr>
                <w:sz w:val="20"/>
                <w:szCs w:val="20"/>
              </w:rPr>
            </w:pPr>
            <w:r w:rsidRPr="00192CCA">
              <w:rPr>
                <w:sz w:val="20"/>
                <w:szCs w:val="20"/>
              </w:rPr>
              <w:t>-----     -----</w:t>
            </w:r>
          </w:p>
        </w:tc>
        <w:tc>
          <w:tcPr>
            <w:tcW w:w="992" w:type="dxa"/>
            <w:tcBorders>
              <w:top w:val="nil"/>
              <w:left w:val="nil"/>
              <w:bottom w:val="nil"/>
              <w:right w:val="nil"/>
            </w:tcBorders>
          </w:tcPr>
          <w:p w14:paraId="1C7BC2F8" w14:textId="77777777" w:rsidR="0017561A" w:rsidRPr="00192CCA" w:rsidRDefault="0017561A" w:rsidP="004E0520">
            <w:pPr>
              <w:rPr>
                <w:b/>
                <w:bCs/>
                <w:sz w:val="20"/>
                <w:szCs w:val="20"/>
              </w:rPr>
            </w:pPr>
            <w:r>
              <w:rPr>
                <w:sz w:val="20"/>
                <w:szCs w:val="20"/>
              </w:rPr>
              <w:t xml:space="preserve">  </w:t>
            </w:r>
            <w:r w:rsidRPr="00192CCA">
              <w:rPr>
                <w:sz w:val="20"/>
                <w:szCs w:val="20"/>
              </w:rPr>
              <w:t>-------</w:t>
            </w:r>
          </w:p>
        </w:tc>
        <w:tc>
          <w:tcPr>
            <w:tcW w:w="709" w:type="dxa"/>
            <w:tcBorders>
              <w:top w:val="nil"/>
              <w:left w:val="nil"/>
              <w:bottom w:val="nil"/>
              <w:right w:val="nil"/>
            </w:tcBorders>
          </w:tcPr>
          <w:p w14:paraId="52F36BA6" w14:textId="77777777" w:rsidR="0017561A" w:rsidRPr="00192CCA" w:rsidRDefault="0017561A" w:rsidP="004E0520">
            <w:pPr>
              <w:rPr>
                <w:sz w:val="20"/>
                <w:szCs w:val="20"/>
              </w:rPr>
            </w:pPr>
            <w:r w:rsidRPr="00192CCA">
              <w:rPr>
                <w:sz w:val="20"/>
                <w:szCs w:val="20"/>
              </w:rPr>
              <w:t>1.00</w:t>
            </w:r>
          </w:p>
        </w:tc>
        <w:tc>
          <w:tcPr>
            <w:tcW w:w="1418" w:type="dxa"/>
            <w:tcBorders>
              <w:top w:val="nil"/>
              <w:left w:val="nil"/>
              <w:bottom w:val="nil"/>
              <w:right w:val="nil"/>
            </w:tcBorders>
          </w:tcPr>
          <w:p w14:paraId="5F75AB0D" w14:textId="77777777" w:rsidR="0017561A" w:rsidRPr="00192CCA" w:rsidRDefault="0017561A" w:rsidP="004E0520">
            <w:pPr>
              <w:rPr>
                <w:sz w:val="20"/>
                <w:szCs w:val="20"/>
              </w:rPr>
            </w:pPr>
            <w:r w:rsidRPr="00192CCA">
              <w:rPr>
                <w:sz w:val="20"/>
                <w:szCs w:val="20"/>
              </w:rPr>
              <w:t>-----     -----</w:t>
            </w:r>
          </w:p>
        </w:tc>
        <w:tc>
          <w:tcPr>
            <w:tcW w:w="992" w:type="dxa"/>
            <w:tcBorders>
              <w:top w:val="nil"/>
              <w:left w:val="nil"/>
              <w:bottom w:val="nil"/>
              <w:right w:val="nil"/>
            </w:tcBorders>
          </w:tcPr>
          <w:p w14:paraId="402FF334" w14:textId="77777777" w:rsidR="0017561A" w:rsidRPr="00192CCA" w:rsidRDefault="0017561A" w:rsidP="004E0520">
            <w:pPr>
              <w:rPr>
                <w:b/>
                <w:bCs/>
                <w:sz w:val="20"/>
                <w:szCs w:val="20"/>
              </w:rPr>
            </w:pPr>
            <w:r>
              <w:rPr>
                <w:sz w:val="20"/>
                <w:szCs w:val="20"/>
              </w:rPr>
              <w:t xml:space="preserve">  </w:t>
            </w:r>
            <w:r w:rsidRPr="00192CCA">
              <w:rPr>
                <w:sz w:val="20"/>
                <w:szCs w:val="20"/>
              </w:rPr>
              <w:t>-------</w:t>
            </w:r>
          </w:p>
        </w:tc>
      </w:tr>
      <w:tr w:rsidR="0017561A" w:rsidRPr="00192CCA" w14:paraId="5619BD5D"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1CDC01C9" w14:textId="77777777" w:rsidR="0017561A" w:rsidRPr="00192CCA" w:rsidRDefault="0017561A" w:rsidP="004E0520">
            <w:pPr>
              <w:rPr>
                <w:sz w:val="20"/>
                <w:szCs w:val="20"/>
              </w:rPr>
            </w:pPr>
            <w:r w:rsidRPr="00192CCA">
              <w:rPr>
                <w:sz w:val="20"/>
                <w:szCs w:val="20"/>
              </w:rPr>
              <w:t>No</w:t>
            </w:r>
          </w:p>
        </w:tc>
        <w:tc>
          <w:tcPr>
            <w:tcW w:w="1417" w:type="dxa"/>
            <w:tcBorders>
              <w:top w:val="nil"/>
              <w:left w:val="nil"/>
              <w:bottom w:val="nil"/>
              <w:right w:val="nil"/>
            </w:tcBorders>
          </w:tcPr>
          <w:p w14:paraId="3F3D4A18" w14:textId="77777777" w:rsidR="0017561A" w:rsidRPr="00192CCA" w:rsidRDefault="0017561A" w:rsidP="004E0520">
            <w:pPr>
              <w:rPr>
                <w:sz w:val="20"/>
                <w:szCs w:val="20"/>
              </w:rPr>
            </w:pPr>
            <w:r>
              <w:rPr>
                <w:sz w:val="20"/>
                <w:szCs w:val="20"/>
              </w:rPr>
              <w:t>188 (43.02)</w:t>
            </w:r>
          </w:p>
        </w:tc>
        <w:tc>
          <w:tcPr>
            <w:tcW w:w="1418" w:type="dxa"/>
            <w:tcBorders>
              <w:top w:val="nil"/>
              <w:left w:val="nil"/>
              <w:bottom w:val="nil"/>
              <w:right w:val="nil"/>
            </w:tcBorders>
          </w:tcPr>
          <w:p w14:paraId="2D505EE6" w14:textId="77777777" w:rsidR="0017561A" w:rsidRPr="00192CCA" w:rsidRDefault="0017561A" w:rsidP="004E0520">
            <w:pPr>
              <w:rPr>
                <w:sz w:val="20"/>
                <w:szCs w:val="20"/>
              </w:rPr>
            </w:pPr>
            <w:r>
              <w:rPr>
                <w:sz w:val="20"/>
                <w:szCs w:val="20"/>
              </w:rPr>
              <w:t>249 (56.98)</w:t>
            </w:r>
          </w:p>
        </w:tc>
        <w:tc>
          <w:tcPr>
            <w:tcW w:w="992" w:type="dxa"/>
            <w:tcBorders>
              <w:top w:val="nil"/>
              <w:left w:val="nil"/>
              <w:bottom w:val="nil"/>
              <w:right w:val="nil"/>
            </w:tcBorders>
          </w:tcPr>
          <w:p w14:paraId="7F5571C5" w14:textId="77777777" w:rsidR="0017561A" w:rsidRPr="00192CCA" w:rsidRDefault="0017561A" w:rsidP="004E0520">
            <w:pPr>
              <w:rPr>
                <w:sz w:val="20"/>
                <w:szCs w:val="20"/>
              </w:rPr>
            </w:pPr>
          </w:p>
        </w:tc>
        <w:tc>
          <w:tcPr>
            <w:tcW w:w="709" w:type="dxa"/>
            <w:tcBorders>
              <w:top w:val="nil"/>
              <w:left w:val="nil"/>
              <w:bottom w:val="nil"/>
              <w:right w:val="nil"/>
            </w:tcBorders>
          </w:tcPr>
          <w:p w14:paraId="0BFA9911" w14:textId="77777777" w:rsidR="0017561A" w:rsidRPr="00192CCA" w:rsidRDefault="0017561A" w:rsidP="004E0520">
            <w:pPr>
              <w:rPr>
                <w:sz w:val="20"/>
                <w:szCs w:val="20"/>
              </w:rPr>
            </w:pPr>
            <w:r w:rsidRPr="00192CCA">
              <w:rPr>
                <w:sz w:val="20"/>
                <w:szCs w:val="20"/>
              </w:rPr>
              <w:t>0.</w:t>
            </w:r>
            <w:r>
              <w:rPr>
                <w:sz w:val="20"/>
                <w:szCs w:val="20"/>
              </w:rPr>
              <w:t>82</w:t>
            </w:r>
          </w:p>
        </w:tc>
        <w:tc>
          <w:tcPr>
            <w:tcW w:w="1417" w:type="dxa"/>
            <w:tcBorders>
              <w:top w:val="nil"/>
              <w:left w:val="nil"/>
              <w:bottom w:val="nil"/>
              <w:right w:val="nil"/>
            </w:tcBorders>
          </w:tcPr>
          <w:p w14:paraId="27CED674" w14:textId="77777777" w:rsidR="0017561A" w:rsidRPr="00192CCA" w:rsidRDefault="0017561A" w:rsidP="004E0520">
            <w:pPr>
              <w:rPr>
                <w:sz w:val="20"/>
                <w:szCs w:val="20"/>
              </w:rPr>
            </w:pPr>
            <w:r w:rsidRPr="00192CCA">
              <w:rPr>
                <w:sz w:val="20"/>
                <w:szCs w:val="20"/>
              </w:rPr>
              <w:t>0.</w:t>
            </w:r>
            <w:r>
              <w:rPr>
                <w:sz w:val="20"/>
                <w:szCs w:val="20"/>
              </w:rPr>
              <w:t>66</w:t>
            </w:r>
            <w:r w:rsidRPr="00192CCA">
              <w:rPr>
                <w:sz w:val="20"/>
                <w:szCs w:val="20"/>
              </w:rPr>
              <w:t xml:space="preserve"> – </w:t>
            </w:r>
            <w:r>
              <w:rPr>
                <w:sz w:val="20"/>
                <w:szCs w:val="20"/>
              </w:rPr>
              <w:t>1.01</w:t>
            </w:r>
          </w:p>
        </w:tc>
        <w:tc>
          <w:tcPr>
            <w:tcW w:w="992" w:type="dxa"/>
            <w:tcBorders>
              <w:top w:val="nil"/>
              <w:left w:val="nil"/>
              <w:bottom w:val="nil"/>
              <w:right w:val="nil"/>
            </w:tcBorders>
          </w:tcPr>
          <w:p w14:paraId="4505D93C" w14:textId="77777777" w:rsidR="0017561A" w:rsidRPr="00192CCA" w:rsidRDefault="0017561A" w:rsidP="004E0520">
            <w:pPr>
              <w:rPr>
                <w:sz w:val="20"/>
                <w:szCs w:val="20"/>
              </w:rPr>
            </w:pPr>
            <w:r>
              <w:rPr>
                <w:sz w:val="20"/>
                <w:szCs w:val="20"/>
              </w:rPr>
              <w:t xml:space="preserve">  </w:t>
            </w:r>
            <w:r w:rsidRPr="00192CCA">
              <w:rPr>
                <w:sz w:val="20"/>
                <w:szCs w:val="20"/>
              </w:rPr>
              <w:t>0.0</w:t>
            </w:r>
            <w:r>
              <w:rPr>
                <w:sz w:val="20"/>
                <w:szCs w:val="20"/>
              </w:rPr>
              <w:t>67</w:t>
            </w:r>
          </w:p>
        </w:tc>
        <w:tc>
          <w:tcPr>
            <w:tcW w:w="709" w:type="dxa"/>
            <w:tcBorders>
              <w:top w:val="nil"/>
              <w:left w:val="nil"/>
              <w:bottom w:val="nil"/>
              <w:right w:val="nil"/>
            </w:tcBorders>
          </w:tcPr>
          <w:p w14:paraId="0C6BBC60" w14:textId="77777777" w:rsidR="0017561A" w:rsidRPr="00192CCA" w:rsidRDefault="0017561A" w:rsidP="004E0520">
            <w:pPr>
              <w:rPr>
                <w:sz w:val="20"/>
                <w:szCs w:val="20"/>
              </w:rPr>
            </w:pPr>
            <w:r w:rsidRPr="00192CCA">
              <w:rPr>
                <w:sz w:val="20"/>
                <w:szCs w:val="20"/>
              </w:rPr>
              <w:t>0.7</w:t>
            </w:r>
            <w:r>
              <w:rPr>
                <w:sz w:val="20"/>
                <w:szCs w:val="20"/>
              </w:rPr>
              <w:t>8</w:t>
            </w:r>
          </w:p>
        </w:tc>
        <w:tc>
          <w:tcPr>
            <w:tcW w:w="1418" w:type="dxa"/>
            <w:tcBorders>
              <w:top w:val="nil"/>
              <w:left w:val="nil"/>
              <w:bottom w:val="nil"/>
              <w:right w:val="nil"/>
            </w:tcBorders>
          </w:tcPr>
          <w:p w14:paraId="1C265FBB" w14:textId="77777777" w:rsidR="0017561A" w:rsidRPr="00192CCA" w:rsidRDefault="0017561A" w:rsidP="004E0520">
            <w:pPr>
              <w:rPr>
                <w:sz w:val="20"/>
                <w:szCs w:val="20"/>
              </w:rPr>
            </w:pPr>
            <w:r w:rsidRPr="00192CCA">
              <w:rPr>
                <w:sz w:val="20"/>
                <w:szCs w:val="20"/>
              </w:rPr>
              <w:t>0.</w:t>
            </w:r>
            <w:r>
              <w:rPr>
                <w:sz w:val="20"/>
                <w:szCs w:val="20"/>
              </w:rPr>
              <w:t>60</w:t>
            </w:r>
            <w:r w:rsidRPr="00192CCA">
              <w:rPr>
                <w:sz w:val="20"/>
                <w:szCs w:val="20"/>
              </w:rPr>
              <w:t xml:space="preserve"> – </w:t>
            </w:r>
            <w:r>
              <w:rPr>
                <w:sz w:val="20"/>
                <w:szCs w:val="20"/>
              </w:rPr>
              <w:t>1.00</w:t>
            </w:r>
          </w:p>
        </w:tc>
        <w:tc>
          <w:tcPr>
            <w:tcW w:w="992" w:type="dxa"/>
            <w:tcBorders>
              <w:top w:val="nil"/>
              <w:left w:val="nil"/>
              <w:bottom w:val="nil"/>
              <w:right w:val="nil"/>
            </w:tcBorders>
          </w:tcPr>
          <w:p w14:paraId="07334CE6" w14:textId="77777777" w:rsidR="0017561A" w:rsidRPr="00192CCA" w:rsidRDefault="0017561A" w:rsidP="004E0520">
            <w:pPr>
              <w:rPr>
                <w:sz w:val="20"/>
                <w:szCs w:val="20"/>
              </w:rPr>
            </w:pPr>
            <w:r>
              <w:rPr>
                <w:sz w:val="20"/>
                <w:szCs w:val="20"/>
              </w:rPr>
              <w:t xml:space="preserve">  </w:t>
            </w:r>
            <w:r w:rsidRPr="00192CCA">
              <w:rPr>
                <w:sz w:val="20"/>
                <w:szCs w:val="20"/>
              </w:rPr>
              <w:t>0.0</w:t>
            </w:r>
            <w:r>
              <w:rPr>
                <w:sz w:val="20"/>
                <w:szCs w:val="20"/>
              </w:rPr>
              <w:t>53</w:t>
            </w:r>
          </w:p>
        </w:tc>
      </w:tr>
      <w:tr w:rsidR="0017561A" w:rsidRPr="00192CCA" w14:paraId="16729439"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34828043" w14:textId="77777777" w:rsidR="0017561A" w:rsidRPr="00192CCA" w:rsidRDefault="0017561A" w:rsidP="004E0520">
            <w:pPr>
              <w:rPr>
                <w:sz w:val="20"/>
                <w:szCs w:val="20"/>
              </w:rPr>
            </w:pPr>
            <w:r w:rsidRPr="00192CCA">
              <w:rPr>
                <w:sz w:val="20"/>
                <w:szCs w:val="20"/>
              </w:rPr>
              <w:t>Missing</w:t>
            </w:r>
          </w:p>
          <w:p w14:paraId="0D7F5E43" w14:textId="77777777" w:rsidR="0017561A" w:rsidRPr="00192CCA" w:rsidRDefault="0017561A" w:rsidP="004E0520">
            <w:pPr>
              <w:rPr>
                <w:sz w:val="20"/>
                <w:szCs w:val="20"/>
              </w:rPr>
            </w:pPr>
          </w:p>
        </w:tc>
        <w:tc>
          <w:tcPr>
            <w:tcW w:w="1417" w:type="dxa"/>
            <w:tcBorders>
              <w:top w:val="nil"/>
              <w:left w:val="nil"/>
              <w:bottom w:val="nil"/>
              <w:right w:val="nil"/>
            </w:tcBorders>
          </w:tcPr>
          <w:p w14:paraId="6A4FF499" w14:textId="77777777" w:rsidR="0017561A" w:rsidRPr="00192CCA" w:rsidRDefault="0017561A" w:rsidP="004E0520">
            <w:pPr>
              <w:rPr>
                <w:sz w:val="20"/>
                <w:szCs w:val="20"/>
              </w:rPr>
            </w:pPr>
            <w:r>
              <w:rPr>
                <w:sz w:val="20"/>
                <w:szCs w:val="20"/>
              </w:rPr>
              <w:t>237 (39.04)</w:t>
            </w:r>
          </w:p>
        </w:tc>
        <w:tc>
          <w:tcPr>
            <w:tcW w:w="1418" w:type="dxa"/>
            <w:tcBorders>
              <w:top w:val="nil"/>
              <w:left w:val="nil"/>
              <w:bottom w:val="nil"/>
              <w:right w:val="nil"/>
            </w:tcBorders>
          </w:tcPr>
          <w:p w14:paraId="18677DA2" w14:textId="77777777" w:rsidR="0017561A" w:rsidRPr="00192CCA" w:rsidRDefault="0017561A" w:rsidP="004E0520">
            <w:pPr>
              <w:rPr>
                <w:sz w:val="20"/>
                <w:szCs w:val="20"/>
              </w:rPr>
            </w:pPr>
            <w:r>
              <w:rPr>
                <w:sz w:val="20"/>
                <w:szCs w:val="20"/>
              </w:rPr>
              <w:t>370 (60.96)</w:t>
            </w:r>
          </w:p>
        </w:tc>
        <w:tc>
          <w:tcPr>
            <w:tcW w:w="992" w:type="dxa"/>
            <w:tcBorders>
              <w:top w:val="nil"/>
              <w:left w:val="nil"/>
              <w:bottom w:val="nil"/>
              <w:right w:val="nil"/>
            </w:tcBorders>
          </w:tcPr>
          <w:p w14:paraId="554B607B" w14:textId="77777777" w:rsidR="0017561A" w:rsidRPr="00192CCA" w:rsidRDefault="0017561A" w:rsidP="004E0520">
            <w:pPr>
              <w:rPr>
                <w:sz w:val="20"/>
                <w:szCs w:val="20"/>
              </w:rPr>
            </w:pPr>
          </w:p>
        </w:tc>
        <w:tc>
          <w:tcPr>
            <w:tcW w:w="709" w:type="dxa"/>
            <w:tcBorders>
              <w:top w:val="nil"/>
              <w:left w:val="nil"/>
              <w:bottom w:val="nil"/>
              <w:right w:val="nil"/>
            </w:tcBorders>
          </w:tcPr>
          <w:p w14:paraId="47C1241A" w14:textId="77777777" w:rsidR="0017561A" w:rsidRPr="00192CCA" w:rsidRDefault="0017561A" w:rsidP="004E0520">
            <w:pPr>
              <w:rPr>
                <w:sz w:val="20"/>
                <w:szCs w:val="20"/>
              </w:rPr>
            </w:pPr>
            <w:r w:rsidRPr="00192CCA">
              <w:rPr>
                <w:sz w:val="20"/>
                <w:szCs w:val="20"/>
              </w:rPr>
              <w:t>0.</w:t>
            </w:r>
            <w:r>
              <w:rPr>
                <w:sz w:val="20"/>
                <w:szCs w:val="20"/>
              </w:rPr>
              <w:t>69</w:t>
            </w:r>
          </w:p>
        </w:tc>
        <w:tc>
          <w:tcPr>
            <w:tcW w:w="1417" w:type="dxa"/>
            <w:tcBorders>
              <w:top w:val="nil"/>
              <w:left w:val="nil"/>
              <w:bottom w:val="nil"/>
              <w:right w:val="nil"/>
            </w:tcBorders>
          </w:tcPr>
          <w:p w14:paraId="5792D5FB" w14:textId="77777777" w:rsidR="0017561A" w:rsidRPr="00192CCA" w:rsidRDefault="0017561A" w:rsidP="004E0520">
            <w:pPr>
              <w:rPr>
                <w:sz w:val="20"/>
                <w:szCs w:val="20"/>
              </w:rPr>
            </w:pPr>
            <w:r w:rsidRPr="00192CCA">
              <w:rPr>
                <w:sz w:val="20"/>
                <w:szCs w:val="20"/>
              </w:rPr>
              <w:t>0.</w:t>
            </w:r>
            <w:r>
              <w:rPr>
                <w:sz w:val="20"/>
                <w:szCs w:val="20"/>
              </w:rPr>
              <w:t>57</w:t>
            </w:r>
            <w:r w:rsidRPr="00192CCA">
              <w:rPr>
                <w:sz w:val="20"/>
                <w:szCs w:val="20"/>
              </w:rPr>
              <w:t xml:space="preserve"> – 0.</w:t>
            </w:r>
            <w:r>
              <w:rPr>
                <w:sz w:val="20"/>
                <w:szCs w:val="20"/>
              </w:rPr>
              <w:t>84</w:t>
            </w:r>
          </w:p>
        </w:tc>
        <w:tc>
          <w:tcPr>
            <w:tcW w:w="992" w:type="dxa"/>
            <w:tcBorders>
              <w:top w:val="nil"/>
              <w:left w:val="nil"/>
              <w:bottom w:val="nil"/>
              <w:right w:val="nil"/>
            </w:tcBorders>
          </w:tcPr>
          <w:p w14:paraId="3727E489" w14:textId="77777777" w:rsidR="0017561A" w:rsidRPr="00192CCA" w:rsidRDefault="0017561A" w:rsidP="004E0520">
            <w:pPr>
              <w:rPr>
                <w:sz w:val="20"/>
                <w:szCs w:val="20"/>
              </w:rPr>
            </w:pPr>
            <w:r w:rsidRPr="00192CCA">
              <w:rPr>
                <w:sz w:val="20"/>
                <w:szCs w:val="20"/>
              </w:rPr>
              <w:t>&lt;0.001</w:t>
            </w:r>
          </w:p>
        </w:tc>
        <w:tc>
          <w:tcPr>
            <w:tcW w:w="709" w:type="dxa"/>
            <w:tcBorders>
              <w:top w:val="nil"/>
              <w:left w:val="nil"/>
              <w:bottom w:val="nil"/>
              <w:right w:val="nil"/>
            </w:tcBorders>
          </w:tcPr>
          <w:p w14:paraId="10773A42" w14:textId="77777777" w:rsidR="0017561A" w:rsidRPr="00192CCA" w:rsidRDefault="0017561A" w:rsidP="004E0520">
            <w:pPr>
              <w:rPr>
                <w:sz w:val="20"/>
                <w:szCs w:val="20"/>
              </w:rPr>
            </w:pPr>
            <w:r w:rsidRPr="00192CCA">
              <w:rPr>
                <w:sz w:val="20"/>
                <w:szCs w:val="20"/>
              </w:rPr>
              <w:t>0.5</w:t>
            </w:r>
            <w:r>
              <w:rPr>
                <w:sz w:val="20"/>
                <w:szCs w:val="20"/>
              </w:rPr>
              <w:t>7</w:t>
            </w:r>
          </w:p>
        </w:tc>
        <w:tc>
          <w:tcPr>
            <w:tcW w:w="1418" w:type="dxa"/>
            <w:tcBorders>
              <w:top w:val="nil"/>
              <w:left w:val="nil"/>
              <w:bottom w:val="nil"/>
              <w:right w:val="nil"/>
            </w:tcBorders>
          </w:tcPr>
          <w:p w14:paraId="4902AB53" w14:textId="77777777" w:rsidR="0017561A" w:rsidRPr="00192CCA" w:rsidRDefault="0017561A" w:rsidP="004E0520">
            <w:pPr>
              <w:rPr>
                <w:sz w:val="20"/>
                <w:szCs w:val="20"/>
              </w:rPr>
            </w:pPr>
            <w:r w:rsidRPr="00192CCA">
              <w:rPr>
                <w:sz w:val="20"/>
                <w:szCs w:val="20"/>
              </w:rPr>
              <w:t>0.4</w:t>
            </w:r>
            <w:r>
              <w:rPr>
                <w:sz w:val="20"/>
                <w:szCs w:val="20"/>
              </w:rPr>
              <w:t>6</w:t>
            </w:r>
            <w:r w:rsidRPr="00192CCA">
              <w:rPr>
                <w:sz w:val="20"/>
                <w:szCs w:val="20"/>
              </w:rPr>
              <w:t xml:space="preserve"> – 0.</w:t>
            </w:r>
            <w:r>
              <w:rPr>
                <w:sz w:val="20"/>
                <w:szCs w:val="20"/>
              </w:rPr>
              <w:t>72</w:t>
            </w:r>
          </w:p>
        </w:tc>
        <w:tc>
          <w:tcPr>
            <w:tcW w:w="992" w:type="dxa"/>
            <w:tcBorders>
              <w:top w:val="nil"/>
              <w:left w:val="nil"/>
              <w:bottom w:val="nil"/>
              <w:right w:val="nil"/>
            </w:tcBorders>
          </w:tcPr>
          <w:p w14:paraId="06737595" w14:textId="77777777" w:rsidR="0017561A" w:rsidRPr="00192CCA" w:rsidRDefault="0017561A" w:rsidP="004E0520">
            <w:pPr>
              <w:rPr>
                <w:sz w:val="20"/>
                <w:szCs w:val="20"/>
              </w:rPr>
            </w:pPr>
            <w:r w:rsidRPr="00192CCA">
              <w:rPr>
                <w:sz w:val="20"/>
                <w:szCs w:val="20"/>
              </w:rPr>
              <w:t>&lt;0.001</w:t>
            </w:r>
          </w:p>
        </w:tc>
      </w:tr>
      <w:tr w:rsidR="0017561A" w:rsidRPr="00192CCA" w14:paraId="55F5A1D6"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44ACFFEF" w14:textId="77777777" w:rsidR="0017561A" w:rsidRPr="00192CCA" w:rsidRDefault="0017561A" w:rsidP="004E0520">
            <w:pPr>
              <w:rPr>
                <w:sz w:val="20"/>
                <w:szCs w:val="20"/>
              </w:rPr>
            </w:pPr>
            <w:r w:rsidRPr="00192CCA">
              <w:rPr>
                <w:b/>
                <w:bCs/>
                <w:sz w:val="20"/>
                <w:szCs w:val="20"/>
              </w:rPr>
              <w:t>Diagnosis Year</w:t>
            </w:r>
          </w:p>
        </w:tc>
        <w:tc>
          <w:tcPr>
            <w:tcW w:w="1417" w:type="dxa"/>
            <w:tcBorders>
              <w:top w:val="nil"/>
              <w:left w:val="nil"/>
              <w:bottom w:val="nil"/>
              <w:right w:val="nil"/>
            </w:tcBorders>
          </w:tcPr>
          <w:p w14:paraId="3BE35AA0" w14:textId="77777777" w:rsidR="0017561A" w:rsidRDefault="0017561A" w:rsidP="004E0520">
            <w:pPr>
              <w:rPr>
                <w:sz w:val="20"/>
                <w:szCs w:val="20"/>
              </w:rPr>
            </w:pPr>
          </w:p>
        </w:tc>
        <w:tc>
          <w:tcPr>
            <w:tcW w:w="1418" w:type="dxa"/>
            <w:tcBorders>
              <w:top w:val="nil"/>
              <w:left w:val="nil"/>
              <w:bottom w:val="nil"/>
              <w:right w:val="nil"/>
            </w:tcBorders>
          </w:tcPr>
          <w:p w14:paraId="1C188E0F" w14:textId="77777777" w:rsidR="0017561A" w:rsidRDefault="0017561A" w:rsidP="004E0520">
            <w:pPr>
              <w:rPr>
                <w:sz w:val="20"/>
                <w:szCs w:val="20"/>
              </w:rPr>
            </w:pPr>
          </w:p>
        </w:tc>
        <w:tc>
          <w:tcPr>
            <w:tcW w:w="992" w:type="dxa"/>
            <w:tcBorders>
              <w:top w:val="nil"/>
              <w:left w:val="nil"/>
              <w:bottom w:val="nil"/>
              <w:right w:val="nil"/>
            </w:tcBorders>
          </w:tcPr>
          <w:p w14:paraId="750E986F" w14:textId="77777777" w:rsidR="0017561A" w:rsidRPr="00192CCA" w:rsidRDefault="0017561A" w:rsidP="004E0520">
            <w:pPr>
              <w:rPr>
                <w:sz w:val="20"/>
                <w:szCs w:val="20"/>
              </w:rPr>
            </w:pPr>
            <w:r w:rsidRPr="00192CCA">
              <w:rPr>
                <w:sz w:val="20"/>
                <w:szCs w:val="20"/>
              </w:rPr>
              <w:t>&lt;0.001</w:t>
            </w:r>
          </w:p>
        </w:tc>
        <w:tc>
          <w:tcPr>
            <w:tcW w:w="709" w:type="dxa"/>
            <w:tcBorders>
              <w:top w:val="nil"/>
              <w:left w:val="nil"/>
              <w:bottom w:val="nil"/>
              <w:right w:val="nil"/>
            </w:tcBorders>
          </w:tcPr>
          <w:p w14:paraId="4BFAC300" w14:textId="77777777" w:rsidR="0017561A" w:rsidRPr="00192CCA" w:rsidRDefault="0017561A" w:rsidP="004E0520">
            <w:pPr>
              <w:rPr>
                <w:sz w:val="20"/>
                <w:szCs w:val="20"/>
              </w:rPr>
            </w:pPr>
          </w:p>
        </w:tc>
        <w:tc>
          <w:tcPr>
            <w:tcW w:w="1417" w:type="dxa"/>
            <w:tcBorders>
              <w:top w:val="nil"/>
              <w:left w:val="nil"/>
              <w:bottom w:val="nil"/>
              <w:right w:val="nil"/>
            </w:tcBorders>
          </w:tcPr>
          <w:p w14:paraId="6E17A765" w14:textId="77777777" w:rsidR="0017561A" w:rsidRPr="00192CCA" w:rsidRDefault="0017561A" w:rsidP="004E0520">
            <w:pPr>
              <w:rPr>
                <w:sz w:val="20"/>
                <w:szCs w:val="20"/>
              </w:rPr>
            </w:pPr>
          </w:p>
        </w:tc>
        <w:tc>
          <w:tcPr>
            <w:tcW w:w="992" w:type="dxa"/>
            <w:tcBorders>
              <w:top w:val="nil"/>
              <w:left w:val="nil"/>
              <w:bottom w:val="nil"/>
              <w:right w:val="nil"/>
            </w:tcBorders>
          </w:tcPr>
          <w:p w14:paraId="1C7DCA13" w14:textId="77777777" w:rsidR="0017561A" w:rsidRPr="00192CCA" w:rsidRDefault="0017561A" w:rsidP="004E0520">
            <w:pPr>
              <w:rPr>
                <w:sz w:val="20"/>
                <w:szCs w:val="20"/>
              </w:rPr>
            </w:pPr>
            <w:r w:rsidRPr="00192CCA">
              <w:rPr>
                <w:b/>
                <w:bCs/>
                <w:sz w:val="20"/>
                <w:szCs w:val="20"/>
              </w:rPr>
              <w:t>&lt;0.001</w:t>
            </w:r>
          </w:p>
        </w:tc>
        <w:tc>
          <w:tcPr>
            <w:tcW w:w="709" w:type="dxa"/>
            <w:tcBorders>
              <w:top w:val="nil"/>
              <w:left w:val="nil"/>
              <w:bottom w:val="nil"/>
              <w:right w:val="nil"/>
            </w:tcBorders>
          </w:tcPr>
          <w:p w14:paraId="20BE0276" w14:textId="77777777" w:rsidR="0017561A" w:rsidRPr="00192CCA" w:rsidRDefault="0017561A" w:rsidP="004E0520">
            <w:pPr>
              <w:rPr>
                <w:sz w:val="20"/>
                <w:szCs w:val="20"/>
              </w:rPr>
            </w:pPr>
          </w:p>
        </w:tc>
        <w:tc>
          <w:tcPr>
            <w:tcW w:w="1418" w:type="dxa"/>
            <w:tcBorders>
              <w:top w:val="nil"/>
              <w:left w:val="nil"/>
              <w:bottom w:val="nil"/>
              <w:right w:val="nil"/>
            </w:tcBorders>
          </w:tcPr>
          <w:p w14:paraId="34712E40" w14:textId="77777777" w:rsidR="0017561A" w:rsidRPr="00192CCA" w:rsidRDefault="0017561A" w:rsidP="004E0520">
            <w:pPr>
              <w:rPr>
                <w:sz w:val="20"/>
                <w:szCs w:val="20"/>
              </w:rPr>
            </w:pPr>
          </w:p>
        </w:tc>
        <w:tc>
          <w:tcPr>
            <w:tcW w:w="992" w:type="dxa"/>
            <w:tcBorders>
              <w:top w:val="nil"/>
              <w:left w:val="nil"/>
              <w:bottom w:val="nil"/>
              <w:right w:val="nil"/>
            </w:tcBorders>
          </w:tcPr>
          <w:p w14:paraId="75082EBB" w14:textId="77777777" w:rsidR="0017561A" w:rsidRPr="00192CCA" w:rsidRDefault="0017561A" w:rsidP="004E0520">
            <w:pPr>
              <w:rPr>
                <w:sz w:val="20"/>
                <w:szCs w:val="20"/>
              </w:rPr>
            </w:pPr>
            <w:r w:rsidRPr="00192CCA">
              <w:rPr>
                <w:b/>
                <w:bCs/>
                <w:sz w:val="20"/>
                <w:szCs w:val="20"/>
              </w:rPr>
              <w:t>&lt;0.001</w:t>
            </w:r>
          </w:p>
        </w:tc>
      </w:tr>
      <w:tr w:rsidR="0017561A" w:rsidRPr="00192CCA" w14:paraId="726BEA3B"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4B4E69C8" w14:textId="77777777" w:rsidR="0017561A" w:rsidRPr="00192CCA" w:rsidRDefault="0017561A" w:rsidP="004E0520">
            <w:pPr>
              <w:rPr>
                <w:sz w:val="20"/>
                <w:szCs w:val="20"/>
              </w:rPr>
            </w:pPr>
            <w:r w:rsidRPr="00192CCA">
              <w:rPr>
                <w:sz w:val="20"/>
                <w:szCs w:val="20"/>
              </w:rPr>
              <w:t>2012</w:t>
            </w:r>
          </w:p>
        </w:tc>
        <w:tc>
          <w:tcPr>
            <w:tcW w:w="1417" w:type="dxa"/>
            <w:tcBorders>
              <w:top w:val="nil"/>
              <w:left w:val="nil"/>
              <w:bottom w:val="nil"/>
              <w:right w:val="nil"/>
            </w:tcBorders>
          </w:tcPr>
          <w:p w14:paraId="1A3CEBBC" w14:textId="77777777" w:rsidR="0017561A" w:rsidRDefault="0017561A" w:rsidP="004E0520">
            <w:pPr>
              <w:rPr>
                <w:sz w:val="20"/>
                <w:szCs w:val="20"/>
              </w:rPr>
            </w:pPr>
            <w:r>
              <w:rPr>
                <w:sz w:val="20"/>
                <w:szCs w:val="20"/>
              </w:rPr>
              <w:t>84 (29.07)</w:t>
            </w:r>
          </w:p>
        </w:tc>
        <w:tc>
          <w:tcPr>
            <w:tcW w:w="1418" w:type="dxa"/>
            <w:tcBorders>
              <w:top w:val="nil"/>
              <w:left w:val="nil"/>
              <w:bottom w:val="nil"/>
              <w:right w:val="nil"/>
            </w:tcBorders>
          </w:tcPr>
          <w:p w14:paraId="2E2C491D" w14:textId="77777777" w:rsidR="0017561A" w:rsidRDefault="0017561A" w:rsidP="004E0520">
            <w:pPr>
              <w:rPr>
                <w:sz w:val="20"/>
                <w:szCs w:val="20"/>
              </w:rPr>
            </w:pPr>
            <w:r>
              <w:rPr>
                <w:sz w:val="20"/>
                <w:szCs w:val="20"/>
              </w:rPr>
              <w:t>205 (70.93)</w:t>
            </w:r>
          </w:p>
        </w:tc>
        <w:tc>
          <w:tcPr>
            <w:tcW w:w="992" w:type="dxa"/>
            <w:tcBorders>
              <w:top w:val="nil"/>
              <w:left w:val="nil"/>
              <w:bottom w:val="nil"/>
              <w:right w:val="nil"/>
            </w:tcBorders>
          </w:tcPr>
          <w:p w14:paraId="73FDB1C0" w14:textId="77777777" w:rsidR="0017561A" w:rsidRPr="00192CCA" w:rsidRDefault="0017561A" w:rsidP="004E0520">
            <w:pPr>
              <w:rPr>
                <w:sz w:val="20"/>
                <w:szCs w:val="20"/>
              </w:rPr>
            </w:pPr>
          </w:p>
        </w:tc>
        <w:tc>
          <w:tcPr>
            <w:tcW w:w="709" w:type="dxa"/>
            <w:tcBorders>
              <w:top w:val="nil"/>
              <w:left w:val="nil"/>
              <w:bottom w:val="nil"/>
              <w:right w:val="nil"/>
            </w:tcBorders>
          </w:tcPr>
          <w:p w14:paraId="6699193F" w14:textId="77777777" w:rsidR="0017561A" w:rsidRPr="00192CCA" w:rsidRDefault="0017561A" w:rsidP="004E0520">
            <w:pPr>
              <w:rPr>
                <w:sz w:val="20"/>
                <w:szCs w:val="20"/>
              </w:rPr>
            </w:pPr>
            <w:r w:rsidRPr="00192CCA">
              <w:rPr>
                <w:sz w:val="20"/>
                <w:szCs w:val="20"/>
              </w:rPr>
              <w:t>0.</w:t>
            </w:r>
            <w:r>
              <w:rPr>
                <w:sz w:val="20"/>
                <w:szCs w:val="20"/>
              </w:rPr>
              <w:t>39</w:t>
            </w:r>
          </w:p>
        </w:tc>
        <w:tc>
          <w:tcPr>
            <w:tcW w:w="1417" w:type="dxa"/>
            <w:tcBorders>
              <w:top w:val="nil"/>
              <w:left w:val="nil"/>
              <w:bottom w:val="nil"/>
              <w:right w:val="nil"/>
            </w:tcBorders>
          </w:tcPr>
          <w:p w14:paraId="1A6A6187" w14:textId="77777777" w:rsidR="0017561A" w:rsidRPr="00192CCA" w:rsidRDefault="0017561A" w:rsidP="004E0520">
            <w:pPr>
              <w:rPr>
                <w:sz w:val="20"/>
                <w:szCs w:val="20"/>
              </w:rPr>
            </w:pPr>
            <w:r w:rsidRPr="00192CCA">
              <w:rPr>
                <w:sz w:val="20"/>
                <w:szCs w:val="20"/>
              </w:rPr>
              <w:t>0.</w:t>
            </w:r>
            <w:r>
              <w:rPr>
                <w:sz w:val="20"/>
                <w:szCs w:val="20"/>
              </w:rPr>
              <w:t>29</w:t>
            </w:r>
            <w:r w:rsidRPr="00192CCA">
              <w:rPr>
                <w:sz w:val="20"/>
                <w:szCs w:val="20"/>
              </w:rPr>
              <w:t xml:space="preserve"> – 0.</w:t>
            </w:r>
            <w:r>
              <w:rPr>
                <w:sz w:val="20"/>
                <w:szCs w:val="20"/>
              </w:rPr>
              <w:t>54</w:t>
            </w:r>
          </w:p>
        </w:tc>
        <w:tc>
          <w:tcPr>
            <w:tcW w:w="992" w:type="dxa"/>
            <w:tcBorders>
              <w:top w:val="nil"/>
              <w:left w:val="nil"/>
              <w:bottom w:val="nil"/>
              <w:right w:val="nil"/>
            </w:tcBorders>
          </w:tcPr>
          <w:p w14:paraId="7E2C3123" w14:textId="77777777" w:rsidR="0017561A" w:rsidRPr="00192CCA" w:rsidRDefault="0017561A" w:rsidP="004E0520">
            <w:pPr>
              <w:rPr>
                <w:sz w:val="20"/>
                <w:szCs w:val="20"/>
              </w:rPr>
            </w:pPr>
            <w:r w:rsidRPr="00192CCA">
              <w:rPr>
                <w:sz w:val="20"/>
                <w:szCs w:val="20"/>
              </w:rPr>
              <w:t>&lt;0.001</w:t>
            </w:r>
          </w:p>
        </w:tc>
        <w:tc>
          <w:tcPr>
            <w:tcW w:w="709" w:type="dxa"/>
            <w:tcBorders>
              <w:top w:val="nil"/>
              <w:left w:val="nil"/>
              <w:bottom w:val="nil"/>
              <w:right w:val="nil"/>
            </w:tcBorders>
          </w:tcPr>
          <w:p w14:paraId="0065F54B" w14:textId="77777777" w:rsidR="0017561A" w:rsidRPr="00192CCA" w:rsidRDefault="0017561A" w:rsidP="004E0520">
            <w:pPr>
              <w:rPr>
                <w:sz w:val="20"/>
                <w:szCs w:val="20"/>
              </w:rPr>
            </w:pPr>
            <w:r w:rsidRPr="00192CCA">
              <w:rPr>
                <w:sz w:val="20"/>
                <w:szCs w:val="20"/>
              </w:rPr>
              <w:t>0.</w:t>
            </w:r>
            <w:r>
              <w:rPr>
                <w:sz w:val="20"/>
                <w:szCs w:val="20"/>
              </w:rPr>
              <w:t>26</w:t>
            </w:r>
          </w:p>
        </w:tc>
        <w:tc>
          <w:tcPr>
            <w:tcW w:w="1418" w:type="dxa"/>
            <w:tcBorders>
              <w:top w:val="nil"/>
              <w:left w:val="nil"/>
              <w:bottom w:val="nil"/>
              <w:right w:val="nil"/>
            </w:tcBorders>
          </w:tcPr>
          <w:p w14:paraId="627FEF2C" w14:textId="77777777" w:rsidR="0017561A" w:rsidRPr="00192CCA" w:rsidRDefault="0017561A" w:rsidP="004E0520">
            <w:pPr>
              <w:rPr>
                <w:sz w:val="20"/>
                <w:szCs w:val="20"/>
              </w:rPr>
            </w:pPr>
            <w:r w:rsidRPr="00192CCA">
              <w:rPr>
                <w:sz w:val="20"/>
                <w:szCs w:val="20"/>
              </w:rPr>
              <w:t>0.</w:t>
            </w:r>
            <w:r>
              <w:rPr>
                <w:sz w:val="20"/>
                <w:szCs w:val="20"/>
              </w:rPr>
              <w:t>19</w:t>
            </w:r>
            <w:r w:rsidRPr="00192CCA">
              <w:rPr>
                <w:sz w:val="20"/>
                <w:szCs w:val="20"/>
              </w:rPr>
              <w:t xml:space="preserve"> – 0.</w:t>
            </w:r>
            <w:r>
              <w:rPr>
                <w:sz w:val="20"/>
                <w:szCs w:val="20"/>
              </w:rPr>
              <w:t>37</w:t>
            </w:r>
          </w:p>
        </w:tc>
        <w:tc>
          <w:tcPr>
            <w:tcW w:w="992" w:type="dxa"/>
            <w:tcBorders>
              <w:top w:val="nil"/>
              <w:left w:val="nil"/>
              <w:bottom w:val="nil"/>
              <w:right w:val="nil"/>
            </w:tcBorders>
          </w:tcPr>
          <w:p w14:paraId="61075C47" w14:textId="77777777" w:rsidR="0017561A" w:rsidRPr="00192CCA" w:rsidRDefault="0017561A" w:rsidP="004E0520">
            <w:pPr>
              <w:rPr>
                <w:sz w:val="20"/>
                <w:szCs w:val="20"/>
              </w:rPr>
            </w:pPr>
            <w:r w:rsidRPr="00192CCA">
              <w:rPr>
                <w:sz w:val="20"/>
                <w:szCs w:val="20"/>
              </w:rPr>
              <w:t>&lt;0.001</w:t>
            </w:r>
          </w:p>
        </w:tc>
      </w:tr>
      <w:tr w:rsidR="0017561A" w:rsidRPr="00192CCA" w14:paraId="3261084E"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3105BC7D" w14:textId="77777777" w:rsidR="0017561A" w:rsidRPr="00192CCA" w:rsidRDefault="0017561A" w:rsidP="004E0520">
            <w:pPr>
              <w:rPr>
                <w:sz w:val="20"/>
                <w:szCs w:val="20"/>
              </w:rPr>
            </w:pPr>
            <w:r w:rsidRPr="00192CCA">
              <w:rPr>
                <w:sz w:val="20"/>
                <w:szCs w:val="20"/>
              </w:rPr>
              <w:t>2013</w:t>
            </w:r>
          </w:p>
        </w:tc>
        <w:tc>
          <w:tcPr>
            <w:tcW w:w="1417" w:type="dxa"/>
            <w:tcBorders>
              <w:top w:val="nil"/>
              <w:left w:val="nil"/>
              <w:bottom w:val="nil"/>
              <w:right w:val="nil"/>
            </w:tcBorders>
          </w:tcPr>
          <w:p w14:paraId="441CE632" w14:textId="77777777" w:rsidR="0017561A" w:rsidRDefault="0017561A" w:rsidP="004E0520">
            <w:pPr>
              <w:rPr>
                <w:sz w:val="20"/>
                <w:szCs w:val="20"/>
              </w:rPr>
            </w:pPr>
            <w:r>
              <w:rPr>
                <w:sz w:val="20"/>
                <w:szCs w:val="20"/>
              </w:rPr>
              <w:t>143 (41.57)</w:t>
            </w:r>
          </w:p>
        </w:tc>
        <w:tc>
          <w:tcPr>
            <w:tcW w:w="1418" w:type="dxa"/>
            <w:tcBorders>
              <w:top w:val="nil"/>
              <w:left w:val="nil"/>
              <w:bottom w:val="nil"/>
              <w:right w:val="nil"/>
            </w:tcBorders>
          </w:tcPr>
          <w:p w14:paraId="23B7DD63" w14:textId="77777777" w:rsidR="0017561A" w:rsidRDefault="0017561A" w:rsidP="004E0520">
            <w:pPr>
              <w:rPr>
                <w:sz w:val="20"/>
                <w:szCs w:val="20"/>
              </w:rPr>
            </w:pPr>
            <w:r>
              <w:rPr>
                <w:sz w:val="20"/>
                <w:szCs w:val="20"/>
              </w:rPr>
              <w:t>201 (58.43)</w:t>
            </w:r>
          </w:p>
        </w:tc>
        <w:tc>
          <w:tcPr>
            <w:tcW w:w="992" w:type="dxa"/>
            <w:tcBorders>
              <w:top w:val="nil"/>
              <w:left w:val="nil"/>
              <w:bottom w:val="nil"/>
              <w:right w:val="nil"/>
            </w:tcBorders>
          </w:tcPr>
          <w:p w14:paraId="5FB4F4E8" w14:textId="77777777" w:rsidR="0017561A" w:rsidRPr="00192CCA" w:rsidRDefault="0017561A" w:rsidP="004E0520">
            <w:pPr>
              <w:rPr>
                <w:sz w:val="20"/>
                <w:szCs w:val="20"/>
              </w:rPr>
            </w:pPr>
          </w:p>
        </w:tc>
        <w:tc>
          <w:tcPr>
            <w:tcW w:w="709" w:type="dxa"/>
            <w:tcBorders>
              <w:top w:val="nil"/>
              <w:left w:val="nil"/>
              <w:bottom w:val="nil"/>
              <w:right w:val="nil"/>
            </w:tcBorders>
          </w:tcPr>
          <w:p w14:paraId="3C244F3C" w14:textId="77777777" w:rsidR="0017561A" w:rsidRPr="00192CCA" w:rsidRDefault="0017561A" w:rsidP="004E0520">
            <w:pPr>
              <w:rPr>
                <w:sz w:val="20"/>
                <w:szCs w:val="20"/>
              </w:rPr>
            </w:pPr>
            <w:r>
              <w:rPr>
                <w:sz w:val="20"/>
                <w:szCs w:val="20"/>
              </w:rPr>
              <w:t>0.68</w:t>
            </w:r>
          </w:p>
        </w:tc>
        <w:tc>
          <w:tcPr>
            <w:tcW w:w="1417" w:type="dxa"/>
            <w:tcBorders>
              <w:top w:val="nil"/>
              <w:left w:val="nil"/>
              <w:bottom w:val="nil"/>
              <w:right w:val="nil"/>
            </w:tcBorders>
          </w:tcPr>
          <w:p w14:paraId="58007A4D" w14:textId="77777777" w:rsidR="0017561A" w:rsidRPr="00192CCA" w:rsidRDefault="0017561A" w:rsidP="004E0520">
            <w:pPr>
              <w:rPr>
                <w:sz w:val="20"/>
                <w:szCs w:val="20"/>
              </w:rPr>
            </w:pPr>
            <w:r w:rsidRPr="00192CCA">
              <w:rPr>
                <w:sz w:val="20"/>
                <w:szCs w:val="20"/>
              </w:rPr>
              <w:t>0.</w:t>
            </w:r>
            <w:r>
              <w:rPr>
                <w:sz w:val="20"/>
                <w:szCs w:val="20"/>
              </w:rPr>
              <w:t>52</w:t>
            </w:r>
            <w:r w:rsidRPr="00192CCA">
              <w:rPr>
                <w:sz w:val="20"/>
                <w:szCs w:val="20"/>
              </w:rPr>
              <w:t xml:space="preserve"> – </w:t>
            </w:r>
            <w:r>
              <w:rPr>
                <w:sz w:val="20"/>
                <w:szCs w:val="20"/>
              </w:rPr>
              <w:t>0.90</w:t>
            </w:r>
          </w:p>
        </w:tc>
        <w:tc>
          <w:tcPr>
            <w:tcW w:w="992" w:type="dxa"/>
            <w:tcBorders>
              <w:top w:val="nil"/>
              <w:left w:val="nil"/>
              <w:bottom w:val="nil"/>
              <w:right w:val="nil"/>
            </w:tcBorders>
          </w:tcPr>
          <w:p w14:paraId="2560BD15"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007</w:t>
            </w:r>
          </w:p>
        </w:tc>
        <w:tc>
          <w:tcPr>
            <w:tcW w:w="709" w:type="dxa"/>
            <w:tcBorders>
              <w:top w:val="nil"/>
              <w:left w:val="nil"/>
              <w:bottom w:val="nil"/>
              <w:right w:val="nil"/>
            </w:tcBorders>
          </w:tcPr>
          <w:p w14:paraId="0B4291B1" w14:textId="77777777" w:rsidR="0017561A" w:rsidRPr="00192CCA" w:rsidRDefault="0017561A" w:rsidP="004E0520">
            <w:pPr>
              <w:rPr>
                <w:sz w:val="20"/>
                <w:szCs w:val="20"/>
              </w:rPr>
            </w:pPr>
            <w:r w:rsidRPr="00192CCA">
              <w:rPr>
                <w:sz w:val="20"/>
                <w:szCs w:val="20"/>
              </w:rPr>
              <w:t>0.</w:t>
            </w:r>
            <w:r>
              <w:rPr>
                <w:sz w:val="20"/>
                <w:szCs w:val="20"/>
              </w:rPr>
              <w:t>47</w:t>
            </w:r>
          </w:p>
        </w:tc>
        <w:tc>
          <w:tcPr>
            <w:tcW w:w="1418" w:type="dxa"/>
            <w:tcBorders>
              <w:top w:val="nil"/>
              <w:left w:val="nil"/>
              <w:bottom w:val="nil"/>
              <w:right w:val="nil"/>
            </w:tcBorders>
          </w:tcPr>
          <w:p w14:paraId="13DBFC95" w14:textId="77777777" w:rsidR="0017561A" w:rsidRPr="00192CCA" w:rsidRDefault="0017561A" w:rsidP="004E0520">
            <w:pPr>
              <w:rPr>
                <w:sz w:val="20"/>
                <w:szCs w:val="20"/>
              </w:rPr>
            </w:pPr>
            <w:r w:rsidRPr="00192CCA">
              <w:rPr>
                <w:sz w:val="20"/>
                <w:szCs w:val="20"/>
              </w:rPr>
              <w:t>0.</w:t>
            </w:r>
            <w:r>
              <w:rPr>
                <w:sz w:val="20"/>
                <w:szCs w:val="20"/>
              </w:rPr>
              <w:t>34</w:t>
            </w:r>
            <w:r w:rsidRPr="00192CCA">
              <w:rPr>
                <w:sz w:val="20"/>
                <w:szCs w:val="20"/>
              </w:rPr>
              <w:t xml:space="preserve"> – 0.</w:t>
            </w:r>
            <w:r>
              <w:rPr>
                <w:sz w:val="20"/>
                <w:szCs w:val="20"/>
              </w:rPr>
              <w:t>65</w:t>
            </w:r>
          </w:p>
        </w:tc>
        <w:tc>
          <w:tcPr>
            <w:tcW w:w="992" w:type="dxa"/>
            <w:tcBorders>
              <w:top w:val="nil"/>
              <w:left w:val="nil"/>
              <w:bottom w:val="nil"/>
              <w:right w:val="nil"/>
            </w:tcBorders>
          </w:tcPr>
          <w:p w14:paraId="7975AC54" w14:textId="77777777" w:rsidR="0017561A" w:rsidRPr="00192CCA" w:rsidRDefault="0017561A" w:rsidP="004E0520">
            <w:pPr>
              <w:rPr>
                <w:sz w:val="20"/>
                <w:szCs w:val="20"/>
              </w:rPr>
            </w:pPr>
            <w:r w:rsidRPr="00192CCA">
              <w:rPr>
                <w:sz w:val="20"/>
                <w:szCs w:val="20"/>
              </w:rPr>
              <w:t>&lt;0.001</w:t>
            </w:r>
          </w:p>
        </w:tc>
      </w:tr>
      <w:tr w:rsidR="0017561A" w:rsidRPr="00192CCA" w14:paraId="591B9158"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4F88607E" w14:textId="77777777" w:rsidR="0017561A" w:rsidRPr="00192CCA" w:rsidRDefault="0017561A" w:rsidP="004E0520">
            <w:pPr>
              <w:rPr>
                <w:sz w:val="20"/>
                <w:szCs w:val="20"/>
              </w:rPr>
            </w:pPr>
            <w:r w:rsidRPr="00192CCA">
              <w:rPr>
                <w:sz w:val="20"/>
                <w:szCs w:val="20"/>
              </w:rPr>
              <w:t>2014</w:t>
            </w:r>
          </w:p>
        </w:tc>
        <w:tc>
          <w:tcPr>
            <w:tcW w:w="1417" w:type="dxa"/>
            <w:tcBorders>
              <w:top w:val="nil"/>
              <w:left w:val="nil"/>
              <w:bottom w:val="nil"/>
              <w:right w:val="nil"/>
            </w:tcBorders>
          </w:tcPr>
          <w:p w14:paraId="3DEA988A" w14:textId="77777777" w:rsidR="0017561A" w:rsidRDefault="0017561A" w:rsidP="004E0520">
            <w:pPr>
              <w:rPr>
                <w:sz w:val="20"/>
                <w:szCs w:val="20"/>
              </w:rPr>
            </w:pPr>
            <w:r>
              <w:rPr>
                <w:sz w:val="20"/>
                <w:szCs w:val="20"/>
              </w:rPr>
              <w:t>163 (42.89)</w:t>
            </w:r>
          </w:p>
        </w:tc>
        <w:tc>
          <w:tcPr>
            <w:tcW w:w="1418" w:type="dxa"/>
            <w:tcBorders>
              <w:top w:val="nil"/>
              <w:left w:val="nil"/>
              <w:bottom w:val="nil"/>
              <w:right w:val="nil"/>
            </w:tcBorders>
          </w:tcPr>
          <w:p w14:paraId="6BEACD02" w14:textId="77777777" w:rsidR="0017561A" w:rsidRDefault="0017561A" w:rsidP="004E0520">
            <w:pPr>
              <w:rPr>
                <w:sz w:val="20"/>
                <w:szCs w:val="20"/>
              </w:rPr>
            </w:pPr>
            <w:r>
              <w:rPr>
                <w:sz w:val="20"/>
                <w:szCs w:val="20"/>
              </w:rPr>
              <w:t>217 (57.11)</w:t>
            </w:r>
          </w:p>
        </w:tc>
        <w:tc>
          <w:tcPr>
            <w:tcW w:w="992" w:type="dxa"/>
            <w:tcBorders>
              <w:top w:val="nil"/>
              <w:left w:val="nil"/>
              <w:bottom w:val="nil"/>
              <w:right w:val="nil"/>
            </w:tcBorders>
          </w:tcPr>
          <w:p w14:paraId="29C7AEA1" w14:textId="77777777" w:rsidR="0017561A" w:rsidRPr="00192CCA" w:rsidRDefault="0017561A" w:rsidP="004E0520">
            <w:pPr>
              <w:rPr>
                <w:sz w:val="20"/>
                <w:szCs w:val="20"/>
              </w:rPr>
            </w:pPr>
          </w:p>
        </w:tc>
        <w:tc>
          <w:tcPr>
            <w:tcW w:w="709" w:type="dxa"/>
            <w:tcBorders>
              <w:top w:val="nil"/>
              <w:left w:val="nil"/>
              <w:bottom w:val="nil"/>
              <w:right w:val="nil"/>
            </w:tcBorders>
          </w:tcPr>
          <w:p w14:paraId="6C83155A" w14:textId="77777777" w:rsidR="0017561A" w:rsidRPr="00192CCA" w:rsidRDefault="0017561A" w:rsidP="004E0520">
            <w:pPr>
              <w:rPr>
                <w:sz w:val="20"/>
                <w:szCs w:val="20"/>
              </w:rPr>
            </w:pPr>
            <w:r>
              <w:rPr>
                <w:sz w:val="20"/>
                <w:szCs w:val="20"/>
              </w:rPr>
              <w:t>0.72</w:t>
            </w:r>
          </w:p>
        </w:tc>
        <w:tc>
          <w:tcPr>
            <w:tcW w:w="1417" w:type="dxa"/>
            <w:tcBorders>
              <w:top w:val="nil"/>
              <w:left w:val="nil"/>
              <w:bottom w:val="nil"/>
              <w:right w:val="nil"/>
            </w:tcBorders>
          </w:tcPr>
          <w:p w14:paraId="7BD706BE" w14:textId="77777777" w:rsidR="0017561A" w:rsidRPr="00192CCA" w:rsidRDefault="0017561A" w:rsidP="004E0520">
            <w:pPr>
              <w:rPr>
                <w:sz w:val="20"/>
                <w:szCs w:val="20"/>
              </w:rPr>
            </w:pPr>
            <w:r>
              <w:rPr>
                <w:sz w:val="20"/>
                <w:szCs w:val="20"/>
              </w:rPr>
              <w:t>0.55</w:t>
            </w:r>
            <w:r w:rsidRPr="00192CCA">
              <w:rPr>
                <w:sz w:val="20"/>
                <w:szCs w:val="20"/>
              </w:rPr>
              <w:t xml:space="preserve"> – </w:t>
            </w:r>
            <w:r>
              <w:rPr>
                <w:sz w:val="20"/>
                <w:szCs w:val="20"/>
              </w:rPr>
              <w:t>0.94</w:t>
            </w:r>
          </w:p>
        </w:tc>
        <w:tc>
          <w:tcPr>
            <w:tcW w:w="992" w:type="dxa"/>
            <w:tcBorders>
              <w:top w:val="nil"/>
              <w:left w:val="nil"/>
              <w:bottom w:val="nil"/>
              <w:right w:val="nil"/>
            </w:tcBorders>
          </w:tcPr>
          <w:p w14:paraId="032A9A31" w14:textId="77777777" w:rsidR="0017561A" w:rsidRPr="00192CCA" w:rsidRDefault="0017561A" w:rsidP="004E0520">
            <w:pPr>
              <w:rPr>
                <w:sz w:val="20"/>
                <w:szCs w:val="20"/>
              </w:rPr>
            </w:pPr>
            <w:r>
              <w:rPr>
                <w:sz w:val="20"/>
                <w:szCs w:val="20"/>
              </w:rPr>
              <w:t xml:space="preserve">  </w:t>
            </w:r>
            <w:r w:rsidRPr="00192CCA">
              <w:rPr>
                <w:sz w:val="20"/>
                <w:szCs w:val="20"/>
              </w:rPr>
              <w:t>0.0</w:t>
            </w:r>
            <w:r>
              <w:rPr>
                <w:sz w:val="20"/>
                <w:szCs w:val="20"/>
              </w:rPr>
              <w:t>17</w:t>
            </w:r>
          </w:p>
        </w:tc>
        <w:tc>
          <w:tcPr>
            <w:tcW w:w="709" w:type="dxa"/>
            <w:tcBorders>
              <w:top w:val="nil"/>
              <w:left w:val="nil"/>
              <w:bottom w:val="nil"/>
              <w:right w:val="nil"/>
            </w:tcBorders>
          </w:tcPr>
          <w:p w14:paraId="146A0453" w14:textId="77777777" w:rsidR="0017561A" w:rsidRPr="00192CCA" w:rsidRDefault="0017561A" w:rsidP="004E0520">
            <w:pPr>
              <w:rPr>
                <w:sz w:val="20"/>
                <w:szCs w:val="20"/>
              </w:rPr>
            </w:pPr>
            <w:r w:rsidRPr="00192CCA">
              <w:rPr>
                <w:sz w:val="20"/>
                <w:szCs w:val="20"/>
              </w:rPr>
              <w:t>0.</w:t>
            </w:r>
            <w:r>
              <w:rPr>
                <w:sz w:val="20"/>
                <w:szCs w:val="20"/>
              </w:rPr>
              <w:t>52</w:t>
            </w:r>
          </w:p>
        </w:tc>
        <w:tc>
          <w:tcPr>
            <w:tcW w:w="1418" w:type="dxa"/>
            <w:tcBorders>
              <w:top w:val="nil"/>
              <w:left w:val="nil"/>
              <w:bottom w:val="nil"/>
              <w:right w:val="nil"/>
            </w:tcBorders>
          </w:tcPr>
          <w:p w14:paraId="42349250" w14:textId="77777777" w:rsidR="0017561A" w:rsidRPr="00192CCA" w:rsidRDefault="0017561A" w:rsidP="004E0520">
            <w:pPr>
              <w:rPr>
                <w:sz w:val="20"/>
                <w:szCs w:val="20"/>
              </w:rPr>
            </w:pPr>
            <w:r w:rsidRPr="00192CCA">
              <w:rPr>
                <w:sz w:val="20"/>
                <w:szCs w:val="20"/>
              </w:rPr>
              <w:t>0.</w:t>
            </w:r>
            <w:r>
              <w:rPr>
                <w:sz w:val="20"/>
                <w:szCs w:val="20"/>
              </w:rPr>
              <w:t>38</w:t>
            </w:r>
            <w:r w:rsidRPr="00192CCA">
              <w:rPr>
                <w:sz w:val="20"/>
                <w:szCs w:val="20"/>
              </w:rPr>
              <w:t xml:space="preserve"> – 0.</w:t>
            </w:r>
            <w:r>
              <w:rPr>
                <w:sz w:val="20"/>
                <w:szCs w:val="20"/>
              </w:rPr>
              <w:t>70</w:t>
            </w:r>
          </w:p>
        </w:tc>
        <w:tc>
          <w:tcPr>
            <w:tcW w:w="992" w:type="dxa"/>
            <w:tcBorders>
              <w:top w:val="nil"/>
              <w:left w:val="nil"/>
              <w:bottom w:val="nil"/>
              <w:right w:val="nil"/>
            </w:tcBorders>
          </w:tcPr>
          <w:p w14:paraId="75DDCD58" w14:textId="77777777" w:rsidR="0017561A" w:rsidRPr="00192CCA" w:rsidRDefault="0017561A" w:rsidP="004E0520">
            <w:pPr>
              <w:rPr>
                <w:sz w:val="20"/>
                <w:szCs w:val="20"/>
              </w:rPr>
            </w:pPr>
            <w:r w:rsidRPr="00192CCA">
              <w:rPr>
                <w:sz w:val="20"/>
                <w:szCs w:val="20"/>
              </w:rPr>
              <w:t>&lt;0.001</w:t>
            </w:r>
          </w:p>
        </w:tc>
      </w:tr>
      <w:tr w:rsidR="0017561A" w:rsidRPr="00192CCA" w14:paraId="280980B3"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11A3B7DC" w14:textId="77777777" w:rsidR="0017561A" w:rsidRPr="00192CCA" w:rsidRDefault="0017561A" w:rsidP="004E0520">
            <w:pPr>
              <w:rPr>
                <w:sz w:val="20"/>
                <w:szCs w:val="20"/>
              </w:rPr>
            </w:pPr>
            <w:r w:rsidRPr="00192CCA">
              <w:rPr>
                <w:sz w:val="20"/>
                <w:szCs w:val="20"/>
              </w:rPr>
              <w:t>2015</w:t>
            </w:r>
          </w:p>
        </w:tc>
        <w:tc>
          <w:tcPr>
            <w:tcW w:w="1417" w:type="dxa"/>
            <w:tcBorders>
              <w:top w:val="nil"/>
              <w:left w:val="nil"/>
              <w:bottom w:val="nil"/>
              <w:right w:val="nil"/>
            </w:tcBorders>
          </w:tcPr>
          <w:p w14:paraId="50D1330F" w14:textId="77777777" w:rsidR="0017561A" w:rsidRDefault="0017561A" w:rsidP="004E0520">
            <w:pPr>
              <w:rPr>
                <w:sz w:val="20"/>
                <w:szCs w:val="20"/>
              </w:rPr>
            </w:pPr>
            <w:r>
              <w:rPr>
                <w:sz w:val="20"/>
                <w:szCs w:val="20"/>
              </w:rPr>
              <w:t>204 (48.92)</w:t>
            </w:r>
          </w:p>
        </w:tc>
        <w:tc>
          <w:tcPr>
            <w:tcW w:w="1418" w:type="dxa"/>
            <w:tcBorders>
              <w:top w:val="nil"/>
              <w:left w:val="nil"/>
              <w:bottom w:val="nil"/>
              <w:right w:val="nil"/>
            </w:tcBorders>
          </w:tcPr>
          <w:p w14:paraId="04A0B2E0" w14:textId="77777777" w:rsidR="0017561A" w:rsidRDefault="0017561A" w:rsidP="004E0520">
            <w:pPr>
              <w:rPr>
                <w:sz w:val="20"/>
                <w:szCs w:val="20"/>
              </w:rPr>
            </w:pPr>
            <w:r>
              <w:rPr>
                <w:sz w:val="20"/>
                <w:szCs w:val="20"/>
              </w:rPr>
              <w:t>213 (51.08)</w:t>
            </w:r>
          </w:p>
        </w:tc>
        <w:tc>
          <w:tcPr>
            <w:tcW w:w="992" w:type="dxa"/>
            <w:tcBorders>
              <w:top w:val="nil"/>
              <w:left w:val="nil"/>
              <w:bottom w:val="nil"/>
              <w:right w:val="nil"/>
            </w:tcBorders>
          </w:tcPr>
          <w:p w14:paraId="23FAE87C" w14:textId="77777777" w:rsidR="0017561A" w:rsidRPr="00192CCA" w:rsidRDefault="0017561A" w:rsidP="004E0520">
            <w:pPr>
              <w:rPr>
                <w:sz w:val="20"/>
                <w:szCs w:val="20"/>
              </w:rPr>
            </w:pPr>
          </w:p>
        </w:tc>
        <w:tc>
          <w:tcPr>
            <w:tcW w:w="709" w:type="dxa"/>
            <w:tcBorders>
              <w:top w:val="nil"/>
              <w:left w:val="nil"/>
              <w:bottom w:val="nil"/>
              <w:right w:val="nil"/>
            </w:tcBorders>
          </w:tcPr>
          <w:p w14:paraId="6BB59DDC" w14:textId="77777777" w:rsidR="0017561A" w:rsidRPr="00192CCA" w:rsidRDefault="0017561A" w:rsidP="004E0520">
            <w:pPr>
              <w:rPr>
                <w:sz w:val="20"/>
                <w:szCs w:val="20"/>
              </w:rPr>
            </w:pPr>
            <w:r>
              <w:rPr>
                <w:sz w:val="20"/>
                <w:szCs w:val="20"/>
              </w:rPr>
              <w:t>0.92</w:t>
            </w:r>
          </w:p>
        </w:tc>
        <w:tc>
          <w:tcPr>
            <w:tcW w:w="1417" w:type="dxa"/>
            <w:tcBorders>
              <w:top w:val="nil"/>
              <w:left w:val="nil"/>
              <w:bottom w:val="nil"/>
              <w:right w:val="nil"/>
            </w:tcBorders>
          </w:tcPr>
          <w:p w14:paraId="3175DF55" w14:textId="77777777" w:rsidR="0017561A" w:rsidRPr="00192CCA" w:rsidRDefault="0017561A" w:rsidP="004E0520">
            <w:pPr>
              <w:rPr>
                <w:sz w:val="20"/>
                <w:szCs w:val="20"/>
              </w:rPr>
            </w:pPr>
            <w:r>
              <w:rPr>
                <w:sz w:val="20"/>
                <w:szCs w:val="20"/>
              </w:rPr>
              <w:t>0.71</w:t>
            </w:r>
            <w:r w:rsidRPr="00192CCA">
              <w:rPr>
                <w:sz w:val="20"/>
                <w:szCs w:val="20"/>
              </w:rPr>
              <w:t xml:space="preserve"> – </w:t>
            </w:r>
            <w:r>
              <w:rPr>
                <w:sz w:val="20"/>
                <w:szCs w:val="20"/>
              </w:rPr>
              <w:t>1.19</w:t>
            </w:r>
          </w:p>
        </w:tc>
        <w:tc>
          <w:tcPr>
            <w:tcW w:w="992" w:type="dxa"/>
            <w:tcBorders>
              <w:top w:val="nil"/>
              <w:left w:val="nil"/>
              <w:bottom w:val="nil"/>
              <w:right w:val="nil"/>
            </w:tcBorders>
          </w:tcPr>
          <w:p w14:paraId="120594A0"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529</w:t>
            </w:r>
          </w:p>
        </w:tc>
        <w:tc>
          <w:tcPr>
            <w:tcW w:w="709" w:type="dxa"/>
            <w:tcBorders>
              <w:top w:val="nil"/>
              <w:left w:val="nil"/>
              <w:bottom w:val="nil"/>
              <w:right w:val="nil"/>
            </w:tcBorders>
          </w:tcPr>
          <w:p w14:paraId="7B23824E" w14:textId="77777777" w:rsidR="0017561A" w:rsidRPr="00192CCA" w:rsidRDefault="0017561A" w:rsidP="004E0520">
            <w:pPr>
              <w:rPr>
                <w:sz w:val="20"/>
                <w:szCs w:val="20"/>
              </w:rPr>
            </w:pPr>
            <w:r>
              <w:rPr>
                <w:sz w:val="20"/>
                <w:szCs w:val="20"/>
              </w:rPr>
              <w:t>0.76</w:t>
            </w:r>
          </w:p>
        </w:tc>
        <w:tc>
          <w:tcPr>
            <w:tcW w:w="1418" w:type="dxa"/>
            <w:tcBorders>
              <w:top w:val="nil"/>
              <w:left w:val="nil"/>
              <w:bottom w:val="nil"/>
              <w:right w:val="nil"/>
            </w:tcBorders>
          </w:tcPr>
          <w:p w14:paraId="1C4AF5C8" w14:textId="77777777" w:rsidR="0017561A" w:rsidRPr="00192CCA" w:rsidRDefault="0017561A" w:rsidP="004E0520">
            <w:pPr>
              <w:rPr>
                <w:sz w:val="20"/>
                <w:szCs w:val="20"/>
              </w:rPr>
            </w:pPr>
            <w:r w:rsidRPr="00192CCA">
              <w:rPr>
                <w:sz w:val="20"/>
                <w:szCs w:val="20"/>
              </w:rPr>
              <w:t>0.</w:t>
            </w:r>
            <w:r>
              <w:rPr>
                <w:sz w:val="20"/>
                <w:szCs w:val="20"/>
              </w:rPr>
              <w:t>56</w:t>
            </w:r>
            <w:r w:rsidRPr="00192CCA">
              <w:rPr>
                <w:sz w:val="20"/>
                <w:szCs w:val="20"/>
              </w:rPr>
              <w:t xml:space="preserve"> – 1.0</w:t>
            </w:r>
            <w:r>
              <w:rPr>
                <w:sz w:val="20"/>
                <w:szCs w:val="20"/>
              </w:rPr>
              <w:t>2</w:t>
            </w:r>
          </w:p>
        </w:tc>
        <w:tc>
          <w:tcPr>
            <w:tcW w:w="992" w:type="dxa"/>
            <w:tcBorders>
              <w:top w:val="nil"/>
              <w:left w:val="nil"/>
              <w:bottom w:val="nil"/>
              <w:right w:val="nil"/>
            </w:tcBorders>
          </w:tcPr>
          <w:p w14:paraId="02C3AE7C"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066</w:t>
            </w:r>
          </w:p>
        </w:tc>
      </w:tr>
      <w:tr w:rsidR="0017561A" w:rsidRPr="00192CCA" w14:paraId="43461B06"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0F9B089B" w14:textId="77777777" w:rsidR="0017561A" w:rsidRPr="00192CCA" w:rsidRDefault="0017561A" w:rsidP="004E0520">
            <w:pPr>
              <w:rPr>
                <w:sz w:val="20"/>
                <w:szCs w:val="20"/>
              </w:rPr>
            </w:pPr>
            <w:r w:rsidRPr="00192CCA">
              <w:rPr>
                <w:sz w:val="20"/>
                <w:szCs w:val="20"/>
              </w:rPr>
              <w:t>2016</w:t>
            </w:r>
          </w:p>
        </w:tc>
        <w:tc>
          <w:tcPr>
            <w:tcW w:w="1417" w:type="dxa"/>
            <w:tcBorders>
              <w:top w:val="nil"/>
              <w:left w:val="nil"/>
              <w:bottom w:val="nil"/>
              <w:right w:val="nil"/>
            </w:tcBorders>
          </w:tcPr>
          <w:p w14:paraId="49A5E7EB" w14:textId="77777777" w:rsidR="0017561A" w:rsidRDefault="0017561A" w:rsidP="004E0520">
            <w:pPr>
              <w:rPr>
                <w:sz w:val="20"/>
                <w:szCs w:val="20"/>
              </w:rPr>
            </w:pPr>
            <w:r>
              <w:rPr>
                <w:sz w:val="20"/>
                <w:szCs w:val="20"/>
              </w:rPr>
              <w:t>216 (48.54)</w:t>
            </w:r>
          </w:p>
        </w:tc>
        <w:tc>
          <w:tcPr>
            <w:tcW w:w="1418" w:type="dxa"/>
            <w:tcBorders>
              <w:top w:val="nil"/>
              <w:left w:val="nil"/>
              <w:bottom w:val="nil"/>
              <w:right w:val="nil"/>
            </w:tcBorders>
          </w:tcPr>
          <w:p w14:paraId="7CBEF264" w14:textId="77777777" w:rsidR="0017561A" w:rsidRDefault="0017561A" w:rsidP="004E0520">
            <w:pPr>
              <w:rPr>
                <w:sz w:val="20"/>
                <w:szCs w:val="20"/>
              </w:rPr>
            </w:pPr>
            <w:r>
              <w:rPr>
                <w:sz w:val="20"/>
                <w:szCs w:val="20"/>
              </w:rPr>
              <w:t>229 (51.46)</w:t>
            </w:r>
          </w:p>
        </w:tc>
        <w:tc>
          <w:tcPr>
            <w:tcW w:w="992" w:type="dxa"/>
            <w:tcBorders>
              <w:top w:val="nil"/>
              <w:left w:val="nil"/>
              <w:bottom w:val="nil"/>
              <w:right w:val="nil"/>
            </w:tcBorders>
          </w:tcPr>
          <w:p w14:paraId="4465E63B" w14:textId="77777777" w:rsidR="0017561A" w:rsidRPr="00192CCA" w:rsidRDefault="0017561A" w:rsidP="004E0520">
            <w:pPr>
              <w:rPr>
                <w:sz w:val="20"/>
                <w:szCs w:val="20"/>
              </w:rPr>
            </w:pPr>
          </w:p>
        </w:tc>
        <w:tc>
          <w:tcPr>
            <w:tcW w:w="709" w:type="dxa"/>
            <w:tcBorders>
              <w:top w:val="nil"/>
              <w:left w:val="nil"/>
              <w:bottom w:val="nil"/>
              <w:right w:val="nil"/>
            </w:tcBorders>
          </w:tcPr>
          <w:p w14:paraId="143E41AC" w14:textId="77777777" w:rsidR="0017561A" w:rsidRPr="00192CCA" w:rsidRDefault="0017561A" w:rsidP="004E0520">
            <w:pPr>
              <w:rPr>
                <w:sz w:val="20"/>
                <w:szCs w:val="20"/>
              </w:rPr>
            </w:pPr>
            <w:r>
              <w:rPr>
                <w:sz w:val="20"/>
                <w:szCs w:val="20"/>
              </w:rPr>
              <w:t>0.91</w:t>
            </w:r>
          </w:p>
        </w:tc>
        <w:tc>
          <w:tcPr>
            <w:tcW w:w="1417" w:type="dxa"/>
            <w:tcBorders>
              <w:top w:val="nil"/>
              <w:left w:val="nil"/>
              <w:bottom w:val="nil"/>
              <w:right w:val="nil"/>
            </w:tcBorders>
          </w:tcPr>
          <w:p w14:paraId="336A2DF7" w14:textId="77777777" w:rsidR="0017561A" w:rsidRPr="00192CCA" w:rsidRDefault="0017561A" w:rsidP="004E0520">
            <w:pPr>
              <w:rPr>
                <w:sz w:val="20"/>
                <w:szCs w:val="20"/>
              </w:rPr>
            </w:pPr>
            <w:r>
              <w:rPr>
                <w:sz w:val="20"/>
                <w:szCs w:val="20"/>
              </w:rPr>
              <w:t>0.70</w:t>
            </w:r>
            <w:r w:rsidRPr="00192CCA">
              <w:rPr>
                <w:sz w:val="20"/>
                <w:szCs w:val="20"/>
              </w:rPr>
              <w:t xml:space="preserve"> – 1.17</w:t>
            </w:r>
          </w:p>
        </w:tc>
        <w:tc>
          <w:tcPr>
            <w:tcW w:w="992" w:type="dxa"/>
            <w:tcBorders>
              <w:top w:val="nil"/>
              <w:left w:val="nil"/>
              <w:bottom w:val="nil"/>
              <w:right w:val="nil"/>
            </w:tcBorders>
          </w:tcPr>
          <w:p w14:paraId="0B722557"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449</w:t>
            </w:r>
          </w:p>
        </w:tc>
        <w:tc>
          <w:tcPr>
            <w:tcW w:w="709" w:type="dxa"/>
            <w:tcBorders>
              <w:top w:val="nil"/>
              <w:left w:val="nil"/>
              <w:bottom w:val="nil"/>
              <w:right w:val="nil"/>
            </w:tcBorders>
          </w:tcPr>
          <w:p w14:paraId="350F2E75" w14:textId="77777777" w:rsidR="0017561A" w:rsidRPr="00192CCA" w:rsidRDefault="0017561A" w:rsidP="004E0520">
            <w:pPr>
              <w:rPr>
                <w:sz w:val="20"/>
                <w:szCs w:val="20"/>
              </w:rPr>
            </w:pPr>
            <w:r>
              <w:rPr>
                <w:sz w:val="20"/>
                <w:szCs w:val="20"/>
              </w:rPr>
              <w:t>0.82</w:t>
            </w:r>
          </w:p>
        </w:tc>
        <w:tc>
          <w:tcPr>
            <w:tcW w:w="1418" w:type="dxa"/>
            <w:tcBorders>
              <w:top w:val="nil"/>
              <w:left w:val="nil"/>
              <w:bottom w:val="nil"/>
              <w:right w:val="nil"/>
            </w:tcBorders>
          </w:tcPr>
          <w:p w14:paraId="22760CA8" w14:textId="77777777" w:rsidR="0017561A" w:rsidRPr="00192CCA" w:rsidRDefault="0017561A" w:rsidP="004E0520">
            <w:pPr>
              <w:rPr>
                <w:sz w:val="20"/>
                <w:szCs w:val="20"/>
              </w:rPr>
            </w:pPr>
            <w:r w:rsidRPr="00192CCA">
              <w:rPr>
                <w:sz w:val="20"/>
                <w:szCs w:val="20"/>
              </w:rPr>
              <w:t>0.</w:t>
            </w:r>
            <w:r>
              <w:rPr>
                <w:sz w:val="20"/>
                <w:szCs w:val="20"/>
              </w:rPr>
              <w:t>61</w:t>
            </w:r>
            <w:r w:rsidRPr="00192CCA">
              <w:rPr>
                <w:sz w:val="20"/>
                <w:szCs w:val="20"/>
              </w:rPr>
              <w:t xml:space="preserve"> – 1.</w:t>
            </w:r>
            <w:r>
              <w:rPr>
                <w:sz w:val="20"/>
                <w:szCs w:val="20"/>
              </w:rPr>
              <w:t>09</w:t>
            </w:r>
          </w:p>
        </w:tc>
        <w:tc>
          <w:tcPr>
            <w:tcW w:w="992" w:type="dxa"/>
            <w:tcBorders>
              <w:top w:val="nil"/>
              <w:left w:val="nil"/>
              <w:bottom w:val="nil"/>
              <w:right w:val="nil"/>
            </w:tcBorders>
          </w:tcPr>
          <w:p w14:paraId="25D04DD1" w14:textId="77777777" w:rsidR="0017561A" w:rsidRPr="00192CCA" w:rsidRDefault="0017561A" w:rsidP="004E0520">
            <w:pPr>
              <w:rPr>
                <w:sz w:val="20"/>
                <w:szCs w:val="20"/>
              </w:rPr>
            </w:pPr>
            <w:r>
              <w:rPr>
                <w:sz w:val="20"/>
                <w:szCs w:val="20"/>
              </w:rPr>
              <w:t xml:space="preserve">  </w:t>
            </w:r>
            <w:r w:rsidRPr="00192CCA">
              <w:rPr>
                <w:sz w:val="20"/>
                <w:szCs w:val="20"/>
              </w:rPr>
              <w:t>0.</w:t>
            </w:r>
            <w:r>
              <w:rPr>
                <w:sz w:val="20"/>
                <w:szCs w:val="20"/>
              </w:rPr>
              <w:t>163</w:t>
            </w:r>
          </w:p>
        </w:tc>
      </w:tr>
      <w:tr w:rsidR="0017561A" w:rsidRPr="00192CCA" w14:paraId="251CDFCA" w14:textId="77777777" w:rsidTr="004E05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single" w:sz="4" w:space="0" w:color="auto"/>
              <w:right w:val="nil"/>
            </w:tcBorders>
          </w:tcPr>
          <w:p w14:paraId="738795AF" w14:textId="77777777" w:rsidR="0017561A" w:rsidRPr="00192CCA" w:rsidRDefault="0017561A" w:rsidP="004E0520">
            <w:pPr>
              <w:rPr>
                <w:sz w:val="20"/>
                <w:szCs w:val="20"/>
              </w:rPr>
            </w:pPr>
            <w:r w:rsidRPr="00192CCA">
              <w:rPr>
                <w:sz w:val="20"/>
                <w:szCs w:val="20"/>
              </w:rPr>
              <w:t>2017</w:t>
            </w:r>
          </w:p>
        </w:tc>
        <w:tc>
          <w:tcPr>
            <w:tcW w:w="1417" w:type="dxa"/>
            <w:tcBorders>
              <w:top w:val="nil"/>
              <w:left w:val="nil"/>
              <w:bottom w:val="single" w:sz="4" w:space="0" w:color="auto"/>
              <w:right w:val="nil"/>
            </w:tcBorders>
          </w:tcPr>
          <w:p w14:paraId="338658FB" w14:textId="77777777" w:rsidR="0017561A" w:rsidRDefault="0017561A" w:rsidP="004E0520">
            <w:pPr>
              <w:rPr>
                <w:sz w:val="20"/>
                <w:szCs w:val="20"/>
              </w:rPr>
            </w:pPr>
            <w:r>
              <w:rPr>
                <w:sz w:val="20"/>
                <w:szCs w:val="20"/>
              </w:rPr>
              <w:t>252 (51.01)</w:t>
            </w:r>
          </w:p>
        </w:tc>
        <w:tc>
          <w:tcPr>
            <w:tcW w:w="1418" w:type="dxa"/>
            <w:tcBorders>
              <w:top w:val="nil"/>
              <w:left w:val="nil"/>
              <w:bottom w:val="single" w:sz="4" w:space="0" w:color="auto"/>
              <w:right w:val="nil"/>
            </w:tcBorders>
          </w:tcPr>
          <w:p w14:paraId="44105925" w14:textId="77777777" w:rsidR="0017561A" w:rsidRDefault="0017561A" w:rsidP="004E0520">
            <w:pPr>
              <w:rPr>
                <w:sz w:val="20"/>
                <w:szCs w:val="20"/>
              </w:rPr>
            </w:pPr>
            <w:r>
              <w:rPr>
                <w:sz w:val="20"/>
                <w:szCs w:val="20"/>
              </w:rPr>
              <w:t>242 (48.99)</w:t>
            </w:r>
          </w:p>
        </w:tc>
        <w:tc>
          <w:tcPr>
            <w:tcW w:w="992" w:type="dxa"/>
            <w:tcBorders>
              <w:top w:val="nil"/>
              <w:left w:val="nil"/>
              <w:bottom w:val="single" w:sz="4" w:space="0" w:color="auto"/>
              <w:right w:val="nil"/>
            </w:tcBorders>
          </w:tcPr>
          <w:p w14:paraId="4238B09D" w14:textId="77777777" w:rsidR="0017561A" w:rsidRPr="00192CCA" w:rsidRDefault="0017561A" w:rsidP="004E0520">
            <w:pPr>
              <w:rPr>
                <w:sz w:val="20"/>
                <w:szCs w:val="20"/>
              </w:rPr>
            </w:pPr>
          </w:p>
        </w:tc>
        <w:tc>
          <w:tcPr>
            <w:tcW w:w="709" w:type="dxa"/>
            <w:tcBorders>
              <w:top w:val="nil"/>
              <w:left w:val="nil"/>
              <w:bottom w:val="single" w:sz="4" w:space="0" w:color="auto"/>
              <w:right w:val="nil"/>
            </w:tcBorders>
          </w:tcPr>
          <w:p w14:paraId="13DC5E84" w14:textId="77777777" w:rsidR="0017561A" w:rsidRPr="00192CCA" w:rsidRDefault="0017561A" w:rsidP="004E0520">
            <w:pPr>
              <w:rPr>
                <w:sz w:val="20"/>
                <w:szCs w:val="20"/>
              </w:rPr>
            </w:pPr>
            <w:r w:rsidRPr="00192CCA">
              <w:rPr>
                <w:sz w:val="20"/>
                <w:szCs w:val="20"/>
              </w:rPr>
              <w:t>1.00</w:t>
            </w:r>
          </w:p>
        </w:tc>
        <w:tc>
          <w:tcPr>
            <w:tcW w:w="1417" w:type="dxa"/>
            <w:tcBorders>
              <w:top w:val="nil"/>
              <w:left w:val="nil"/>
              <w:bottom w:val="single" w:sz="4" w:space="0" w:color="auto"/>
              <w:right w:val="nil"/>
            </w:tcBorders>
          </w:tcPr>
          <w:p w14:paraId="08229B83" w14:textId="77777777" w:rsidR="0017561A" w:rsidRPr="00192CCA" w:rsidRDefault="0017561A" w:rsidP="004E0520">
            <w:pPr>
              <w:rPr>
                <w:sz w:val="20"/>
                <w:szCs w:val="20"/>
              </w:rPr>
            </w:pPr>
            <w:r w:rsidRPr="00192CCA">
              <w:rPr>
                <w:sz w:val="20"/>
                <w:szCs w:val="20"/>
              </w:rPr>
              <w:t>-----     -----</w:t>
            </w:r>
          </w:p>
        </w:tc>
        <w:tc>
          <w:tcPr>
            <w:tcW w:w="992" w:type="dxa"/>
            <w:tcBorders>
              <w:top w:val="nil"/>
              <w:left w:val="nil"/>
              <w:bottom w:val="single" w:sz="4" w:space="0" w:color="auto"/>
              <w:right w:val="nil"/>
            </w:tcBorders>
          </w:tcPr>
          <w:p w14:paraId="32B4B4DA" w14:textId="77777777" w:rsidR="0017561A" w:rsidRPr="00192CCA" w:rsidRDefault="0017561A" w:rsidP="004E0520">
            <w:pPr>
              <w:rPr>
                <w:sz w:val="20"/>
                <w:szCs w:val="20"/>
              </w:rPr>
            </w:pPr>
            <w:r>
              <w:rPr>
                <w:sz w:val="20"/>
                <w:szCs w:val="20"/>
              </w:rPr>
              <w:t xml:space="preserve">  </w:t>
            </w:r>
            <w:r w:rsidRPr="00192CCA">
              <w:rPr>
                <w:sz w:val="20"/>
                <w:szCs w:val="20"/>
              </w:rPr>
              <w:t>-------</w:t>
            </w:r>
          </w:p>
        </w:tc>
        <w:tc>
          <w:tcPr>
            <w:tcW w:w="709" w:type="dxa"/>
            <w:tcBorders>
              <w:top w:val="nil"/>
              <w:left w:val="nil"/>
              <w:bottom w:val="single" w:sz="4" w:space="0" w:color="auto"/>
              <w:right w:val="nil"/>
            </w:tcBorders>
          </w:tcPr>
          <w:p w14:paraId="598AD4E1" w14:textId="77777777" w:rsidR="0017561A" w:rsidRPr="00192CCA" w:rsidRDefault="0017561A" w:rsidP="004E0520">
            <w:pPr>
              <w:rPr>
                <w:sz w:val="20"/>
                <w:szCs w:val="20"/>
              </w:rPr>
            </w:pPr>
            <w:r w:rsidRPr="00192CCA">
              <w:rPr>
                <w:sz w:val="20"/>
                <w:szCs w:val="20"/>
              </w:rPr>
              <w:t>1.00</w:t>
            </w:r>
          </w:p>
        </w:tc>
        <w:tc>
          <w:tcPr>
            <w:tcW w:w="1418" w:type="dxa"/>
            <w:tcBorders>
              <w:top w:val="nil"/>
              <w:left w:val="nil"/>
              <w:bottom w:val="single" w:sz="4" w:space="0" w:color="auto"/>
              <w:right w:val="nil"/>
            </w:tcBorders>
          </w:tcPr>
          <w:p w14:paraId="3E1592BB" w14:textId="77777777" w:rsidR="0017561A" w:rsidRPr="00192CCA" w:rsidRDefault="0017561A" w:rsidP="004E0520">
            <w:pPr>
              <w:rPr>
                <w:sz w:val="20"/>
                <w:szCs w:val="20"/>
              </w:rPr>
            </w:pPr>
            <w:r w:rsidRPr="00192CCA">
              <w:rPr>
                <w:sz w:val="20"/>
                <w:szCs w:val="20"/>
              </w:rPr>
              <w:t>-----     -----</w:t>
            </w:r>
          </w:p>
        </w:tc>
        <w:tc>
          <w:tcPr>
            <w:tcW w:w="992" w:type="dxa"/>
            <w:tcBorders>
              <w:top w:val="nil"/>
              <w:left w:val="nil"/>
              <w:bottom w:val="single" w:sz="4" w:space="0" w:color="auto"/>
              <w:right w:val="nil"/>
            </w:tcBorders>
          </w:tcPr>
          <w:p w14:paraId="5CAAE55A" w14:textId="77777777" w:rsidR="0017561A" w:rsidRDefault="0017561A" w:rsidP="004E0520">
            <w:pPr>
              <w:rPr>
                <w:sz w:val="20"/>
                <w:szCs w:val="20"/>
              </w:rPr>
            </w:pPr>
            <w:r>
              <w:rPr>
                <w:sz w:val="20"/>
                <w:szCs w:val="20"/>
              </w:rPr>
              <w:t xml:space="preserve">  </w:t>
            </w:r>
            <w:r w:rsidRPr="00192CCA">
              <w:rPr>
                <w:sz w:val="20"/>
                <w:szCs w:val="20"/>
              </w:rPr>
              <w:t>-------</w:t>
            </w:r>
          </w:p>
          <w:p w14:paraId="232D8A3C" w14:textId="77777777" w:rsidR="0017561A" w:rsidRPr="00192CCA" w:rsidRDefault="0017561A" w:rsidP="004E0520">
            <w:pPr>
              <w:rPr>
                <w:sz w:val="20"/>
                <w:szCs w:val="20"/>
              </w:rPr>
            </w:pPr>
          </w:p>
        </w:tc>
      </w:tr>
    </w:tbl>
    <w:p w14:paraId="5FC20081" w14:textId="77777777" w:rsidR="0017561A" w:rsidRDefault="0017561A" w:rsidP="0017561A">
      <w:pPr>
        <w:spacing w:line="360" w:lineRule="auto"/>
        <w:jc w:val="both"/>
        <w:rPr>
          <w:sz w:val="22"/>
          <w:szCs w:val="22"/>
        </w:rPr>
      </w:pPr>
    </w:p>
    <w:p w14:paraId="309A3094" w14:textId="77777777" w:rsidR="0017561A" w:rsidRDefault="0017561A" w:rsidP="0017561A">
      <w:pPr>
        <w:jc w:val="both"/>
        <w:rPr>
          <w:sz w:val="22"/>
          <w:szCs w:val="22"/>
          <w:vertAlign w:val="superscript"/>
        </w:rPr>
      </w:pPr>
    </w:p>
    <w:p w14:paraId="26465DD5" w14:textId="77777777" w:rsidR="0017561A" w:rsidRDefault="0017561A" w:rsidP="0017561A">
      <w:pPr>
        <w:jc w:val="both"/>
        <w:rPr>
          <w:sz w:val="22"/>
          <w:szCs w:val="22"/>
          <w:vertAlign w:val="superscript"/>
        </w:rPr>
      </w:pPr>
    </w:p>
    <w:p w14:paraId="748A7377" w14:textId="77777777" w:rsidR="0017561A" w:rsidRPr="00A27E5D" w:rsidRDefault="0017561A" w:rsidP="0017561A">
      <w:pPr>
        <w:jc w:val="both"/>
        <w:rPr>
          <w:sz w:val="10"/>
          <w:szCs w:val="10"/>
          <w:vertAlign w:val="superscript"/>
        </w:rPr>
      </w:pPr>
      <w:r>
        <w:rPr>
          <w:sz w:val="22"/>
          <w:szCs w:val="22"/>
          <w:vertAlign w:val="superscript"/>
        </w:rPr>
        <w:t>a</w:t>
      </w:r>
      <w:r w:rsidRPr="007B5DB3">
        <w:rPr>
          <w:sz w:val="22"/>
          <w:szCs w:val="22"/>
        </w:rPr>
        <w:t>Chi-square P value</w:t>
      </w:r>
      <w:r>
        <w:rPr>
          <w:sz w:val="22"/>
          <w:szCs w:val="22"/>
        </w:rPr>
        <w:t>.</w:t>
      </w:r>
    </w:p>
    <w:p w14:paraId="7E7C9A2E" w14:textId="77777777" w:rsidR="0017561A" w:rsidRPr="007B5DB3" w:rsidRDefault="0017561A" w:rsidP="0017561A">
      <w:pPr>
        <w:jc w:val="both"/>
        <w:rPr>
          <w:sz w:val="22"/>
          <w:szCs w:val="22"/>
        </w:rPr>
      </w:pPr>
      <w:r>
        <w:rPr>
          <w:sz w:val="22"/>
          <w:szCs w:val="22"/>
          <w:vertAlign w:val="superscript"/>
        </w:rPr>
        <w:t>b</w:t>
      </w:r>
      <w:r w:rsidRPr="007C6AC0">
        <w:rPr>
          <w:sz w:val="22"/>
          <w:szCs w:val="22"/>
        </w:rPr>
        <w:t>Bol</w:t>
      </w:r>
      <w:r>
        <w:rPr>
          <w:sz w:val="22"/>
          <w:szCs w:val="22"/>
        </w:rPr>
        <w:t>de</w:t>
      </w:r>
      <w:r w:rsidRPr="007C6AC0">
        <w:rPr>
          <w:sz w:val="22"/>
          <w:szCs w:val="22"/>
        </w:rPr>
        <w:t>d</w:t>
      </w:r>
      <w:r>
        <w:rPr>
          <w:sz w:val="22"/>
          <w:szCs w:val="22"/>
          <w:vertAlign w:val="superscript"/>
        </w:rPr>
        <w:t xml:space="preserve"> </w:t>
      </w:r>
      <w:r w:rsidRPr="007B5DB3">
        <w:rPr>
          <w:sz w:val="22"/>
          <w:szCs w:val="22"/>
        </w:rPr>
        <w:t xml:space="preserve">P </w:t>
      </w:r>
      <w:r>
        <w:rPr>
          <w:sz w:val="22"/>
          <w:szCs w:val="22"/>
        </w:rPr>
        <w:t>v</w:t>
      </w:r>
      <w:r w:rsidRPr="007B5DB3">
        <w:rPr>
          <w:sz w:val="22"/>
          <w:szCs w:val="22"/>
        </w:rPr>
        <w:t xml:space="preserve">alues are from </w:t>
      </w:r>
      <w:r>
        <w:rPr>
          <w:sz w:val="22"/>
          <w:szCs w:val="22"/>
        </w:rPr>
        <w:t>LRT</w:t>
      </w:r>
      <w:r w:rsidRPr="007B5DB3">
        <w:rPr>
          <w:sz w:val="22"/>
          <w:szCs w:val="22"/>
        </w:rPr>
        <w:t xml:space="preserve"> of the variable</w:t>
      </w:r>
      <w:r>
        <w:rPr>
          <w:sz w:val="22"/>
          <w:szCs w:val="22"/>
        </w:rPr>
        <w:t>’s</w:t>
      </w:r>
      <w:r w:rsidRPr="007B5DB3">
        <w:rPr>
          <w:sz w:val="22"/>
          <w:szCs w:val="22"/>
        </w:rPr>
        <w:t xml:space="preserve"> </w:t>
      </w:r>
      <w:r>
        <w:rPr>
          <w:sz w:val="22"/>
          <w:szCs w:val="22"/>
        </w:rPr>
        <w:t xml:space="preserve">contribution </w:t>
      </w:r>
      <w:r w:rsidRPr="007B5DB3">
        <w:rPr>
          <w:sz w:val="22"/>
          <w:szCs w:val="22"/>
        </w:rPr>
        <w:t xml:space="preserve">to the model. Unbolded P values are from a test of whether the OR is different from 1. </w:t>
      </w:r>
    </w:p>
    <w:p w14:paraId="0D33E3F4" w14:textId="77777777" w:rsidR="0017561A" w:rsidRPr="007B5DB3" w:rsidRDefault="0017561A" w:rsidP="0017561A">
      <w:pPr>
        <w:jc w:val="both"/>
        <w:rPr>
          <w:sz w:val="22"/>
          <w:szCs w:val="22"/>
        </w:rPr>
      </w:pPr>
      <w:r>
        <w:rPr>
          <w:sz w:val="22"/>
          <w:szCs w:val="22"/>
          <w:vertAlign w:val="superscript"/>
        </w:rPr>
        <w:t>c</w:t>
      </w:r>
      <w:r w:rsidRPr="004846D3">
        <w:rPr>
          <w:sz w:val="22"/>
          <w:szCs w:val="22"/>
        </w:rPr>
        <w:t>Refers to IMD (income domain).</w:t>
      </w:r>
      <w:r>
        <w:rPr>
          <w:sz w:val="20"/>
          <w:szCs w:val="20"/>
          <w:vertAlign w:val="superscript"/>
        </w:rPr>
        <w:t xml:space="preserve"> </w:t>
      </w:r>
      <w:r w:rsidRPr="007B5DB3">
        <w:rPr>
          <w:sz w:val="22"/>
          <w:szCs w:val="22"/>
        </w:rPr>
        <w:t>For diagnosis year 201</w:t>
      </w:r>
      <w:r>
        <w:rPr>
          <w:sz w:val="22"/>
          <w:szCs w:val="22"/>
        </w:rPr>
        <w:t>2</w:t>
      </w:r>
      <w:r w:rsidRPr="007B5DB3">
        <w:rPr>
          <w:sz w:val="22"/>
          <w:szCs w:val="22"/>
        </w:rPr>
        <w:t>, IMD_2010 was used and for diagnosis years 2013-2017, IMD_2015 was used.</w:t>
      </w:r>
    </w:p>
    <w:p w14:paraId="1ABCCA41" w14:textId="77777777" w:rsidR="0017561A" w:rsidRPr="007B5DB3" w:rsidRDefault="0017561A" w:rsidP="0017561A">
      <w:pPr>
        <w:jc w:val="both"/>
        <w:rPr>
          <w:sz w:val="22"/>
          <w:szCs w:val="22"/>
        </w:rPr>
      </w:pPr>
      <w:r>
        <w:rPr>
          <w:sz w:val="22"/>
          <w:szCs w:val="22"/>
          <w:vertAlign w:val="superscript"/>
        </w:rPr>
        <w:t>d</w:t>
      </w:r>
      <w:r w:rsidRPr="007B5DB3">
        <w:rPr>
          <w:sz w:val="22"/>
          <w:szCs w:val="22"/>
        </w:rPr>
        <w:t xml:space="preserve">Other </w:t>
      </w:r>
      <w:r>
        <w:rPr>
          <w:sz w:val="22"/>
          <w:szCs w:val="22"/>
        </w:rPr>
        <w:t xml:space="preserve">ethnic group </w:t>
      </w:r>
      <w:r w:rsidRPr="007B5DB3">
        <w:rPr>
          <w:sz w:val="22"/>
          <w:szCs w:val="22"/>
        </w:rPr>
        <w:t>refers to Asian/British Asian, Black/African/Caribbean/Black British, mixed/multiple ethnic groups</w:t>
      </w:r>
      <w:r>
        <w:rPr>
          <w:sz w:val="22"/>
          <w:szCs w:val="22"/>
        </w:rPr>
        <w:t>,</w:t>
      </w:r>
      <w:r w:rsidRPr="007B5DB3">
        <w:rPr>
          <w:sz w:val="22"/>
          <w:szCs w:val="22"/>
        </w:rPr>
        <w:t xml:space="preserve"> and other ethnic group</w:t>
      </w:r>
      <w:r>
        <w:rPr>
          <w:sz w:val="22"/>
          <w:szCs w:val="22"/>
        </w:rPr>
        <w:t>s</w:t>
      </w:r>
      <w:r w:rsidRPr="007B5DB3">
        <w:rPr>
          <w:sz w:val="22"/>
          <w:szCs w:val="22"/>
        </w:rPr>
        <w:t>.</w:t>
      </w:r>
    </w:p>
    <w:p w14:paraId="57A7E572" w14:textId="77777777" w:rsidR="0017561A" w:rsidRPr="007B5DB3" w:rsidRDefault="0017561A" w:rsidP="0017561A">
      <w:pPr>
        <w:jc w:val="both"/>
        <w:rPr>
          <w:sz w:val="22"/>
          <w:szCs w:val="22"/>
        </w:rPr>
      </w:pPr>
      <w:r>
        <w:rPr>
          <w:sz w:val="22"/>
          <w:szCs w:val="22"/>
          <w:vertAlign w:val="superscript"/>
        </w:rPr>
        <w:t>e</w:t>
      </w:r>
      <w:r>
        <w:rPr>
          <w:sz w:val="22"/>
          <w:szCs w:val="22"/>
        </w:rPr>
        <w:t xml:space="preserve">Unknown ethnicity </w:t>
      </w:r>
      <w:r w:rsidRPr="007B5DB3">
        <w:rPr>
          <w:sz w:val="22"/>
          <w:szCs w:val="22"/>
        </w:rPr>
        <w:t>refers to missing and unknown ethnicity classifications.</w:t>
      </w:r>
    </w:p>
    <w:p w14:paraId="5F1A2B57" w14:textId="77777777" w:rsidR="0017561A" w:rsidRDefault="0017561A" w:rsidP="0017561A">
      <w:pPr>
        <w:jc w:val="both"/>
        <w:rPr>
          <w:sz w:val="22"/>
          <w:szCs w:val="22"/>
        </w:rPr>
      </w:pPr>
      <w:r>
        <w:rPr>
          <w:sz w:val="22"/>
          <w:szCs w:val="22"/>
          <w:vertAlign w:val="superscript"/>
        </w:rPr>
        <w:t>f</w:t>
      </w:r>
      <w:r w:rsidRPr="007B5DB3">
        <w:rPr>
          <w:sz w:val="22"/>
          <w:szCs w:val="22"/>
        </w:rPr>
        <w:t xml:space="preserve">Other </w:t>
      </w:r>
      <w:r>
        <w:rPr>
          <w:sz w:val="22"/>
          <w:szCs w:val="22"/>
        </w:rPr>
        <w:t xml:space="preserve">grade </w:t>
      </w:r>
      <w:r w:rsidRPr="00D20F59">
        <w:rPr>
          <w:sz w:val="22"/>
          <w:szCs w:val="22"/>
        </w:rPr>
        <w:t xml:space="preserve">refers to undifferentiated, anaplastic, undetermined, and missing </w:t>
      </w:r>
      <w:r>
        <w:rPr>
          <w:sz w:val="22"/>
          <w:szCs w:val="22"/>
        </w:rPr>
        <w:t>tumor</w:t>
      </w:r>
      <w:r w:rsidRPr="00D20F59">
        <w:rPr>
          <w:sz w:val="22"/>
          <w:szCs w:val="22"/>
        </w:rPr>
        <w:t xml:space="preserve"> grades. </w:t>
      </w:r>
    </w:p>
    <w:p w14:paraId="09FD9C26" w14:textId="77777777" w:rsidR="0017561A" w:rsidRDefault="0017561A" w:rsidP="0017561A">
      <w:pPr>
        <w:jc w:val="both"/>
        <w:rPr>
          <w:sz w:val="22"/>
          <w:szCs w:val="22"/>
        </w:rPr>
      </w:pPr>
      <w:r>
        <w:rPr>
          <w:sz w:val="22"/>
          <w:szCs w:val="22"/>
          <w:vertAlign w:val="superscript"/>
        </w:rPr>
        <w:t>g</w:t>
      </w:r>
      <w:r w:rsidRPr="0012301C">
        <w:rPr>
          <w:sz w:val="22"/>
          <w:szCs w:val="22"/>
        </w:rPr>
        <w:t xml:space="preserve">Surgery receipt beyond 6 months (e.g. following neo-adjuvant chemotherapy) not captured.  </w:t>
      </w:r>
    </w:p>
    <w:p w14:paraId="615C14BA" w14:textId="77777777" w:rsidR="0017561A" w:rsidRPr="00D20F59" w:rsidRDefault="0017561A" w:rsidP="0017561A">
      <w:pPr>
        <w:jc w:val="both"/>
        <w:rPr>
          <w:sz w:val="22"/>
          <w:szCs w:val="22"/>
        </w:rPr>
      </w:pPr>
      <w:r>
        <w:rPr>
          <w:sz w:val="22"/>
          <w:szCs w:val="22"/>
          <w:vertAlign w:val="superscript"/>
        </w:rPr>
        <w:t>h</w:t>
      </w:r>
      <w:r w:rsidRPr="0012301C">
        <w:rPr>
          <w:sz w:val="22"/>
          <w:szCs w:val="22"/>
        </w:rPr>
        <w:t xml:space="preserve">Refers to number of </w:t>
      </w:r>
      <w:r>
        <w:rPr>
          <w:sz w:val="22"/>
          <w:szCs w:val="22"/>
        </w:rPr>
        <w:t>tumor</w:t>
      </w:r>
      <w:r w:rsidRPr="0012301C">
        <w:rPr>
          <w:sz w:val="22"/>
          <w:szCs w:val="22"/>
        </w:rPr>
        <w:t xml:space="preserve">s other than the index breast cancer. </w:t>
      </w:r>
    </w:p>
    <w:p w14:paraId="249402E2" w14:textId="77777777" w:rsidR="0017561A" w:rsidRPr="00D20F59" w:rsidRDefault="0017561A" w:rsidP="0017561A">
      <w:pPr>
        <w:jc w:val="both"/>
        <w:rPr>
          <w:bCs/>
          <w:sz w:val="22"/>
          <w:szCs w:val="22"/>
        </w:rPr>
      </w:pPr>
      <w:r>
        <w:rPr>
          <w:sz w:val="22"/>
          <w:szCs w:val="22"/>
          <w:vertAlign w:val="superscript"/>
        </w:rPr>
        <w:t>i</w:t>
      </w:r>
      <w:r w:rsidRPr="00D20F59">
        <w:rPr>
          <w:sz w:val="22"/>
          <w:szCs w:val="22"/>
        </w:rPr>
        <w:t xml:space="preserve">Refers to </w:t>
      </w:r>
      <w:r w:rsidRPr="00D20F59">
        <w:rPr>
          <w:bCs/>
          <w:sz w:val="22"/>
          <w:szCs w:val="22"/>
        </w:rPr>
        <w:t>at least one positive ER test and includes borderline definitions.</w:t>
      </w:r>
    </w:p>
    <w:p w14:paraId="5D3F4D60" w14:textId="77777777" w:rsidR="0017561A" w:rsidRPr="00D20F59" w:rsidRDefault="0017561A" w:rsidP="0017561A">
      <w:pPr>
        <w:jc w:val="both"/>
        <w:rPr>
          <w:sz w:val="22"/>
          <w:szCs w:val="22"/>
        </w:rPr>
      </w:pPr>
      <w:r>
        <w:rPr>
          <w:bCs/>
          <w:sz w:val="22"/>
          <w:szCs w:val="22"/>
          <w:vertAlign w:val="superscript"/>
        </w:rPr>
        <w:t>j</w:t>
      </w:r>
      <w:r w:rsidRPr="00D20F59">
        <w:rPr>
          <w:bCs/>
          <w:sz w:val="22"/>
          <w:szCs w:val="22"/>
        </w:rPr>
        <w:t>Refers to unknown, not performed, or missing ER status.</w:t>
      </w:r>
    </w:p>
    <w:p w14:paraId="60883B55" w14:textId="77777777" w:rsidR="0017561A" w:rsidRDefault="0017561A" w:rsidP="0017561A">
      <w:pPr>
        <w:jc w:val="both"/>
        <w:rPr>
          <w:sz w:val="22"/>
          <w:szCs w:val="22"/>
        </w:rPr>
      </w:pPr>
      <w:r>
        <w:rPr>
          <w:sz w:val="22"/>
          <w:szCs w:val="22"/>
          <w:vertAlign w:val="superscript"/>
        </w:rPr>
        <w:t>k</w:t>
      </w:r>
      <w:r w:rsidRPr="00D20F59">
        <w:rPr>
          <w:sz w:val="22"/>
          <w:szCs w:val="22"/>
        </w:rPr>
        <w:t xml:space="preserve">Defined using </w:t>
      </w:r>
      <w:r>
        <w:rPr>
          <w:sz w:val="22"/>
          <w:szCs w:val="22"/>
        </w:rPr>
        <w:t xml:space="preserve">the </w:t>
      </w:r>
      <w:r w:rsidRPr="00D20F59">
        <w:rPr>
          <w:sz w:val="22"/>
          <w:szCs w:val="22"/>
        </w:rPr>
        <w:t>Charlson Comorbidity Index</w:t>
      </w:r>
      <w:r>
        <w:rPr>
          <w:sz w:val="22"/>
          <w:szCs w:val="22"/>
        </w:rPr>
        <w:t>.</w:t>
      </w:r>
    </w:p>
    <w:p w14:paraId="6D23260A" w14:textId="39A35C3F" w:rsidR="00B32B6C" w:rsidRPr="00D20F59" w:rsidRDefault="00B32B6C" w:rsidP="0017561A">
      <w:pPr>
        <w:jc w:val="both"/>
        <w:rPr>
          <w:sz w:val="22"/>
          <w:szCs w:val="22"/>
        </w:rPr>
      </w:pPr>
      <w:r w:rsidRPr="004E0520">
        <w:rPr>
          <w:sz w:val="22"/>
          <w:szCs w:val="22"/>
          <w:vertAlign w:val="superscript"/>
        </w:rPr>
        <w:t>l</w:t>
      </w:r>
      <w:r>
        <w:rPr>
          <w:sz w:val="22"/>
          <w:szCs w:val="22"/>
        </w:rPr>
        <w:t xml:space="preserve">Variable not included in the adjusted analysis as </w:t>
      </w:r>
      <w:r w:rsidR="00E4240C">
        <w:rPr>
          <w:sz w:val="22"/>
          <w:szCs w:val="22"/>
        </w:rPr>
        <w:t>resulted in</w:t>
      </w:r>
      <w:r>
        <w:rPr>
          <w:sz w:val="22"/>
          <w:szCs w:val="22"/>
        </w:rPr>
        <w:t xml:space="preserve"> poor model fit </w:t>
      </w:r>
      <w:r w:rsidR="00E4240C">
        <w:rPr>
          <w:sz w:val="22"/>
          <w:szCs w:val="22"/>
        </w:rPr>
        <w:t xml:space="preserve">(assessed </w:t>
      </w:r>
      <w:r>
        <w:rPr>
          <w:sz w:val="22"/>
          <w:szCs w:val="22"/>
        </w:rPr>
        <w:t xml:space="preserve">using Hosmer and Lemeshow </w:t>
      </w:r>
      <w:r w:rsidRPr="00BE2214">
        <w:rPr>
          <w:rStyle w:val="texhtml"/>
          <w:color w:val="202122"/>
          <w:sz w:val="22"/>
          <w:szCs w:val="22"/>
        </w:rPr>
        <w:t>χ</w:t>
      </w:r>
      <w:r w:rsidRPr="00BE2214">
        <w:rPr>
          <w:rStyle w:val="texhtml"/>
          <w:color w:val="202122"/>
          <w:sz w:val="22"/>
          <w:szCs w:val="22"/>
          <w:vertAlign w:val="superscript"/>
        </w:rPr>
        <w:t>2</w:t>
      </w:r>
      <w:r>
        <w:rPr>
          <w:sz w:val="22"/>
          <w:szCs w:val="22"/>
        </w:rPr>
        <w:t xml:space="preserve"> test</w:t>
      </w:r>
      <w:r w:rsidR="00E4240C">
        <w:rPr>
          <w:sz w:val="22"/>
          <w:szCs w:val="22"/>
        </w:rPr>
        <w:t>)</w:t>
      </w:r>
      <w:r>
        <w:rPr>
          <w:sz w:val="22"/>
          <w:szCs w:val="22"/>
        </w:rPr>
        <w:t>.</w:t>
      </w:r>
    </w:p>
    <w:p w14:paraId="65591573" w14:textId="77777777" w:rsidR="0017561A" w:rsidRPr="007B5DB3" w:rsidRDefault="0017561A" w:rsidP="0017561A">
      <w:pPr>
        <w:jc w:val="both"/>
        <w:rPr>
          <w:sz w:val="22"/>
          <w:szCs w:val="22"/>
        </w:rPr>
      </w:pPr>
      <w:r>
        <w:rPr>
          <w:sz w:val="22"/>
          <w:szCs w:val="22"/>
        </w:rPr>
        <w:t>Abbreviations:</w:t>
      </w:r>
      <w:r w:rsidRPr="007B5DB3">
        <w:rPr>
          <w:sz w:val="22"/>
          <w:szCs w:val="22"/>
        </w:rPr>
        <w:t xml:space="preserve"> ER</w:t>
      </w:r>
      <w:r>
        <w:rPr>
          <w:sz w:val="22"/>
          <w:szCs w:val="22"/>
        </w:rPr>
        <w:t>:</w:t>
      </w:r>
      <w:r w:rsidRPr="007B5DB3">
        <w:rPr>
          <w:sz w:val="22"/>
          <w:szCs w:val="22"/>
        </w:rPr>
        <w:t xml:space="preserve"> </w:t>
      </w:r>
      <w:r>
        <w:rPr>
          <w:sz w:val="22"/>
          <w:szCs w:val="22"/>
        </w:rPr>
        <w:t>Estrogen</w:t>
      </w:r>
      <w:r w:rsidRPr="007B5DB3">
        <w:rPr>
          <w:sz w:val="22"/>
          <w:szCs w:val="22"/>
        </w:rPr>
        <w:t xml:space="preserve"> receptor; </w:t>
      </w:r>
      <w:r w:rsidRPr="001D5AAC">
        <w:rPr>
          <w:sz w:val="22"/>
          <w:szCs w:val="22"/>
        </w:rPr>
        <w:t>HER2: Human epidermal growth factor receptor 2</w:t>
      </w:r>
      <w:r>
        <w:rPr>
          <w:sz w:val="22"/>
          <w:szCs w:val="22"/>
        </w:rPr>
        <w:t xml:space="preserve">; </w:t>
      </w:r>
      <w:r w:rsidRPr="007B5DB3">
        <w:rPr>
          <w:sz w:val="22"/>
          <w:szCs w:val="22"/>
        </w:rPr>
        <w:t xml:space="preserve">IMD: Index of </w:t>
      </w:r>
      <w:r>
        <w:rPr>
          <w:sz w:val="22"/>
          <w:szCs w:val="22"/>
        </w:rPr>
        <w:t>m</w:t>
      </w:r>
      <w:r w:rsidRPr="007B5DB3">
        <w:rPr>
          <w:sz w:val="22"/>
          <w:szCs w:val="22"/>
        </w:rPr>
        <w:t xml:space="preserve">ultiple </w:t>
      </w:r>
      <w:r>
        <w:rPr>
          <w:sz w:val="22"/>
          <w:szCs w:val="22"/>
        </w:rPr>
        <w:t>d</w:t>
      </w:r>
      <w:r w:rsidRPr="007B5DB3">
        <w:rPr>
          <w:sz w:val="22"/>
          <w:szCs w:val="22"/>
        </w:rPr>
        <w:t>eprivation</w:t>
      </w:r>
      <w:r>
        <w:rPr>
          <w:sz w:val="22"/>
          <w:szCs w:val="22"/>
        </w:rPr>
        <w:t xml:space="preserve"> (income domain)</w:t>
      </w:r>
      <w:r w:rsidRPr="007B5DB3">
        <w:rPr>
          <w:sz w:val="22"/>
          <w:szCs w:val="22"/>
        </w:rPr>
        <w:t xml:space="preserve">; </w:t>
      </w:r>
      <w:r>
        <w:rPr>
          <w:sz w:val="22"/>
          <w:szCs w:val="22"/>
        </w:rPr>
        <w:t xml:space="preserve">LRT: Likelihood ratio test; n: Number; </w:t>
      </w:r>
      <w:r w:rsidRPr="007B5DB3">
        <w:rPr>
          <w:sz w:val="22"/>
          <w:szCs w:val="22"/>
        </w:rPr>
        <w:t xml:space="preserve">MDT: </w:t>
      </w:r>
      <w:r>
        <w:rPr>
          <w:sz w:val="22"/>
          <w:szCs w:val="22"/>
        </w:rPr>
        <w:t>M</w:t>
      </w:r>
      <w:r w:rsidRPr="007B5DB3">
        <w:rPr>
          <w:sz w:val="22"/>
          <w:szCs w:val="22"/>
        </w:rPr>
        <w:t xml:space="preserve">ultidisciplinary </w:t>
      </w:r>
      <w:r>
        <w:rPr>
          <w:sz w:val="22"/>
          <w:szCs w:val="22"/>
        </w:rPr>
        <w:t>t</w:t>
      </w:r>
      <w:r w:rsidRPr="007B5DB3">
        <w:rPr>
          <w:sz w:val="22"/>
          <w:szCs w:val="22"/>
        </w:rPr>
        <w:t>eam; OR</w:t>
      </w:r>
      <w:r>
        <w:rPr>
          <w:sz w:val="22"/>
          <w:szCs w:val="22"/>
        </w:rPr>
        <w:t>:</w:t>
      </w:r>
      <w:r w:rsidRPr="007B5DB3">
        <w:rPr>
          <w:sz w:val="22"/>
          <w:szCs w:val="22"/>
        </w:rPr>
        <w:t xml:space="preserve"> </w:t>
      </w:r>
      <w:r>
        <w:rPr>
          <w:sz w:val="22"/>
          <w:szCs w:val="22"/>
        </w:rPr>
        <w:t>O</w:t>
      </w:r>
      <w:r w:rsidRPr="007B5DB3">
        <w:rPr>
          <w:sz w:val="22"/>
          <w:szCs w:val="22"/>
        </w:rPr>
        <w:t>dds ratio; CI</w:t>
      </w:r>
      <w:r>
        <w:rPr>
          <w:sz w:val="22"/>
          <w:szCs w:val="22"/>
        </w:rPr>
        <w:t>: C</w:t>
      </w:r>
      <w:r w:rsidRPr="007B5DB3">
        <w:rPr>
          <w:sz w:val="22"/>
          <w:szCs w:val="22"/>
        </w:rPr>
        <w:t>onfidence interval.</w:t>
      </w:r>
    </w:p>
    <w:p w14:paraId="2598DA5C" w14:textId="77777777" w:rsidR="0017561A" w:rsidRDefault="0017561A" w:rsidP="0017561A"/>
    <w:p w14:paraId="03DC9776" w14:textId="77777777" w:rsidR="0017561A" w:rsidRDefault="0017561A" w:rsidP="00EB2F6F">
      <w:pPr>
        <w:spacing w:line="360" w:lineRule="auto"/>
        <w:rPr>
          <w:rFonts w:eastAsiaTheme="minorHAnsi"/>
          <w:color w:val="000000"/>
          <w:sz w:val="22"/>
          <w:szCs w:val="22"/>
          <w:lang w:eastAsia="en-US"/>
        </w:rPr>
      </w:pPr>
    </w:p>
    <w:p w14:paraId="6C69BAA2" w14:textId="77777777" w:rsidR="0017561A" w:rsidRDefault="0017561A" w:rsidP="00EB2F6F">
      <w:pPr>
        <w:spacing w:line="360" w:lineRule="auto"/>
        <w:rPr>
          <w:rFonts w:eastAsiaTheme="minorHAnsi"/>
          <w:color w:val="000000"/>
          <w:sz w:val="22"/>
          <w:szCs w:val="22"/>
          <w:lang w:eastAsia="en-US"/>
        </w:rPr>
      </w:pPr>
    </w:p>
    <w:p w14:paraId="5E5B378A" w14:textId="77777777" w:rsidR="0017561A" w:rsidRDefault="0017561A" w:rsidP="00EB2F6F">
      <w:pPr>
        <w:spacing w:line="360" w:lineRule="auto"/>
        <w:rPr>
          <w:rFonts w:eastAsiaTheme="minorHAnsi"/>
          <w:color w:val="000000"/>
          <w:sz w:val="22"/>
          <w:szCs w:val="22"/>
          <w:lang w:eastAsia="en-US"/>
        </w:rPr>
      </w:pPr>
    </w:p>
    <w:p w14:paraId="0D6019C8" w14:textId="77777777" w:rsidR="0017561A" w:rsidRDefault="0017561A" w:rsidP="00EB2F6F">
      <w:pPr>
        <w:spacing w:line="360" w:lineRule="auto"/>
        <w:rPr>
          <w:rFonts w:eastAsiaTheme="minorHAnsi"/>
          <w:color w:val="000000"/>
          <w:sz w:val="22"/>
          <w:szCs w:val="22"/>
          <w:lang w:eastAsia="en-US"/>
        </w:rPr>
      </w:pPr>
    </w:p>
    <w:p w14:paraId="0442ABA4" w14:textId="77777777" w:rsidR="0017561A" w:rsidRDefault="0017561A" w:rsidP="00EB2F6F">
      <w:pPr>
        <w:spacing w:line="360" w:lineRule="auto"/>
        <w:rPr>
          <w:rFonts w:eastAsiaTheme="minorHAnsi"/>
          <w:color w:val="000000"/>
          <w:sz w:val="22"/>
          <w:szCs w:val="22"/>
          <w:lang w:eastAsia="en-US"/>
        </w:rPr>
      </w:pPr>
    </w:p>
    <w:p w14:paraId="7338FB03" w14:textId="77777777" w:rsidR="0017561A" w:rsidRDefault="0017561A" w:rsidP="00EB2F6F">
      <w:pPr>
        <w:spacing w:line="360" w:lineRule="auto"/>
        <w:rPr>
          <w:rFonts w:eastAsiaTheme="minorHAnsi"/>
          <w:color w:val="000000"/>
          <w:sz w:val="22"/>
          <w:szCs w:val="22"/>
          <w:lang w:eastAsia="en-US"/>
        </w:rPr>
      </w:pPr>
    </w:p>
    <w:p w14:paraId="0EC0B6E1" w14:textId="12349608" w:rsidR="00E05665" w:rsidRPr="00033A14" w:rsidRDefault="00E05665" w:rsidP="007A163C">
      <w:pPr>
        <w:spacing w:line="360" w:lineRule="auto"/>
        <w:rPr>
          <w:sz w:val="22"/>
          <w:szCs w:val="22"/>
        </w:rPr>
      </w:pPr>
    </w:p>
    <w:sectPr w:rsidR="00E05665" w:rsidRPr="00033A14" w:rsidSect="007A163C">
      <w:pgSz w:w="16817" w:h="11901" w:orient="landscape"/>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8A7CA" w14:textId="77777777" w:rsidR="00E47814" w:rsidRDefault="00E47814" w:rsidP="0019705D">
      <w:r>
        <w:separator/>
      </w:r>
    </w:p>
  </w:endnote>
  <w:endnote w:type="continuationSeparator" w:id="0">
    <w:p w14:paraId="57396D74" w14:textId="77777777" w:rsidR="00E47814" w:rsidRDefault="00E47814" w:rsidP="0019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30830477"/>
      <w:docPartObj>
        <w:docPartGallery w:val="Page Numbers (Bottom of Page)"/>
        <w:docPartUnique/>
      </w:docPartObj>
    </w:sdtPr>
    <w:sdtContent>
      <w:p w14:paraId="2D36BFEC" w14:textId="0DBEE2E0" w:rsidR="00EB2F6F" w:rsidRDefault="00EB2F6F" w:rsidP="00131B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E4BD16" w14:textId="77777777" w:rsidR="00EB2F6F" w:rsidRDefault="00EB2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6062074"/>
      <w:docPartObj>
        <w:docPartGallery w:val="Page Numbers (Bottom of Page)"/>
        <w:docPartUnique/>
      </w:docPartObj>
    </w:sdtPr>
    <w:sdtContent>
      <w:p w14:paraId="3C25384A" w14:textId="2E046152" w:rsidR="00EB2F6F" w:rsidRDefault="00EB2F6F" w:rsidP="00131B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9F2397" w14:textId="77777777" w:rsidR="00EB2F6F" w:rsidRDefault="00EB2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FAB84" w14:textId="77777777" w:rsidR="00E47814" w:rsidRDefault="00E47814" w:rsidP="0019705D">
      <w:r>
        <w:separator/>
      </w:r>
    </w:p>
  </w:footnote>
  <w:footnote w:type="continuationSeparator" w:id="0">
    <w:p w14:paraId="05CDF313" w14:textId="77777777" w:rsidR="00E47814" w:rsidRDefault="00E47814" w:rsidP="0019705D">
      <w:r>
        <w:continuationSeparator/>
      </w:r>
    </w:p>
  </w:footnote>
  <w:footnote w:id="1">
    <w:p w14:paraId="20D8FE86" w14:textId="4B9BA306" w:rsidR="0019705D" w:rsidRPr="0019705D" w:rsidRDefault="0019705D" w:rsidP="0019705D">
      <w:pPr>
        <w:rPr>
          <w:sz w:val="22"/>
          <w:szCs w:val="22"/>
          <w:lang w:val="en-US"/>
        </w:rPr>
      </w:pPr>
      <w:r w:rsidRPr="00D14233">
        <w:rPr>
          <w:rStyle w:val="FootnoteReference"/>
        </w:rPr>
        <w:t>*</w:t>
      </w:r>
      <w:r w:rsidRPr="0019705D">
        <w:rPr>
          <w:sz w:val="22"/>
          <w:szCs w:val="22"/>
        </w:rPr>
        <w:t xml:space="preserve">Present Address: </w:t>
      </w:r>
      <w:r w:rsidR="00C26F44">
        <w:rPr>
          <w:sz w:val="22"/>
          <w:szCs w:val="22"/>
        </w:rPr>
        <w:t xml:space="preserve">School of Medicine, </w:t>
      </w:r>
      <w:r w:rsidRPr="0019705D">
        <w:rPr>
          <w:sz w:val="22"/>
          <w:szCs w:val="22"/>
          <w:lang w:val="en-US"/>
        </w:rPr>
        <w:t>Faculty of Health Sciences and Wellbeing, University of Sunderland, Sunderland, United Kingdom</w:t>
      </w:r>
    </w:p>
    <w:p w14:paraId="3FA924A2" w14:textId="77777777" w:rsidR="0019705D" w:rsidRDefault="0019705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E20F8"/>
    <w:multiLevelType w:val="hybridMultilevel"/>
    <w:tmpl w:val="272E8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0097C"/>
    <w:multiLevelType w:val="hybridMultilevel"/>
    <w:tmpl w:val="2CFC3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F286B"/>
    <w:multiLevelType w:val="hybridMultilevel"/>
    <w:tmpl w:val="BABEB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C434F"/>
    <w:multiLevelType w:val="hybridMultilevel"/>
    <w:tmpl w:val="F12CC7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 w15:restartNumberingAfterBreak="0">
    <w:nsid w:val="0B7F47F1"/>
    <w:multiLevelType w:val="hybridMultilevel"/>
    <w:tmpl w:val="D4E4B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736B7"/>
    <w:multiLevelType w:val="hybridMultilevel"/>
    <w:tmpl w:val="9F3E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D13F6"/>
    <w:multiLevelType w:val="hybridMultilevel"/>
    <w:tmpl w:val="EC82C98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08D327D"/>
    <w:multiLevelType w:val="hybridMultilevel"/>
    <w:tmpl w:val="6594531C"/>
    <w:lvl w:ilvl="0" w:tplc="CB6477DE">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067495"/>
    <w:multiLevelType w:val="multilevel"/>
    <w:tmpl w:val="B69E7742"/>
    <w:styleLink w:val="CurrentList1"/>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BF6955"/>
    <w:multiLevelType w:val="hybridMultilevel"/>
    <w:tmpl w:val="545818F4"/>
    <w:lvl w:ilvl="0" w:tplc="ABAC91A8">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A782E65"/>
    <w:multiLevelType w:val="hybridMultilevel"/>
    <w:tmpl w:val="45D2E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2167F"/>
    <w:multiLevelType w:val="hybridMultilevel"/>
    <w:tmpl w:val="6276B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E56C0"/>
    <w:multiLevelType w:val="hybridMultilevel"/>
    <w:tmpl w:val="4DCE4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81513"/>
    <w:multiLevelType w:val="hybridMultilevel"/>
    <w:tmpl w:val="0102E0B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6CB7075"/>
    <w:multiLevelType w:val="hybridMultilevel"/>
    <w:tmpl w:val="A1FE22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35F0C"/>
    <w:multiLevelType w:val="hybridMultilevel"/>
    <w:tmpl w:val="BB9C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8B0B54"/>
    <w:multiLevelType w:val="hybridMultilevel"/>
    <w:tmpl w:val="A0B27D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5A2C57"/>
    <w:multiLevelType w:val="hybridMultilevel"/>
    <w:tmpl w:val="8656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B4F78"/>
    <w:multiLevelType w:val="hybridMultilevel"/>
    <w:tmpl w:val="A5A2E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73891"/>
    <w:multiLevelType w:val="hybridMultilevel"/>
    <w:tmpl w:val="0030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8162CC"/>
    <w:multiLevelType w:val="hybridMultilevel"/>
    <w:tmpl w:val="E0AC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A30EA"/>
    <w:multiLevelType w:val="hybridMultilevel"/>
    <w:tmpl w:val="3FFC2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D6047D"/>
    <w:multiLevelType w:val="multilevel"/>
    <w:tmpl w:val="24C4DD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A0130C0"/>
    <w:multiLevelType w:val="hybridMultilevel"/>
    <w:tmpl w:val="591E5F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982C01"/>
    <w:multiLevelType w:val="hybridMultilevel"/>
    <w:tmpl w:val="99724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6208D"/>
    <w:multiLevelType w:val="hybridMultilevel"/>
    <w:tmpl w:val="DE40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9B7EBA"/>
    <w:multiLevelType w:val="hybridMultilevel"/>
    <w:tmpl w:val="A430301C"/>
    <w:lvl w:ilvl="0" w:tplc="CB6477DE">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AD5F85"/>
    <w:multiLevelType w:val="hybridMultilevel"/>
    <w:tmpl w:val="EC46F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3226DF"/>
    <w:multiLevelType w:val="hybridMultilevel"/>
    <w:tmpl w:val="060C6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3C1A5C"/>
    <w:multiLevelType w:val="hybridMultilevel"/>
    <w:tmpl w:val="D7CE9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B4E5F"/>
    <w:multiLevelType w:val="multilevel"/>
    <w:tmpl w:val="B69E774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B448E6"/>
    <w:multiLevelType w:val="hybridMultilevel"/>
    <w:tmpl w:val="B06A7C20"/>
    <w:lvl w:ilvl="0" w:tplc="2C2A986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538246D"/>
    <w:multiLevelType w:val="hybridMultilevel"/>
    <w:tmpl w:val="2564B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9A3CFE"/>
    <w:multiLevelType w:val="hybridMultilevel"/>
    <w:tmpl w:val="FCF62B86"/>
    <w:lvl w:ilvl="0" w:tplc="FFFFFFFF">
      <w:start w:val="1"/>
      <w:numFmt w:val="decimal"/>
      <w:lvlText w:val="(%1)"/>
      <w:lvlJc w:val="left"/>
      <w:pPr>
        <w:ind w:left="74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C9554E"/>
    <w:multiLevelType w:val="hybridMultilevel"/>
    <w:tmpl w:val="A0D2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CB778F"/>
    <w:multiLevelType w:val="hybridMultilevel"/>
    <w:tmpl w:val="DAD49FA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7" w15:restartNumberingAfterBreak="0">
    <w:nsid w:val="7EAB393D"/>
    <w:multiLevelType w:val="hybridMultilevel"/>
    <w:tmpl w:val="FCF62B86"/>
    <w:lvl w:ilvl="0" w:tplc="CB6477DE">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4A0F05"/>
    <w:multiLevelType w:val="hybridMultilevel"/>
    <w:tmpl w:val="CCD46A4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9" w15:restartNumberingAfterBreak="0">
    <w:nsid w:val="7F5249CE"/>
    <w:multiLevelType w:val="hybridMultilevel"/>
    <w:tmpl w:val="F804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3510590">
    <w:abstractNumId w:val="39"/>
  </w:num>
  <w:num w:numId="2" w16cid:durableId="1355644862">
    <w:abstractNumId w:val="32"/>
  </w:num>
  <w:num w:numId="3" w16cid:durableId="1799371636">
    <w:abstractNumId w:val="0"/>
  </w:num>
  <w:num w:numId="4" w16cid:durableId="282424051">
    <w:abstractNumId w:val="24"/>
  </w:num>
  <w:num w:numId="5" w16cid:durableId="252250577">
    <w:abstractNumId w:val="23"/>
  </w:num>
  <w:num w:numId="6" w16cid:durableId="1478498425">
    <w:abstractNumId w:val="15"/>
  </w:num>
  <w:num w:numId="7" w16cid:durableId="421953528">
    <w:abstractNumId w:val="28"/>
  </w:num>
  <w:num w:numId="8" w16cid:durableId="1491093272">
    <w:abstractNumId w:val="10"/>
  </w:num>
  <w:num w:numId="9" w16cid:durableId="858812933">
    <w:abstractNumId w:val="31"/>
  </w:num>
  <w:num w:numId="10" w16cid:durableId="2109765334">
    <w:abstractNumId w:val="14"/>
  </w:num>
  <w:num w:numId="11" w16cid:durableId="1319043253">
    <w:abstractNumId w:val="7"/>
  </w:num>
  <w:num w:numId="12" w16cid:durableId="1138232018">
    <w:abstractNumId w:val="1"/>
  </w:num>
  <w:num w:numId="13" w16cid:durableId="1320690184">
    <w:abstractNumId w:val="25"/>
  </w:num>
  <w:num w:numId="14" w16cid:durableId="1130709696">
    <w:abstractNumId w:val="9"/>
  </w:num>
  <w:num w:numId="15" w16cid:durableId="117143690">
    <w:abstractNumId w:val="35"/>
  </w:num>
  <w:num w:numId="16" w16cid:durableId="469052849">
    <w:abstractNumId w:val="5"/>
  </w:num>
  <w:num w:numId="17" w16cid:durableId="689722698">
    <w:abstractNumId w:val="3"/>
  </w:num>
  <w:num w:numId="18" w16cid:durableId="1280457518">
    <w:abstractNumId w:val="11"/>
  </w:num>
  <w:num w:numId="19" w16cid:durableId="203644437">
    <w:abstractNumId w:val="17"/>
  </w:num>
  <w:num w:numId="20" w16cid:durableId="501354697">
    <w:abstractNumId w:val="27"/>
  </w:num>
  <w:num w:numId="21" w16cid:durableId="853424047">
    <w:abstractNumId w:val="8"/>
  </w:num>
  <w:num w:numId="22" w16cid:durableId="1898202185">
    <w:abstractNumId w:val="37"/>
  </w:num>
  <w:num w:numId="23" w16cid:durableId="2010210972">
    <w:abstractNumId w:val="34"/>
  </w:num>
  <w:num w:numId="24" w16cid:durableId="1244989612">
    <w:abstractNumId w:val="30"/>
  </w:num>
  <w:num w:numId="25" w16cid:durableId="1525484080">
    <w:abstractNumId w:val="22"/>
  </w:num>
  <w:num w:numId="26" w16cid:durableId="1960139053">
    <w:abstractNumId w:val="12"/>
  </w:num>
  <w:num w:numId="27" w16cid:durableId="1739328719">
    <w:abstractNumId w:val="36"/>
  </w:num>
  <w:num w:numId="28" w16cid:durableId="373240289">
    <w:abstractNumId w:val="4"/>
  </w:num>
  <w:num w:numId="29" w16cid:durableId="898175521">
    <w:abstractNumId w:val="29"/>
  </w:num>
  <w:num w:numId="30" w16cid:durableId="974334928">
    <w:abstractNumId w:val="38"/>
  </w:num>
  <w:num w:numId="31" w16cid:durableId="334381540">
    <w:abstractNumId w:val="18"/>
  </w:num>
  <w:num w:numId="32" w16cid:durableId="170725969">
    <w:abstractNumId w:val="20"/>
  </w:num>
  <w:num w:numId="33" w16cid:durableId="1421103837">
    <w:abstractNumId w:val="16"/>
  </w:num>
  <w:num w:numId="34" w16cid:durableId="1097798221">
    <w:abstractNumId w:val="13"/>
  </w:num>
  <w:num w:numId="35" w16cid:durableId="1238856512">
    <w:abstractNumId w:val="2"/>
  </w:num>
  <w:num w:numId="36" w16cid:durableId="489948848">
    <w:abstractNumId w:val="33"/>
  </w:num>
  <w:num w:numId="37" w16cid:durableId="798259259">
    <w:abstractNumId w:val="21"/>
  </w:num>
  <w:num w:numId="38" w16cid:durableId="790705680">
    <w:abstractNumId w:val="6"/>
  </w:num>
  <w:num w:numId="39" w16cid:durableId="1280649687">
    <w:abstractNumId w:val="19"/>
  </w:num>
  <w:num w:numId="40" w16cid:durableId="17316173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hideSpellingErrors/>
  <w:hideGrammaticalErrors/>
  <w:activeWritingStyle w:appName="MSWord" w:lang="en-GB" w:vendorID="64" w:dllVersion="0"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52"/>
    <w:rsid w:val="000013BB"/>
    <w:rsid w:val="000034CE"/>
    <w:rsid w:val="00004426"/>
    <w:rsid w:val="00004AD7"/>
    <w:rsid w:val="00005125"/>
    <w:rsid w:val="000054B5"/>
    <w:rsid w:val="00005A20"/>
    <w:rsid w:val="00005ED3"/>
    <w:rsid w:val="0001046D"/>
    <w:rsid w:val="00012E24"/>
    <w:rsid w:val="00013524"/>
    <w:rsid w:val="0001445C"/>
    <w:rsid w:val="0001565F"/>
    <w:rsid w:val="00015F8E"/>
    <w:rsid w:val="0001635E"/>
    <w:rsid w:val="0001680C"/>
    <w:rsid w:val="0001744D"/>
    <w:rsid w:val="00017920"/>
    <w:rsid w:val="00020BF2"/>
    <w:rsid w:val="0002210E"/>
    <w:rsid w:val="00022CAD"/>
    <w:rsid w:val="00022D52"/>
    <w:rsid w:val="000233C1"/>
    <w:rsid w:val="00023612"/>
    <w:rsid w:val="0002405D"/>
    <w:rsid w:val="000240CB"/>
    <w:rsid w:val="00024819"/>
    <w:rsid w:val="0002626F"/>
    <w:rsid w:val="0002664E"/>
    <w:rsid w:val="00027F5F"/>
    <w:rsid w:val="00030203"/>
    <w:rsid w:val="00030A2E"/>
    <w:rsid w:val="00030F17"/>
    <w:rsid w:val="00031DDA"/>
    <w:rsid w:val="00031DDE"/>
    <w:rsid w:val="00032BAD"/>
    <w:rsid w:val="00033060"/>
    <w:rsid w:val="000338FA"/>
    <w:rsid w:val="00033A14"/>
    <w:rsid w:val="00033D07"/>
    <w:rsid w:val="00033DEC"/>
    <w:rsid w:val="00036699"/>
    <w:rsid w:val="0003710B"/>
    <w:rsid w:val="000421A7"/>
    <w:rsid w:val="00043D3B"/>
    <w:rsid w:val="00044612"/>
    <w:rsid w:val="00044D76"/>
    <w:rsid w:val="00046C69"/>
    <w:rsid w:val="00050245"/>
    <w:rsid w:val="000510EF"/>
    <w:rsid w:val="00054FF5"/>
    <w:rsid w:val="00055FC5"/>
    <w:rsid w:val="000567DA"/>
    <w:rsid w:val="00061734"/>
    <w:rsid w:val="0006203C"/>
    <w:rsid w:val="00062D39"/>
    <w:rsid w:val="00064419"/>
    <w:rsid w:val="00064666"/>
    <w:rsid w:val="00067EDB"/>
    <w:rsid w:val="000704C7"/>
    <w:rsid w:val="0007123C"/>
    <w:rsid w:val="000729A3"/>
    <w:rsid w:val="00072BA3"/>
    <w:rsid w:val="00072E85"/>
    <w:rsid w:val="00073C76"/>
    <w:rsid w:val="00074E8F"/>
    <w:rsid w:val="0007511C"/>
    <w:rsid w:val="00076E41"/>
    <w:rsid w:val="00077F43"/>
    <w:rsid w:val="0008549F"/>
    <w:rsid w:val="00085534"/>
    <w:rsid w:val="00086D09"/>
    <w:rsid w:val="00087D08"/>
    <w:rsid w:val="00090AED"/>
    <w:rsid w:val="00091320"/>
    <w:rsid w:val="00091587"/>
    <w:rsid w:val="00091F0F"/>
    <w:rsid w:val="00091F2C"/>
    <w:rsid w:val="00092A1B"/>
    <w:rsid w:val="00096392"/>
    <w:rsid w:val="00096E1F"/>
    <w:rsid w:val="000A0297"/>
    <w:rsid w:val="000A0A20"/>
    <w:rsid w:val="000A0C77"/>
    <w:rsid w:val="000A14DE"/>
    <w:rsid w:val="000A1732"/>
    <w:rsid w:val="000A1ABC"/>
    <w:rsid w:val="000A325B"/>
    <w:rsid w:val="000A397E"/>
    <w:rsid w:val="000A3D56"/>
    <w:rsid w:val="000A40ED"/>
    <w:rsid w:val="000A5A43"/>
    <w:rsid w:val="000A6574"/>
    <w:rsid w:val="000A6702"/>
    <w:rsid w:val="000A7BB1"/>
    <w:rsid w:val="000B03DE"/>
    <w:rsid w:val="000B200E"/>
    <w:rsid w:val="000B2833"/>
    <w:rsid w:val="000B2DFF"/>
    <w:rsid w:val="000B32E1"/>
    <w:rsid w:val="000B38BD"/>
    <w:rsid w:val="000B3A38"/>
    <w:rsid w:val="000B5A29"/>
    <w:rsid w:val="000C04A5"/>
    <w:rsid w:val="000C0F1C"/>
    <w:rsid w:val="000C11B7"/>
    <w:rsid w:val="000C2302"/>
    <w:rsid w:val="000C314D"/>
    <w:rsid w:val="000C4354"/>
    <w:rsid w:val="000D1835"/>
    <w:rsid w:val="000D1932"/>
    <w:rsid w:val="000D222A"/>
    <w:rsid w:val="000D2E69"/>
    <w:rsid w:val="000D31F4"/>
    <w:rsid w:val="000D4750"/>
    <w:rsid w:val="000D4A84"/>
    <w:rsid w:val="000D5348"/>
    <w:rsid w:val="000D65D7"/>
    <w:rsid w:val="000D6FD4"/>
    <w:rsid w:val="000E1E70"/>
    <w:rsid w:val="000E29EE"/>
    <w:rsid w:val="000E2D33"/>
    <w:rsid w:val="000E456C"/>
    <w:rsid w:val="000E47C2"/>
    <w:rsid w:val="000F0057"/>
    <w:rsid w:val="000F054A"/>
    <w:rsid w:val="000F23D4"/>
    <w:rsid w:val="000F2FBE"/>
    <w:rsid w:val="000F31B2"/>
    <w:rsid w:val="0010330E"/>
    <w:rsid w:val="00103315"/>
    <w:rsid w:val="00103BF6"/>
    <w:rsid w:val="001046DB"/>
    <w:rsid w:val="001051D5"/>
    <w:rsid w:val="001073B1"/>
    <w:rsid w:val="00107417"/>
    <w:rsid w:val="001109E7"/>
    <w:rsid w:val="00111695"/>
    <w:rsid w:val="00116F79"/>
    <w:rsid w:val="0011751B"/>
    <w:rsid w:val="0012041F"/>
    <w:rsid w:val="00120532"/>
    <w:rsid w:val="00120D94"/>
    <w:rsid w:val="00123669"/>
    <w:rsid w:val="00124F8E"/>
    <w:rsid w:val="001258A4"/>
    <w:rsid w:val="00125AC6"/>
    <w:rsid w:val="00125E22"/>
    <w:rsid w:val="00131C20"/>
    <w:rsid w:val="0013261B"/>
    <w:rsid w:val="00132C5F"/>
    <w:rsid w:val="00133C10"/>
    <w:rsid w:val="0013603C"/>
    <w:rsid w:val="001368DA"/>
    <w:rsid w:val="00136E08"/>
    <w:rsid w:val="00137CCC"/>
    <w:rsid w:val="00137D7E"/>
    <w:rsid w:val="00141826"/>
    <w:rsid w:val="00141C1E"/>
    <w:rsid w:val="00144362"/>
    <w:rsid w:val="001445FF"/>
    <w:rsid w:val="00144AA8"/>
    <w:rsid w:val="00144B3E"/>
    <w:rsid w:val="001452D6"/>
    <w:rsid w:val="0014588A"/>
    <w:rsid w:val="0014761A"/>
    <w:rsid w:val="00151179"/>
    <w:rsid w:val="00151419"/>
    <w:rsid w:val="001517D0"/>
    <w:rsid w:val="001546F2"/>
    <w:rsid w:val="001571F7"/>
    <w:rsid w:val="0015734F"/>
    <w:rsid w:val="00160472"/>
    <w:rsid w:val="00160BF8"/>
    <w:rsid w:val="00162753"/>
    <w:rsid w:val="00163E6F"/>
    <w:rsid w:val="001643F1"/>
    <w:rsid w:val="001657AC"/>
    <w:rsid w:val="00165CA6"/>
    <w:rsid w:val="0016612C"/>
    <w:rsid w:val="0016619C"/>
    <w:rsid w:val="00167A52"/>
    <w:rsid w:val="00167C3F"/>
    <w:rsid w:val="00170C6F"/>
    <w:rsid w:val="0017201E"/>
    <w:rsid w:val="0017281E"/>
    <w:rsid w:val="00172A84"/>
    <w:rsid w:val="00173087"/>
    <w:rsid w:val="00173D00"/>
    <w:rsid w:val="0017561A"/>
    <w:rsid w:val="00176923"/>
    <w:rsid w:val="00176C26"/>
    <w:rsid w:val="001779DD"/>
    <w:rsid w:val="00177C6B"/>
    <w:rsid w:val="00177E40"/>
    <w:rsid w:val="00180AE0"/>
    <w:rsid w:val="0018254C"/>
    <w:rsid w:val="00183468"/>
    <w:rsid w:val="00183773"/>
    <w:rsid w:val="00183BA7"/>
    <w:rsid w:val="00187C88"/>
    <w:rsid w:val="00187D05"/>
    <w:rsid w:val="00190959"/>
    <w:rsid w:val="00190B3F"/>
    <w:rsid w:val="0019269D"/>
    <w:rsid w:val="00192C13"/>
    <w:rsid w:val="001943B7"/>
    <w:rsid w:val="001944FB"/>
    <w:rsid w:val="00195783"/>
    <w:rsid w:val="00196EDF"/>
    <w:rsid w:val="0019705D"/>
    <w:rsid w:val="00197841"/>
    <w:rsid w:val="001A0A55"/>
    <w:rsid w:val="001A0A7C"/>
    <w:rsid w:val="001A0EB6"/>
    <w:rsid w:val="001A200F"/>
    <w:rsid w:val="001A2955"/>
    <w:rsid w:val="001A36D7"/>
    <w:rsid w:val="001A58BE"/>
    <w:rsid w:val="001A69C7"/>
    <w:rsid w:val="001A7024"/>
    <w:rsid w:val="001A7054"/>
    <w:rsid w:val="001A7173"/>
    <w:rsid w:val="001A742A"/>
    <w:rsid w:val="001A7AE2"/>
    <w:rsid w:val="001B03D2"/>
    <w:rsid w:val="001B1BE0"/>
    <w:rsid w:val="001B30C7"/>
    <w:rsid w:val="001B31B5"/>
    <w:rsid w:val="001B3D32"/>
    <w:rsid w:val="001B3F23"/>
    <w:rsid w:val="001B41F6"/>
    <w:rsid w:val="001B65A6"/>
    <w:rsid w:val="001B6D8E"/>
    <w:rsid w:val="001C09A2"/>
    <w:rsid w:val="001C11C1"/>
    <w:rsid w:val="001C2C74"/>
    <w:rsid w:val="001C409C"/>
    <w:rsid w:val="001C45EF"/>
    <w:rsid w:val="001C4987"/>
    <w:rsid w:val="001C4E30"/>
    <w:rsid w:val="001C609D"/>
    <w:rsid w:val="001D0185"/>
    <w:rsid w:val="001D13AC"/>
    <w:rsid w:val="001D1FBC"/>
    <w:rsid w:val="001D2B88"/>
    <w:rsid w:val="001D4DA7"/>
    <w:rsid w:val="001D613F"/>
    <w:rsid w:val="001D7953"/>
    <w:rsid w:val="001E00A4"/>
    <w:rsid w:val="001E123C"/>
    <w:rsid w:val="001E2CE2"/>
    <w:rsid w:val="001E54E2"/>
    <w:rsid w:val="001E578B"/>
    <w:rsid w:val="001E5AA6"/>
    <w:rsid w:val="001F0151"/>
    <w:rsid w:val="001F0887"/>
    <w:rsid w:val="001F0DBA"/>
    <w:rsid w:val="001F16F4"/>
    <w:rsid w:val="001F23C7"/>
    <w:rsid w:val="001F40E0"/>
    <w:rsid w:val="001F4815"/>
    <w:rsid w:val="001F4C23"/>
    <w:rsid w:val="001F5F4E"/>
    <w:rsid w:val="001F757A"/>
    <w:rsid w:val="00200518"/>
    <w:rsid w:val="002011C3"/>
    <w:rsid w:val="00201840"/>
    <w:rsid w:val="002030F2"/>
    <w:rsid w:val="00203C6E"/>
    <w:rsid w:val="002040D6"/>
    <w:rsid w:val="00205FAE"/>
    <w:rsid w:val="00207D41"/>
    <w:rsid w:val="00211F8F"/>
    <w:rsid w:val="00213B83"/>
    <w:rsid w:val="00213E27"/>
    <w:rsid w:val="00214114"/>
    <w:rsid w:val="0021612E"/>
    <w:rsid w:val="00220FBC"/>
    <w:rsid w:val="0022222B"/>
    <w:rsid w:val="00225391"/>
    <w:rsid w:val="0022551D"/>
    <w:rsid w:val="00225DE2"/>
    <w:rsid w:val="002261B1"/>
    <w:rsid w:val="00226D35"/>
    <w:rsid w:val="00227AF4"/>
    <w:rsid w:val="00232309"/>
    <w:rsid w:val="0023235A"/>
    <w:rsid w:val="002329A2"/>
    <w:rsid w:val="00232A37"/>
    <w:rsid w:val="002330D1"/>
    <w:rsid w:val="00233D2B"/>
    <w:rsid w:val="002343C3"/>
    <w:rsid w:val="00235E09"/>
    <w:rsid w:val="0024246F"/>
    <w:rsid w:val="00242EFE"/>
    <w:rsid w:val="002432EE"/>
    <w:rsid w:val="002432F2"/>
    <w:rsid w:val="0024334A"/>
    <w:rsid w:val="00246AB2"/>
    <w:rsid w:val="00247DAC"/>
    <w:rsid w:val="00250730"/>
    <w:rsid w:val="00250B63"/>
    <w:rsid w:val="00250D3F"/>
    <w:rsid w:val="00251382"/>
    <w:rsid w:val="002513E7"/>
    <w:rsid w:val="00251927"/>
    <w:rsid w:val="00252260"/>
    <w:rsid w:val="00252830"/>
    <w:rsid w:val="00252B4E"/>
    <w:rsid w:val="00253B67"/>
    <w:rsid w:val="0025491D"/>
    <w:rsid w:val="00254CA1"/>
    <w:rsid w:val="0025667C"/>
    <w:rsid w:val="002606A1"/>
    <w:rsid w:val="00261385"/>
    <w:rsid w:val="00261B32"/>
    <w:rsid w:val="00261E9A"/>
    <w:rsid w:val="002623DE"/>
    <w:rsid w:val="00264E77"/>
    <w:rsid w:val="00264F18"/>
    <w:rsid w:val="00265070"/>
    <w:rsid w:val="0026607C"/>
    <w:rsid w:val="00267B8A"/>
    <w:rsid w:val="0027021D"/>
    <w:rsid w:val="0027105B"/>
    <w:rsid w:val="002744B3"/>
    <w:rsid w:val="002750EC"/>
    <w:rsid w:val="002777DE"/>
    <w:rsid w:val="00277F47"/>
    <w:rsid w:val="002804B6"/>
    <w:rsid w:val="00280F2D"/>
    <w:rsid w:val="00281E36"/>
    <w:rsid w:val="0028230A"/>
    <w:rsid w:val="00282315"/>
    <w:rsid w:val="00282F85"/>
    <w:rsid w:val="002838C6"/>
    <w:rsid w:val="00286DEF"/>
    <w:rsid w:val="00287117"/>
    <w:rsid w:val="002879F3"/>
    <w:rsid w:val="00287EBA"/>
    <w:rsid w:val="00290A33"/>
    <w:rsid w:val="00293053"/>
    <w:rsid w:val="00294620"/>
    <w:rsid w:val="002950E6"/>
    <w:rsid w:val="0029625E"/>
    <w:rsid w:val="0029665B"/>
    <w:rsid w:val="00296825"/>
    <w:rsid w:val="00296941"/>
    <w:rsid w:val="002A19B2"/>
    <w:rsid w:val="002A1C0B"/>
    <w:rsid w:val="002A41EB"/>
    <w:rsid w:val="002A4408"/>
    <w:rsid w:val="002A5E52"/>
    <w:rsid w:val="002A634D"/>
    <w:rsid w:val="002A6775"/>
    <w:rsid w:val="002A70D1"/>
    <w:rsid w:val="002B00B5"/>
    <w:rsid w:val="002B3B28"/>
    <w:rsid w:val="002B4B80"/>
    <w:rsid w:val="002B4F33"/>
    <w:rsid w:val="002B52EF"/>
    <w:rsid w:val="002B550D"/>
    <w:rsid w:val="002B5B0A"/>
    <w:rsid w:val="002B5BB5"/>
    <w:rsid w:val="002B6178"/>
    <w:rsid w:val="002B6C58"/>
    <w:rsid w:val="002C04D2"/>
    <w:rsid w:val="002C43D8"/>
    <w:rsid w:val="002C63C5"/>
    <w:rsid w:val="002C64DF"/>
    <w:rsid w:val="002C73EE"/>
    <w:rsid w:val="002C7865"/>
    <w:rsid w:val="002D00CB"/>
    <w:rsid w:val="002D052C"/>
    <w:rsid w:val="002D06C5"/>
    <w:rsid w:val="002D10F8"/>
    <w:rsid w:val="002D220E"/>
    <w:rsid w:val="002D3FB1"/>
    <w:rsid w:val="002D5B5E"/>
    <w:rsid w:val="002D5CAC"/>
    <w:rsid w:val="002D6FA0"/>
    <w:rsid w:val="002E0686"/>
    <w:rsid w:val="002E3343"/>
    <w:rsid w:val="002E348C"/>
    <w:rsid w:val="002E5EC8"/>
    <w:rsid w:val="002E63F4"/>
    <w:rsid w:val="002E7974"/>
    <w:rsid w:val="002F06E5"/>
    <w:rsid w:val="002F0E6A"/>
    <w:rsid w:val="002F12D4"/>
    <w:rsid w:val="002F2470"/>
    <w:rsid w:val="002F38DF"/>
    <w:rsid w:val="002F613B"/>
    <w:rsid w:val="002F6965"/>
    <w:rsid w:val="002F7041"/>
    <w:rsid w:val="002F7418"/>
    <w:rsid w:val="002F7CE5"/>
    <w:rsid w:val="003004B5"/>
    <w:rsid w:val="00301A7C"/>
    <w:rsid w:val="00301F59"/>
    <w:rsid w:val="00304B1D"/>
    <w:rsid w:val="00305BAE"/>
    <w:rsid w:val="00305D90"/>
    <w:rsid w:val="00306BF9"/>
    <w:rsid w:val="003072BE"/>
    <w:rsid w:val="003112AC"/>
    <w:rsid w:val="00311B06"/>
    <w:rsid w:val="00312029"/>
    <w:rsid w:val="003132A3"/>
    <w:rsid w:val="00313EB3"/>
    <w:rsid w:val="00314948"/>
    <w:rsid w:val="003149F8"/>
    <w:rsid w:val="00314A89"/>
    <w:rsid w:val="003157C4"/>
    <w:rsid w:val="00315C11"/>
    <w:rsid w:val="00315CEF"/>
    <w:rsid w:val="00317AFA"/>
    <w:rsid w:val="003212A5"/>
    <w:rsid w:val="0032175C"/>
    <w:rsid w:val="00322125"/>
    <w:rsid w:val="00322554"/>
    <w:rsid w:val="00325AF1"/>
    <w:rsid w:val="00331CA4"/>
    <w:rsid w:val="00331FB7"/>
    <w:rsid w:val="00332299"/>
    <w:rsid w:val="0033381C"/>
    <w:rsid w:val="003340D9"/>
    <w:rsid w:val="0033429B"/>
    <w:rsid w:val="003348BF"/>
    <w:rsid w:val="00334DDF"/>
    <w:rsid w:val="0033532C"/>
    <w:rsid w:val="00335413"/>
    <w:rsid w:val="0033699E"/>
    <w:rsid w:val="00342AFD"/>
    <w:rsid w:val="00343AE7"/>
    <w:rsid w:val="003441D3"/>
    <w:rsid w:val="003445EF"/>
    <w:rsid w:val="00345205"/>
    <w:rsid w:val="00345F3B"/>
    <w:rsid w:val="00347D25"/>
    <w:rsid w:val="00347D6D"/>
    <w:rsid w:val="0035060D"/>
    <w:rsid w:val="00353576"/>
    <w:rsid w:val="003543D9"/>
    <w:rsid w:val="00355397"/>
    <w:rsid w:val="00356B31"/>
    <w:rsid w:val="00356D7E"/>
    <w:rsid w:val="00357A12"/>
    <w:rsid w:val="00360F25"/>
    <w:rsid w:val="003626EC"/>
    <w:rsid w:val="003628CE"/>
    <w:rsid w:val="00363E0D"/>
    <w:rsid w:val="00364867"/>
    <w:rsid w:val="00364E21"/>
    <w:rsid w:val="0036577D"/>
    <w:rsid w:val="00366956"/>
    <w:rsid w:val="00367651"/>
    <w:rsid w:val="003677B9"/>
    <w:rsid w:val="003704F7"/>
    <w:rsid w:val="00372536"/>
    <w:rsid w:val="00373A23"/>
    <w:rsid w:val="00374F62"/>
    <w:rsid w:val="003759F7"/>
    <w:rsid w:val="00376202"/>
    <w:rsid w:val="0037644D"/>
    <w:rsid w:val="003825A5"/>
    <w:rsid w:val="0038344C"/>
    <w:rsid w:val="0038372F"/>
    <w:rsid w:val="003856B9"/>
    <w:rsid w:val="003857AA"/>
    <w:rsid w:val="00385CCB"/>
    <w:rsid w:val="00386A36"/>
    <w:rsid w:val="00386F60"/>
    <w:rsid w:val="0038791D"/>
    <w:rsid w:val="00387ADA"/>
    <w:rsid w:val="00387B1A"/>
    <w:rsid w:val="00387C2E"/>
    <w:rsid w:val="003909BF"/>
    <w:rsid w:val="00390C3F"/>
    <w:rsid w:val="00390C42"/>
    <w:rsid w:val="003914BD"/>
    <w:rsid w:val="003924E2"/>
    <w:rsid w:val="00392EAF"/>
    <w:rsid w:val="00395294"/>
    <w:rsid w:val="00395AE9"/>
    <w:rsid w:val="00396066"/>
    <w:rsid w:val="00396606"/>
    <w:rsid w:val="003A0B6C"/>
    <w:rsid w:val="003A0E3A"/>
    <w:rsid w:val="003A18CE"/>
    <w:rsid w:val="003A1A7F"/>
    <w:rsid w:val="003A2688"/>
    <w:rsid w:val="003A2928"/>
    <w:rsid w:val="003A326C"/>
    <w:rsid w:val="003A5E74"/>
    <w:rsid w:val="003A6212"/>
    <w:rsid w:val="003A7553"/>
    <w:rsid w:val="003B0024"/>
    <w:rsid w:val="003B0283"/>
    <w:rsid w:val="003B1B5B"/>
    <w:rsid w:val="003B1CCC"/>
    <w:rsid w:val="003B23E0"/>
    <w:rsid w:val="003B3779"/>
    <w:rsid w:val="003B3C75"/>
    <w:rsid w:val="003B418C"/>
    <w:rsid w:val="003B507A"/>
    <w:rsid w:val="003C0559"/>
    <w:rsid w:val="003C11BE"/>
    <w:rsid w:val="003C1AB1"/>
    <w:rsid w:val="003C1E59"/>
    <w:rsid w:val="003C3152"/>
    <w:rsid w:val="003C370D"/>
    <w:rsid w:val="003C4435"/>
    <w:rsid w:val="003C5C36"/>
    <w:rsid w:val="003C6658"/>
    <w:rsid w:val="003C7034"/>
    <w:rsid w:val="003D0C10"/>
    <w:rsid w:val="003D2CD1"/>
    <w:rsid w:val="003D768E"/>
    <w:rsid w:val="003E0154"/>
    <w:rsid w:val="003E0CB5"/>
    <w:rsid w:val="003E303A"/>
    <w:rsid w:val="003E3675"/>
    <w:rsid w:val="003E44E0"/>
    <w:rsid w:val="003E4A84"/>
    <w:rsid w:val="003E5112"/>
    <w:rsid w:val="003E5196"/>
    <w:rsid w:val="003E6173"/>
    <w:rsid w:val="003E6EF4"/>
    <w:rsid w:val="003E773E"/>
    <w:rsid w:val="003F017D"/>
    <w:rsid w:val="003F0323"/>
    <w:rsid w:val="003F0331"/>
    <w:rsid w:val="003F159B"/>
    <w:rsid w:val="003F182D"/>
    <w:rsid w:val="003F2093"/>
    <w:rsid w:val="003F3563"/>
    <w:rsid w:val="003F390F"/>
    <w:rsid w:val="003F6B96"/>
    <w:rsid w:val="003F7988"/>
    <w:rsid w:val="00400907"/>
    <w:rsid w:val="00400E0E"/>
    <w:rsid w:val="004014CA"/>
    <w:rsid w:val="00404118"/>
    <w:rsid w:val="004049FA"/>
    <w:rsid w:val="004051FE"/>
    <w:rsid w:val="00405C14"/>
    <w:rsid w:val="00406FD1"/>
    <w:rsid w:val="004073EC"/>
    <w:rsid w:val="00407B9A"/>
    <w:rsid w:val="00410947"/>
    <w:rsid w:val="00411B5A"/>
    <w:rsid w:val="00411C47"/>
    <w:rsid w:val="0041239E"/>
    <w:rsid w:val="00412920"/>
    <w:rsid w:val="00412F9B"/>
    <w:rsid w:val="00413BE3"/>
    <w:rsid w:val="004146E9"/>
    <w:rsid w:val="004157D8"/>
    <w:rsid w:val="004171A5"/>
    <w:rsid w:val="004204DB"/>
    <w:rsid w:val="004209F1"/>
    <w:rsid w:val="0042410A"/>
    <w:rsid w:val="00424F7A"/>
    <w:rsid w:val="00426133"/>
    <w:rsid w:val="004261C8"/>
    <w:rsid w:val="0042660F"/>
    <w:rsid w:val="00427AA2"/>
    <w:rsid w:val="00430058"/>
    <w:rsid w:val="00431435"/>
    <w:rsid w:val="00433079"/>
    <w:rsid w:val="00433737"/>
    <w:rsid w:val="0043506D"/>
    <w:rsid w:val="00435497"/>
    <w:rsid w:val="00436367"/>
    <w:rsid w:val="004367B3"/>
    <w:rsid w:val="00437044"/>
    <w:rsid w:val="004375BA"/>
    <w:rsid w:val="00440F4C"/>
    <w:rsid w:val="004426A2"/>
    <w:rsid w:val="00442C61"/>
    <w:rsid w:val="0044558C"/>
    <w:rsid w:val="004509FD"/>
    <w:rsid w:val="00450CC3"/>
    <w:rsid w:val="00451092"/>
    <w:rsid w:val="004512D6"/>
    <w:rsid w:val="00453AA5"/>
    <w:rsid w:val="00454134"/>
    <w:rsid w:val="00454553"/>
    <w:rsid w:val="00454C72"/>
    <w:rsid w:val="0045503B"/>
    <w:rsid w:val="00456276"/>
    <w:rsid w:val="0045748F"/>
    <w:rsid w:val="004605DC"/>
    <w:rsid w:val="00460F03"/>
    <w:rsid w:val="0046161D"/>
    <w:rsid w:val="0046410A"/>
    <w:rsid w:val="00464DB2"/>
    <w:rsid w:val="00465168"/>
    <w:rsid w:val="004652C2"/>
    <w:rsid w:val="0046563A"/>
    <w:rsid w:val="00466E69"/>
    <w:rsid w:val="004675A7"/>
    <w:rsid w:val="004675D8"/>
    <w:rsid w:val="0046762F"/>
    <w:rsid w:val="004679A9"/>
    <w:rsid w:val="004718CF"/>
    <w:rsid w:val="00471F78"/>
    <w:rsid w:val="004728C7"/>
    <w:rsid w:val="0047299A"/>
    <w:rsid w:val="00476146"/>
    <w:rsid w:val="0048039B"/>
    <w:rsid w:val="0048040D"/>
    <w:rsid w:val="0048226E"/>
    <w:rsid w:val="00485F4F"/>
    <w:rsid w:val="004873F1"/>
    <w:rsid w:val="00487C90"/>
    <w:rsid w:val="00487E9A"/>
    <w:rsid w:val="00490081"/>
    <w:rsid w:val="004904EC"/>
    <w:rsid w:val="00490637"/>
    <w:rsid w:val="00491E11"/>
    <w:rsid w:val="00492BBB"/>
    <w:rsid w:val="00493059"/>
    <w:rsid w:val="00493711"/>
    <w:rsid w:val="004937DF"/>
    <w:rsid w:val="00495252"/>
    <w:rsid w:val="004973A0"/>
    <w:rsid w:val="004A2EB9"/>
    <w:rsid w:val="004A4F3B"/>
    <w:rsid w:val="004A5211"/>
    <w:rsid w:val="004A63B5"/>
    <w:rsid w:val="004A7BDD"/>
    <w:rsid w:val="004B00E8"/>
    <w:rsid w:val="004B1438"/>
    <w:rsid w:val="004B57B1"/>
    <w:rsid w:val="004B5EEF"/>
    <w:rsid w:val="004B6403"/>
    <w:rsid w:val="004B6805"/>
    <w:rsid w:val="004B714C"/>
    <w:rsid w:val="004C0B59"/>
    <w:rsid w:val="004C19DD"/>
    <w:rsid w:val="004C38D8"/>
    <w:rsid w:val="004C68CD"/>
    <w:rsid w:val="004C69BA"/>
    <w:rsid w:val="004C7FE6"/>
    <w:rsid w:val="004D0481"/>
    <w:rsid w:val="004D0523"/>
    <w:rsid w:val="004D0552"/>
    <w:rsid w:val="004D0599"/>
    <w:rsid w:val="004D145E"/>
    <w:rsid w:val="004D188E"/>
    <w:rsid w:val="004D49A7"/>
    <w:rsid w:val="004D5310"/>
    <w:rsid w:val="004D5898"/>
    <w:rsid w:val="004D5978"/>
    <w:rsid w:val="004D5A41"/>
    <w:rsid w:val="004D5D03"/>
    <w:rsid w:val="004D682F"/>
    <w:rsid w:val="004D6C7E"/>
    <w:rsid w:val="004D6D4A"/>
    <w:rsid w:val="004D79FE"/>
    <w:rsid w:val="004D7AB7"/>
    <w:rsid w:val="004E2EF9"/>
    <w:rsid w:val="004E42A3"/>
    <w:rsid w:val="004E4666"/>
    <w:rsid w:val="004E4CF5"/>
    <w:rsid w:val="004E6792"/>
    <w:rsid w:val="004F187C"/>
    <w:rsid w:val="004F3E9D"/>
    <w:rsid w:val="004F5904"/>
    <w:rsid w:val="004F5FD7"/>
    <w:rsid w:val="004F62B6"/>
    <w:rsid w:val="004F76D8"/>
    <w:rsid w:val="004F77DC"/>
    <w:rsid w:val="00503DA4"/>
    <w:rsid w:val="005052DA"/>
    <w:rsid w:val="005065FB"/>
    <w:rsid w:val="00506C4F"/>
    <w:rsid w:val="00506ED0"/>
    <w:rsid w:val="00507B62"/>
    <w:rsid w:val="00512BBD"/>
    <w:rsid w:val="00513177"/>
    <w:rsid w:val="00513964"/>
    <w:rsid w:val="0051429F"/>
    <w:rsid w:val="00514B05"/>
    <w:rsid w:val="00516876"/>
    <w:rsid w:val="005206E7"/>
    <w:rsid w:val="00520AC0"/>
    <w:rsid w:val="005221AE"/>
    <w:rsid w:val="00522364"/>
    <w:rsid w:val="00522450"/>
    <w:rsid w:val="00522563"/>
    <w:rsid w:val="0052615E"/>
    <w:rsid w:val="00527074"/>
    <w:rsid w:val="0052748E"/>
    <w:rsid w:val="00530099"/>
    <w:rsid w:val="00531753"/>
    <w:rsid w:val="0053351B"/>
    <w:rsid w:val="00535665"/>
    <w:rsid w:val="005358BB"/>
    <w:rsid w:val="005360EF"/>
    <w:rsid w:val="00536342"/>
    <w:rsid w:val="00536688"/>
    <w:rsid w:val="00537070"/>
    <w:rsid w:val="0053757A"/>
    <w:rsid w:val="005379B5"/>
    <w:rsid w:val="00541AC6"/>
    <w:rsid w:val="00541FD0"/>
    <w:rsid w:val="00545F78"/>
    <w:rsid w:val="00545FFD"/>
    <w:rsid w:val="005461C8"/>
    <w:rsid w:val="00547AB3"/>
    <w:rsid w:val="005502C7"/>
    <w:rsid w:val="005515E0"/>
    <w:rsid w:val="005525CD"/>
    <w:rsid w:val="00552DBC"/>
    <w:rsid w:val="005544B9"/>
    <w:rsid w:val="0055501C"/>
    <w:rsid w:val="005552BA"/>
    <w:rsid w:val="0055594C"/>
    <w:rsid w:val="00555B14"/>
    <w:rsid w:val="00556477"/>
    <w:rsid w:val="00556B64"/>
    <w:rsid w:val="005572F7"/>
    <w:rsid w:val="0055765A"/>
    <w:rsid w:val="00561089"/>
    <w:rsid w:val="00561189"/>
    <w:rsid w:val="00561474"/>
    <w:rsid w:val="0056153D"/>
    <w:rsid w:val="005623ED"/>
    <w:rsid w:val="00562693"/>
    <w:rsid w:val="00562A2E"/>
    <w:rsid w:val="005639CC"/>
    <w:rsid w:val="00565608"/>
    <w:rsid w:val="0056585C"/>
    <w:rsid w:val="00566186"/>
    <w:rsid w:val="0056787D"/>
    <w:rsid w:val="00567C1A"/>
    <w:rsid w:val="00570386"/>
    <w:rsid w:val="00571730"/>
    <w:rsid w:val="0057345D"/>
    <w:rsid w:val="00573697"/>
    <w:rsid w:val="00573C95"/>
    <w:rsid w:val="00573E49"/>
    <w:rsid w:val="00574EC9"/>
    <w:rsid w:val="0057590B"/>
    <w:rsid w:val="00576FAF"/>
    <w:rsid w:val="00577E97"/>
    <w:rsid w:val="005801EB"/>
    <w:rsid w:val="0058022A"/>
    <w:rsid w:val="00581958"/>
    <w:rsid w:val="00582092"/>
    <w:rsid w:val="00583E7B"/>
    <w:rsid w:val="00584980"/>
    <w:rsid w:val="00586136"/>
    <w:rsid w:val="00586A54"/>
    <w:rsid w:val="00586D0C"/>
    <w:rsid w:val="0058726F"/>
    <w:rsid w:val="00591D79"/>
    <w:rsid w:val="00592C96"/>
    <w:rsid w:val="00593FDF"/>
    <w:rsid w:val="005947B4"/>
    <w:rsid w:val="005951E6"/>
    <w:rsid w:val="00595341"/>
    <w:rsid w:val="0059748A"/>
    <w:rsid w:val="005A02F9"/>
    <w:rsid w:val="005A05B1"/>
    <w:rsid w:val="005A0611"/>
    <w:rsid w:val="005A4804"/>
    <w:rsid w:val="005A4BD9"/>
    <w:rsid w:val="005A69B2"/>
    <w:rsid w:val="005A6C4C"/>
    <w:rsid w:val="005B1A2A"/>
    <w:rsid w:val="005B230E"/>
    <w:rsid w:val="005B3C8D"/>
    <w:rsid w:val="005B3ECE"/>
    <w:rsid w:val="005B412A"/>
    <w:rsid w:val="005B4E96"/>
    <w:rsid w:val="005B6A5A"/>
    <w:rsid w:val="005B7145"/>
    <w:rsid w:val="005B77C5"/>
    <w:rsid w:val="005C0771"/>
    <w:rsid w:val="005C0F1B"/>
    <w:rsid w:val="005C31C9"/>
    <w:rsid w:val="005C33D5"/>
    <w:rsid w:val="005C45B7"/>
    <w:rsid w:val="005C55ED"/>
    <w:rsid w:val="005C5C0C"/>
    <w:rsid w:val="005C5F09"/>
    <w:rsid w:val="005C5F98"/>
    <w:rsid w:val="005D1255"/>
    <w:rsid w:val="005D2F76"/>
    <w:rsid w:val="005D31BD"/>
    <w:rsid w:val="005D3D1C"/>
    <w:rsid w:val="005D3FF2"/>
    <w:rsid w:val="005D53A6"/>
    <w:rsid w:val="005D5FE9"/>
    <w:rsid w:val="005D6791"/>
    <w:rsid w:val="005D71F3"/>
    <w:rsid w:val="005E012C"/>
    <w:rsid w:val="005E05ED"/>
    <w:rsid w:val="005E0F13"/>
    <w:rsid w:val="005E1655"/>
    <w:rsid w:val="005E1882"/>
    <w:rsid w:val="005E20FD"/>
    <w:rsid w:val="005E4A9E"/>
    <w:rsid w:val="005E4D17"/>
    <w:rsid w:val="005E5BC3"/>
    <w:rsid w:val="005E70E5"/>
    <w:rsid w:val="005F0845"/>
    <w:rsid w:val="005F2EC5"/>
    <w:rsid w:val="005F3112"/>
    <w:rsid w:val="005F581C"/>
    <w:rsid w:val="005F6A25"/>
    <w:rsid w:val="006003F1"/>
    <w:rsid w:val="00602380"/>
    <w:rsid w:val="00604584"/>
    <w:rsid w:val="006047AB"/>
    <w:rsid w:val="00604EBB"/>
    <w:rsid w:val="00605749"/>
    <w:rsid w:val="00605CB0"/>
    <w:rsid w:val="00606BD5"/>
    <w:rsid w:val="006079FB"/>
    <w:rsid w:val="006101D8"/>
    <w:rsid w:val="006102E9"/>
    <w:rsid w:val="00611358"/>
    <w:rsid w:val="00611D29"/>
    <w:rsid w:val="006120DC"/>
    <w:rsid w:val="006124E0"/>
    <w:rsid w:val="00612FC4"/>
    <w:rsid w:val="006161DD"/>
    <w:rsid w:val="00616585"/>
    <w:rsid w:val="00616B4D"/>
    <w:rsid w:val="006179E4"/>
    <w:rsid w:val="006206DD"/>
    <w:rsid w:val="00620CEF"/>
    <w:rsid w:val="00621437"/>
    <w:rsid w:val="00623C7C"/>
    <w:rsid w:val="006269EA"/>
    <w:rsid w:val="006272D6"/>
    <w:rsid w:val="0063026D"/>
    <w:rsid w:val="00631286"/>
    <w:rsid w:val="006335AD"/>
    <w:rsid w:val="006342D8"/>
    <w:rsid w:val="00634F28"/>
    <w:rsid w:val="00636CB8"/>
    <w:rsid w:val="00642271"/>
    <w:rsid w:val="0064271B"/>
    <w:rsid w:val="00642747"/>
    <w:rsid w:val="006427B0"/>
    <w:rsid w:val="00642C8A"/>
    <w:rsid w:val="00642DC0"/>
    <w:rsid w:val="0064381C"/>
    <w:rsid w:val="00645B0C"/>
    <w:rsid w:val="006463A6"/>
    <w:rsid w:val="00646F90"/>
    <w:rsid w:val="006477F5"/>
    <w:rsid w:val="006479D2"/>
    <w:rsid w:val="00647B4F"/>
    <w:rsid w:val="00647D89"/>
    <w:rsid w:val="0065128F"/>
    <w:rsid w:val="006528C6"/>
    <w:rsid w:val="006540BA"/>
    <w:rsid w:val="00654698"/>
    <w:rsid w:val="00656CF4"/>
    <w:rsid w:val="00657119"/>
    <w:rsid w:val="0065733B"/>
    <w:rsid w:val="006600D3"/>
    <w:rsid w:val="0066089C"/>
    <w:rsid w:val="006631F0"/>
    <w:rsid w:val="0066356E"/>
    <w:rsid w:val="00664C6C"/>
    <w:rsid w:val="0066576F"/>
    <w:rsid w:val="00665BD6"/>
    <w:rsid w:val="00666BD4"/>
    <w:rsid w:val="00671339"/>
    <w:rsid w:val="006719F0"/>
    <w:rsid w:val="0067338B"/>
    <w:rsid w:val="00676E45"/>
    <w:rsid w:val="006801B7"/>
    <w:rsid w:val="00681907"/>
    <w:rsid w:val="006840EA"/>
    <w:rsid w:val="00687F09"/>
    <w:rsid w:val="00690E5C"/>
    <w:rsid w:val="0069173E"/>
    <w:rsid w:val="006929F2"/>
    <w:rsid w:val="00694616"/>
    <w:rsid w:val="00696A16"/>
    <w:rsid w:val="00696EEC"/>
    <w:rsid w:val="00697B5D"/>
    <w:rsid w:val="00697D5B"/>
    <w:rsid w:val="006A0685"/>
    <w:rsid w:val="006A2FB5"/>
    <w:rsid w:val="006A367A"/>
    <w:rsid w:val="006A4CB7"/>
    <w:rsid w:val="006A5D78"/>
    <w:rsid w:val="006A752B"/>
    <w:rsid w:val="006B1A8C"/>
    <w:rsid w:val="006B209E"/>
    <w:rsid w:val="006B2A29"/>
    <w:rsid w:val="006B2DAF"/>
    <w:rsid w:val="006B3514"/>
    <w:rsid w:val="006B3B63"/>
    <w:rsid w:val="006B48CE"/>
    <w:rsid w:val="006B5370"/>
    <w:rsid w:val="006B720E"/>
    <w:rsid w:val="006C3421"/>
    <w:rsid w:val="006C4396"/>
    <w:rsid w:val="006C4574"/>
    <w:rsid w:val="006C4B8C"/>
    <w:rsid w:val="006C566F"/>
    <w:rsid w:val="006C5D74"/>
    <w:rsid w:val="006C7128"/>
    <w:rsid w:val="006D1E66"/>
    <w:rsid w:val="006D2616"/>
    <w:rsid w:val="006D2E16"/>
    <w:rsid w:val="006D2E1E"/>
    <w:rsid w:val="006D3752"/>
    <w:rsid w:val="006D39A6"/>
    <w:rsid w:val="006D3EDE"/>
    <w:rsid w:val="006D60BA"/>
    <w:rsid w:val="006D6487"/>
    <w:rsid w:val="006D6987"/>
    <w:rsid w:val="006D7E40"/>
    <w:rsid w:val="006E2973"/>
    <w:rsid w:val="006E3125"/>
    <w:rsid w:val="006E34CA"/>
    <w:rsid w:val="006E4472"/>
    <w:rsid w:val="006E450C"/>
    <w:rsid w:val="006E54F3"/>
    <w:rsid w:val="006E55DD"/>
    <w:rsid w:val="006E729B"/>
    <w:rsid w:val="006E7B22"/>
    <w:rsid w:val="006F1BC7"/>
    <w:rsid w:val="006F22C0"/>
    <w:rsid w:val="006F31C5"/>
    <w:rsid w:val="006F338A"/>
    <w:rsid w:val="006F37DD"/>
    <w:rsid w:val="006F468A"/>
    <w:rsid w:val="006F509F"/>
    <w:rsid w:val="006F51A4"/>
    <w:rsid w:val="006F5E17"/>
    <w:rsid w:val="006F68A6"/>
    <w:rsid w:val="006F694D"/>
    <w:rsid w:val="006F73B7"/>
    <w:rsid w:val="006F7DC4"/>
    <w:rsid w:val="00702896"/>
    <w:rsid w:val="00703403"/>
    <w:rsid w:val="0070384F"/>
    <w:rsid w:val="007040C8"/>
    <w:rsid w:val="00704A49"/>
    <w:rsid w:val="00705A39"/>
    <w:rsid w:val="00706971"/>
    <w:rsid w:val="00707A4B"/>
    <w:rsid w:val="00710231"/>
    <w:rsid w:val="007109DA"/>
    <w:rsid w:val="00710F88"/>
    <w:rsid w:val="00712171"/>
    <w:rsid w:val="00712753"/>
    <w:rsid w:val="0071326A"/>
    <w:rsid w:val="007139C2"/>
    <w:rsid w:val="00714765"/>
    <w:rsid w:val="00714CBA"/>
    <w:rsid w:val="00715EBE"/>
    <w:rsid w:val="00716F98"/>
    <w:rsid w:val="007217CE"/>
    <w:rsid w:val="00721CC1"/>
    <w:rsid w:val="007247CE"/>
    <w:rsid w:val="00724935"/>
    <w:rsid w:val="007251CB"/>
    <w:rsid w:val="00725331"/>
    <w:rsid w:val="00726B4D"/>
    <w:rsid w:val="007277A6"/>
    <w:rsid w:val="00727A94"/>
    <w:rsid w:val="00727C14"/>
    <w:rsid w:val="00730A4C"/>
    <w:rsid w:val="00735593"/>
    <w:rsid w:val="00735E39"/>
    <w:rsid w:val="00735EA2"/>
    <w:rsid w:val="0073695A"/>
    <w:rsid w:val="00741965"/>
    <w:rsid w:val="00741A2F"/>
    <w:rsid w:val="00741DE4"/>
    <w:rsid w:val="0074227F"/>
    <w:rsid w:val="00742DE2"/>
    <w:rsid w:val="00745D0A"/>
    <w:rsid w:val="00746863"/>
    <w:rsid w:val="00746A37"/>
    <w:rsid w:val="00746BCE"/>
    <w:rsid w:val="00746F7E"/>
    <w:rsid w:val="007502F3"/>
    <w:rsid w:val="0075062F"/>
    <w:rsid w:val="007506C6"/>
    <w:rsid w:val="007544DA"/>
    <w:rsid w:val="00754A72"/>
    <w:rsid w:val="007557DD"/>
    <w:rsid w:val="00756CAA"/>
    <w:rsid w:val="00757489"/>
    <w:rsid w:val="00760A25"/>
    <w:rsid w:val="007614F2"/>
    <w:rsid w:val="007618EB"/>
    <w:rsid w:val="0076209F"/>
    <w:rsid w:val="00762250"/>
    <w:rsid w:val="007629CB"/>
    <w:rsid w:val="00764894"/>
    <w:rsid w:val="007648AD"/>
    <w:rsid w:val="00765415"/>
    <w:rsid w:val="00765456"/>
    <w:rsid w:val="00765E5E"/>
    <w:rsid w:val="00766021"/>
    <w:rsid w:val="00766A6B"/>
    <w:rsid w:val="00767B84"/>
    <w:rsid w:val="00770121"/>
    <w:rsid w:val="00770227"/>
    <w:rsid w:val="00770471"/>
    <w:rsid w:val="007705A9"/>
    <w:rsid w:val="00770A27"/>
    <w:rsid w:val="007713BF"/>
    <w:rsid w:val="007723E5"/>
    <w:rsid w:val="00772E1E"/>
    <w:rsid w:val="0077320F"/>
    <w:rsid w:val="00773215"/>
    <w:rsid w:val="00773FA7"/>
    <w:rsid w:val="00774162"/>
    <w:rsid w:val="00774261"/>
    <w:rsid w:val="00774E55"/>
    <w:rsid w:val="00775380"/>
    <w:rsid w:val="007754DE"/>
    <w:rsid w:val="00775582"/>
    <w:rsid w:val="0077584C"/>
    <w:rsid w:val="007763EA"/>
    <w:rsid w:val="00776B91"/>
    <w:rsid w:val="00777E47"/>
    <w:rsid w:val="00780CD9"/>
    <w:rsid w:val="007813E1"/>
    <w:rsid w:val="00782790"/>
    <w:rsid w:val="00782D80"/>
    <w:rsid w:val="00787EE2"/>
    <w:rsid w:val="007900F3"/>
    <w:rsid w:val="00790AE5"/>
    <w:rsid w:val="007935C3"/>
    <w:rsid w:val="007960C3"/>
    <w:rsid w:val="007961BC"/>
    <w:rsid w:val="007A0225"/>
    <w:rsid w:val="007A0A14"/>
    <w:rsid w:val="007A10F7"/>
    <w:rsid w:val="007A1110"/>
    <w:rsid w:val="007A13DB"/>
    <w:rsid w:val="007A163C"/>
    <w:rsid w:val="007A24C3"/>
    <w:rsid w:val="007A2584"/>
    <w:rsid w:val="007A2E23"/>
    <w:rsid w:val="007A358A"/>
    <w:rsid w:val="007A3FE2"/>
    <w:rsid w:val="007A4692"/>
    <w:rsid w:val="007A50FF"/>
    <w:rsid w:val="007A6294"/>
    <w:rsid w:val="007A76F8"/>
    <w:rsid w:val="007A7A6C"/>
    <w:rsid w:val="007A7C56"/>
    <w:rsid w:val="007B249E"/>
    <w:rsid w:val="007B348A"/>
    <w:rsid w:val="007B40DD"/>
    <w:rsid w:val="007B5468"/>
    <w:rsid w:val="007B561C"/>
    <w:rsid w:val="007B6C84"/>
    <w:rsid w:val="007C0F7B"/>
    <w:rsid w:val="007C1450"/>
    <w:rsid w:val="007C22CC"/>
    <w:rsid w:val="007C3E5A"/>
    <w:rsid w:val="007C6120"/>
    <w:rsid w:val="007D0670"/>
    <w:rsid w:val="007D0C5F"/>
    <w:rsid w:val="007D248B"/>
    <w:rsid w:val="007D3564"/>
    <w:rsid w:val="007D377A"/>
    <w:rsid w:val="007D69D6"/>
    <w:rsid w:val="007D6D90"/>
    <w:rsid w:val="007E11E4"/>
    <w:rsid w:val="007E1CE1"/>
    <w:rsid w:val="007E21F3"/>
    <w:rsid w:val="007E2D0D"/>
    <w:rsid w:val="007E3557"/>
    <w:rsid w:val="007E42AB"/>
    <w:rsid w:val="007E50D6"/>
    <w:rsid w:val="007E5A33"/>
    <w:rsid w:val="007E69CE"/>
    <w:rsid w:val="007E6DCB"/>
    <w:rsid w:val="007E77ED"/>
    <w:rsid w:val="007E7DEB"/>
    <w:rsid w:val="007F025C"/>
    <w:rsid w:val="007F072A"/>
    <w:rsid w:val="007F106A"/>
    <w:rsid w:val="007F16A2"/>
    <w:rsid w:val="007F6790"/>
    <w:rsid w:val="00800C77"/>
    <w:rsid w:val="0080133D"/>
    <w:rsid w:val="00801982"/>
    <w:rsid w:val="00803FF6"/>
    <w:rsid w:val="008045E6"/>
    <w:rsid w:val="008048B5"/>
    <w:rsid w:val="00805378"/>
    <w:rsid w:val="00805B3E"/>
    <w:rsid w:val="00811028"/>
    <w:rsid w:val="008118F2"/>
    <w:rsid w:val="00811D6D"/>
    <w:rsid w:val="00812B82"/>
    <w:rsid w:val="0081369E"/>
    <w:rsid w:val="00814118"/>
    <w:rsid w:val="0081560C"/>
    <w:rsid w:val="00815DEC"/>
    <w:rsid w:val="00816108"/>
    <w:rsid w:val="00816488"/>
    <w:rsid w:val="00821053"/>
    <w:rsid w:val="00821AC8"/>
    <w:rsid w:val="00821B9C"/>
    <w:rsid w:val="00822046"/>
    <w:rsid w:val="00823B13"/>
    <w:rsid w:val="008252C1"/>
    <w:rsid w:val="00826036"/>
    <w:rsid w:val="0082747F"/>
    <w:rsid w:val="00831C6E"/>
    <w:rsid w:val="008343E2"/>
    <w:rsid w:val="00835088"/>
    <w:rsid w:val="00836D6A"/>
    <w:rsid w:val="008372C7"/>
    <w:rsid w:val="00840727"/>
    <w:rsid w:val="0084223E"/>
    <w:rsid w:val="00842B9F"/>
    <w:rsid w:val="00843AE5"/>
    <w:rsid w:val="0084554A"/>
    <w:rsid w:val="00850B75"/>
    <w:rsid w:val="008512EF"/>
    <w:rsid w:val="008526F0"/>
    <w:rsid w:val="00852BA4"/>
    <w:rsid w:val="008532D1"/>
    <w:rsid w:val="008551CD"/>
    <w:rsid w:val="0085562F"/>
    <w:rsid w:val="00856D3F"/>
    <w:rsid w:val="008570F3"/>
    <w:rsid w:val="0086012C"/>
    <w:rsid w:val="0086187E"/>
    <w:rsid w:val="00861AB9"/>
    <w:rsid w:val="00863840"/>
    <w:rsid w:val="008642EC"/>
    <w:rsid w:val="00864465"/>
    <w:rsid w:val="00864EC9"/>
    <w:rsid w:val="00865175"/>
    <w:rsid w:val="00866101"/>
    <w:rsid w:val="0086618E"/>
    <w:rsid w:val="00866BBC"/>
    <w:rsid w:val="00866FBD"/>
    <w:rsid w:val="00867201"/>
    <w:rsid w:val="00872E2A"/>
    <w:rsid w:val="00873C53"/>
    <w:rsid w:val="00874563"/>
    <w:rsid w:val="00877AE0"/>
    <w:rsid w:val="008801DC"/>
    <w:rsid w:val="00880734"/>
    <w:rsid w:val="0088190E"/>
    <w:rsid w:val="00885482"/>
    <w:rsid w:val="00885B59"/>
    <w:rsid w:val="00887E7E"/>
    <w:rsid w:val="00890525"/>
    <w:rsid w:val="008905F7"/>
    <w:rsid w:val="00890DE9"/>
    <w:rsid w:val="008917B7"/>
    <w:rsid w:val="008919CB"/>
    <w:rsid w:val="00891C9F"/>
    <w:rsid w:val="00893878"/>
    <w:rsid w:val="00893F4D"/>
    <w:rsid w:val="00893F5F"/>
    <w:rsid w:val="00897FF6"/>
    <w:rsid w:val="008A1DEA"/>
    <w:rsid w:val="008A50C1"/>
    <w:rsid w:val="008B06A5"/>
    <w:rsid w:val="008B078E"/>
    <w:rsid w:val="008B0F85"/>
    <w:rsid w:val="008B1346"/>
    <w:rsid w:val="008B2A75"/>
    <w:rsid w:val="008B318C"/>
    <w:rsid w:val="008B3E29"/>
    <w:rsid w:val="008B3E63"/>
    <w:rsid w:val="008B5FC7"/>
    <w:rsid w:val="008C0BC3"/>
    <w:rsid w:val="008C2A92"/>
    <w:rsid w:val="008C3D77"/>
    <w:rsid w:val="008C4F96"/>
    <w:rsid w:val="008C50C6"/>
    <w:rsid w:val="008C5E89"/>
    <w:rsid w:val="008C6163"/>
    <w:rsid w:val="008C6362"/>
    <w:rsid w:val="008C7F7C"/>
    <w:rsid w:val="008D0B11"/>
    <w:rsid w:val="008D14B4"/>
    <w:rsid w:val="008D1AE3"/>
    <w:rsid w:val="008D3DE5"/>
    <w:rsid w:val="008D4ABA"/>
    <w:rsid w:val="008D500D"/>
    <w:rsid w:val="008E0956"/>
    <w:rsid w:val="008E0B7F"/>
    <w:rsid w:val="008E1AF1"/>
    <w:rsid w:val="008E393B"/>
    <w:rsid w:val="008E3DEC"/>
    <w:rsid w:val="008E4035"/>
    <w:rsid w:val="008E4CA7"/>
    <w:rsid w:val="008E5770"/>
    <w:rsid w:val="008E62B0"/>
    <w:rsid w:val="008F16ED"/>
    <w:rsid w:val="008F1BC1"/>
    <w:rsid w:val="008F21B3"/>
    <w:rsid w:val="008F63A3"/>
    <w:rsid w:val="008F782C"/>
    <w:rsid w:val="00904F13"/>
    <w:rsid w:val="00905EE8"/>
    <w:rsid w:val="009073B7"/>
    <w:rsid w:val="0091181C"/>
    <w:rsid w:val="00914FF8"/>
    <w:rsid w:val="009156CF"/>
    <w:rsid w:val="009167D5"/>
    <w:rsid w:val="00922577"/>
    <w:rsid w:val="009233D7"/>
    <w:rsid w:val="009242F5"/>
    <w:rsid w:val="00924401"/>
    <w:rsid w:val="009247B0"/>
    <w:rsid w:val="0092553B"/>
    <w:rsid w:val="0092604A"/>
    <w:rsid w:val="009262CA"/>
    <w:rsid w:val="009267C2"/>
    <w:rsid w:val="0092732C"/>
    <w:rsid w:val="00927930"/>
    <w:rsid w:val="00930C15"/>
    <w:rsid w:val="00930E5A"/>
    <w:rsid w:val="00931518"/>
    <w:rsid w:val="009330D3"/>
    <w:rsid w:val="00933AE0"/>
    <w:rsid w:val="009372B7"/>
    <w:rsid w:val="009403F7"/>
    <w:rsid w:val="00940542"/>
    <w:rsid w:val="0094076D"/>
    <w:rsid w:val="00943F3F"/>
    <w:rsid w:val="009440CC"/>
    <w:rsid w:val="00945A37"/>
    <w:rsid w:val="00945C81"/>
    <w:rsid w:val="00945DC4"/>
    <w:rsid w:val="00946583"/>
    <w:rsid w:val="009466A2"/>
    <w:rsid w:val="00946E2A"/>
    <w:rsid w:val="00946F02"/>
    <w:rsid w:val="0094752A"/>
    <w:rsid w:val="00947784"/>
    <w:rsid w:val="00951559"/>
    <w:rsid w:val="0095159B"/>
    <w:rsid w:val="00952094"/>
    <w:rsid w:val="009527A3"/>
    <w:rsid w:val="00953D02"/>
    <w:rsid w:val="00955195"/>
    <w:rsid w:val="00955B7E"/>
    <w:rsid w:val="009569D3"/>
    <w:rsid w:val="009572CA"/>
    <w:rsid w:val="009608AA"/>
    <w:rsid w:val="00961A00"/>
    <w:rsid w:val="0096242F"/>
    <w:rsid w:val="00963A52"/>
    <w:rsid w:val="00965B72"/>
    <w:rsid w:val="0097032D"/>
    <w:rsid w:val="00971FDE"/>
    <w:rsid w:val="009746CE"/>
    <w:rsid w:val="0097527E"/>
    <w:rsid w:val="00975665"/>
    <w:rsid w:val="00975F8A"/>
    <w:rsid w:val="009763C1"/>
    <w:rsid w:val="00976DA9"/>
    <w:rsid w:val="00977309"/>
    <w:rsid w:val="009834A3"/>
    <w:rsid w:val="00986C9B"/>
    <w:rsid w:val="00990E49"/>
    <w:rsid w:val="00990FFC"/>
    <w:rsid w:val="00994037"/>
    <w:rsid w:val="00994AE6"/>
    <w:rsid w:val="009964DF"/>
    <w:rsid w:val="00996E93"/>
    <w:rsid w:val="00997511"/>
    <w:rsid w:val="00997B67"/>
    <w:rsid w:val="009A06F4"/>
    <w:rsid w:val="009A0964"/>
    <w:rsid w:val="009A1378"/>
    <w:rsid w:val="009A1C0F"/>
    <w:rsid w:val="009A1CFD"/>
    <w:rsid w:val="009A22DC"/>
    <w:rsid w:val="009A5D55"/>
    <w:rsid w:val="009A6094"/>
    <w:rsid w:val="009B3782"/>
    <w:rsid w:val="009B3AAC"/>
    <w:rsid w:val="009B6312"/>
    <w:rsid w:val="009B7CB5"/>
    <w:rsid w:val="009C0CC2"/>
    <w:rsid w:val="009C1C45"/>
    <w:rsid w:val="009C2644"/>
    <w:rsid w:val="009C3726"/>
    <w:rsid w:val="009C3D46"/>
    <w:rsid w:val="009C3F23"/>
    <w:rsid w:val="009C434D"/>
    <w:rsid w:val="009C44A6"/>
    <w:rsid w:val="009C4C9A"/>
    <w:rsid w:val="009C5356"/>
    <w:rsid w:val="009C73DD"/>
    <w:rsid w:val="009C7652"/>
    <w:rsid w:val="009D1367"/>
    <w:rsid w:val="009D2F83"/>
    <w:rsid w:val="009D3BE7"/>
    <w:rsid w:val="009D4355"/>
    <w:rsid w:val="009D4D3F"/>
    <w:rsid w:val="009D4D4F"/>
    <w:rsid w:val="009D5DD7"/>
    <w:rsid w:val="009D6220"/>
    <w:rsid w:val="009D79E0"/>
    <w:rsid w:val="009E0161"/>
    <w:rsid w:val="009E1B75"/>
    <w:rsid w:val="009E3E8B"/>
    <w:rsid w:val="009E3ED6"/>
    <w:rsid w:val="009E644C"/>
    <w:rsid w:val="009E749C"/>
    <w:rsid w:val="009F1684"/>
    <w:rsid w:val="009F1B4D"/>
    <w:rsid w:val="009F3947"/>
    <w:rsid w:val="009F70A9"/>
    <w:rsid w:val="00A00953"/>
    <w:rsid w:val="00A01906"/>
    <w:rsid w:val="00A01D7A"/>
    <w:rsid w:val="00A02F78"/>
    <w:rsid w:val="00A0308D"/>
    <w:rsid w:val="00A030AF"/>
    <w:rsid w:val="00A037B2"/>
    <w:rsid w:val="00A04761"/>
    <w:rsid w:val="00A05E5F"/>
    <w:rsid w:val="00A06349"/>
    <w:rsid w:val="00A07514"/>
    <w:rsid w:val="00A0789A"/>
    <w:rsid w:val="00A07B2A"/>
    <w:rsid w:val="00A07E04"/>
    <w:rsid w:val="00A10EE8"/>
    <w:rsid w:val="00A12326"/>
    <w:rsid w:val="00A16215"/>
    <w:rsid w:val="00A17238"/>
    <w:rsid w:val="00A21E8E"/>
    <w:rsid w:val="00A22BAC"/>
    <w:rsid w:val="00A23F97"/>
    <w:rsid w:val="00A244A1"/>
    <w:rsid w:val="00A24AC7"/>
    <w:rsid w:val="00A2563F"/>
    <w:rsid w:val="00A26451"/>
    <w:rsid w:val="00A26749"/>
    <w:rsid w:val="00A26EBB"/>
    <w:rsid w:val="00A27DDE"/>
    <w:rsid w:val="00A31677"/>
    <w:rsid w:val="00A32425"/>
    <w:rsid w:val="00A32AFD"/>
    <w:rsid w:val="00A34414"/>
    <w:rsid w:val="00A351B3"/>
    <w:rsid w:val="00A353F1"/>
    <w:rsid w:val="00A3699F"/>
    <w:rsid w:val="00A37ABD"/>
    <w:rsid w:val="00A37C99"/>
    <w:rsid w:val="00A4010B"/>
    <w:rsid w:val="00A407DA"/>
    <w:rsid w:val="00A407E8"/>
    <w:rsid w:val="00A41367"/>
    <w:rsid w:val="00A41AF1"/>
    <w:rsid w:val="00A4312C"/>
    <w:rsid w:val="00A4454D"/>
    <w:rsid w:val="00A44B5C"/>
    <w:rsid w:val="00A44C68"/>
    <w:rsid w:val="00A44E54"/>
    <w:rsid w:val="00A45D9D"/>
    <w:rsid w:val="00A46779"/>
    <w:rsid w:val="00A5191F"/>
    <w:rsid w:val="00A550A4"/>
    <w:rsid w:val="00A55937"/>
    <w:rsid w:val="00A562E2"/>
    <w:rsid w:val="00A5672F"/>
    <w:rsid w:val="00A56D87"/>
    <w:rsid w:val="00A56F58"/>
    <w:rsid w:val="00A576AD"/>
    <w:rsid w:val="00A57ECD"/>
    <w:rsid w:val="00A608F4"/>
    <w:rsid w:val="00A609D6"/>
    <w:rsid w:val="00A64061"/>
    <w:rsid w:val="00A67919"/>
    <w:rsid w:val="00A67A10"/>
    <w:rsid w:val="00A67C06"/>
    <w:rsid w:val="00A70711"/>
    <w:rsid w:val="00A70E1E"/>
    <w:rsid w:val="00A71BF9"/>
    <w:rsid w:val="00A71F6B"/>
    <w:rsid w:val="00A720DC"/>
    <w:rsid w:val="00A73D74"/>
    <w:rsid w:val="00A73EDE"/>
    <w:rsid w:val="00A751A4"/>
    <w:rsid w:val="00A762F4"/>
    <w:rsid w:val="00A77189"/>
    <w:rsid w:val="00A80483"/>
    <w:rsid w:val="00A80776"/>
    <w:rsid w:val="00A815CB"/>
    <w:rsid w:val="00A81FA4"/>
    <w:rsid w:val="00A83515"/>
    <w:rsid w:val="00A83664"/>
    <w:rsid w:val="00A86175"/>
    <w:rsid w:val="00A866C9"/>
    <w:rsid w:val="00A86DFE"/>
    <w:rsid w:val="00A86F69"/>
    <w:rsid w:val="00A900AC"/>
    <w:rsid w:val="00A90B30"/>
    <w:rsid w:val="00A90EF7"/>
    <w:rsid w:val="00A90FC8"/>
    <w:rsid w:val="00A9111A"/>
    <w:rsid w:val="00A91652"/>
    <w:rsid w:val="00A93A95"/>
    <w:rsid w:val="00A962D1"/>
    <w:rsid w:val="00A96BA0"/>
    <w:rsid w:val="00A97564"/>
    <w:rsid w:val="00AA19FF"/>
    <w:rsid w:val="00AA1D75"/>
    <w:rsid w:val="00AA37F5"/>
    <w:rsid w:val="00AA53B4"/>
    <w:rsid w:val="00AB05B5"/>
    <w:rsid w:val="00AB0A81"/>
    <w:rsid w:val="00AB1F13"/>
    <w:rsid w:val="00AB3715"/>
    <w:rsid w:val="00AB3811"/>
    <w:rsid w:val="00AB3959"/>
    <w:rsid w:val="00AB3B17"/>
    <w:rsid w:val="00AB3F3E"/>
    <w:rsid w:val="00AB4FFC"/>
    <w:rsid w:val="00AB62E0"/>
    <w:rsid w:val="00AB72BC"/>
    <w:rsid w:val="00AB72FC"/>
    <w:rsid w:val="00AB79A1"/>
    <w:rsid w:val="00AC0AC9"/>
    <w:rsid w:val="00AC0C6E"/>
    <w:rsid w:val="00AC214E"/>
    <w:rsid w:val="00AC2369"/>
    <w:rsid w:val="00AC3BB6"/>
    <w:rsid w:val="00AC47F2"/>
    <w:rsid w:val="00AC48BE"/>
    <w:rsid w:val="00AC5947"/>
    <w:rsid w:val="00AC6D24"/>
    <w:rsid w:val="00AC6ED3"/>
    <w:rsid w:val="00AD210C"/>
    <w:rsid w:val="00AD5365"/>
    <w:rsid w:val="00AD5903"/>
    <w:rsid w:val="00AD5D5F"/>
    <w:rsid w:val="00AD6C6F"/>
    <w:rsid w:val="00AE01EC"/>
    <w:rsid w:val="00AE0585"/>
    <w:rsid w:val="00AE17C5"/>
    <w:rsid w:val="00AE3760"/>
    <w:rsid w:val="00AE3E81"/>
    <w:rsid w:val="00AE4B70"/>
    <w:rsid w:val="00AE6B1E"/>
    <w:rsid w:val="00AE6D25"/>
    <w:rsid w:val="00AE7F24"/>
    <w:rsid w:val="00AF021A"/>
    <w:rsid w:val="00AF1229"/>
    <w:rsid w:val="00AF1959"/>
    <w:rsid w:val="00AF1E44"/>
    <w:rsid w:val="00AF21C6"/>
    <w:rsid w:val="00AF2E7D"/>
    <w:rsid w:val="00AF6BFD"/>
    <w:rsid w:val="00AF7715"/>
    <w:rsid w:val="00AF7762"/>
    <w:rsid w:val="00AF7BA2"/>
    <w:rsid w:val="00B00596"/>
    <w:rsid w:val="00B021A4"/>
    <w:rsid w:val="00B03FA5"/>
    <w:rsid w:val="00B04E2B"/>
    <w:rsid w:val="00B0530D"/>
    <w:rsid w:val="00B0750C"/>
    <w:rsid w:val="00B0796A"/>
    <w:rsid w:val="00B07ECD"/>
    <w:rsid w:val="00B11381"/>
    <w:rsid w:val="00B11D19"/>
    <w:rsid w:val="00B12187"/>
    <w:rsid w:val="00B15577"/>
    <w:rsid w:val="00B15CAB"/>
    <w:rsid w:val="00B16196"/>
    <w:rsid w:val="00B16353"/>
    <w:rsid w:val="00B17326"/>
    <w:rsid w:val="00B202F2"/>
    <w:rsid w:val="00B21675"/>
    <w:rsid w:val="00B21693"/>
    <w:rsid w:val="00B25CFA"/>
    <w:rsid w:val="00B274A6"/>
    <w:rsid w:val="00B2780C"/>
    <w:rsid w:val="00B27AA8"/>
    <w:rsid w:val="00B318C5"/>
    <w:rsid w:val="00B32B6C"/>
    <w:rsid w:val="00B32ED3"/>
    <w:rsid w:val="00B33440"/>
    <w:rsid w:val="00B341C8"/>
    <w:rsid w:val="00B3501B"/>
    <w:rsid w:val="00B35731"/>
    <w:rsid w:val="00B365F2"/>
    <w:rsid w:val="00B37796"/>
    <w:rsid w:val="00B41410"/>
    <w:rsid w:val="00B4170E"/>
    <w:rsid w:val="00B41AE8"/>
    <w:rsid w:val="00B421F1"/>
    <w:rsid w:val="00B42C99"/>
    <w:rsid w:val="00B443AF"/>
    <w:rsid w:val="00B45649"/>
    <w:rsid w:val="00B4580D"/>
    <w:rsid w:val="00B461FC"/>
    <w:rsid w:val="00B46341"/>
    <w:rsid w:val="00B46B8B"/>
    <w:rsid w:val="00B4704D"/>
    <w:rsid w:val="00B50C6C"/>
    <w:rsid w:val="00B52196"/>
    <w:rsid w:val="00B538BA"/>
    <w:rsid w:val="00B53DA0"/>
    <w:rsid w:val="00B556B7"/>
    <w:rsid w:val="00B55C53"/>
    <w:rsid w:val="00B56300"/>
    <w:rsid w:val="00B57490"/>
    <w:rsid w:val="00B61348"/>
    <w:rsid w:val="00B629F1"/>
    <w:rsid w:val="00B64E53"/>
    <w:rsid w:val="00B659D5"/>
    <w:rsid w:val="00B7241F"/>
    <w:rsid w:val="00B7421A"/>
    <w:rsid w:val="00B74D83"/>
    <w:rsid w:val="00B776E2"/>
    <w:rsid w:val="00B81A5C"/>
    <w:rsid w:val="00B81F9D"/>
    <w:rsid w:val="00B83157"/>
    <w:rsid w:val="00B83B63"/>
    <w:rsid w:val="00B870CE"/>
    <w:rsid w:val="00B908D5"/>
    <w:rsid w:val="00B9120C"/>
    <w:rsid w:val="00B920E9"/>
    <w:rsid w:val="00B9365C"/>
    <w:rsid w:val="00B941D5"/>
    <w:rsid w:val="00B954E4"/>
    <w:rsid w:val="00B960F1"/>
    <w:rsid w:val="00B9731E"/>
    <w:rsid w:val="00BA03F9"/>
    <w:rsid w:val="00BA070B"/>
    <w:rsid w:val="00BA0B2E"/>
    <w:rsid w:val="00BA2197"/>
    <w:rsid w:val="00BA4C99"/>
    <w:rsid w:val="00BA5D4E"/>
    <w:rsid w:val="00BA6D3F"/>
    <w:rsid w:val="00BB030C"/>
    <w:rsid w:val="00BB114F"/>
    <w:rsid w:val="00BB2018"/>
    <w:rsid w:val="00BB2C13"/>
    <w:rsid w:val="00BB2CD2"/>
    <w:rsid w:val="00BB2ED4"/>
    <w:rsid w:val="00BB3ACF"/>
    <w:rsid w:val="00BB595E"/>
    <w:rsid w:val="00BB5B15"/>
    <w:rsid w:val="00BC0301"/>
    <w:rsid w:val="00BC3D0F"/>
    <w:rsid w:val="00BC3F4D"/>
    <w:rsid w:val="00BC40F3"/>
    <w:rsid w:val="00BC526B"/>
    <w:rsid w:val="00BC5673"/>
    <w:rsid w:val="00BC5A0B"/>
    <w:rsid w:val="00BC6623"/>
    <w:rsid w:val="00BC79D2"/>
    <w:rsid w:val="00BC7A2A"/>
    <w:rsid w:val="00BD33C2"/>
    <w:rsid w:val="00BD340E"/>
    <w:rsid w:val="00BD3527"/>
    <w:rsid w:val="00BD37C4"/>
    <w:rsid w:val="00BD3D19"/>
    <w:rsid w:val="00BD4F67"/>
    <w:rsid w:val="00BD6230"/>
    <w:rsid w:val="00BD76BF"/>
    <w:rsid w:val="00BE2214"/>
    <w:rsid w:val="00BE2DEF"/>
    <w:rsid w:val="00BE493B"/>
    <w:rsid w:val="00BE5BB9"/>
    <w:rsid w:val="00BE5C07"/>
    <w:rsid w:val="00BE6ED2"/>
    <w:rsid w:val="00BE7396"/>
    <w:rsid w:val="00BF1539"/>
    <w:rsid w:val="00BF15B2"/>
    <w:rsid w:val="00BF202A"/>
    <w:rsid w:val="00BF3A66"/>
    <w:rsid w:val="00BF507C"/>
    <w:rsid w:val="00BF699F"/>
    <w:rsid w:val="00BF79EA"/>
    <w:rsid w:val="00C00697"/>
    <w:rsid w:val="00C009C1"/>
    <w:rsid w:val="00C01E61"/>
    <w:rsid w:val="00C0213E"/>
    <w:rsid w:val="00C02C6A"/>
    <w:rsid w:val="00C046F8"/>
    <w:rsid w:val="00C0531A"/>
    <w:rsid w:val="00C06661"/>
    <w:rsid w:val="00C06C68"/>
    <w:rsid w:val="00C07381"/>
    <w:rsid w:val="00C104F7"/>
    <w:rsid w:val="00C10587"/>
    <w:rsid w:val="00C11E87"/>
    <w:rsid w:val="00C137FC"/>
    <w:rsid w:val="00C14EED"/>
    <w:rsid w:val="00C15A55"/>
    <w:rsid w:val="00C16609"/>
    <w:rsid w:val="00C2356F"/>
    <w:rsid w:val="00C23804"/>
    <w:rsid w:val="00C2399A"/>
    <w:rsid w:val="00C23FF9"/>
    <w:rsid w:val="00C251CA"/>
    <w:rsid w:val="00C26F44"/>
    <w:rsid w:val="00C301AB"/>
    <w:rsid w:val="00C301D9"/>
    <w:rsid w:val="00C32A25"/>
    <w:rsid w:val="00C3379C"/>
    <w:rsid w:val="00C33879"/>
    <w:rsid w:val="00C33F2A"/>
    <w:rsid w:val="00C344BB"/>
    <w:rsid w:val="00C35193"/>
    <w:rsid w:val="00C354CC"/>
    <w:rsid w:val="00C370F3"/>
    <w:rsid w:val="00C3749B"/>
    <w:rsid w:val="00C3775A"/>
    <w:rsid w:val="00C40196"/>
    <w:rsid w:val="00C40C55"/>
    <w:rsid w:val="00C42182"/>
    <w:rsid w:val="00C43039"/>
    <w:rsid w:val="00C43500"/>
    <w:rsid w:val="00C448E1"/>
    <w:rsid w:val="00C46F34"/>
    <w:rsid w:val="00C47A67"/>
    <w:rsid w:val="00C47F1B"/>
    <w:rsid w:val="00C511CC"/>
    <w:rsid w:val="00C52A2C"/>
    <w:rsid w:val="00C53F71"/>
    <w:rsid w:val="00C5484F"/>
    <w:rsid w:val="00C549A7"/>
    <w:rsid w:val="00C57B75"/>
    <w:rsid w:val="00C60A1A"/>
    <w:rsid w:val="00C61B54"/>
    <w:rsid w:val="00C62618"/>
    <w:rsid w:val="00C629C3"/>
    <w:rsid w:val="00C643A2"/>
    <w:rsid w:val="00C6570F"/>
    <w:rsid w:val="00C6581C"/>
    <w:rsid w:val="00C65AAE"/>
    <w:rsid w:val="00C66272"/>
    <w:rsid w:val="00C70C8B"/>
    <w:rsid w:val="00C71D03"/>
    <w:rsid w:val="00C72AAB"/>
    <w:rsid w:val="00C73CCE"/>
    <w:rsid w:val="00C74379"/>
    <w:rsid w:val="00C7452E"/>
    <w:rsid w:val="00C74E00"/>
    <w:rsid w:val="00C74EDF"/>
    <w:rsid w:val="00C753CB"/>
    <w:rsid w:val="00C75D37"/>
    <w:rsid w:val="00C7620A"/>
    <w:rsid w:val="00C775B5"/>
    <w:rsid w:val="00C77D2F"/>
    <w:rsid w:val="00C80628"/>
    <w:rsid w:val="00C8282E"/>
    <w:rsid w:val="00C8344D"/>
    <w:rsid w:val="00C840D6"/>
    <w:rsid w:val="00C85952"/>
    <w:rsid w:val="00C85EDC"/>
    <w:rsid w:val="00C86294"/>
    <w:rsid w:val="00C87AF3"/>
    <w:rsid w:val="00C90D82"/>
    <w:rsid w:val="00C90E1F"/>
    <w:rsid w:val="00C90F3B"/>
    <w:rsid w:val="00C91204"/>
    <w:rsid w:val="00C924F3"/>
    <w:rsid w:val="00C92BA2"/>
    <w:rsid w:val="00C93A8C"/>
    <w:rsid w:val="00C94F27"/>
    <w:rsid w:val="00C95853"/>
    <w:rsid w:val="00C964D2"/>
    <w:rsid w:val="00CA0866"/>
    <w:rsid w:val="00CA12F2"/>
    <w:rsid w:val="00CA19D8"/>
    <w:rsid w:val="00CA422B"/>
    <w:rsid w:val="00CA48EA"/>
    <w:rsid w:val="00CA6270"/>
    <w:rsid w:val="00CB0317"/>
    <w:rsid w:val="00CB0F26"/>
    <w:rsid w:val="00CB388A"/>
    <w:rsid w:val="00CB3E7F"/>
    <w:rsid w:val="00CB4358"/>
    <w:rsid w:val="00CB5F8B"/>
    <w:rsid w:val="00CB66D4"/>
    <w:rsid w:val="00CB6E07"/>
    <w:rsid w:val="00CB74C4"/>
    <w:rsid w:val="00CB77DD"/>
    <w:rsid w:val="00CB7D51"/>
    <w:rsid w:val="00CC5510"/>
    <w:rsid w:val="00CC6D26"/>
    <w:rsid w:val="00CD2BE4"/>
    <w:rsid w:val="00CD61F6"/>
    <w:rsid w:val="00CD697F"/>
    <w:rsid w:val="00CD6CF5"/>
    <w:rsid w:val="00CD74D2"/>
    <w:rsid w:val="00CD7616"/>
    <w:rsid w:val="00CE1F7E"/>
    <w:rsid w:val="00CE3BA8"/>
    <w:rsid w:val="00CE4862"/>
    <w:rsid w:val="00CE77C9"/>
    <w:rsid w:val="00CE7EF3"/>
    <w:rsid w:val="00CE7FD3"/>
    <w:rsid w:val="00CF00D1"/>
    <w:rsid w:val="00CF0380"/>
    <w:rsid w:val="00CF1071"/>
    <w:rsid w:val="00CF197C"/>
    <w:rsid w:val="00CF250F"/>
    <w:rsid w:val="00CF2CD4"/>
    <w:rsid w:val="00CF2F2C"/>
    <w:rsid w:val="00CF5667"/>
    <w:rsid w:val="00CF5EF5"/>
    <w:rsid w:val="00CF7403"/>
    <w:rsid w:val="00D00241"/>
    <w:rsid w:val="00D00C73"/>
    <w:rsid w:val="00D010EF"/>
    <w:rsid w:val="00D01A43"/>
    <w:rsid w:val="00D01ABB"/>
    <w:rsid w:val="00D02D9C"/>
    <w:rsid w:val="00D05FA6"/>
    <w:rsid w:val="00D07018"/>
    <w:rsid w:val="00D07DD1"/>
    <w:rsid w:val="00D11B48"/>
    <w:rsid w:val="00D14233"/>
    <w:rsid w:val="00D1498A"/>
    <w:rsid w:val="00D15381"/>
    <w:rsid w:val="00D15DDF"/>
    <w:rsid w:val="00D15EF2"/>
    <w:rsid w:val="00D16134"/>
    <w:rsid w:val="00D162D7"/>
    <w:rsid w:val="00D16389"/>
    <w:rsid w:val="00D16DFB"/>
    <w:rsid w:val="00D17B0F"/>
    <w:rsid w:val="00D20120"/>
    <w:rsid w:val="00D2066D"/>
    <w:rsid w:val="00D20A20"/>
    <w:rsid w:val="00D2212D"/>
    <w:rsid w:val="00D235B6"/>
    <w:rsid w:val="00D23C57"/>
    <w:rsid w:val="00D24593"/>
    <w:rsid w:val="00D24AC0"/>
    <w:rsid w:val="00D2524E"/>
    <w:rsid w:val="00D253BE"/>
    <w:rsid w:val="00D26B33"/>
    <w:rsid w:val="00D27222"/>
    <w:rsid w:val="00D307DC"/>
    <w:rsid w:val="00D3135A"/>
    <w:rsid w:val="00D32079"/>
    <w:rsid w:val="00D33868"/>
    <w:rsid w:val="00D349AC"/>
    <w:rsid w:val="00D34DCA"/>
    <w:rsid w:val="00D3623B"/>
    <w:rsid w:val="00D36CA4"/>
    <w:rsid w:val="00D37A2E"/>
    <w:rsid w:val="00D44035"/>
    <w:rsid w:val="00D44DD0"/>
    <w:rsid w:val="00D454A0"/>
    <w:rsid w:val="00D458C9"/>
    <w:rsid w:val="00D45D47"/>
    <w:rsid w:val="00D50D04"/>
    <w:rsid w:val="00D5114D"/>
    <w:rsid w:val="00D53921"/>
    <w:rsid w:val="00D55F61"/>
    <w:rsid w:val="00D57472"/>
    <w:rsid w:val="00D578C4"/>
    <w:rsid w:val="00D612AF"/>
    <w:rsid w:val="00D62882"/>
    <w:rsid w:val="00D646EB"/>
    <w:rsid w:val="00D648AE"/>
    <w:rsid w:val="00D64F33"/>
    <w:rsid w:val="00D6541C"/>
    <w:rsid w:val="00D65496"/>
    <w:rsid w:val="00D70A3C"/>
    <w:rsid w:val="00D72756"/>
    <w:rsid w:val="00D73DAF"/>
    <w:rsid w:val="00D73E28"/>
    <w:rsid w:val="00D74709"/>
    <w:rsid w:val="00D81532"/>
    <w:rsid w:val="00D83655"/>
    <w:rsid w:val="00D83E09"/>
    <w:rsid w:val="00D84F41"/>
    <w:rsid w:val="00D859E3"/>
    <w:rsid w:val="00D87164"/>
    <w:rsid w:val="00D90889"/>
    <w:rsid w:val="00D90BEB"/>
    <w:rsid w:val="00D9120D"/>
    <w:rsid w:val="00D917C0"/>
    <w:rsid w:val="00DA0480"/>
    <w:rsid w:val="00DA124C"/>
    <w:rsid w:val="00DA1882"/>
    <w:rsid w:val="00DA48B7"/>
    <w:rsid w:val="00DA5B6D"/>
    <w:rsid w:val="00DA6668"/>
    <w:rsid w:val="00DA6813"/>
    <w:rsid w:val="00DA7094"/>
    <w:rsid w:val="00DB099B"/>
    <w:rsid w:val="00DB0F02"/>
    <w:rsid w:val="00DB565F"/>
    <w:rsid w:val="00DB5C27"/>
    <w:rsid w:val="00DC0169"/>
    <w:rsid w:val="00DC043C"/>
    <w:rsid w:val="00DC1DA9"/>
    <w:rsid w:val="00DC4971"/>
    <w:rsid w:val="00DC4C25"/>
    <w:rsid w:val="00DC6A42"/>
    <w:rsid w:val="00DC6E43"/>
    <w:rsid w:val="00DC7409"/>
    <w:rsid w:val="00DD1FF9"/>
    <w:rsid w:val="00DD34F4"/>
    <w:rsid w:val="00DD49B5"/>
    <w:rsid w:val="00DD5854"/>
    <w:rsid w:val="00DD78B4"/>
    <w:rsid w:val="00DE3494"/>
    <w:rsid w:val="00DE3B2A"/>
    <w:rsid w:val="00DE4C8A"/>
    <w:rsid w:val="00DE63AB"/>
    <w:rsid w:val="00DE79F8"/>
    <w:rsid w:val="00DE7E57"/>
    <w:rsid w:val="00DF00A2"/>
    <w:rsid w:val="00DF0544"/>
    <w:rsid w:val="00DF3C09"/>
    <w:rsid w:val="00DF4A98"/>
    <w:rsid w:val="00DF4AB3"/>
    <w:rsid w:val="00DF793A"/>
    <w:rsid w:val="00E0098A"/>
    <w:rsid w:val="00E00AF0"/>
    <w:rsid w:val="00E00E22"/>
    <w:rsid w:val="00E02385"/>
    <w:rsid w:val="00E024F2"/>
    <w:rsid w:val="00E0294A"/>
    <w:rsid w:val="00E02E66"/>
    <w:rsid w:val="00E04E61"/>
    <w:rsid w:val="00E05665"/>
    <w:rsid w:val="00E05EBA"/>
    <w:rsid w:val="00E10CE2"/>
    <w:rsid w:val="00E10E8D"/>
    <w:rsid w:val="00E1214F"/>
    <w:rsid w:val="00E124D4"/>
    <w:rsid w:val="00E12A90"/>
    <w:rsid w:val="00E163DE"/>
    <w:rsid w:val="00E16A31"/>
    <w:rsid w:val="00E206AC"/>
    <w:rsid w:val="00E214F1"/>
    <w:rsid w:val="00E22D78"/>
    <w:rsid w:val="00E22F9C"/>
    <w:rsid w:val="00E2328B"/>
    <w:rsid w:val="00E23B6E"/>
    <w:rsid w:val="00E257B7"/>
    <w:rsid w:val="00E25B70"/>
    <w:rsid w:val="00E26833"/>
    <w:rsid w:val="00E310E0"/>
    <w:rsid w:val="00E31C0B"/>
    <w:rsid w:val="00E31EB4"/>
    <w:rsid w:val="00E3306D"/>
    <w:rsid w:val="00E33FC7"/>
    <w:rsid w:val="00E34A8D"/>
    <w:rsid w:val="00E34C97"/>
    <w:rsid w:val="00E34DA3"/>
    <w:rsid w:val="00E354E3"/>
    <w:rsid w:val="00E377ED"/>
    <w:rsid w:val="00E41BE1"/>
    <w:rsid w:val="00E41DF3"/>
    <w:rsid w:val="00E4240C"/>
    <w:rsid w:val="00E425FF"/>
    <w:rsid w:val="00E42BAA"/>
    <w:rsid w:val="00E42D30"/>
    <w:rsid w:val="00E42D6D"/>
    <w:rsid w:val="00E43075"/>
    <w:rsid w:val="00E439E8"/>
    <w:rsid w:val="00E47814"/>
    <w:rsid w:val="00E51B90"/>
    <w:rsid w:val="00E5222A"/>
    <w:rsid w:val="00E53084"/>
    <w:rsid w:val="00E5379E"/>
    <w:rsid w:val="00E53961"/>
    <w:rsid w:val="00E5428E"/>
    <w:rsid w:val="00E545E9"/>
    <w:rsid w:val="00E54765"/>
    <w:rsid w:val="00E54B74"/>
    <w:rsid w:val="00E552A9"/>
    <w:rsid w:val="00E5561C"/>
    <w:rsid w:val="00E55CD5"/>
    <w:rsid w:val="00E61C5F"/>
    <w:rsid w:val="00E630CB"/>
    <w:rsid w:val="00E63A82"/>
    <w:rsid w:val="00E64971"/>
    <w:rsid w:val="00E64F72"/>
    <w:rsid w:val="00E65978"/>
    <w:rsid w:val="00E65F6C"/>
    <w:rsid w:val="00E67819"/>
    <w:rsid w:val="00E67AD1"/>
    <w:rsid w:val="00E67CC0"/>
    <w:rsid w:val="00E703BC"/>
    <w:rsid w:val="00E7165E"/>
    <w:rsid w:val="00E71D01"/>
    <w:rsid w:val="00E73A99"/>
    <w:rsid w:val="00E74174"/>
    <w:rsid w:val="00E742EB"/>
    <w:rsid w:val="00E74919"/>
    <w:rsid w:val="00E751B9"/>
    <w:rsid w:val="00E7521F"/>
    <w:rsid w:val="00E753BB"/>
    <w:rsid w:val="00E75CC6"/>
    <w:rsid w:val="00E76753"/>
    <w:rsid w:val="00E76898"/>
    <w:rsid w:val="00E77558"/>
    <w:rsid w:val="00E7793F"/>
    <w:rsid w:val="00E803B2"/>
    <w:rsid w:val="00E80A3A"/>
    <w:rsid w:val="00E81F6C"/>
    <w:rsid w:val="00E829E5"/>
    <w:rsid w:val="00E82F85"/>
    <w:rsid w:val="00E83A54"/>
    <w:rsid w:val="00E843EC"/>
    <w:rsid w:val="00E86F86"/>
    <w:rsid w:val="00E87511"/>
    <w:rsid w:val="00E903DA"/>
    <w:rsid w:val="00E90533"/>
    <w:rsid w:val="00E91752"/>
    <w:rsid w:val="00E92895"/>
    <w:rsid w:val="00E93EF0"/>
    <w:rsid w:val="00E957E0"/>
    <w:rsid w:val="00E961F8"/>
    <w:rsid w:val="00EA0722"/>
    <w:rsid w:val="00EA385B"/>
    <w:rsid w:val="00EA3B44"/>
    <w:rsid w:val="00EA3FF8"/>
    <w:rsid w:val="00EA4BA6"/>
    <w:rsid w:val="00EA4CA2"/>
    <w:rsid w:val="00EA5464"/>
    <w:rsid w:val="00EA5A84"/>
    <w:rsid w:val="00EA5A8B"/>
    <w:rsid w:val="00EA61BA"/>
    <w:rsid w:val="00EA61BD"/>
    <w:rsid w:val="00EA6984"/>
    <w:rsid w:val="00EB0213"/>
    <w:rsid w:val="00EB0DE0"/>
    <w:rsid w:val="00EB106B"/>
    <w:rsid w:val="00EB14D9"/>
    <w:rsid w:val="00EB2F6F"/>
    <w:rsid w:val="00EB3027"/>
    <w:rsid w:val="00EB3186"/>
    <w:rsid w:val="00EB4110"/>
    <w:rsid w:val="00EB56D3"/>
    <w:rsid w:val="00EB5E33"/>
    <w:rsid w:val="00EB650A"/>
    <w:rsid w:val="00EB700D"/>
    <w:rsid w:val="00EB7321"/>
    <w:rsid w:val="00EC2B89"/>
    <w:rsid w:val="00EC3509"/>
    <w:rsid w:val="00EC3D82"/>
    <w:rsid w:val="00EC6809"/>
    <w:rsid w:val="00ED028B"/>
    <w:rsid w:val="00ED0757"/>
    <w:rsid w:val="00ED17F3"/>
    <w:rsid w:val="00ED1CA4"/>
    <w:rsid w:val="00ED1CF5"/>
    <w:rsid w:val="00ED2143"/>
    <w:rsid w:val="00ED2CEF"/>
    <w:rsid w:val="00ED3E5B"/>
    <w:rsid w:val="00ED5E66"/>
    <w:rsid w:val="00ED720C"/>
    <w:rsid w:val="00EE016F"/>
    <w:rsid w:val="00EE1F30"/>
    <w:rsid w:val="00EE5343"/>
    <w:rsid w:val="00EE58F5"/>
    <w:rsid w:val="00EE59ED"/>
    <w:rsid w:val="00EE5F3E"/>
    <w:rsid w:val="00EE67DD"/>
    <w:rsid w:val="00EE6BD9"/>
    <w:rsid w:val="00EF021F"/>
    <w:rsid w:val="00EF04C3"/>
    <w:rsid w:val="00EF08BB"/>
    <w:rsid w:val="00EF26F0"/>
    <w:rsid w:val="00EF280C"/>
    <w:rsid w:val="00EF6A3D"/>
    <w:rsid w:val="00EF6DE1"/>
    <w:rsid w:val="00EF7BE8"/>
    <w:rsid w:val="00F01447"/>
    <w:rsid w:val="00F019CF"/>
    <w:rsid w:val="00F02BF3"/>
    <w:rsid w:val="00F04ADC"/>
    <w:rsid w:val="00F04FF4"/>
    <w:rsid w:val="00F05872"/>
    <w:rsid w:val="00F05919"/>
    <w:rsid w:val="00F05E24"/>
    <w:rsid w:val="00F1019A"/>
    <w:rsid w:val="00F10903"/>
    <w:rsid w:val="00F14B00"/>
    <w:rsid w:val="00F150D3"/>
    <w:rsid w:val="00F1758C"/>
    <w:rsid w:val="00F20245"/>
    <w:rsid w:val="00F21408"/>
    <w:rsid w:val="00F22453"/>
    <w:rsid w:val="00F240A7"/>
    <w:rsid w:val="00F24F21"/>
    <w:rsid w:val="00F259E2"/>
    <w:rsid w:val="00F27A3F"/>
    <w:rsid w:val="00F27C4D"/>
    <w:rsid w:val="00F31943"/>
    <w:rsid w:val="00F322BA"/>
    <w:rsid w:val="00F323E7"/>
    <w:rsid w:val="00F3795C"/>
    <w:rsid w:val="00F37E99"/>
    <w:rsid w:val="00F41EDA"/>
    <w:rsid w:val="00F42197"/>
    <w:rsid w:val="00F42997"/>
    <w:rsid w:val="00F435F9"/>
    <w:rsid w:val="00F4563C"/>
    <w:rsid w:val="00F46994"/>
    <w:rsid w:val="00F510C2"/>
    <w:rsid w:val="00F51620"/>
    <w:rsid w:val="00F51B77"/>
    <w:rsid w:val="00F52156"/>
    <w:rsid w:val="00F53D4D"/>
    <w:rsid w:val="00F5421A"/>
    <w:rsid w:val="00F54A20"/>
    <w:rsid w:val="00F54A95"/>
    <w:rsid w:val="00F5513C"/>
    <w:rsid w:val="00F56316"/>
    <w:rsid w:val="00F575C1"/>
    <w:rsid w:val="00F57B45"/>
    <w:rsid w:val="00F6145D"/>
    <w:rsid w:val="00F625CB"/>
    <w:rsid w:val="00F6301C"/>
    <w:rsid w:val="00F6724B"/>
    <w:rsid w:val="00F675E5"/>
    <w:rsid w:val="00F67A23"/>
    <w:rsid w:val="00F67A9E"/>
    <w:rsid w:val="00F67B23"/>
    <w:rsid w:val="00F67D46"/>
    <w:rsid w:val="00F71744"/>
    <w:rsid w:val="00F72EB5"/>
    <w:rsid w:val="00F73001"/>
    <w:rsid w:val="00F733D5"/>
    <w:rsid w:val="00F7473C"/>
    <w:rsid w:val="00F7481A"/>
    <w:rsid w:val="00F75EE9"/>
    <w:rsid w:val="00F77AD8"/>
    <w:rsid w:val="00F80275"/>
    <w:rsid w:val="00F82252"/>
    <w:rsid w:val="00F82A42"/>
    <w:rsid w:val="00F8382C"/>
    <w:rsid w:val="00F8397B"/>
    <w:rsid w:val="00F85E8C"/>
    <w:rsid w:val="00F91898"/>
    <w:rsid w:val="00F91E14"/>
    <w:rsid w:val="00F92B98"/>
    <w:rsid w:val="00F92EBC"/>
    <w:rsid w:val="00F92F6C"/>
    <w:rsid w:val="00F949FC"/>
    <w:rsid w:val="00F958B3"/>
    <w:rsid w:val="00F96C4E"/>
    <w:rsid w:val="00F97317"/>
    <w:rsid w:val="00FA0730"/>
    <w:rsid w:val="00FA1889"/>
    <w:rsid w:val="00FA252B"/>
    <w:rsid w:val="00FA2DFC"/>
    <w:rsid w:val="00FA382D"/>
    <w:rsid w:val="00FA5CAF"/>
    <w:rsid w:val="00FA5DE1"/>
    <w:rsid w:val="00FA7FB8"/>
    <w:rsid w:val="00FB1256"/>
    <w:rsid w:val="00FB1385"/>
    <w:rsid w:val="00FB1E24"/>
    <w:rsid w:val="00FB25FA"/>
    <w:rsid w:val="00FB3307"/>
    <w:rsid w:val="00FB3877"/>
    <w:rsid w:val="00FB5712"/>
    <w:rsid w:val="00FB65BD"/>
    <w:rsid w:val="00FB669A"/>
    <w:rsid w:val="00FB672E"/>
    <w:rsid w:val="00FB6B86"/>
    <w:rsid w:val="00FB7F6A"/>
    <w:rsid w:val="00FC0421"/>
    <w:rsid w:val="00FC05DA"/>
    <w:rsid w:val="00FC228E"/>
    <w:rsid w:val="00FC3EEE"/>
    <w:rsid w:val="00FC3FCA"/>
    <w:rsid w:val="00FC4D1E"/>
    <w:rsid w:val="00FC5617"/>
    <w:rsid w:val="00FC7630"/>
    <w:rsid w:val="00FC7A1C"/>
    <w:rsid w:val="00FC7E31"/>
    <w:rsid w:val="00FD076E"/>
    <w:rsid w:val="00FD0DC3"/>
    <w:rsid w:val="00FD1B85"/>
    <w:rsid w:val="00FD2FD1"/>
    <w:rsid w:val="00FD4F49"/>
    <w:rsid w:val="00FD6ADD"/>
    <w:rsid w:val="00FD7537"/>
    <w:rsid w:val="00FD7E82"/>
    <w:rsid w:val="00FE0CE6"/>
    <w:rsid w:val="00FE0DBE"/>
    <w:rsid w:val="00FE2C63"/>
    <w:rsid w:val="00FE303C"/>
    <w:rsid w:val="00FE33C0"/>
    <w:rsid w:val="00FE361D"/>
    <w:rsid w:val="00FE4E34"/>
    <w:rsid w:val="00FE5013"/>
    <w:rsid w:val="00FE5404"/>
    <w:rsid w:val="00FE5EF5"/>
    <w:rsid w:val="00FF185E"/>
    <w:rsid w:val="00FF1C53"/>
    <w:rsid w:val="00FF2344"/>
    <w:rsid w:val="00FF3082"/>
    <w:rsid w:val="00FF319F"/>
    <w:rsid w:val="00FF506A"/>
    <w:rsid w:val="00FF51AB"/>
    <w:rsid w:val="00FF5CF3"/>
    <w:rsid w:val="00FF65C9"/>
    <w:rsid w:val="00FF7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10AA"/>
  <w15:chartTrackingRefBased/>
  <w15:docId w15:val="{42A26CF8-FF20-0F4E-93BC-A666E547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FF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754A72"/>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754A72"/>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754A72"/>
    <w:pPr>
      <w:spacing w:before="100" w:beforeAutospacing="1" w:after="100" w:afterAutospacing="1" w:line="360" w:lineRule="atLeast"/>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C1E"/>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141C1E"/>
    <w:rPr>
      <w:color w:val="0563C1" w:themeColor="hyperlink"/>
      <w:u w:val="single"/>
    </w:rPr>
  </w:style>
  <w:style w:type="character" w:styleId="UnresolvedMention">
    <w:name w:val="Unresolved Mention"/>
    <w:basedOn w:val="DefaultParagraphFont"/>
    <w:uiPriority w:val="99"/>
    <w:semiHidden/>
    <w:unhideWhenUsed/>
    <w:rsid w:val="008B0F85"/>
    <w:rPr>
      <w:color w:val="605E5C"/>
      <w:shd w:val="clear" w:color="auto" w:fill="E1DFDD"/>
    </w:rPr>
  </w:style>
  <w:style w:type="character" w:styleId="FollowedHyperlink">
    <w:name w:val="FollowedHyperlink"/>
    <w:basedOn w:val="DefaultParagraphFont"/>
    <w:uiPriority w:val="99"/>
    <w:semiHidden/>
    <w:unhideWhenUsed/>
    <w:rsid w:val="008B0F85"/>
    <w:rPr>
      <w:color w:val="954F72" w:themeColor="followedHyperlink"/>
      <w:u w:val="single"/>
    </w:rPr>
  </w:style>
  <w:style w:type="paragraph" w:styleId="Bibliography">
    <w:name w:val="Bibliography"/>
    <w:basedOn w:val="Normal"/>
    <w:next w:val="Normal"/>
    <w:uiPriority w:val="37"/>
    <w:unhideWhenUsed/>
    <w:rsid w:val="00F91898"/>
    <w:pPr>
      <w:tabs>
        <w:tab w:val="left" w:pos="500"/>
      </w:tabs>
      <w:spacing w:after="240"/>
      <w:ind w:left="504" w:hanging="504"/>
    </w:pPr>
    <w:rPr>
      <w:rFonts w:asciiTheme="minorHAnsi" w:eastAsiaTheme="minorHAnsi" w:hAnsiTheme="minorHAnsi" w:cstheme="minorBidi"/>
      <w:lang w:eastAsia="en-US"/>
    </w:rPr>
  </w:style>
  <w:style w:type="character" w:customStyle="1" w:styleId="apple-converted-space">
    <w:name w:val="apple-converted-space"/>
    <w:basedOn w:val="DefaultParagraphFont"/>
    <w:rsid w:val="005D3FF2"/>
  </w:style>
  <w:style w:type="paragraph" w:styleId="BalloonText">
    <w:name w:val="Balloon Text"/>
    <w:basedOn w:val="Normal"/>
    <w:link w:val="BalloonTextChar"/>
    <w:uiPriority w:val="99"/>
    <w:semiHidden/>
    <w:unhideWhenUsed/>
    <w:rsid w:val="00396066"/>
    <w:rPr>
      <w:sz w:val="18"/>
      <w:szCs w:val="18"/>
    </w:rPr>
  </w:style>
  <w:style w:type="character" w:customStyle="1" w:styleId="BalloonTextChar">
    <w:name w:val="Balloon Text Char"/>
    <w:basedOn w:val="DefaultParagraphFont"/>
    <w:link w:val="BalloonText"/>
    <w:uiPriority w:val="99"/>
    <w:semiHidden/>
    <w:rsid w:val="00396066"/>
    <w:rPr>
      <w:rFonts w:ascii="Times New Roman" w:eastAsia="Times New Roman" w:hAnsi="Times New Roman" w:cs="Times New Roman"/>
      <w:sz w:val="18"/>
      <w:szCs w:val="18"/>
      <w:lang w:eastAsia="en-GB"/>
    </w:rPr>
  </w:style>
  <w:style w:type="table" w:styleId="TableGrid">
    <w:name w:val="Table Grid"/>
    <w:basedOn w:val="TableNormal"/>
    <w:uiPriority w:val="39"/>
    <w:rsid w:val="00E05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6994"/>
    <w:rPr>
      <w:sz w:val="16"/>
      <w:szCs w:val="16"/>
    </w:rPr>
  </w:style>
  <w:style w:type="paragraph" w:styleId="CommentText">
    <w:name w:val="annotation text"/>
    <w:basedOn w:val="Normal"/>
    <w:link w:val="CommentTextChar"/>
    <w:uiPriority w:val="99"/>
    <w:semiHidden/>
    <w:unhideWhenUsed/>
    <w:rsid w:val="00F46994"/>
    <w:rPr>
      <w:sz w:val="20"/>
      <w:szCs w:val="20"/>
    </w:rPr>
  </w:style>
  <w:style w:type="character" w:customStyle="1" w:styleId="CommentTextChar">
    <w:name w:val="Comment Text Char"/>
    <w:basedOn w:val="DefaultParagraphFont"/>
    <w:link w:val="CommentText"/>
    <w:uiPriority w:val="99"/>
    <w:semiHidden/>
    <w:rsid w:val="00F4699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46994"/>
    <w:rPr>
      <w:b/>
      <w:bCs/>
    </w:rPr>
  </w:style>
  <w:style w:type="character" w:customStyle="1" w:styleId="CommentSubjectChar">
    <w:name w:val="Comment Subject Char"/>
    <w:basedOn w:val="CommentTextChar"/>
    <w:link w:val="CommentSubject"/>
    <w:uiPriority w:val="99"/>
    <w:semiHidden/>
    <w:rsid w:val="00F46994"/>
    <w:rPr>
      <w:rFonts w:ascii="Times New Roman" w:eastAsia="Times New Roman" w:hAnsi="Times New Roman" w:cs="Times New Roman"/>
      <w:b/>
      <w:bCs/>
      <w:sz w:val="20"/>
      <w:szCs w:val="20"/>
      <w:lang w:eastAsia="en-GB"/>
    </w:rPr>
  </w:style>
  <w:style w:type="character" w:customStyle="1" w:styleId="texhtml">
    <w:name w:val="texhtml"/>
    <w:basedOn w:val="DefaultParagraphFont"/>
    <w:rsid w:val="00E54B74"/>
  </w:style>
  <w:style w:type="paragraph" w:styleId="FootnoteText">
    <w:name w:val="footnote text"/>
    <w:basedOn w:val="Normal"/>
    <w:link w:val="FootnoteTextChar"/>
    <w:uiPriority w:val="99"/>
    <w:semiHidden/>
    <w:unhideWhenUsed/>
    <w:rsid w:val="0019705D"/>
    <w:rPr>
      <w:sz w:val="20"/>
      <w:szCs w:val="20"/>
    </w:rPr>
  </w:style>
  <w:style w:type="character" w:customStyle="1" w:styleId="FootnoteTextChar">
    <w:name w:val="Footnote Text Char"/>
    <w:basedOn w:val="DefaultParagraphFont"/>
    <w:link w:val="FootnoteText"/>
    <w:uiPriority w:val="99"/>
    <w:semiHidden/>
    <w:rsid w:val="0019705D"/>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19705D"/>
    <w:rPr>
      <w:vertAlign w:val="superscript"/>
    </w:rPr>
  </w:style>
  <w:style w:type="character" w:styleId="LineNumber">
    <w:name w:val="line number"/>
    <w:basedOn w:val="DefaultParagraphFont"/>
    <w:uiPriority w:val="99"/>
    <w:semiHidden/>
    <w:unhideWhenUsed/>
    <w:rsid w:val="00EB2F6F"/>
  </w:style>
  <w:style w:type="paragraph" w:styleId="Footer">
    <w:name w:val="footer"/>
    <w:basedOn w:val="Normal"/>
    <w:link w:val="FooterChar"/>
    <w:uiPriority w:val="99"/>
    <w:unhideWhenUsed/>
    <w:rsid w:val="00EB2F6F"/>
    <w:pPr>
      <w:tabs>
        <w:tab w:val="center" w:pos="4513"/>
        <w:tab w:val="right" w:pos="9026"/>
      </w:tabs>
    </w:pPr>
  </w:style>
  <w:style w:type="character" w:customStyle="1" w:styleId="FooterChar">
    <w:name w:val="Footer Char"/>
    <w:basedOn w:val="DefaultParagraphFont"/>
    <w:link w:val="Footer"/>
    <w:uiPriority w:val="99"/>
    <w:rsid w:val="00EB2F6F"/>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EB2F6F"/>
  </w:style>
  <w:style w:type="paragraph" w:styleId="NormalWeb">
    <w:name w:val="Normal (Web)"/>
    <w:basedOn w:val="Normal"/>
    <w:uiPriority w:val="99"/>
    <w:unhideWhenUsed/>
    <w:rsid w:val="00ED2CEF"/>
    <w:pPr>
      <w:spacing w:before="100" w:beforeAutospacing="1" w:after="100" w:afterAutospacing="1"/>
    </w:pPr>
  </w:style>
  <w:style w:type="character" w:styleId="Emphasis">
    <w:name w:val="Emphasis"/>
    <w:basedOn w:val="DefaultParagraphFont"/>
    <w:uiPriority w:val="20"/>
    <w:qFormat/>
    <w:rsid w:val="00FF2344"/>
    <w:rPr>
      <w:i/>
      <w:iCs/>
    </w:rPr>
  </w:style>
  <w:style w:type="character" w:styleId="EndnoteReference">
    <w:name w:val="endnote reference"/>
    <w:basedOn w:val="DefaultParagraphFont"/>
    <w:uiPriority w:val="99"/>
    <w:semiHidden/>
    <w:unhideWhenUsed/>
    <w:rsid w:val="009572CA"/>
    <w:rPr>
      <w:vertAlign w:val="superscript"/>
    </w:rPr>
  </w:style>
  <w:style w:type="character" w:customStyle="1" w:styleId="cit">
    <w:name w:val="cit"/>
    <w:basedOn w:val="DefaultParagraphFont"/>
    <w:rsid w:val="00927930"/>
  </w:style>
  <w:style w:type="character" w:customStyle="1" w:styleId="citation-doi">
    <w:name w:val="citation-doi"/>
    <w:basedOn w:val="DefaultParagraphFont"/>
    <w:rsid w:val="00927930"/>
  </w:style>
  <w:style w:type="character" w:customStyle="1" w:styleId="Heading1Char">
    <w:name w:val="Heading 1 Char"/>
    <w:basedOn w:val="DefaultParagraphFont"/>
    <w:link w:val="Heading1"/>
    <w:uiPriority w:val="9"/>
    <w:rsid w:val="00754A7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54A7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54A72"/>
    <w:rPr>
      <w:rFonts w:ascii="Times New Roman" w:eastAsia="Times New Roman" w:hAnsi="Times New Roman" w:cs="Times New Roman"/>
      <w:b/>
      <w:bCs/>
      <w:sz w:val="18"/>
      <w:szCs w:val="18"/>
      <w:lang w:eastAsia="en-GB"/>
    </w:rPr>
  </w:style>
  <w:style w:type="character" w:styleId="BookTitle">
    <w:name w:val="Book Title"/>
    <w:basedOn w:val="DefaultParagraphFont"/>
    <w:uiPriority w:val="33"/>
    <w:qFormat/>
    <w:rsid w:val="00754A72"/>
    <w:rPr>
      <w:b/>
      <w:bCs/>
      <w:i/>
      <w:iCs/>
      <w:spacing w:val="5"/>
    </w:rPr>
  </w:style>
  <w:style w:type="paragraph" w:styleId="Subtitle">
    <w:name w:val="Subtitle"/>
    <w:basedOn w:val="Normal"/>
    <w:next w:val="Normal"/>
    <w:link w:val="SubtitleChar"/>
    <w:uiPriority w:val="11"/>
    <w:qFormat/>
    <w:rsid w:val="00754A72"/>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754A72"/>
    <w:rPr>
      <w:rFonts w:eastAsiaTheme="minorEastAsia"/>
      <w:color w:val="5A5A5A" w:themeColor="text1" w:themeTint="A5"/>
      <w:spacing w:val="15"/>
      <w:sz w:val="22"/>
      <w:szCs w:val="22"/>
    </w:rPr>
  </w:style>
  <w:style w:type="paragraph" w:styleId="Title">
    <w:name w:val="Title"/>
    <w:basedOn w:val="Normal"/>
    <w:next w:val="Normal"/>
    <w:link w:val="TitleChar"/>
    <w:uiPriority w:val="10"/>
    <w:qFormat/>
    <w:rsid w:val="00754A72"/>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754A72"/>
    <w:rPr>
      <w:rFonts w:asciiTheme="majorHAnsi" w:eastAsiaTheme="majorEastAsia" w:hAnsiTheme="majorHAnsi" w:cstheme="majorBidi"/>
      <w:spacing w:val="-10"/>
      <w:kern w:val="28"/>
      <w:sz w:val="56"/>
      <w:szCs w:val="56"/>
    </w:rPr>
  </w:style>
  <w:style w:type="paragraph" w:customStyle="1" w:styleId="EndNoteBibliographyTitle">
    <w:name w:val="EndNote Bibliography Title"/>
    <w:basedOn w:val="Normal"/>
    <w:link w:val="EndNoteBibliographyTitleChar"/>
    <w:rsid w:val="00754A72"/>
    <w:pPr>
      <w:spacing w:line="259" w:lineRule="auto"/>
      <w:jc w:val="center"/>
    </w:pPr>
    <w:rPr>
      <w:rFonts w:ascii="Calibri" w:eastAsiaTheme="minorHAnsi" w:hAnsi="Calibri" w:cs="Calibri"/>
      <w:noProof/>
      <w:sz w:val="22"/>
      <w:szCs w:val="22"/>
      <w:lang w:val="en-US" w:eastAsia="en-US"/>
    </w:rPr>
  </w:style>
  <w:style w:type="character" w:customStyle="1" w:styleId="EndNoteBibliographyTitleChar">
    <w:name w:val="EndNote Bibliography Title Char"/>
    <w:basedOn w:val="DefaultParagraphFont"/>
    <w:link w:val="EndNoteBibliographyTitle"/>
    <w:rsid w:val="00754A72"/>
    <w:rPr>
      <w:rFonts w:ascii="Calibri" w:hAnsi="Calibri" w:cs="Calibri"/>
      <w:noProof/>
      <w:sz w:val="22"/>
      <w:szCs w:val="22"/>
      <w:lang w:val="en-US"/>
    </w:rPr>
  </w:style>
  <w:style w:type="paragraph" w:customStyle="1" w:styleId="EndNoteBibliography">
    <w:name w:val="EndNote Bibliography"/>
    <w:basedOn w:val="Normal"/>
    <w:link w:val="EndNoteBibliographyChar"/>
    <w:rsid w:val="00754A72"/>
    <w:pPr>
      <w:spacing w:after="160"/>
      <w:jc w:val="center"/>
    </w:pPr>
    <w:rPr>
      <w:rFonts w:ascii="Calibri" w:eastAsiaTheme="minorHAnsi" w:hAnsi="Calibri" w:cs="Calibri"/>
      <w:noProof/>
      <w:sz w:val="22"/>
      <w:szCs w:val="22"/>
      <w:lang w:val="en-US" w:eastAsia="en-US"/>
    </w:rPr>
  </w:style>
  <w:style w:type="character" w:customStyle="1" w:styleId="EndNoteBibliographyChar">
    <w:name w:val="EndNote Bibliography Char"/>
    <w:basedOn w:val="DefaultParagraphFont"/>
    <w:link w:val="EndNoteBibliography"/>
    <w:rsid w:val="00754A72"/>
    <w:rPr>
      <w:rFonts w:ascii="Calibri" w:hAnsi="Calibri" w:cs="Calibri"/>
      <w:noProof/>
      <w:sz w:val="22"/>
      <w:szCs w:val="22"/>
      <w:lang w:val="en-US"/>
    </w:rPr>
  </w:style>
  <w:style w:type="paragraph" w:customStyle="1" w:styleId="Default">
    <w:name w:val="Default"/>
    <w:rsid w:val="00754A72"/>
    <w:pPr>
      <w:widowControl w:val="0"/>
      <w:autoSpaceDE w:val="0"/>
      <w:autoSpaceDN w:val="0"/>
      <w:adjustRightInd w:val="0"/>
    </w:pPr>
    <w:rPr>
      <w:rFonts w:ascii="Calibri" w:eastAsia="Times New Roman" w:hAnsi="Calibri" w:cs="Calibri"/>
      <w:color w:val="000000"/>
      <w:lang w:val="en-CA" w:eastAsia="en-CA"/>
    </w:rPr>
  </w:style>
  <w:style w:type="character" w:customStyle="1" w:styleId="HTMLPreformattedChar">
    <w:name w:val="HTML Preformatted Char"/>
    <w:basedOn w:val="DefaultParagraphFont"/>
    <w:link w:val="HTMLPreformatted"/>
    <w:uiPriority w:val="99"/>
    <w:semiHidden/>
    <w:rsid w:val="00754A72"/>
    <w:rPr>
      <w:rFonts w:ascii="Courier New" w:eastAsia="Times New Roman" w:hAnsi="Courier New" w:cs="Courier New"/>
      <w:sz w:val="30"/>
      <w:szCs w:val="30"/>
      <w:lang w:eastAsia="en-GB"/>
    </w:rPr>
  </w:style>
  <w:style w:type="paragraph" w:styleId="HTMLPreformatted">
    <w:name w:val="HTML Preformatted"/>
    <w:basedOn w:val="Normal"/>
    <w:link w:val="HTMLPreformattedChar"/>
    <w:uiPriority w:val="99"/>
    <w:semiHidden/>
    <w:unhideWhenUsed/>
    <w:rsid w:val="00754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30"/>
      <w:szCs w:val="30"/>
    </w:rPr>
  </w:style>
  <w:style w:type="character" w:customStyle="1" w:styleId="HTMLPreformattedChar1">
    <w:name w:val="HTML Preformatted Char1"/>
    <w:basedOn w:val="DefaultParagraphFont"/>
    <w:uiPriority w:val="99"/>
    <w:semiHidden/>
    <w:rsid w:val="00754A72"/>
    <w:rPr>
      <w:rFonts w:ascii="Consolas" w:eastAsia="Times New Roman" w:hAnsi="Consolas" w:cs="Consolas"/>
      <w:sz w:val="20"/>
      <w:szCs w:val="20"/>
      <w:lang w:eastAsia="en-GB"/>
    </w:rPr>
  </w:style>
  <w:style w:type="character" w:customStyle="1" w:styleId="z-TopofFormChar">
    <w:name w:val="z-Top of Form Char"/>
    <w:basedOn w:val="DefaultParagraphFont"/>
    <w:link w:val="z-TopofForm"/>
    <w:uiPriority w:val="99"/>
    <w:semiHidden/>
    <w:rsid w:val="00754A72"/>
    <w:rPr>
      <w:rFonts w:ascii="Arial" w:eastAsia="Times New Roman" w:hAnsi="Arial" w:cs="Arial"/>
      <w:vanish/>
      <w:sz w:val="16"/>
      <w:szCs w:val="16"/>
      <w:lang w:eastAsia="en-GB"/>
    </w:rPr>
  </w:style>
  <w:style w:type="paragraph" w:styleId="z-TopofForm">
    <w:name w:val="HTML Top of Form"/>
    <w:basedOn w:val="Normal"/>
    <w:next w:val="Normal"/>
    <w:link w:val="z-TopofFormChar"/>
    <w:hidden/>
    <w:uiPriority w:val="99"/>
    <w:semiHidden/>
    <w:unhideWhenUsed/>
    <w:rsid w:val="00754A72"/>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754A72"/>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54A72"/>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754A72"/>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754A72"/>
    <w:rPr>
      <w:rFonts w:ascii="Arial" w:eastAsia="Times New Roman" w:hAnsi="Arial" w:cs="Arial"/>
      <w:vanish/>
      <w:sz w:val="16"/>
      <w:szCs w:val="16"/>
      <w:lang w:eastAsia="en-GB"/>
    </w:rPr>
  </w:style>
  <w:style w:type="character" w:customStyle="1" w:styleId="HeaderChar">
    <w:name w:val="Header Char"/>
    <w:basedOn w:val="DefaultParagraphFont"/>
    <w:link w:val="Header"/>
    <w:uiPriority w:val="99"/>
    <w:rsid w:val="00754A72"/>
    <w:rPr>
      <w:lang w:eastAsia="en-GB"/>
    </w:rPr>
  </w:style>
  <w:style w:type="paragraph" w:styleId="Header">
    <w:name w:val="header"/>
    <w:basedOn w:val="Normal"/>
    <w:link w:val="HeaderChar"/>
    <w:uiPriority w:val="99"/>
    <w:unhideWhenUsed/>
    <w:rsid w:val="00754A72"/>
    <w:pPr>
      <w:tabs>
        <w:tab w:val="center" w:pos="4513"/>
        <w:tab w:val="right" w:pos="9026"/>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754A72"/>
    <w:rPr>
      <w:rFonts w:ascii="Times New Roman" w:eastAsia="Times New Roman" w:hAnsi="Times New Roman" w:cs="Times New Roman"/>
      <w:lang w:eastAsia="en-GB"/>
    </w:rPr>
  </w:style>
  <w:style w:type="character" w:customStyle="1" w:styleId="FooterChar1">
    <w:name w:val="Footer Char1"/>
    <w:basedOn w:val="DefaultParagraphFont"/>
    <w:uiPriority w:val="99"/>
    <w:semiHidden/>
    <w:rsid w:val="00754A72"/>
    <w:rPr>
      <w:rFonts w:ascii="Times New Roman" w:eastAsia="Times New Roman" w:hAnsi="Times New Roman" w:cs="Times New Roman"/>
      <w:kern w:val="0"/>
      <w:lang w:eastAsia="en-GB"/>
      <w14:ligatures w14:val="none"/>
    </w:rPr>
  </w:style>
  <w:style w:type="character" w:customStyle="1" w:styleId="BalloonTextChar1">
    <w:name w:val="Balloon Text Char1"/>
    <w:basedOn w:val="DefaultParagraphFont"/>
    <w:uiPriority w:val="99"/>
    <w:semiHidden/>
    <w:rsid w:val="00754A72"/>
    <w:rPr>
      <w:rFonts w:ascii="Times New Roman" w:eastAsia="Times New Roman" w:hAnsi="Times New Roman" w:cs="Times New Roman"/>
      <w:kern w:val="0"/>
      <w:sz w:val="18"/>
      <w:szCs w:val="18"/>
      <w:lang w:eastAsia="en-GB"/>
      <w14:ligatures w14:val="none"/>
    </w:rPr>
  </w:style>
  <w:style w:type="character" w:customStyle="1" w:styleId="CommentTextChar1">
    <w:name w:val="Comment Text Char1"/>
    <w:basedOn w:val="DefaultParagraphFont"/>
    <w:uiPriority w:val="99"/>
    <w:semiHidden/>
    <w:rsid w:val="00754A72"/>
    <w:rPr>
      <w:rFonts w:ascii="Times New Roman" w:eastAsia="Times New Roman" w:hAnsi="Times New Roman" w:cs="Times New Roman"/>
      <w:kern w:val="0"/>
      <w:sz w:val="20"/>
      <w:szCs w:val="20"/>
      <w:lang w:eastAsia="en-GB"/>
      <w14:ligatures w14:val="none"/>
    </w:rPr>
  </w:style>
  <w:style w:type="character" w:customStyle="1" w:styleId="CommentSubjectChar1">
    <w:name w:val="Comment Subject Char1"/>
    <w:basedOn w:val="CommentTextChar1"/>
    <w:uiPriority w:val="99"/>
    <w:semiHidden/>
    <w:rsid w:val="00754A72"/>
    <w:rPr>
      <w:rFonts w:ascii="Times New Roman" w:eastAsia="Times New Roman" w:hAnsi="Times New Roman" w:cs="Times New Roman"/>
      <w:b/>
      <w:bCs/>
      <w:kern w:val="0"/>
      <w:sz w:val="20"/>
      <w:szCs w:val="20"/>
      <w:lang w:eastAsia="en-GB"/>
      <w14:ligatures w14:val="none"/>
    </w:rPr>
  </w:style>
  <w:style w:type="paragraph" w:customStyle="1" w:styleId="msonormal0">
    <w:name w:val="msonormal"/>
    <w:basedOn w:val="Normal"/>
    <w:rsid w:val="00754A72"/>
    <w:pPr>
      <w:spacing w:before="100" w:beforeAutospacing="1" w:after="360"/>
    </w:pPr>
  </w:style>
  <w:style w:type="paragraph" w:customStyle="1" w:styleId="ui-widget">
    <w:name w:val="ui-widget"/>
    <w:basedOn w:val="Normal"/>
    <w:rsid w:val="00754A72"/>
    <w:pPr>
      <w:spacing w:before="100" w:beforeAutospacing="1" w:after="360"/>
    </w:pPr>
    <w:rPr>
      <w:sz w:val="26"/>
      <w:szCs w:val="26"/>
    </w:rPr>
  </w:style>
  <w:style w:type="paragraph" w:customStyle="1" w:styleId="ui-widget-content">
    <w:name w:val="ui-widget-content"/>
    <w:basedOn w:val="Normal"/>
    <w:rsid w:val="00754A72"/>
    <w:pPr>
      <w:shd w:val="clear" w:color="auto" w:fill="FFFFFF"/>
      <w:spacing w:before="100" w:beforeAutospacing="1" w:after="360"/>
    </w:pPr>
    <w:rPr>
      <w:color w:val="222222"/>
    </w:rPr>
  </w:style>
  <w:style w:type="paragraph" w:customStyle="1" w:styleId="ui-widget-header">
    <w:name w:val="ui-widget-header"/>
    <w:basedOn w:val="Normal"/>
    <w:rsid w:val="00754A72"/>
    <w:pPr>
      <w:pBdr>
        <w:top w:val="single" w:sz="6" w:space="0" w:color="AAAAAA"/>
        <w:left w:val="single" w:sz="6" w:space="0" w:color="AAAAAA"/>
        <w:bottom w:val="single" w:sz="6" w:space="0" w:color="AAAAAA"/>
        <w:right w:val="single" w:sz="6" w:space="0" w:color="AAAAAA"/>
      </w:pBdr>
      <w:shd w:val="clear" w:color="auto" w:fill="CCCCCC"/>
      <w:spacing w:before="100" w:beforeAutospacing="1" w:after="360"/>
    </w:pPr>
    <w:rPr>
      <w:b/>
      <w:bCs/>
      <w:color w:val="222222"/>
    </w:rPr>
  </w:style>
  <w:style w:type="paragraph" w:customStyle="1" w:styleId="ui-state-default">
    <w:name w:val="ui-state-default"/>
    <w:basedOn w:val="Normal"/>
    <w:rsid w:val="00754A72"/>
    <w:pPr>
      <w:pBdr>
        <w:top w:val="single" w:sz="6" w:space="0" w:color="D3D3D3"/>
        <w:left w:val="single" w:sz="6" w:space="0" w:color="D3D3D3"/>
        <w:bottom w:val="single" w:sz="6" w:space="0" w:color="D3D3D3"/>
        <w:right w:val="single" w:sz="6" w:space="0" w:color="D3D3D3"/>
      </w:pBdr>
      <w:shd w:val="clear" w:color="auto" w:fill="E6E6E6"/>
      <w:spacing w:before="100" w:beforeAutospacing="1" w:after="360"/>
    </w:pPr>
    <w:rPr>
      <w:color w:val="555555"/>
    </w:rPr>
  </w:style>
  <w:style w:type="paragraph" w:customStyle="1" w:styleId="ui-state-hover">
    <w:name w:val="ui-state-hover"/>
    <w:basedOn w:val="Normal"/>
    <w:rsid w:val="00754A72"/>
    <w:pPr>
      <w:pBdr>
        <w:top w:val="single" w:sz="6" w:space="0" w:color="999999"/>
        <w:left w:val="single" w:sz="6" w:space="0" w:color="999999"/>
        <w:bottom w:val="single" w:sz="6" w:space="0" w:color="999999"/>
        <w:right w:val="single" w:sz="6" w:space="0" w:color="999999"/>
      </w:pBdr>
      <w:shd w:val="clear" w:color="auto" w:fill="DADADA"/>
      <w:spacing w:before="100" w:beforeAutospacing="1" w:after="360"/>
    </w:pPr>
    <w:rPr>
      <w:color w:val="212121"/>
    </w:rPr>
  </w:style>
  <w:style w:type="paragraph" w:customStyle="1" w:styleId="ui-state-focus">
    <w:name w:val="ui-state-focus"/>
    <w:basedOn w:val="Normal"/>
    <w:rsid w:val="00754A72"/>
    <w:pPr>
      <w:pBdr>
        <w:top w:val="single" w:sz="6" w:space="0" w:color="999999"/>
        <w:left w:val="single" w:sz="6" w:space="0" w:color="999999"/>
        <w:bottom w:val="single" w:sz="6" w:space="0" w:color="999999"/>
        <w:right w:val="single" w:sz="6" w:space="0" w:color="999999"/>
      </w:pBdr>
      <w:shd w:val="clear" w:color="auto" w:fill="DADADA"/>
      <w:spacing w:before="100" w:beforeAutospacing="1" w:after="360"/>
    </w:pPr>
    <w:rPr>
      <w:color w:val="212121"/>
    </w:rPr>
  </w:style>
  <w:style w:type="paragraph" w:customStyle="1" w:styleId="ui-state-active">
    <w:name w:val="ui-state-active"/>
    <w:basedOn w:val="Normal"/>
    <w:rsid w:val="00754A72"/>
    <w:pPr>
      <w:pBdr>
        <w:top w:val="single" w:sz="6" w:space="0" w:color="AAAAAA"/>
        <w:left w:val="single" w:sz="6" w:space="0" w:color="AAAAAA"/>
        <w:bottom w:val="single" w:sz="6" w:space="0" w:color="AAAAAA"/>
        <w:right w:val="single" w:sz="6" w:space="0" w:color="AAAAAA"/>
      </w:pBdr>
      <w:shd w:val="clear" w:color="auto" w:fill="FFFFFF"/>
      <w:spacing w:before="100" w:beforeAutospacing="1" w:after="360"/>
    </w:pPr>
    <w:rPr>
      <w:color w:val="212121"/>
    </w:rPr>
  </w:style>
  <w:style w:type="paragraph" w:customStyle="1" w:styleId="ui-state-highlight">
    <w:name w:val="ui-state-highlight"/>
    <w:basedOn w:val="Normal"/>
    <w:rsid w:val="00754A72"/>
    <w:pPr>
      <w:pBdr>
        <w:top w:val="single" w:sz="6" w:space="0" w:color="FCEFA1"/>
        <w:left w:val="single" w:sz="6" w:space="0" w:color="FCEFA1"/>
        <w:bottom w:val="single" w:sz="6" w:space="0" w:color="FCEFA1"/>
        <w:right w:val="single" w:sz="6" w:space="0" w:color="FCEFA1"/>
      </w:pBdr>
      <w:shd w:val="clear" w:color="auto" w:fill="FBF9EE"/>
      <w:spacing w:before="100" w:beforeAutospacing="1" w:after="360"/>
    </w:pPr>
    <w:rPr>
      <w:color w:val="363636"/>
    </w:rPr>
  </w:style>
  <w:style w:type="paragraph" w:customStyle="1" w:styleId="ui-state-error">
    <w:name w:val="ui-state-error"/>
    <w:basedOn w:val="Normal"/>
    <w:rsid w:val="00754A72"/>
    <w:pPr>
      <w:pBdr>
        <w:top w:val="single" w:sz="6" w:space="0" w:color="CD0A0A"/>
        <w:left w:val="single" w:sz="6" w:space="0" w:color="CD0A0A"/>
        <w:bottom w:val="single" w:sz="6" w:space="0" w:color="CD0A0A"/>
        <w:right w:val="single" w:sz="6" w:space="0" w:color="CD0A0A"/>
      </w:pBdr>
      <w:shd w:val="clear" w:color="auto" w:fill="FEF1EC"/>
      <w:spacing w:before="100" w:beforeAutospacing="1" w:after="360"/>
    </w:pPr>
    <w:rPr>
      <w:color w:val="CD0A0A"/>
    </w:rPr>
  </w:style>
  <w:style w:type="paragraph" w:customStyle="1" w:styleId="ui-state-error-text">
    <w:name w:val="ui-state-error-text"/>
    <w:basedOn w:val="Normal"/>
    <w:rsid w:val="00754A72"/>
    <w:pPr>
      <w:spacing w:before="100" w:beforeAutospacing="1" w:after="360"/>
    </w:pPr>
    <w:rPr>
      <w:color w:val="CD0A0A"/>
    </w:rPr>
  </w:style>
  <w:style w:type="paragraph" w:customStyle="1" w:styleId="ui-state-disabled">
    <w:name w:val="ui-state-disabled"/>
    <w:basedOn w:val="Normal"/>
    <w:rsid w:val="00754A72"/>
    <w:pPr>
      <w:spacing w:before="100" w:beforeAutospacing="1" w:after="360"/>
    </w:pPr>
  </w:style>
  <w:style w:type="paragraph" w:customStyle="1" w:styleId="ui-priority-primary">
    <w:name w:val="ui-priority-primary"/>
    <w:basedOn w:val="Normal"/>
    <w:rsid w:val="00754A72"/>
    <w:pPr>
      <w:spacing w:before="100" w:beforeAutospacing="1" w:after="360"/>
    </w:pPr>
    <w:rPr>
      <w:b/>
      <w:bCs/>
    </w:rPr>
  </w:style>
  <w:style w:type="paragraph" w:customStyle="1" w:styleId="ui-priority-secondary">
    <w:name w:val="ui-priority-secondary"/>
    <w:basedOn w:val="Normal"/>
    <w:rsid w:val="00754A72"/>
    <w:pPr>
      <w:spacing w:before="100" w:beforeAutospacing="1" w:after="360"/>
    </w:pPr>
  </w:style>
  <w:style w:type="paragraph" w:customStyle="1" w:styleId="ui-icon">
    <w:name w:val="ui-icon"/>
    <w:basedOn w:val="Normal"/>
    <w:rsid w:val="00754A72"/>
    <w:pPr>
      <w:spacing w:before="100" w:beforeAutospacing="1" w:after="360"/>
    </w:pPr>
  </w:style>
  <w:style w:type="paragraph" w:customStyle="1" w:styleId="ui-widget-overlay">
    <w:name w:val="ui-widget-overlay"/>
    <w:basedOn w:val="Normal"/>
    <w:rsid w:val="00754A72"/>
    <w:pPr>
      <w:shd w:val="clear" w:color="auto" w:fill="AAAAAA"/>
      <w:spacing w:before="100" w:beforeAutospacing="1" w:after="360"/>
    </w:pPr>
  </w:style>
  <w:style w:type="paragraph" w:customStyle="1" w:styleId="ui-widget-shadow">
    <w:name w:val="ui-widget-shadow"/>
    <w:basedOn w:val="Normal"/>
    <w:rsid w:val="00754A72"/>
    <w:pPr>
      <w:shd w:val="clear" w:color="auto" w:fill="AAAAAA"/>
      <w:ind w:left="-60"/>
    </w:pPr>
  </w:style>
  <w:style w:type="paragraph" w:customStyle="1" w:styleId="acresults">
    <w:name w:val="ac_results"/>
    <w:basedOn w:val="Normal"/>
    <w:rsid w:val="00754A72"/>
    <w:pPr>
      <w:pBdr>
        <w:top w:val="single" w:sz="6" w:space="0" w:color="000000"/>
        <w:left w:val="single" w:sz="6" w:space="0" w:color="000000"/>
        <w:bottom w:val="single" w:sz="6" w:space="0" w:color="000000"/>
        <w:right w:val="single" w:sz="6" w:space="0" w:color="000000"/>
      </w:pBdr>
      <w:shd w:val="clear" w:color="auto" w:fill="FFFFFF"/>
      <w:spacing w:before="100" w:beforeAutospacing="1" w:after="360"/>
    </w:pPr>
  </w:style>
  <w:style w:type="paragraph" w:customStyle="1" w:styleId="acloading">
    <w:name w:val="ac_loading"/>
    <w:basedOn w:val="Normal"/>
    <w:rsid w:val="00754A72"/>
    <w:pPr>
      <w:shd w:val="clear" w:color="auto" w:fill="FFFFFF"/>
      <w:spacing w:before="100" w:beforeAutospacing="1" w:after="360"/>
    </w:pPr>
  </w:style>
  <w:style w:type="paragraph" w:customStyle="1" w:styleId="acodd">
    <w:name w:val="ac_odd"/>
    <w:basedOn w:val="Normal"/>
    <w:rsid w:val="00754A72"/>
    <w:pPr>
      <w:shd w:val="clear" w:color="auto" w:fill="EEEEEE"/>
      <w:spacing w:before="100" w:beforeAutospacing="1" w:after="360"/>
    </w:pPr>
  </w:style>
  <w:style w:type="paragraph" w:customStyle="1" w:styleId="acover">
    <w:name w:val="ac_over"/>
    <w:basedOn w:val="Normal"/>
    <w:rsid w:val="00754A72"/>
    <w:pPr>
      <w:shd w:val="clear" w:color="auto" w:fill="0A246A"/>
      <w:spacing w:before="100" w:beforeAutospacing="1" w:after="360"/>
    </w:pPr>
    <w:rPr>
      <w:color w:val="FFFFFF"/>
    </w:rPr>
  </w:style>
  <w:style w:type="paragraph" w:customStyle="1" w:styleId="treeview">
    <w:name w:val="treeview"/>
    <w:basedOn w:val="Normal"/>
    <w:rsid w:val="00754A72"/>
  </w:style>
  <w:style w:type="paragraph" w:customStyle="1" w:styleId="tabs-nav">
    <w:name w:val="tabs-nav"/>
    <w:basedOn w:val="Normal"/>
    <w:rsid w:val="00754A72"/>
  </w:style>
  <w:style w:type="paragraph" w:customStyle="1" w:styleId="tabs-container">
    <w:name w:val="tabs-container"/>
    <w:basedOn w:val="Normal"/>
    <w:rsid w:val="00754A72"/>
    <w:pPr>
      <w:pBdr>
        <w:top w:val="single" w:sz="6" w:space="12" w:color="97A5B0"/>
      </w:pBdr>
      <w:shd w:val="clear" w:color="auto" w:fill="FFFFFF"/>
      <w:spacing w:before="100" w:beforeAutospacing="1" w:after="360"/>
    </w:pPr>
  </w:style>
  <w:style w:type="paragraph" w:customStyle="1" w:styleId="projectitemerror">
    <w:name w:val="project_item_error"/>
    <w:basedOn w:val="Normal"/>
    <w:rsid w:val="00754A72"/>
    <w:pPr>
      <w:spacing w:before="100" w:beforeAutospacing="1" w:after="240"/>
      <w:ind w:left="720"/>
    </w:pPr>
    <w:rPr>
      <w:b/>
      <w:bCs/>
      <w:i/>
      <w:iCs/>
      <w:color w:val="EE014C"/>
      <w:sz w:val="28"/>
      <w:szCs w:val="28"/>
    </w:rPr>
  </w:style>
  <w:style w:type="paragraph" w:customStyle="1" w:styleId="leftcontrol">
    <w:name w:val="left_control"/>
    <w:basedOn w:val="Normal"/>
    <w:rsid w:val="00754A72"/>
    <w:pPr>
      <w:spacing w:before="100" w:beforeAutospacing="1" w:after="360"/>
    </w:pPr>
  </w:style>
  <w:style w:type="paragraph" w:customStyle="1" w:styleId="centercontrol">
    <w:name w:val="center_control"/>
    <w:basedOn w:val="Normal"/>
    <w:rsid w:val="00754A72"/>
    <w:pPr>
      <w:spacing w:before="100" w:beforeAutospacing="1" w:after="360"/>
      <w:jc w:val="center"/>
    </w:pPr>
  </w:style>
  <w:style w:type="paragraph" w:customStyle="1" w:styleId="project-print">
    <w:name w:val="project-print"/>
    <w:basedOn w:val="Normal"/>
    <w:rsid w:val="00754A72"/>
    <w:pPr>
      <w:spacing w:before="100" w:beforeAutospacing="1" w:after="360"/>
    </w:pPr>
  </w:style>
  <w:style w:type="paragraph" w:customStyle="1" w:styleId="project-email">
    <w:name w:val="project-email"/>
    <w:basedOn w:val="Normal"/>
    <w:rsid w:val="00754A72"/>
    <w:pPr>
      <w:spacing w:before="100" w:beforeAutospacing="1" w:after="360"/>
    </w:pPr>
  </w:style>
  <w:style w:type="paragraph" w:customStyle="1" w:styleId="project-export">
    <w:name w:val="project-export"/>
    <w:basedOn w:val="Normal"/>
    <w:rsid w:val="00754A72"/>
    <w:pPr>
      <w:spacing w:before="100" w:beforeAutospacing="1" w:after="360"/>
    </w:pPr>
  </w:style>
  <w:style w:type="paragraph" w:customStyle="1" w:styleId="project-remove">
    <w:name w:val="project-remove"/>
    <w:basedOn w:val="Normal"/>
    <w:rsid w:val="00754A72"/>
    <w:pPr>
      <w:spacing w:before="100" w:beforeAutospacing="1" w:after="360"/>
    </w:pPr>
  </w:style>
  <w:style w:type="paragraph" w:customStyle="1" w:styleId="projects-control-link">
    <w:name w:val="projects-control-link"/>
    <w:basedOn w:val="Normal"/>
    <w:rsid w:val="00754A72"/>
    <w:pPr>
      <w:spacing w:before="100" w:beforeAutospacing="1" w:after="360"/>
    </w:pPr>
    <w:rPr>
      <w:sz w:val="19"/>
      <w:szCs w:val="19"/>
    </w:rPr>
  </w:style>
  <w:style w:type="paragraph" w:customStyle="1" w:styleId="submit">
    <w:name w:val="submit"/>
    <w:basedOn w:val="Normal"/>
    <w:rsid w:val="00754A72"/>
    <w:pPr>
      <w:spacing w:before="100" w:beforeAutospacing="1" w:after="360"/>
    </w:pPr>
    <w:rPr>
      <w:rFonts w:ascii="Helvetica" w:hAnsi="Helvetica" w:cs="Helvetica"/>
      <w:b/>
      <w:bCs/>
      <w:color w:val="0768A9"/>
    </w:rPr>
  </w:style>
  <w:style w:type="paragraph" w:customStyle="1" w:styleId="standard-button">
    <w:name w:val="standard-button"/>
    <w:basedOn w:val="Normal"/>
    <w:rsid w:val="00754A72"/>
    <w:pPr>
      <w:spacing w:before="100" w:beforeAutospacing="1" w:after="360"/>
    </w:pPr>
    <w:rPr>
      <w:rFonts w:ascii="Helvetica" w:hAnsi="Helvetica" w:cs="Helvetica"/>
    </w:rPr>
  </w:style>
  <w:style w:type="paragraph" w:customStyle="1" w:styleId="booklist-nav-button">
    <w:name w:val="booklist-nav-button"/>
    <w:basedOn w:val="Normal"/>
    <w:rsid w:val="00754A72"/>
    <w:pPr>
      <w:spacing w:before="100" w:beforeAutospacing="1" w:after="360"/>
    </w:pPr>
    <w:rPr>
      <w:rFonts w:ascii="Helvetica" w:hAnsi="Helvetica" w:cs="Helvetica"/>
    </w:rPr>
  </w:style>
  <w:style w:type="paragraph" w:customStyle="1" w:styleId="marc-nav-button">
    <w:name w:val="marc-nav-button"/>
    <w:basedOn w:val="Normal"/>
    <w:rsid w:val="00754A72"/>
    <w:pPr>
      <w:spacing w:before="100" w:beforeAutospacing="1" w:after="360"/>
    </w:pPr>
    <w:rPr>
      <w:rFonts w:ascii="Helvetica" w:hAnsi="Helvetica" w:cs="Helvetica"/>
    </w:rPr>
  </w:style>
  <w:style w:type="paragraph" w:customStyle="1" w:styleId="toc-nav-button">
    <w:name w:val="toc-nav-button"/>
    <w:basedOn w:val="Normal"/>
    <w:rsid w:val="00754A72"/>
    <w:pPr>
      <w:spacing w:before="100" w:beforeAutospacing="1" w:after="360"/>
    </w:pPr>
    <w:rPr>
      <w:rFonts w:ascii="Helvetica" w:hAnsi="Helvetica" w:cs="Helvetica"/>
    </w:rPr>
  </w:style>
  <w:style w:type="paragraph" w:customStyle="1" w:styleId="titles-nav-button">
    <w:name w:val="titles-nav-button"/>
    <w:basedOn w:val="Normal"/>
    <w:rsid w:val="00754A72"/>
    <w:pPr>
      <w:spacing w:before="100" w:beforeAutospacing="1" w:after="360"/>
    </w:pPr>
    <w:rPr>
      <w:rFonts w:ascii="Helvetica" w:hAnsi="Helvetica" w:cs="Helvetica"/>
    </w:rPr>
  </w:style>
  <w:style w:type="paragraph" w:customStyle="1" w:styleId="titles-inline-abstract-closed">
    <w:name w:val="titles-inline-abstract-closed"/>
    <w:basedOn w:val="Normal"/>
    <w:rsid w:val="00754A72"/>
    <w:pPr>
      <w:spacing w:before="100" w:beforeAutospacing="1" w:after="360"/>
    </w:pPr>
    <w:rPr>
      <w:rFonts w:ascii="Helvetica" w:hAnsi="Helvetica" w:cs="Helvetica"/>
    </w:rPr>
  </w:style>
  <w:style w:type="paragraph" w:customStyle="1" w:styleId="titles-inline-abstract-open">
    <w:name w:val="titles-inline-abstract-open"/>
    <w:basedOn w:val="Normal"/>
    <w:rsid w:val="00754A72"/>
    <w:pPr>
      <w:spacing w:before="100" w:beforeAutospacing="1" w:after="360"/>
    </w:pPr>
    <w:rPr>
      <w:rFonts w:ascii="Helvetica" w:hAnsi="Helvetica" w:cs="Helvetica"/>
    </w:rPr>
  </w:style>
  <w:style w:type="paragraph" w:customStyle="1" w:styleId="titles-inline-annotation-closed">
    <w:name w:val="titles-inline-annotation-closed"/>
    <w:basedOn w:val="Normal"/>
    <w:rsid w:val="00754A72"/>
    <w:pPr>
      <w:spacing w:before="100" w:beforeAutospacing="1" w:after="360"/>
    </w:pPr>
    <w:rPr>
      <w:rFonts w:ascii="Helvetica" w:hAnsi="Helvetica" w:cs="Helvetica"/>
    </w:rPr>
  </w:style>
  <w:style w:type="paragraph" w:customStyle="1" w:styleId="titles-inline-annotation-open">
    <w:name w:val="titles-inline-annotation-open"/>
    <w:basedOn w:val="Normal"/>
    <w:rsid w:val="00754A72"/>
    <w:pPr>
      <w:spacing w:before="100" w:beforeAutospacing="1" w:after="360"/>
    </w:pPr>
    <w:rPr>
      <w:rFonts w:ascii="Helvetica" w:hAnsi="Helvetica" w:cs="Helvetica"/>
    </w:rPr>
  </w:style>
  <w:style w:type="paragraph" w:customStyle="1" w:styleId="gbutton">
    <w:name w:val="gbutton"/>
    <w:basedOn w:val="Normal"/>
    <w:rsid w:val="00754A72"/>
    <w:pPr>
      <w:spacing w:before="100" w:beforeAutospacing="1" w:after="360"/>
    </w:pPr>
  </w:style>
  <w:style w:type="paragraph" w:customStyle="1" w:styleId="noborder">
    <w:name w:val="noborder"/>
    <w:basedOn w:val="Normal"/>
    <w:rsid w:val="00754A72"/>
    <w:pPr>
      <w:spacing w:before="100" w:beforeAutospacing="1" w:after="360"/>
    </w:pPr>
  </w:style>
  <w:style w:type="paragraph" w:customStyle="1" w:styleId="widget-move-button">
    <w:name w:val="widget-move-button"/>
    <w:basedOn w:val="Normal"/>
    <w:rsid w:val="00754A72"/>
    <w:pPr>
      <w:spacing w:before="100" w:beforeAutospacing="1" w:after="360"/>
    </w:pPr>
  </w:style>
  <w:style w:type="paragraph" w:customStyle="1" w:styleId="standard-buttondisabled">
    <w:name w:val="standard-button[disabled]"/>
    <w:basedOn w:val="Normal"/>
    <w:rsid w:val="00754A72"/>
    <w:pPr>
      <w:spacing w:before="100" w:beforeAutospacing="1" w:after="360"/>
    </w:pPr>
    <w:rPr>
      <w:color w:val="B9B9B9"/>
    </w:rPr>
  </w:style>
  <w:style w:type="paragraph" w:customStyle="1" w:styleId="delete-group-disableddisabled">
    <w:name w:val="delete-group-disabled[disabled]"/>
    <w:basedOn w:val="Normal"/>
    <w:rsid w:val="00754A72"/>
    <w:pPr>
      <w:spacing w:before="100" w:beforeAutospacing="1" w:after="360"/>
    </w:pPr>
    <w:rPr>
      <w:color w:val="B9B9B9"/>
    </w:rPr>
  </w:style>
  <w:style w:type="paragraph" w:customStyle="1" w:styleId="standard-buttonbar">
    <w:name w:val="standard-buttonbar"/>
    <w:basedOn w:val="Normal"/>
    <w:rsid w:val="00754A72"/>
    <w:pPr>
      <w:spacing w:before="180" w:after="180"/>
    </w:pPr>
  </w:style>
  <w:style w:type="paragraph" w:customStyle="1" w:styleId="loading">
    <w:name w:val="loading"/>
    <w:basedOn w:val="Normal"/>
    <w:rsid w:val="00754A72"/>
    <w:pPr>
      <w:spacing w:before="100" w:beforeAutospacing="1" w:after="360"/>
    </w:pPr>
  </w:style>
  <w:style w:type="paragraph" w:customStyle="1" w:styleId="dberror">
    <w:name w:val="dberror"/>
    <w:basedOn w:val="Normal"/>
    <w:rsid w:val="00754A72"/>
    <w:pPr>
      <w:spacing w:before="100" w:beforeAutospacing="1" w:after="360"/>
    </w:pPr>
  </w:style>
  <w:style w:type="paragraph" w:customStyle="1" w:styleId="error">
    <w:name w:val="error"/>
    <w:basedOn w:val="Normal"/>
    <w:rsid w:val="00754A72"/>
    <w:pPr>
      <w:shd w:val="clear" w:color="auto" w:fill="F2EB77"/>
      <w:spacing w:before="90" w:after="90"/>
    </w:pPr>
    <w:rPr>
      <w:b/>
      <w:bCs/>
      <w:color w:val="0A0905"/>
    </w:rPr>
  </w:style>
  <w:style w:type="paragraph" w:customStyle="1" w:styleId="warning">
    <w:name w:val="warning"/>
    <w:basedOn w:val="Normal"/>
    <w:rsid w:val="00754A72"/>
    <w:pPr>
      <w:pBdr>
        <w:top w:val="single" w:sz="18" w:space="0" w:color="EE014C"/>
        <w:left w:val="single" w:sz="18" w:space="0" w:color="EE014C"/>
        <w:bottom w:val="single" w:sz="18" w:space="0" w:color="EE014C"/>
        <w:right w:val="single" w:sz="18" w:space="0" w:color="EE014C"/>
      </w:pBdr>
      <w:shd w:val="clear" w:color="auto" w:fill="ECEAF4"/>
      <w:spacing w:before="90" w:after="90"/>
    </w:pPr>
    <w:rPr>
      <w:b/>
      <w:bCs/>
      <w:color w:val="EE014C"/>
    </w:rPr>
  </w:style>
  <w:style w:type="paragraph" w:customStyle="1" w:styleId="info">
    <w:name w:val="info"/>
    <w:basedOn w:val="Normal"/>
    <w:rsid w:val="00754A72"/>
    <w:pPr>
      <w:pBdr>
        <w:top w:val="single" w:sz="18" w:space="0" w:color="ABCCE2"/>
        <w:left w:val="single" w:sz="18" w:space="0" w:color="ABCCE2"/>
        <w:bottom w:val="single" w:sz="18" w:space="0" w:color="ABCCE2"/>
        <w:right w:val="single" w:sz="18" w:space="0" w:color="ABCCE2"/>
      </w:pBdr>
      <w:shd w:val="clear" w:color="auto" w:fill="FFFFFF"/>
      <w:spacing w:before="90" w:after="90"/>
    </w:pPr>
    <w:rPr>
      <w:b/>
      <w:bCs/>
      <w:color w:val="0A0905"/>
    </w:rPr>
  </w:style>
  <w:style w:type="paragraph" w:customStyle="1" w:styleId="hints">
    <w:name w:val="hints"/>
    <w:basedOn w:val="Normal"/>
    <w:rsid w:val="00754A72"/>
    <w:pPr>
      <w:pBdr>
        <w:top w:val="single" w:sz="18" w:space="0" w:color="6EBB1F"/>
        <w:left w:val="single" w:sz="18" w:space="0" w:color="6EBB1F"/>
        <w:bottom w:val="single" w:sz="18" w:space="0" w:color="6EBB1F"/>
        <w:right w:val="single" w:sz="18" w:space="0" w:color="6EBB1F"/>
      </w:pBdr>
      <w:shd w:val="clear" w:color="auto" w:fill="FFFFFF"/>
      <w:spacing w:before="90" w:after="90"/>
    </w:pPr>
    <w:rPr>
      <w:b/>
      <w:bCs/>
      <w:color w:val="0A0905"/>
    </w:rPr>
  </w:style>
  <w:style w:type="paragraph" w:customStyle="1" w:styleId="success">
    <w:name w:val="success"/>
    <w:basedOn w:val="Normal"/>
    <w:rsid w:val="00754A72"/>
    <w:pPr>
      <w:pBdr>
        <w:top w:val="single" w:sz="18" w:space="0" w:color="6EBB1F"/>
        <w:left w:val="single" w:sz="18" w:space="0" w:color="6EBB1F"/>
        <w:bottom w:val="single" w:sz="18" w:space="0" w:color="6EBB1F"/>
        <w:right w:val="single" w:sz="18" w:space="0" w:color="6EBB1F"/>
      </w:pBdr>
      <w:shd w:val="clear" w:color="auto" w:fill="FFFFFF"/>
      <w:spacing w:before="90" w:after="90"/>
    </w:pPr>
    <w:rPr>
      <w:b/>
      <w:bCs/>
      <w:color w:val="0A0905"/>
    </w:rPr>
  </w:style>
  <w:style w:type="paragraph" w:customStyle="1" w:styleId="error-background-color">
    <w:name w:val="error-background-color"/>
    <w:basedOn w:val="Normal"/>
    <w:rsid w:val="00754A72"/>
    <w:pPr>
      <w:shd w:val="clear" w:color="auto" w:fill="F2EB77"/>
      <w:spacing w:before="100" w:beforeAutospacing="1" w:after="360"/>
    </w:pPr>
  </w:style>
  <w:style w:type="paragraph" w:customStyle="1" w:styleId="error-subtext">
    <w:name w:val="error-subtext"/>
    <w:basedOn w:val="Normal"/>
    <w:rsid w:val="00754A72"/>
    <w:pPr>
      <w:spacing w:before="100" w:beforeAutospacing="1" w:after="360"/>
    </w:pPr>
  </w:style>
  <w:style w:type="paragraph" w:customStyle="1" w:styleId="sectionheader">
    <w:name w:val="sectionheader"/>
    <w:basedOn w:val="Normal"/>
    <w:rsid w:val="00754A72"/>
    <w:pPr>
      <w:shd w:val="clear" w:color="auto" w:fill="B9B9B9"/>
      <w:spacing w:before="150" w:after="30"/>
    </w:pPr>
    <w:rPr>
      <w:b/>
      <w:bCs/>
    </w:rPr>
  </w:style>
  <w:style w:type="paragraph" w:customStyle="1" w:styleId="standdarddivider">
    <w:name w:val="standdarddivider"/>
    <w:basedOn w:val="Normal"/>
    <w:rsid w:val="00754A72"/>
    <w:pPr>
      <w:spacing w:before="100" w:beforeAutospacing="1" w:after="360"/>
    </w:pPr>
  </w:style>
  <w:style w:type="paragraph" w:customStyle="1" w:styleId="even">
    <w:name w:val="even"/>
    <w:basedOn w:val="Normal"/>
    <w:rsid w:val="00754A72"/>
    <w:pPr>
      <w:shd w:val="clear" w:color="auto" w:fill="FFFFFF"/>
      <w:spacing w:before="100" w:beforeAutospacing="1" w:after="360"/>
    </w:pPr>
  </w:style>
  <w:style w:type="paragraph" w:customStyle="1" w:styleId="odd">
    <w:name w:val="odd"/>
    <w:basedOn w:val="Normal"/>
    <w:rsid w:val="00754A72"/>
    <w:pPr>
      <w:shd w:val="clear" w:color="auto" w:fill="FFFFFF"/>
      <w:spacing w:before="100" w:beforeAutospacing="1" w:after="360"/>
    </w:pPr>
  </w:style>
  <w:style w:type="paragraph" w:customStyle="1" w:styleId="highlighted">
    <w:name w:val="highlighted"/>
    <w:basedOn w:val="Normal"/>
    <w:rsid w:val="00754A72"/>
    <w:pPr>
      <w:shd w:val="clear" w:color="auto" w:fill="ABCCE2"/>
      <w:spacing w:before="100" w:beforeAutospacing="1" w:after="360"/>
    </w:pPr>
  </w:style>
  <w:style w:type="paragraph" w:customStyle="1" w:styleId="paging">
    <w:name w:val="paging"/>
    <w:basedOn w:val="Normal"/>
    <w:rsid w:val="00754A72"/>
    <w:pPr>
      <w:shd w:val="clear" w:color="auto" w:fill="B9B9B9"/>
      <w:spacing w:before="100" w:beforeAutospacing="1" w:after="360"/>
    </w:pPr>
  </w:style>
  <w:style w:type="paragraph" w:customStyle="1" w:styleId="userinput-missing">
    <w:name w:val="userinput-missing"/>
    <w:basedOn w:val="Normal"/>
    <w:rsid w:val="00754A72"/>
    <w:pPr>
      <w:spacing w:before="100" w:beforeAutospacing="1" w:after="360"/>
    </w:pPr>
    <w:rPr>
      <w:color w:val="EE014C"/>
    </w:rPr>
  </w:style>
  <w:style w:type="paragraph" w:customStyle="1" w:styleId="searchhints">
    <w:name w:val="searchhints"/>
    <w:basedOn w:val="Normal"/>
    <w:rsid w:val="00754A72"/>
    <w:pPr>
      <w:spacing w:before="100" w:beforeAutospacing="1" w:after="360"/>
    </w:pPr>
  </w:style>
  <w:style w:type="paragraph" w:customStyle="1" w:styleId="buttonbar">
    <w:name w:val="buttonbar"/>
    <w:basedOn w:val="Normal"/>
    <w:rsid w:val="00754A72"/>
    <w:pPr>
      <w:spacing w:before="180" w:after="180"/>
    </w:pPr>
  </w:style>
  <w:style w:type="paragraph" w:customStyle="1" w:styleId="clearfix">
    <w:name w:val="clearfix"/>
    <w:basedOn w:val="Normal"/>
    <w:rsid w:val="00754A72"/>
    <w:pPr>
      <w:spacing w:before="100" w:beforeAutospacing="1" w:after="360"/>
    </w:pPr>
  </w:style>
  <w:style w:type="paragraph" w:customStyle="1" w:styleId="dbname">
    <w:name w:val="dbname"/>
    <w:basedOn w:val="Normal"/>
    <w:rsid w:val="00754A72"/>
    <w:pPr>
      <w:spacing w:before="100" w:beforeAutospacing="1" w:after="360"/>
    </w:pPr>
    <w:rPr>
      <w:b/>
      <w:bCs/>
      <w:color w:val="0A0905"/>
    </w:rPr>
  </w:style>
  <w:style w:type="paragraph" w:customStyle="1" w:styleId="dbdate">
    <w:name w:val="dbdate"/>
    <w:basedOn w:val="Normal"/>
    <w:rsid w:val="00754A72"/>
    <w:pPr>
      <w:spacing w:before="100" w:beforeAutospacing="1" w:after="360"/>
    </w:pPr>
    <w:rPr>
      <w:color w:val="0A0905"/>
      <w:sz w:val="20"/>
      <w:szCs w:val="20"/>
    </w:rPr>
  </w:style>
  <w:style w:type="paragraph" w:customStyle="1" w:styleId="database-buttons">
    <w:name w:val="database-buttons"/>
    <w:basedOn w:val="Normal"/>
    <w:rsid w:val="00754A72"/>
    <w:pPr>
      <w:spacing w:before="100" w:beforeAutospacing="1" w:after="360"/>
      <w:jc w:val="right"/>
    </w:pPr>
  </w:style>
  <w:style w:type="paragraph" w:customStyle="1" w:styleId="resourcespopuptitle">
    <w:name w:val="resources_popup_title"/>
    <w:basedOn w:val="Normal"/>
    <w:rsid w:val="00754A72"/>
    <w:pPr>
      <w:spacing w:before="100" w:beforeAutospacing="1" w:after="240"/>
    </w:pPr>
    <w:rPr>
      <w:b/>
      <w:bCs/>
      <w:sz w:val="36"/>
      <w:szCs w:val="36"/>
    </w:rPr>
  </w:style>
  <w:style w:type="paragraph" w:customStyle="1" w:styleId="resourcespopupclose">
    <w:name w:val="resources_popup_close"/>
    <w:basedOn w:val="Normal"/>
    <w:rsid w:val="00754A72"/>
    <w:pPr>
      <w:spacing w:before="100" w:beforeAutospacing="1" w:after="360"/>
    </w:pPr>
  </w:style>
  <w:style w:type="paragraph" w:customStyle="1" w:styleId="resource-group-error">
    <w:name w:val="resource-group-error"/>
    <w:basedOn w:val="Normal"/>
    <w:rsid w:val="00754A72"/>
    <w:pPr>
      <w:spacing w:before="100" w:beforeAutospacing="1"/>
    </w:pPr>
  </w:style>
  <w:style w:type="paragraph" w:customStyle="1" w:styleId="droptarget-active">
    <w:name w:val="droptarget-active"/>
    <w:basedOn w:val="Normal"/>
    <w:rsid w:val="00754A72"/>
    <w:pPr>
      <w:pBdr>
        <w:top w:val="single" w:sz="18" w:space="0" w:color="0768A9"/>
        <w:left w:val="single" w:sz="18" w:space="0" w:color="0768A9"/>
        <w:bottom w:val="single" w:sz="18" w:space="0" w:color="0768A9"/>
        <w:right w:val="single" w:sz="18" w:space="0" w:color="0768A9"/>
      </w:pBdr>
      <w:shd w:val="clear" w:color="auto" w:fill="ABCCE2"/>
      <w:spacing w:before="100" w:beforeAutospacing="1" w:after="360"/>
    </w:pPr>
  </w:style>
  <w:style w:type="paragraph" w:customStyle="1" w:styleId="droptarget-hover">
    <w:name w:val="droptarget-hover"/>
    <w:basedOn w:val="Normal"/>
    <w:rsid w:val="00754A72"/>
    <w:pPr>
      <w:pBdr>
        <w:top w:val="single" w:sz="18" w:space="0" w:color="0768A9"/>
        <w:left w:val="single" w:sz="18" w:space="0" w:color="0768A9"/>
        <w:bottom w:val="single" w:sz="18" w:space="0" w:color="0768A9"/>
        <w:right w:val="single" w:sz="18" w:space="0" w:color="0768A9"/>
      </w:pBdr>
      <w:shd w:val="clear" w:color="auto" w:fill="5698C5"/>
      <w:spacing w:before="100" w:beforeAutospacing="1" w:after="360"/>
    </w:pPr>
  </w:style>
  <w:style w:type="paragraph" w:customStyle="1" w:styleId="booknav-tree-image">
    <w:name w:val="booknav-tree-image"/>
    <w:basedOn w:val="Normal"/>
    <w:rsid w:val="00754A72"/>
    <w:pPr>
      <w:spacing w:before="100" w:beforeAutospacing="1" w:after="360"/>
    </w:pPr>
  </w:style>
  <w:style w:type="paragraph" w:customStyle="1" w:styleId="new-book-browse-by-active">
    <w:name w:val="new-book-browse-by-active"/>
    <w:basedOn w:val="Normal"/>
    <w:rsid w:val="00754A72"/>
    <w:pPr>
      <w:spacing w:before="100" w:beforeAutospacing="1" w:after="360"/>
    </w:pPr>
  </w:style>
  <w:style w:type="paragraph" w:customStyle="1" w:styleId="new-book-browse-by-inactive">
    <w:name w:val="new-book-browse-by-inactive"/>
    <w:basedOn w:val="Normal"/>
    <w:rsid w:val="00754A72"/>
    <w:pPr>
      <w:spacing w:before="100" w:beforeAutospacing="1" w:after="360"/>
    </w:pPr>
    <w:rPr>
      <w:vanish/>
    </w:rPr>
  </w:style>
  <w:style w:type="paragraph" w:customStyle="1" w:styleId="booknav-tab-search">
    <w:name w:val="booknav-tab-search"/>
    <w:basedOn w:val="Normal"/>
    <w:rsid w:val="00754A72"/>
    <w:pPr>
      <w:spacing w:before="100" w:beforeAutospacing="1" w:after="360"/>
    </w:pPr>
  </w:style>
  <w:style w:type="paragraph" w:customStyle="1" w:styleId="bookbrowse-srch">
    <w:name w:val="bookbrowse-srch"/>
    <w:basedOn w:val="Normal"/>
    <w:rsid w:val="00754A72"/>
    <w:pPr>
      <w:shd w:val="clear" w:color="auto" w:fill="F7F7F7"/>
      <w:spacing w:before="375" w:after="75"/>
      <w:ind w:left="225" w:right="375"/>
    </w:pPr>
  </w:style>
  <w:style w:type="paragraph" w:customStyle="1" w:styleId="booknav-search-box">
    <w:name w:val="booknav-search-box"/>
    <w:basedOn w:val="Normal"/>
    <w:rsid w:val="00754A72"/>
    <w:pPr>
      <w:pBdr>
        <w:top w:val="single" w:sz="6" w:space="0" w:color="CCCCCC"/>
        <w:left w:val="single" w:sz="6" w:space="4" w:color="CCCCCC"/>
        <w:bottom w:val="single" w:sz="6" w:space="0" w:color="CCCCCC"/>
        <w:right w:val="single" w:sz="6" w:space="19" w:color="CCCCCC"/>
      </w:pBdr>
      <w:shd w:val="clear" w:color="auto" w:fill="FFFFFF"/>
      <w:spacing w:before="100" w:beforeAutospacing="1" w:after="360" w:line="300" w:lineRule="atLeast"/>
      <w:textAlignment w:val="center"/>
    </w:pPr>
    <w:rPr>
      <w:sz w:val="28"/>
      <w:szCs w:val="28"/>
    </w:rPr>
  </w:style>
  <w:style w:type="paragraph" w:customStyle="1" w:styleId="bookbrowsesrchbtn">
    <w:name w:val="bookbrowse_srch_btn"/>
    <w:basedOn w:val="Normal"/>
    <w:rsid w:val="00754A72"/>
    <w:pPr>
      <w:shd w:val="clear" w:color="auto" w:fill="FFFFFF"/>
      <w:spacing w:before="100" w:beforeAutospacing="1" w:after="360"/>
    </w:pPr>
  </w:style>
  <w:style w:type="paragraph" w:customStyle="1" w:styleId="bookbrowsesrchloading">
    <w:name w:val="bookbrowse_srch_loading"/>
    <w:basedOn w:val="Normal"/>
    <w:rsid w:val="00754A72"/>
    <w:pPr>
      <w:spacing w:before="100" w:beforeAutospacing="1" w:after="360"/>
    </w:pPr>
  </w:style>
  <w:style w:type="paragraph" w:customStyle="1" w:styleId="newbooklist-booklink-text">
    <w:name w:val="newbooklist-booklink-text"/>
    <w:basedOn w:val="Normal"/>
    <w:rsid w:val="00754A72"/>
    <w:pPr>
      <w:spacing w:before="100" w:beforeAutospacing="1" w:after="360"/>
    </w:pPr>
    <w:rPr>
      <w:color w:val="0768A9"/>
    </w:rPr>
  </w:style>
  <w:style w:type="paragraph" w:customStyle="1" w:styleId="newbooklist-row">
    <w:name w:val="newbooklist-row"/>
    <w:basedOn w:val="Normal"/>
    <w:rsid w:val="00754A72"/>
    <w:pPr>
      <w:pBdr>
        <w:bottom w:val="single" w:sz="6" w:space="3" w:color="DEDEDE"/>
      </w:pBdr>
      <w:spacing w:before="100" w:beforeAutospacing="1" w:after="360"/>
    </w:pPr>
  </w:style>
  <w:style w:type="paragraph" w:customStyle="1" w:styleId="newbooklist-record-text">
    <w:name w:val="newbooklist-record-text"/>
    <w:basedOn w:val="Normal"/>
    <w:rsid w:val="00754A72"/>
    <w:pPr>
      <w:spacing w:before="100" w:beforeAutospacing="1" w:after="360"/>
    </w:pPr>
    <w:rPr>
      <w:color w:val="757575"/>
    </w:rPr>
  </w:style>
  <w:style w:type="paragraph" w:customStyle="1" w:styleId="newbooklist-title">
    <w:name w:val="newbooklist-title"/>
    <w:basedOn w:val="Normal"/>
    <w:rsid w:val="00754A72"/>
    <w:pPr>
      <w:spacing w:before="100" w:beforeAutospacing="1" w:after="30"/>
    </w:pPr>
    <w:rPr>
      <w:b/>
      <w:bCs/>
      <w:color w:val="3B61AA"/>
      <w:sz w:val="27"/>
      <w:szCs w:val="27"/>
    </w:rPr>
  </w:style>
  <w:style w:type="paragraph" w:customStyle="1" w:styleId="newstandlist-title">
    <w:name w:val="newstandlist-title"/>
    <w:basedOn w:val="Normal"/>
    <w:rsid w:val="00754A72"/>
    <w:pPr>
      <w:spacing w:before="100" w:beforeAutospacing="1" w:after="360" w:line="336" w:lineRule="auto"/>
      <w:jc w:val="center"/>
    </w:pPr>
    <w:rPr>
      <w:sz w:val="21"/>
      <w:szCs w:val="21"/>
    </w:rPr>
  </w:style>
  <w:style w:type="paragraph" w:customStyle="1" w:styleId="newbooklist-author">
    <w:name w:val="newbooklist-author"/>
    <w:basedOn w:val="Normal"/>
    <w:rsid w:val="00754A72"/>
    <w:pPr>
      <w:spacing w:before="100" w:beforeAutospacing="1" w:after="360"/>
    </w:pPr>
    <w:rPr>
      <w:color w:val="2D2D2D"/>
      <w:sz w:val="21"/>
      <w:szCs w:val="21"/>
    </w:rPr>
  </w:style>
  <w:style w:type="paragraph" w:customStyle="1" w:styleId="newbooklist-editor">
    <w:name w:val="newbooklist-editor"/>
    <w:basedOn w:val="Normal"/>
    <w:rsid w:val="00754A72"/>
    <w:pPr>
      <w:spacing w:before="100" w:beforeAutospacing="1" w:after="360"/>
    </w:pPr>
    <w:rPr>
      <w:color w:val="2D2D2D"/>
      <w:sz w:val="21"/>
      <w:szCs w:val="21"/>
    </w:rPr>
  </w:style>
  <w:style w:type="paragraph" w:customStyle="1" w:styleId="newbooklist-publisher">
    <w:name w:val="newbooklist-publisher"/>
    <w:basedOn w:val="Normal"/>
    <w:rsid w:val="00754A72"/>
    <w:pPr>
      <w:spacing w:before="100" w:beforeAutospacing="1" w:after="360"/>
    </w:pPr>
    <w:rPr>
      <w:color w:val="2D2D2D"/>
      <w:sz w:val="21"/>
      <w:szCs w:val="21"/>
    </w:rPr>
  </w:style>
  <w:style w:type="paragraph" w:customStyle="1" w:styleId="newbooklist-edition">
    <w:name w:val="newbooklist-edition"/>
    <w:basedOn w:val="Normal"/>
    <w:rsid w:val="00754A72"/>
    <w:pPr>
      <w:spacing w:before="100" w:beforeAutospacing="1" w:after="360"/>
    </w:pPr>
    <w:rPr>
      <w:color w:val="2D2D2D"/>
      <w:sz w:val="21"/>
      <w:szCs w:val="21"/>
    </w:rPr>
  </w:style>
  <w:style w:type="paragraph" w:customStyle="1" w:styleId="newbooklist-isbn">
    <w:name w:val="newbooklist-isbn"/>
    <w:basedOn w:val="Normal"/>
    <w:rsid w:val="00754A72"/>
    <w:pPr>
      <w:spacing w:before="100" w:beforeAutospacing="1" w:after="360"/>
    </w:pPr>
    <w:rPr>
      <w:color w:val="2D2D2D"/>
      <w:sz w:val="21"/>
      <w:szCs w:val="21"/>
    </w:rPr>
  </w:style>
  <w:style w:type="paragraph" w:customStyle="1" w:styleId="journals-subcribation">
    <w:name w:val="journals-subcribation"/>
    <w:basedOn w:val="Normal"/>
    <w:rsid w:val="00754A72"/>
    <w:pPr>
      <w:spacing w:before="100" w:beforeAutospacing="1" w:after="360"/>
    </w:pPr>
    <w:rPr>
      <w:color w:val="2D2D2D"/>
      <w:sz w:val="21"/>
      <w:szCs w:val="21"/>
    </w:rPr>
  </w:style>
  <w:style w:type="paragraph" w:customStyle="1" w:styleId="journals-pap">
    <w:name w:val="journals-pap"/>
    <w:basedOn w:val="Normal"/>
    <w:rsid w:val="00754A72"/>
    <w:pPr>
      <w:spacing w:before="100" w:beforeAutospacing="1" w:after="360"/>
    </w:pPr>
    <w:rPr>
      <w:color w:val="2D2D2D"/>
      <w:sz w:val="21"/>
      <w:szCs w:val="21"/>
    </w:rPr>
  </w:style>
  <w:style w:type="paragraph" w:customStyle="1" w:styleId="newstandlist-citation">
    <w:name w:val="newstandlist-citation"/>
    <w:basedOn w:val="Normal"/>
    <w:rsid w:val="00754A72"/>
    <w:pPr>
      <w:spacing w:before="100" w:beforeAutospacing="1" w:after="360"/>
      <w:ind w:left="120" w:right="120"/>
    </w:pPr>
  </w:style>
  <w:style w:type="paragraph" w:customStyle="1" w:styleId="newstandlist-record-text">
    <w:name w:val="newstandlist-record-text"/>
    <w:basedOn w:val="Normal"/>
    <w:rsid w:val="00754A72"/>
    <w:pPr>
      <w:spacing w:before="90" w:after="360"/>
    </w:pPr>
  </w:style>
  <w:style w:type="paragraph" w:customStyle="1" w:styleId="newstandview-record">
    <w:name w:val="newstandview-record"/>
    <w:basedOn w:val="Normal"/>
    <w:rsid w:val="00754A72"/>
    <w:pPr>
      <w:spacing w:before="480" w:after="360"/>
    </w:pPr>
  </w:style>
  <w:style w:type="paragraph" w:customStyle="1" w:styleId="newstandbooklist-bookcover">
    <w:name w:val="newstandbooklist-bookcover"/>
    <w:basedOn w:val="Normal"/>
    <w:rsid w:val="00754A72"/>
    <w:pPr>
      <w:spacing w:before="100" w:beforeAutospacing="1" w:after="360"/>
      <w:jc w:val="center"/>
      <w:textAlignment w:val="bottom"/>
    </w:pPr>
  </w:style>
  <w:style w:type="paragraph" w:customStyle="1" w:styleId="newstandbooklist-booktitle">
    <w:name w:val="newstandbooklist-booktitle"/>
    <w:basedOn w:val="Normal"/>
    <w:rsid w:val="00754A72"/>
    <w:pPr>
      <w:spacing w:before="120" w:after="360"/>
    </w:pPr>
  </w:style>
  <w:style w:type="paragraph" w:customStyle="1" w:styleId="newbooklist-row-right">
    <w:name w:val="newbooklist-row-right"/>
    <w:basedOn w:val="Normal"/>
    <w:rsid w:val="00754A72"/>
    <w:pPr>
      <w:spacing w:before="100" w:beforeAutospacing="1" w:after="360"/>
    </w:pPr>
  </w:style>
  <w:style w:type="paragraph" w:customStyle="1" w:styleId="browse-books-popup-overlay">
    <w:name w:val="browse-books-popup-overlay"/>
    <w:basedOn w:val="Normal"/>
    <w:rsid w:val="00754A72"/>
    <w:pPr>
      <w:spacing w:after="360"/>
    </w:pPr>
  </w:style>
  <w:style w:type="paragraph" w:customStyle="1" w:styleId="journalannotate">
    <w:name w:val="journal_annotate"/>
    <w:basedOn w:val="Normal"/>
    <w:rsid w:val="00754A72"/>
    <w:pPr>
      <w:spacing w:before="100" w:beforeAutospacing="1" w:after="360"/>
    </w:pPr>
  </w:style>
  <w:style w:type="paragraph" w:customStyle="1" w:styleId="about-journal">
    <w:name w:val="about-journal"/>
    <w:basedOn w:val="Normal"/>
    <w:rsid w:val="00754A72"/>
    <w:pPr>
      <w:spacing w:before="100" w:beforeAutospacing="1" w:after="360"/>
    </w:pPr>
  </w:style>
  <w:style w:type="paragraph" w:customStyle="1" w:styleId="book-can-annotate">
    <w:name w:val="book-can-annotate"/>
    <w:basedOn w:val="Normal"/>
    <w:rsid w:val="00754A72"/>
    <w:pPr>
      <w:spacing w:before="100" w:beforeAutospacing="1" w:after="360"/>
    </w:pPr>
  </w:style>
  <w:style w:type="paragraph" w:customStyle="1" w:styleId="book-has-annotation">
    <w:name w:val="book-has-annotation"/>
    <w:basedOn w:val="Normal"/>
    <w:rsid w:val="00754A72"/>
    <w:pPr>
      <w:spacing w:before="100" w:beforeAutospacing="1" w:after="360"/>
    </w:pPr>
  </w:style>
  <w:style w:type="paragraph" w:customStyle="1" w:styleId="annotate-pin-login">
    <w:name w:val="annotate-pin-login"/>
    <w:basedOn w:val="Normal"/>
    <w:rsid w:val="00754A72"/>
    <w:pPr>
      <w:spacing w:before="100" w:beforeAutospacing="1" w:after="360"/>
    </w:pPr>
  </w:style>
  <w:style w:type="paragraph" w:customStyle="1" w:styleId="new-booklist-update">
    <w:name w:val="new-booklist-update"/>
    <w:basedOn w:val="Normal"/>
    <w:rsid w:val="00754A72"/>
    <w:pPr>
      <w:spacing w:before="100" w:beforeAutospacing="1" w:after="360"/>
    </w:pPr>
    <w:rPr>
      <w:color w:val="EF3E42"/>
      <w:sz w:val="21"/>
      <w:szCs w:val="21"/>
    </w:rPr>
  </w:style>
  <w:style w:type="paragraph" w:customStyle="1" w:styleId="newbooklist-get-more-content">
    <w:name w:val="newbooklist-get-more-content"/>
    <w:basedOn w:val="Normal"/>
    <w:rsid w:val="00754A72"/>
    <w:pPr>
      <w:spacing w:before="100" w:beforeAutospacing="1" w:after="360"/>
    </w:pPr>
    <w:rPr>
      <w:color w:val="0768A9"/>
      <w:sz w:val="21"/>
      <w:szCs w:val="21"/>
    </w:rPr>
  </w:style>
  <w:style w:type="paragraph" w:customStyle="1" w:styleId="newbooklist-get-less-content">
    <w:name w:val="newbooklist-get-less-content"/>
    <w:basedOn w:val="Normal"/>
    <w:rsid w:val="00754A72"/>
    <w:pPr>
      <w:spacing w:before="100" w:beforeAutospacing="1" w:after="360"/>
    </w:pPr>
    <w:rPr>
      <w:vanish/>
      <w:color w:val="0768A9"/>
      <w:sz w:val="21"/>
      <w:szCs w:val="21"/>
    </w:rPr>
  </w:style>
  <w:style w:type="paragraph" w:customStyle="1" w:styleId="newbooklist-more-author-content">
    <w:name w:val="newbooklist-more-author-content"/>
    <w:basedOn w:val="Normal"/>
    <w:rsid w:val="00754A72"/>
    <w:pPr>
      <w:spacing w:before="100" w:beforeAutospacing="1" w:after="360"/>
    </w:pPr>
    <w:rPr>
      <w:vanish/>
      <w:color w:val="2D2D2D"/>
      <w:sz w:val="21"/>
      <w:szCs w:val="21"/>
    </w:rPr>
  </w:style>
  <w:style w:type="paragraph" w:customStyle="1" w:styleId="preview-reader-button">
    <w:name w:val="preview-reader-button"/>
    <w:basedOn w:val="Normal"/>
    <w:rsid w:val="00754A72"/>
    <w:pPr>
      <w:shd w:val="clear" w:color="auto" w:fill="CCE7B7"/>
      <w:spacing w:before="45" w:after="360" w:line="480" w:lineRule="auto"/>
      <w:jc w:val="center"/>
    </w:pPr>
    <w:rPr>
      <w:color w:val="2D2D2D"/>
      <w:sz w:val="25"/>
      <w:szCs w:val="25"/>
    </w:rPr>
  </w:style>
  <w:style w:type="paragraph" w:customStyle="1" w:styleId="newbooklist-preview-link">
    <w:name w:val="newbooklist-preview-link"/>
    <w:basedOn w:val="Normal"/>
    <w:rsid w:val="00754A72"/>
    <w:pPr>
      <w:spacing w:before="100" w:beforeAutospacing="1" w:after="360"/>
    </w:pPr>
  </w:style>
  <w:style w:type="paragraph" w:customStyle="1" w:styleId="newbooklist-more-editor-content">
    <w:name w:val="newbooklist-more-editor-content"/>
    <w:basedOn w:val="Normal"/>
    <w:rsid w:val="00754A72"/>
    <w:pPr>
      <w:spacing w:before="100" w:beforeAutospacing="1" w:after="360"/>
    </w:pPr>
    <w:rPr>
      <w:vanish/>
      <w:color w:val="2D2D2D"/>
      <w:sz w:val="21"/>
      <w:szCs w:val="21"/>
    </w:rPr>
  </w:style>
  <w:style w:type="paragraph" w:customStyle="1" w:styleId="bookheader-email-link">
    <w:name w:val="bookheader-email-link"/>
    <w:basedOn w:val="Normal"/>
    <w:rsid w:val="00754A72"/>
    <w:pPr>
      <w:spacing w:before="100" w:beforeAutospacing="1" w:after="360"/>
    </w:pPr>
  </w:style>
  <w:style w:type="paragraph" w:customStyle="1" w:styleId="bookheader-emailjs-image">
    <w:name w:val="bookheader-emailjs-image"/>
    <w:basedOn w:val="Normal"/>
    <w:rsid w:val="00754A72"/>
    <w:pPr>
      <w:spacing w:before="100" w:beforeAutospacing="1" w:after="360"/>
      <w:ind w:left="120"/>
    </w:pPr>
  </w:style>
  <w:style w:type="paragraph" w:customStyle="1" w:styleId="bookheader-emailjs-text">
    <w:name w:val="bookheader-emailjs-text"/>
    <w:basedOn w:val="Normal"/>
    <w:rsid w:val="00754A72"/>
    <w:pPr>
      <w:spacing w:after="360"/>
    </w:pPr>
    <w:rPr>
      <w:color w:val="3B61AA"/>
      <w:sz w:val="22"/>
      <w:szCs w:val="22"/>
    </w:rPr>
  </w:style>
  <w:style w:type="paragraph" w:customStyle="1" w:styleId="bookheader-copyjslink">
    <w:name w:val="bookheader-copyjslink"/>
    <w:basedOn w:val="Normal"/>
    <w:rsid w:val="00754A72"/>
    <w:pPr>
      <w:spacing w:before="100" w:beforeAutospacing="1" w:after="360"/>
    </w:pPr>
  </w:style>
  <w:style w:type="paragraph" w:customStyle="1" w:styleId="bookheader-emailjstextlink">
    <w:name w:val="bookheader-emailjstextlink"/>
    <w:basedOn w:val="Normal"/>
    <w:rsid w:val="00754A72"/>
    <w:pPr>
      <w:spacing w:after="360"/>
      <w:ind w:left="17880"/>
    </w:pPr>
    <w:rPr>
      <w:color w:val="3B61AA"/>
      <w:sz w:val="22"/>
      <w:szCs w:val="22"/>
    </w:rPr>
  </w:style>
  <w:style w:type="paragraph" w:customStyle="1" w:styleId="bookheader-copyjstextlink">
    <w:name w:val="bookheader-copyjstextlink"/>
    <w:basedOn w:val="Normal"/>
    <w:rsid w:val="00754A72"/>
    <w:pPr>
      <w:spacing w:before="90" w:after="360"/>
      <w:ind w:left="816"/>
    </w:pPr>
    <w:rPr>
      <w:color w:val="2D2D2D"/>
      <w:sz w:val="22"/>
      <w:szCs w:val="22"/>
    </w:rPr>
  </w:style>
  <w:style w:type="paragraph" w:customStyle="1" w:styleId="bookheader-copyjstextbox">
    <w:name w:val="bookheader-copyjstextbox"/>
    <w:basedOn w:val="Normal"/>
    <w:rsid w:val="00754A72"/>
    <w:pPr>
      <w:spacing w:before="90" w:after="150"/>
      <w:ind w:left="1500" w:right="150"/>
    </w:pPr>
  </w:style>
  <w:style w:type="paragraph" w:customStyle="1" w:styleId="email-js-browse">
    <w:name w:val="email-js-browse"/>
    <w:basedOn w:val="Normal"/>
    <w:rsid w:val="00754A72"/>
    <w:pPr>
      <w:spacing w:before="480" w:after="360"/>
    </w:pPr>
  </w:style>
  <w:style w:type="paragraph" w:customStyle="1" w:styleId="has-download-html-link">
    <w:name w:val="has-download-html-link"/>
    <w:basedOn w:val="Normal"/>
    <w:rsid w:val="00754A72"/>
    <w:pPr>
      <w:pBdr>
        <w:left w:val="single" w:sz="6" w:space="4" w:color="DEDEDE"/>
      </w:pBdr>
      <w:spacing w:before="100" w:beforeAutospacing="1" w:after="360"/>
    </w:pPr>
  </w:style>
  <w:style w:type="paragraph" w:customStyle="1" w:styleId="has-download-xml-link">
    <w:name w:val="has-download-xml-link"/>
    <w:basedOn w:val="Normal"/>
    <w:rsid w:val="00754A72"/>
    <w:pPr>
      <w:pBdr>
        <w:left w:val="single" w:sz="6" w:space="4" w:color="DEDEDE"/>
      </w:pBdr>
      <w:spacing w:before="100" w:beforeAutospacing="1" w:after="360"/>
    </w:pPr>
  </w:style>
  <w:style w:type="paragraph" w:customStyle="1" w:styleId="wk-logo">
    <w:name w:val="wk-logo"/>
    <w:basedOn w:val="Normal"/>
    <w:rsid w:val="00754A72"/>
    <w:pPr>
      <w:spacing w:before="100" w:beforeAutospacing="1" w:after="360"/>
      <w:jc w:val="right"/>
    </w:pPr>
  </w:style>
  <w:style w:type="paragraph" w:customStyle="1" w:styleId="booklist-booklink-text">
    <w:name w:val="booklist-booklink-text"/>
    <w:basedOn w:val="Normal"/>
    <w:rsid w:val="00754A72"/>
    <w:pPr>
      <w:spacing w:before="100" w:beforeAutospacing="1" w:after="360"/>
    </w:pPr>
    <w:rPr>
      <w:b/>
      <w:bCs/>
      <w:color w:val="0768A9"/>
    </w:rPr>
  </w:style>
  <w:style w:type="paragraph" w:customStyle="1" w:styleId="booklist-booklink-text-login">
    <w:name w:val="booklist-booklink-text-login"/>
    <w:basedOn w:val="Normal"/>
    <w:rsid w:val="00754A72"/>
    <w:pPr>
      <w:spacing w:before="100" w:beforeAutospacing="1" w:after="360"/>
    </w:pPr>
    <w:rPr>
      <w:sz w:val="36"/>
      <w:szCs w:val="36"/>
    </w:rPr>
  </w:style>
  <w:style w:type="paragraph" w:customStyle="1" w:styleId="left-ovid-login-new">
    <w:name w:val="left-ovid-login-new"/>
    <w:basedOn w:val="Normal"/>
    <w:rsid w:val="00754A72"/>
    <w:pPr>
      <w:pBdr>
        <w:top w:val="single" w:sz="6" w:space="30" w:color="DCDCDC"/>
        <w:left w:val="single" w:sz="6" w:space="30" w:color="DCDCDC"/>
        <w:bottom w:val="single" w:sz="6" w:space="30" w:color="DCDCDC"/>
        <w:right w:val="single" w:sz="6" w:space="30" w:color="DCDCDC"/>
      </w:pBdr>
      <w:shd w:val="clear" w:color="auto" w:fill="FAFAFA"/>
      <w:spacing w:before="100" w:beforeAutospacing="1" w:after="360"/>
    </w:pPr>
  </w:style>
  <w:style w:type="paragraph" w:customStyle="1" w:styleId="main-left-ovid-login">
    <w:name w:val="main-left-ovid-login"/>
    <w:basedOn w:val="Normal"/>
    <w:rsid w:val="00754A72"/>
    <w:pPr>
      <w:spacing w:before="100" w:beforeAutospacing="1" w:after="360"/>
    </w:pPr>
  </w:style>
  <w:style w:type="paragraph" w:customStyle="1" w:styleId="right-buy-article-login">
    <w:name w:val="right-buy-article-login"/>
    <w:basedOn w:val="Normal"/>
    <w:rsid w:val="00754A72"/>
    <w:pPr>
      <w:spacing w:before="150" w:after="360" w:line="720" w:lineRule="atLeast"/>
      <w:ind w:left="975"/>
      <w:jc w:val="center"/>
    </w:pPr>
  </w:style>
  <w:style w:type="paragraph" w:customStyle="1" w:styleId="error-new">
    <w:name w:val="error-new"/>
    <w:basedOn w:val="Normal"/>
    <w:rsid w:val="00754A72"/>
    <w:pPr>
      <w:shd w:val="clear" w:color="auto" w:fill="F2EB77"/>
      <w:spacing w:before="90" w:after="90"/>
    </w:pPr>
    <w:rPr>
      <w:b/>
      <w:bCs/>
      <w:color w:val="0A0905"/>
    </w:rPr>
  </w:style>
  <w:style w:type="paragraph" w:customStyle="1" w:styleId="warning-new">
    <w:name w:val="warning-new"/>
    <w:basedOn w:val="Normal"/>
    <w:rsid w:val="00754A72"/>
    <w:pPr>
      <w:pBdr>
        <w:top w:val="single" w:sz="18" w:space="0" w:color="EE014C"/>
        <w:left w:val="single" w:sz="18" w:space="0" w:color="EE014C"/>
        <w:bottom w:val="single" w:sz="18" w:space="0" w:color="EE014C"/>
        <w:right w:val="single" w:sz="18" w:space="0" w:color="EE014C"/>
      </w:pBdr>
      <w:shd w:val="clear" w:color="auto" w:fill="ECEAF4"/>
      <w:spacing w:before="90" w:after="90"/>
    </w:pPr>
    <w:rPr>
      <w:b/>
      <w:bCs/>
      <w:color w:val="EE014C"/>
    </w:rPr>
  </w:style>
  <w:style w:type="paragraph" w:customStyle="1" w:styleId="info-new">
    <w:name w:val="info-new"/>
    <w:basedOn w:val="Normal"/>
    <w:rsid w:val="00754A72"/>
    <w:pPr>
      <w:pBdr>
        <w:top w:val="single" w:sz="18" w:space="0" w:color="ABCCE2"/>
        <w:left w:val="single" w:sz="18" w:space="0" w:color="ABCCE2"/>
        <w:bottom w:val="single" w:sz="18" w:space="0" w:color="ABCCE2"/>
        <w:right w:val="single" w:sz="18" w:space="0" w:color="ABCCE2"/>
      </w:pBdr>
      <w:shd w:val="clear" w:color="auto" w:fill="FFFFFF"/>
      <w:spacing w:before="90" w:after="90"/>
    </w:pPr>
    <w:rPr>
      <w:b/>
      <w:bCs/>
      <w:color w:val="0A0905"/>
    </w:rPr>
  </w:style>
  <w:style w:type="paragraph" w:customStyle="1" w:styleId="hints-new">
    <w:name w:val="hints-new"/>
    <w:basedOn w:val="Normal"/>
    <w:rsid w:val="00754A72"/>
    <w:pPr>
      <w:spacing w:before="90" w:after="90"/>
    </w:pPr>
    <w:rPr>
      <w:b/>
      <w:bCs/>
      <w:color w:val="0A0905"/>
    </w:rPr>
  </w:style>
  <w:style w:type="paragraph" w:customStyle="1" w:styleId="success-new">
    <w:name w:val="success-new"/>
    <w:basedOn w:val="Normal"/>
    <w:rsid w:val="00754A72"/>
    <w:pPr>
      <w:spacing w:before="90" w:after="90"/>
    </w:pPr>
    <w:rPr>
      <w:b/>
      <w:bCs/>
      <w:color w:val="0A0905"/>
    </w:rPr>
  </w:style>
  <w:style w:type="paragraph" w:customStyle="1" w:styleId="article-info-login">
    <w:name w:val="article-info-login"/>
    <w:basedOn w:val="Normal"/>
    <w:rsid w:val="00754A72"/>
    <w:pPr>
      <w:spacing w:before="100" w:beforeAutospacing="1" w:after="360"/>
    </w:pPr>
  </w:style>
  <w:style w:type="paragraph" w:customStyle="1" w:styleId="form-fields-login">
    <w:name w:val="form-fields-login"/>
    <w:basedOn w:val="Normal"/>
    <w:rsid w:val="00754A72"/>
    <w:pPr>
      <w:spacing w:before="100" w:beforeAutospacing="1" w:after="720" w:line="480" w:lineRule="atLeast"/>
    </w:pPr>
  </w:style>
  <w:style w:type="paragraph" w:customStyle="1" w:styleId="error-msg">
    <w:name w:val="error-msg"/>
    <w:basedOn w:val="Normal"/>
    <w:rsid w:val="00754A72"/>
    <w:pPr>
      <w:spacing w:before="100" w:beforeAutospacing="1" w:after="360"/>
    </w:pPr>
  </w:style>
  <w:style w:type="paragraph" w:customStyle="1" w:styleId="error-subtext-new">
    <w:name w:val="error-subtext-new"/>
    <w:basedOn w:val="Normal"/>
    <w:rsid w:val="00754A72"/>
    <w:pPr>
      <w:spacing w:before="100" w:beforeAutospacing="1" w:after="360"/>
    </w:pPr>
  </w:style>
  <w:style w:type="paragraph" w:customStyle="1" w:styleId="login-form-label-new">
    <w:name w:val="login-form-label-new"/>
    <w:basedOn w:val="Normal"/>
    <w:rsid w:val="00754A72"/>
    <w:pPr>
      <w:spacing w:before="100" w:beforeAutospacing="1" w:after="300"/>
      <w:jc w:val="center"/>
    </w:pPr>
    <w:rPr>
      <w:sz w:val="48"/>
      <w:szCs w:val="48"/>
    </w:rPr>
  </w:style>
  <w:style w:type="paragraph" w:customStyle="1" w:styleId="standard-button-login">
    <w:name w:val="standard-button-login"/>
    <w:basedOn w:val="Normal"/>
    <w:rsid w:val="00754A72"/>
    <w:pPr>
      <w:shd w:val="clear" w:color="auto" w:fill="0081C6"/>
      <w:spacing w:before="100" w:beforeAutospacing="1" w:after="360"/>
    </w:pPr>
    <w:rPr>
      <w:color w:val="FFFFFF"/>
      <w:sz w:val="26"/>
      <w:szCs w:val="26"/>
    </w:rPr>
  </w:style>
  <w:style w:type="paragraph" w:customStyle="1" w:styleId="other-source-link-login">
    <w:name w:val="other-source-link-login"/>
    <w:basedOn w:val="Normal"/>
    <w:rsid w:val="00754A72"/>
    <w:pPr>
      <w:spacing w:before="240" w:after="480"/>
      <w:jc w:val="center"/>
    </w:pPr>
  </w:style>
  <w:style w:type="paragraph" w:customStyle="1" w:styleId="help-link">
    <w:name w:val="help-link"/>
    <w:basedOn w:val="Normal"/>
    <w:rsid w:val="00754A72"/>
    <w:pPr>
      <w:spacing w:before="100" w:beforeAutospacing="1" w:after="360"/>
    </w:pPr>
  </w:style>
  <w:style w:type="paragraph" w:customStyle="1" w:styleId="standard-button-cancel">
    <w:name w:val="standard-button-cancel"/>
    <w:basedOn w:val="Normal"/>
    <w:rsid w:val="00754A72"/>
    <w:pPr>
      <w:shd w:val="clear" w:color="auto" w:fill="0081C6"/>
      <w:spacing w:before="225" w:after="360"/>
      <w:ind w:right="75"/>
    </w:pPr>
    <w:rPr>
      <w:color w:val="FFFFFF"/>
      <w:sz w:val="26"/>
      <w:szCs w:val="26"/>
    </w:rPr>
  </w:style>
  <w:style w:type="paragraph" w:customStyle="1" w:styleId="standard-button-continue">
    <w:name w:val="standard-button-continue"/>
    <w:basedOn w:val="Normal"/>
    <w:rsid w:val="00754A72"/>
    <w:pPr>
      <w:shd w:val="clear" w:color="auto" w:fill="0081C6"/>
      <w:spacing w:before="225" w:after="360"/>
      <w:ind w:right="75"/>
    </w:pPr>
    <w:rPr>
      <w:color w:val="FFFFFF"/>
      <w:sz w:val="26"/>
      <w:szCs w:val="26"/>
    </w:rPr>
  </w:style>
  <w:style w:type="paragraph" w:customStyle="1" w:styleId="standard-button-rerun">
    <w:name w:val="standard-button-rerun"/>
    <w:basedOn w:val="Normal"/>
    <w:rsid w:val="00754A72"/>
    <w:pPr>
      <w:shd w:val="clear" w:color="auto" w:fill="0081C6"/>
      <w:spacing w:before="225" w:after="360"/>
      <w:ind w:right="75"/>
    </w:pPr>
    <w:rPr>
      <w:color w:val="FFFFFF"/>
      <w:sz w:val="26"/>
      <w:szCs w:val="26"/>
    </w:rPr>
  </w:style>
  <w:style w:type="paragraph" w:customStyle="1" w:styleId="databaselist-resource-groups">
    <w:name w:val="databaselist-resource-groups"/>
    <w:basedOn w:val="Normal"/>
    <w:rsid w:val="00754A72"/>
    <w:pPr>
      <w:spacing w:before="288"/>
      <w:jc w:val="right"/>
    </w:pPr>
  </w:style>
  <w:style w:type="paragraph" w:customStyle="1" w:styleId="database-buttons-new">
    <w:name w:val="database-buttons-new"/>
    <w:basedOn w:val="Normal"/>
    <w:rsid w:val="00754A72"/>
    <w:pPr>
      <w:spacing w:before="100" w:beforeAutospacing="1" w:after="360"/>
    </w:pPr>
  </w:style>
  <w:style w:type="paragraph" w:customStyle="1" w:styleId="add-resource-group">
    <w:name w:val="add-resource-group"/>
    <w:basedOn w:val="Normal"/>
    <w:rsid w:val="00754A72"/>
    <w:pPr>
      <w:shd w:val="clear" w:color="auto" w:fill="8D8D8D"/>
      <w:spacing w:before="120" w:after="360"/>
      <w:jc w:val="center"/>
      <w:textAlignment w:val="center"/>
    </w:pPr>
    <w:rPr>
      <w:color w:val="FFFFFF"/>
      <w:sz w:val="19"/>
      <w:szCs w:val="19"/>
    </w:rPr>
  </w:style>
  <w:style w:type="paragraph" w:customStyle="1" w:styleId="database-name">
    <w:name w:val="database-name"/>
    <w:basedOn w:val="Normal"/>
    <w:rsid w:val="00754A72"/>
    <w:pPr>
      <w:spacing w:before="100" w:beforeAutospacing="1" w:after="360"/>
    </w:pPr>
    <w:rPr>
      <w:sz w:val="20"/>
      <w:szCs w:val="20"/>
    </w:rPr>
  </w:style>
  <w:style w:type="paragraph" w:customStyle="1" w:styleId="database-parent-node">
    <w:name w:val="database-parent-node"/>
    <w:basedOn w:val="Normal"/>
    <w:rsid w:val="00754A72"/>
    <w:pPr>
      <w:spacing w:before="100" w:beforeAutospacing="1" w:after="360"/>
    </w:pPr>
    <w:rPr>
      <w:b/>
      <w:bCs/>
      <w:sz w:val="34"/>
      <w:szCs w:val="34"/>
    </w:rPr>
  </w:style>
  <w:style w:type="paragraph" w:customStyle="1" w:styleId="resourcespopupheader">
    <w:name w:val="resources_popup_header"/>
    <w:basedOn w:val="Normal"/>
    <w:rsid w:val="00754A72"/>
    <w:pPr>
      <w:shd w:val="clear" w:color="auto" w:fill="F1F1F1"/>
      <w:spacing w:before="100" w:beforeAutospacing="1" w:after="360"/>
    </w:pPr>
  </w:style>
  <w:style w:type="paragraph" w:customStyle="1" w:styleId="db-overlay-popup">
    <w:name w:val="db-overlay-popup"/>
    <w:basedOn w:val="Normal"/>
    <w:rsid w:val="00754A72"/>
    <w:pPr>
      <w:spacing w:before="100" w:beforeAutospacing="1" w:after="360"/>
    </w:pPr>
  </w:style>
  <w:style w:type="paragraph" w:customStyle="1" w:styleId="database-actions">
    <w:name w:val="database-actions"/>
    <w:basedOn w:val="Normal"/>
    <w:rsid w:val="00754A72"/>
    <w:pPr>
      <w:shd w:val="clear" w:color="auto" w:fill="F1F1F1"/>
      <w:spacing w:before="100" w:beforeAutospacing="1" w:after="360"/>
    </w:pPr>
  </w:style>
  <w:style w:type="paragraph" w:customStyle="1" w:styleId="databaselist-guide-info">
    <w:name w:val="databaselist-guide-info"/>
    <w:basedOn w:val="Normal"/>
    <w:rsid w:val="00754A72"/>
    <w:pPr>
      <w:spacing w:before="100" w:beforeAutospacing="1" w:after="360"/>
      <w:ind w:right="240"/>
    </w:pPr>
  </w:style>
  <w:style w:type="paragraph" w:customStyle="1" w:styleId="database-resource-list">
    <w:name w:val="database-resource-list"/>
    <w:basedOn w:val="Normal"/>
    <w:rsid w:val="00754A72"/>
    <w:pPr>
      <w:spacing w:before="240" w:after="360"/>
      <w:ind w:right="180"/>
    </w:pPr>
  </w:style>
  <w:style w:type="paragraph" w:customStyle="1" w:styleId="all-databases-resources">
    <w:name w:val="all-databases-resources"/>
    <w:basedOn w:val="Normal"/>
    <w:rsid w:val="00754A72"/>
    <w:pPr>
      <w:shd w:val="clear" w:color="auto" w:fill="FFFFFF"/>
      <w:spacing w:before="100" w:beforeAutospacing="1" w:after="360"/>
    </w:pPr>
  </w:style>
  <w:style w:type="paragraph" w:customStyle="1" w:styleId="rg-expand-state">
    <w:name w:val="rg-expand-state"/>
    <w:basedOn w:val="Normal"/>
    <w:rsid w:val="00754A72"/>
    <w:pPr>
      <w:spacing w:before="100" w:beforeAutospacing="1" w:after="360"/>
      <w:ind w:left="120" w:right="72"/>
    </w:pPr>
  </w:style>
  <w:style w:type="paragraph" w:customStyle="1" w:styleId="error-in-database">
    <w:name w:val="error-in-database"/>
    <w:basedOn w:val="Normal"/>
    <w:rsid w:val="00754A72"/>
    <w:pPr>
      <w:spacing w:before="100" w:beforeAutospacing="1" w:after="360"/>
      <w:ind w:left="120"/>
    </w:pPr>
    <w:rPr>
      <w:sz w:val="20"/>
      <w:szCs w:val="20"/>
    </w:rPr>
  </w:style>
  <w:style w:type="paragraph" w:customStyle="1" w:styleId="databaselist-date">
    <w:name w:val="databaselist-date"/>
    <w:basedOn w:val="Normal"/>
    <w:rsid w:val="00754A72"/>
    <w:pPr>
      <w:spacing w:before="100" w:beforeAutospacing="1" w:after="360"/>
    </w:pPr>
    <w:rPr>
      <w:color w:val="646464"/>
    </w:rPr>
  </w:style>
  <w:style w:type="paragraph" w:customStyle="1" w:styleId="resource-group-tooltip">
    <w:name w:val="resource-group-tooltip"/>
    <w:basedOn w:val="Normal"/>
    <w:rsid w:val="00754A72"/>
    <w:pPr>
      <w:spacing w:before="100" w:beforeAutospacing="1" w:after="360"/>
    </w:pPr>
    <w:rPr>
      <w:sz w:val="20"/>
      <w:szCs w:val="20"/>
    </w:rPr>
  </w:style>
  <w:style w:type="paragraph" w:customStyle="1" w:styleId="resource-groups-options">
    <w:name w:val="resource-groups-options"/>
    <w:basedOn w:val="Normal"/>
    <w:rsid w:val="00754A72"/>
    <w:pPr>
      <w:spacing w:before="100" w:beforeAutospacing="1" w:after="360"/>
      <w:ind w:right="480"/>
    </w:pPr>
  </w:style>
  <w:style w:type="paragraph" w:customStyle="1" w:styleId="name-of-database">
    <w:name w:val="name-of-database"/>
    <w:basedOn w:val="Normal"/>
    <w:rsid w:val="00754A72"/>
    <w:pPr>
      <w:spacing w:before="100" w:beforeAutospacing="1" w:after="360"/>
    </w:pPr>
  </w:style>
  <w:style w:type="paragraph" w:customStyle="1" w:styleId="journal-browse-search">
    <w:name w:val="journal-browse-search"/>
    <w:basedOn w:val="Normal"/>
    <w:rsid w:val="00754A72"/>
    <w:pPr>
      <w:spacing w:before="100" w:beforeAutospacing="1"/>
    </w:pPr>
  </w:style>
  <w:style w:type="paragraph" w:customStyle="1" w:styleId="journalsrchbtn">
    <w:name w:val="journal_srch_btn"/>
    <w:basedOn w:val="Normal"/>
    <w:rsid w:val="00754A72"/>
    <w:pPr>
      <w:shd w:val="clear" w:color="auto" w:fill="FFFFFF"/>
      <w:spacing w:after="15"/>
      <w:ind w:left="15" w:right="15"/>
    </w:pPr>
  </w:style>
  <w:style w:type="paragraph" w:customStyle="1" w:styleId="ovid-vertical-widgets">
    <w:name w:val="ovid-vertical-widgets"/>
    <w:basedOn w:val="Normal"/>
    <w:rsid w:val="00754A72"/>
    <w:pPr>
      <w:spacing w:before="100" w:beforeAutospacing="1" w:after="360"/>
    </w:pPr>
  </w:style>
  <w:style w:type="paragraph" w:customStyle="1" w:styleId="ovid-vertical-widget-header">
    <w:name w:val="ovid-vertical-widget-header"/>
    <w:basedOn w:val="Normal"/>
    <w:rsid w:val="00754A72"/>
    <w:pPr>
      <w:spacing w:before="100" w:beforeAutospacing="1" w:after="360"/>
    </w:pPr>
    <w:rPr>
      <w:b/>
      <w:bCs/>
      <w:sz w:val="26"/>
      <w:szCs w:val="26"/>
    </w:rPr>
  </w:style>
  <w:style w:type="paragraph" w:customStyle="1" w:styleId="journalnav-catlink-text">
    <w:name w:val="journalnav-catlink-text"/>
    <w:basedOn w:val="Normal"/>
    <w:rsid w:val="00754A72"/>
    <w:pPr>
      <w:spacing w:before="100" w:beforeAutospacing="1" w:after="360"/>
      <w:ind w:firstLine="480"/>
    </w:pPr>
  </w:style>
  <w:style w:type="paragraph" w:customStyle="1" w:styleId="browse-journal-selected">
    <w:name w:val="browse-journal-selected"/>
    <w:basedOn w:val="Normal"/>
    <w:rsid w:val="00754A72"/>
    <w:pPr>
      <w:shd w:val="clear" w:color="auto" w:fill="E5E5E5"/>
      <w:spacing w:before="100" w:beforeAutospacing="1" w:after="360"/>
      <w:textAlignment w:val="center"/>
    </w:pPr>
    <w:rPr>
      <w:color w:val="2D2D2D"/>
    </w:rPr>
  </w:style>
  <w:style w:type="paragraph" w:customStyle="1" w:styleId="journalnav-list-item">
    <w:name w:val="journalnav-list-item"/>
    <w:basedOn w:val="Normal"/>
    <w:rsid w:val="00754A72"/>
    <w:pPr>
      <w:spacing w:before="100" w:beforeAutospacing="1" w:after="360"/>
    </w:pPr>
  </w:style>
  <w:style w:type="paragraph" w:customStyle="1" w:styleId="journals-alphalinks-subset">
    <w:name w:val="journals-alphalinks-subset"/>
    <w:basedOn w:val="Normal"/>
    <w:rsid w:val="00754A72"/>
    <w:pPr>
      <w:spacing w:before="100" w:beforeAutospacing="1" w:after="360"/>
    </w:pPr>
  </w:style>
  <w:style w:type="paragraph" w:customStyle="1" w:styleId="journals-alphalinks">
    <w:name w:val="journals-alphalinks"/>
    <w:basedOn w:val="Normal"/>
    <w:rsid w:val="00754A72"/>
    <w:pPr>
      <w:ind w:left="336"/>
    </w:pPr>
  </w:style>
  <w:style w:type="paragraph" w:customStyle="1" w:styleId="ovid-widget-favoritejournals-content">
    <w:name w:val="ovid-widget-favorite_journals-content"/>
    <w:basedOn w:val="Normal"/>
    <w:rsid w:val="00754A72"/>
    <w:pPr>
      <w:spacing w:before="100" w:beforeAutospacing="1" w:after="360"/>
      <w:ind w:left="480"/>
    </w:pPr>
  </w:style>
  <w:style w:type="paragraph" w:customStyle="1" w:styleId="journals-title-disable">
    <w:name w:val="journals-title-disable"/>
    <w:basedOn w:val="Normal"/>
    <w:rsid w:val="00754A72"/>
    <w:pPr>
      <w:spacing w:before="100" w:beforeAutospacing="1" w:after="360"/>
    </w:pPr>
    <w:rPr>
      <w:color w:val="A9AAAD"/>
    </w:rPr>
  </w:style>
  <w:style w:type="paragraph" w:customStyle="1" w:styleId="journals-title-enable">
    <w:name w:val="journals-title-enable"/>
    <w:basedOn w:val="Normal"/>
    <w:rsid w:val="00754A72"/>
    <w:pPr>
      <w:spacing w:before="100" w:beforeAutospacing="1" w:after="360"/>
    </w:pPr>
    <w:rPr>
      <w:color w:val="2D2D2D"/>
    </w:rPr>
  </w:style>
  <w:style w:type="paragraph" w:customStyle="1" w:styleId="journalnav-list-selected">
    <w:name w:val="journalnav-list-selected"/>
    <w:basedOn w:val="Normal"/>
    <w:rsid w:val="00754A72"/>
    <w:pPr>
      <w:shd w:val="clear" w:color="auto" w:fill="E5E5E5"/>
      <w:spacing w:before="100" w:beforeAutospacing="1" w:after="360"/>
      <w:ind w:left="-120" w:right="192"/>
      <w:jc w:val="center"/>
      <w:textAlignment w:val="center"/>
    </w:pPr>
  </w:style>
  <w:style w:type="paragraph" w:customStyle="1" w:styleId="browse-journal-subject-selected">
    <w:name w:val="browse-journal-subject-selected"/>
    <w:basedOn w:val="Normal"/>
    <w:rsid w:val="00754A72"/>
    <w:pPr>
      <w:shd w:val="clear" w:color="auto" w:fill="E5E5E5"/>
      <w:spacing w:before="100" w:beforeAutospacing="1" w:after="360"/>
      <w:textAlignment w:val="center"/>
    </w:pPr>
    <w:rPr>
      <w:color w:val="222222"/>
    </w:rPr>
  </w:style>
  <w:style w:type="paragraph" w:customStyle="1" w:styleId="selected-title">
    <w:name w:val="selected-title"/>
    <w:basedOn w:val="Normal"/>
    <w:rsid w:val="00754A72"/>
    <w:pPr>
      <w:shd w:val="clear" w:color="auto" w:fill="E5E5E5"/>
      <w:spacing w:before="100" w:beforeAutospacing="1" w:after="360"/>
      <w:textAlignment w:val="center"/>
    </w:pPr>
    <w:rPr>
      <w:color w:val="222222"/>
    </w:rPr>
  </w:style>
  <w:style w:type="paragraph" w:customStyle="1" w:styleId="journalnav-catlink">
    <w:name w:val="journalnav-catlink"/>
    <w:basedOn w:val="Normal"/>
    <w:rsid w:val="00754A72"/>
    <w:pPr>
      <w:spacing w:before="100" w:beforeAutospacing="1" w:after="360" w:line="375" w:lineRule="atLeast"/>
    </w:pPr>
  </w:style>
  <w:style w:type="paragraph" w:customStyle="1" w:styleId="cc-link">
    <w:name w:val="cc-link"/>
    <w:basedOn w:val="Normal"/>
    <w:rsid w:val="00754A72"/>
    <w:pPr>
      <w:spacing w:before="100" w:beforeAutospacing="1" w:after="360"/>
    </w:pPr>
    <w:rPr>
      <w:u w:val="single"/>
    </w:rPr>
  </w:style>
  <w:style w:type="paragraph" w:customStyle="1" w:styleId="cc-revoke">
    <w:name w:val="cc-revoke"/>
    <w:basedOn w:val="Normal"/>
    <w:rsid w:val="00754A72"/>
    <w:pPr>
      <w:spacing w:before="100" w:beforeAutospacing="1" w:after="360" w:line="360" w:lineRule="atLeast"/>
    </w:pPr>
    <w:rPr>
      <w:rFonts w:ascii="Helvetica" w:hAnsi="Helvetica" w:cs="Helvetica"/>
    </w:rPr>
  </w:style>
  <w:style w:type="paragraph" w:customStyle="1" w:styleId="cc-window">
    <w:name w:val="cc-window"/>
    <w:basedOn w:val="Normal"/>
    <w:rsid w:val="00754A72"/>
    <w:pPr>
      <w:spacing w:before="100" w:beforeAutospacing="1" w:after="360" w:line="360" w:lineRule="atLeast"/>
    </w:pPr>
    <w:rPr>
      <w:rFonts w:ascii="Helvetica" w:hAnsi="Helvetica" w:cs="Helvetica"/>
    </w:rPr>
  </w:style>
  <w:style w:type="paragraph" w:customStyle="1" w:styleId="cc-header">
    <w:name w:val="cc-header"/>
    <w:basedOn w:val="Normal"/>
    <w:rsid w:val="00754A72"/>
    <w:pPr>
      <w:spacing w:before="100" w:beforeAutospacing="1" w:after="360"/>
    </w:pPr>
    <w:rPr>
      <w:b/>
      <w:bCs/>
      <w:sz w:val="27"/>
      <w:szCs w:val="27"/>
    </w:rPr>
  </w:style>
  <w:style w:type="paragraph" w:customStyle="1" w:styleId="cc-btn">
    <w:name w:val="cc-btn"/>
    <w:basedOn w:val="Normal"/>
    <w:rsid w:val="00754A72"/>
    <w:pPr>
      <w:pBdr>
        <w:top w:val="single" w:sz="12" w:space="5" w:color="auto"/>
        <w:left w:val="single" w:sz="12" w:space="10" w:color="auto"/>
        <w:bottom w:val="single" w:sz="12" w:space="5" w:color="auto"/>
        <w:right w:val="single" w:sz="12" w:space="10" w:color="auto"/>
      </w:pBdr>
      <w:spacing w:before="100" w:beforeAutospacing="1" w:after="360"/>
      <w:jc w:val="center"/>
    </w:pPr>
    <w:rPr>
      <w:b/>
      <w:bCs/>
      <w:sz w:val="22"/>
      <w:szCs w:val="22"/>
    </w:rPr>
  </w:style>
  <w:style w:type="paragraph" w:customStyle="1" w:styleId="cc-close">
    <w:name w:val="cc-close"/>
    <w:basedOn w:val="Normal"/>
    <w:rsid w:val="00754A72"/>
    <w:pPr>
      <w:spacing w:before="100" w:beforeAutospacing="1" w:after="360" w:line="0" w:lineRule="auto"/>
    </w:pPr>
    <w:rPr>
      <w:sz w:val="38"/>
      <w:szCs w:val="38"/>
    </w:rPr>
  </w:style>
  <w:style w:type="paragraph" w:customStyle="1" w:styleId="hitarea">
    <w:name w:val="hitarea"/>
    <w:basedOn w:val="Normal"/>
    <w:rsid w:val="00754A72"/>
    <w:pPr>
      <w:spacing w:before="100" w:beforeAutospacing="1" w:after="360"/>
    </w:pPr>
  </w:style>
  <w:style w:type="paragraph" w:customStyle="1" w:styleId="hover">
    <w:name w:val="hover"/>
    <w:basedOn w:val="Normal"/>
    <w:rsid w:val="00754A72"/>
    <w:pPr>
      <w:spacing w:before="100" w:beforeAutospacing="1" w:after="360"/>
    </w:pPr>
  </w:style>
  <w:style w:type="paragraph" w:customStyle="1" w:styleId="rightcontrol">
    <w:name w:val="right_control"/>
    <w:basedOn w:val="Normal"/>
    <w:rsid w:val="00754A72"/>
    <w:pPr>
      <w:spacing w:before="100" w:beforeAutospacing="1" w:after="360"/>
    </w:pPr>
  </w:style>
  <w:style w:type="paragraph" w:customStyle="1" w:styleId="tlink">
    <w:name w:val="tlink"/>
    <w:basedOn w:val="Normal"/>
    <w:rsid w:val="00754A72"/>
    <w:pPr>
      <w:spacing w:before="100" w:beforeAutospacing="1" w:after="360"/>
    </w:pPr>
  </w:style>
  <w:style w:type="paragraph" w:customStyle="1" w:styleId="citation-links">
    <w:name w:val="citation-links"/>
    <w:basedOn w:val="Normal"/>
    <w:rsid w:val="00754A72"/>
    <w:pPr>
      <w:spacing w:before="100" w:beforeAutospacing="1" w:after="360"/>
    </w:pPr>
  </w:style>
  <w:style w:type="paragraph" w:customStyle="1" w:styleId="database-popup-close">
    <w:name w:val="database-popup-close"/>
    <w:basedOn w:val="Normal"/>
    <w:rsid w:val="00754A72"/>
    <w:pPr>
      <w:spacing w:before="100" w:beforeAutospacing="1" w:after="360"/>
    </w:pPr>
  </w:style>
  <w:style w:type="paragraph" w:customStyle="1" w:styleId="add-new-group">
    <w:name w:val="add-new-group"/>
    <w:basedOn w:val="Normal"/>
    <w:rsid w:val="00754A72"/>
    <w:pPr>
      <w:spacing w:before="100" w:beforeAutospacing="1" w:after="360"/>
    </w:pPr>
  </w:style>
  <w:style w:type="paragraph" w:customStyle="1" w:styleId="personal">
    <w:name w:val="personal"/>
    <w:basedOn w:val="Normal"/>
    <w:rsid w:val="00754A72"/>
    <w:pPr>
      <w:spacing w:before="100" w:beforeAutospacing="1" w:after="360"/>
    </w:pPr>
  </w:style>
  <w:style w:type="paragraph" w:customStyle="1" w:styleId="ovid-widget-reorder-icon">
    <w:name w:val="ovid-widget-reorder-icon"/>
    <w:basedOn w:val="Normal"/>
    <w:rsid w:val="00754A72"/>
    <w:pPr>
      <w:spacing w:before="100" w:beforeAutospacing="1" w:after="360"/>
    </w:pPr>
  </w:style>
  <w:style w:type="paragraph" w:customStyle="1" w:styleId="cc-message">
    <w:name w:val="cc-message"/>
    <w:basedOn w:val="Normal"/>
    <w:rsid w:val="00754A72"/>
    <w:pPr>
      <w:spacing w:before="100" w:beforeAutospacing="1" w:after="360"/>
    </w:pPr>
  </w:style>
  <w:style w:type="paragraph" w:customStyle="1" w:styleId="journalname">
    <w:name w:val="journalname"/>
    <w:basedOn w:val="Normal"/>
    <w:rsid w:val="00754A72"/>
    <w:pPr>
      <w:spacing w:before="100" w:beforeAutospacing="1" w:after="360"/>
    </w:pPr>
  </w:style>
  <w:style w:type="paragraph" w:customStyle="1" w:styleId="titlesheader-resultsblock">
    <w:name w:val="titlesheader-resultsblock"/>
    <w:basedOn w:val="Normal"/>
    <w:rsid w:val="00754A72"/>
    <w:pPr>
      <w:spacing w:before="100" w:beforeAutospacing="1" w:after="360"/>
    </w:pPr>
  </w:style>
  <w:style w:type="paragraph" w:customStyle="1" w:styleId="titles-ab">
    <w:name w:val="titles-ab"/>
    <w:basedOn w:val="Normal"/>
    <w:rsid w:val="00754A72"/>
    <w:pPr>
      <w:spacing w:before="100" w:beforeAutospacing="1" w:after="360"/>
    </w:pPr>
  </w:style>
  <w:style w:type="paragraph" w:customStyle="1" w:styleId="lww-ppc">
    <w:name w:val="lww-ppc"/>
    <w:basedOn w:val="Normal"/>
    <w:rsid w:val="00754A72"/>
    <w:pPr>
      <w:spacing w:before="100" w:beforeAutospacing="1" w:after="360"/>
    </w:pPr>
  </w:style>
  <w:style w:type="paragraph" w:customStyle="1" w:styleId="tlinkdisable">
    <w:name w:val="tlinkdisable"/>
    <w:basedOn w:val="Normal"/>
    <w:rsid w:val="00754A72"/>
    <w:pPr>
      <w:spacing w:before="100" w:beforeAutospacing="1" w:after="360"/>
    </w:pPr>
  </w:style>
  <w:style w:type="paragraph" w:customStyle="1" w:styleId="drop-menu">
    <w:name w:val="drop-menu"/>
    <w:basedOn w:val="Normal"/>
    <w:rsid w:val="00754A72"/>
    <w:pPr>
      <w:spacing w:before="100" w:beforeAutospacing="1" w:after="360"/>
    </w:pPr>
  </w:style>
  <w:style w:type="character" w:customStyle="1" w:styleId="divider-bar">
    <w:name w:val="divider-bar"/>
    <w:basedOn w:val="DefaultParagraphFont"/>
    <w:rsid w:val="00754A72"/>
    <w:rPr>
      <w:sz w:val="26"/>
      <w:szCs w:val="26"/>
    </w:rPr>
  </w:style>
  <w:style w:type="character" w:customStyle="1" w:styleId="fileuploadpopuptitle">
    <w:name w:val="file_upload_popup_title"/>
    <w:basedOn w:val="DefaultParagraphFont"/>
    <w:rsid w:val="00754A72"/>
    <w:rPr>
      <w:b/>
      <w:bCs/>
      <w:sz w:val="30"/>
      <w:szCs w:val="30"/>
    </w:rPr>
  </w:style>
  <w:style w:type="character" w:customStyle="1" w:styleId="folder">
    <w:name w:val="folder"/>
    <w:basedOn w:val="DefaultParagraphFont"/>
    <w:rsid w:val="00754A72"/>
  </w:style>
  <w:style w:type="character" w:customStyle="1" w:styleId="file">
    <w:name w:val="file"/>
    <w:basedOn w:val="DefaultParagraphFont"/>
    <w:rsid w:val="00754A72"/>
  </w:style>
  <w:style w:type="character" w:customStyle="1" w:styleId="createdtooltip">
    <w:name w:val="createdtooltip"/>
    <w:basedOn w:val="DefaultParagraphFont"/>
    <w:rsid w:val="00754A72"/>
  </w:style>
  <w:style w:type="character" w:customStyle="1" w:styleId="value">
    <w:name w:val="value"/>
    <w:basedOn w:val="DefaultParagraphFont"/>
    <w:rsid w:val="00754A72"/>
  </w:style>
  <w:style w:type="paragraph" w:customStyle="1" w:styleId="ui-state-default1">
    <w:name w:val="ui-state-default1"/>
    <w:basedOn w:val="Normal"/>
    <w:rsid w:val="00754A72"/>
    <w:pPr>
      <w:pBdr>
        <w:top w:val="single" w:sz="6" w:space="0" w:color="D3D3D3"/>
        <w:left w:val="single" w:sz="6" w:space="0" w:color="D3D3D3"/>
        <w:bottom w:val="single" w:sz="6" w:space="0" w:color="D3D3D3"/>
        <w:right w:val="single" w:sz="6" w:space="0" w:color="D3D3D3"/>
      </w:pBdr>
      <w:shd w:val="clear" w:color="auto" w:fill="E6E6E6"/>
      <w:spacing w:before="100" w:beforeAutospacing="1" w:after="360"/>
    </w:pPr>
    <w:rPr>
      <w:color w:val="555555"/>
    </w:rPr>
  </w:style>
  <w:style w:type="paragraph" w:customStyle="1" w:styleId="ui-state-hover1">
    <w:name w:val="ui-state-hover1"/>
    <w:basedOn w:val="Normal"/>
    <w:rsid w:val="00754A72"/>
    <w:pPr>
      <w:pBdr>
        <w:top w:val="single" w:sz="6" w:space="0" w:color="999999"/>
        <w:left w:val="single" w:sz="6" w:space="0" w:color="999999"/>
        <w:bottom w:val="single" w:sz="6" w:space="0" w:color="999999"/>
        <w:right w:val="single" w:sz="6" w:space="0" w:color="999999"/>
      </w:pBdr>
      <w:shd w:val="clear" w:color="auto" w:fill="DADADA"/>
      <w:spacing w:before="100" w:beforeAutospacing="1" w:after="360"/>
    </w:pPr>
    <w:rPr>
      <w:color w:val="212121"/>
    </w:rPr>
  </w:style>
  <w:style w:type="paragraph" w:customStyle="1" w:styleId="ui-state-focus1">
    <w:name w:val="ui-state-focus1"/>
    <w:basedOn w:val="Normal"/>
    <w:rsid w:val="00754A72"/>
    <w:pPr>
      <w:pBdr>
        <w:top w:val="single" w:sz="6" w:space="0" w:color="999999"/>
        <w:left w:val="single" w:sz="6" w:space="0" w:color="999999"/>
        <w:bottom w:val="single" w:sz="6" w:space="0" w:color="999999"/>
        <w:right w:val="single" w:sz="6" w:space="0" w:color="999999"/>
      </w:pBdr>
      <w:shd w:val="clear" w:color="auto" w:fill="DADADA"/>
      <w:spacing w:before="100" w:beforeAutospacing="1" w:after="360"/>
    </w:pPr>
    <w:rPr>
      <w:color w:val="212121"/>
    </w:rPr>
  </w:style>
  <w:style w:type="paragraph" w:customStyle="1" w:styleId="ui-state-active1">
    <w:name w:val="ui-state-active1"/>
    <w:basedOn w:val="Normal"/>
    <w:rsid w:val="00754A72"/>
    <w:pPr>
      <w:pBdr>
        <w:top w:val="single" w:sz="6" w:space="0" w:color="AAAAAA"/>
        <w:left w:val="single" w:sz="6" w:space="0" w:color="AAAAAA"/>
        <w:bottom w:val="single" w:sz="6" w:space="0" w:color="AAAAAA"/>
        <w:right w:val="single" w:sz="6" w:space="0" w:color="AAAAAA"/>
      </w:pBdr>
      <w:shd w:val="clear" w:color="auto" w:fill="FFFFFF"/>
      <w:spacing w:before="100" w:beforeAutospacing="1" w:after="360"/>
    </w:pPr>
    <w:rPr>
      <w:color w:val="212121"/>
    </w:rPr>
  </w:style>
  <w:style w:type="paragraph" w:customStyle="1" w:styleId="ui-state-highlight1">
    <w:name w:val="ui-state-highlight1"/>
    <w:basedOn w:val="Normal"/>
    <w:rsid w:val="00754A72"/>
    <w:pPr>
      <w:pBdr>
        <w:top w:val="single" w:sz="6" w:space="0" w:color="FCEFA1"/>
        <w:left w:val="single" w:sz="6" w:space="0" w:color="FCEFA1"/>
        <w:bottom w:val="single" w:sz="6" w:space="0" w:color="FCEFA1"/>
        <w:right w:val="single" w:sz="6" w:space="0" w:color="FCEFA1"/>
      </w:pBdr>
      <w:shd w:val="clear" w:color="auto" w:fill="FBF9EE"/>
      <w:spacing w:before="100" w:beforeAutospacing="1" w:after="360"/>
    </w:pPr>
    <w:rPr>
      <w:color w:val="363636"/>
    </w:rPr>
  </w:style>
  <w:style w:type="paragraph" w:customStyle="1" w:styleId="ui-state-error1">
    <w:name w:val="ui-state-error1"/>
    <w:basedOn w:val="Normal"/>
    <w:rsid w:val="00754A72"/>
    <w:pPr>
      <w:pBdr>
        <w:top w:val="single" w:sz="6" w:space="0" w:color="CD0A0A"/>
        <w:left w:val="single" w:sz="6" w:space="0" w:color="CD0A0A"/>
        <w:bottom w:val="single" w:sz="6" w:space="0" w:color="CD0A0A"/>
        <w:right w:val="single" w:sz="6" w:space="0" w:color="CD0A0A"/>
      </w:pBdr>
      <w:shd w:val="clear" w:color="auto" w:fill="FEF1EC"/>
      <w:spacing w:before="100" w:beforeAutospacing="1" w:after="360"/>
    </w:pPr>
    <w:rPr>
      <w:color w:val="CD0A0A"/>
    </w:rPr>
  </w:style>
  <w:style w:type="paragraph" w:customStyle="1" w:styleId="ui-state-error-text1">
    <w:name w:val="ui-state-error-text1"/>
    <w:basedOn w:val="Normal"/>
    <w:rsid w:val="00754A72"/>
    <w:pPr>
      <w:spacing w:before="100" w:beforeAutospacing="1" w:after="360"/>
    </w:pPr>
    <w:rPr>
      <w:color w:val="CD0A0A"/>
    </w:rPr>
  </w:style>
  <w:style w:type="paragraph" w:customStyle="1" w:styleId="ui-state-disabled1">
    <w:name w:val="ui-state-disabled1"/>
    <w:basedOn w:val="Normal"/>
    <w:rsid w:val="00754A72"/>
    <w:pPr>
      <w:spacing w:before="100" w:beforeAutospacing="1" w:after="360"/>
    </w:pPr>
  </w:style>
  <w:style w:type="paragraph" w:customStyle="1" w:styleId="ui-priority-primary1">
    <w:name w:val="ui-priority-primary1"/>
    <w:basedOn w:val="Normal"/>
    <w:rsid w:val="00754A72"/>
    <w:pPr>
      <w:spacing w:before="100" w:beforeAutospacing="1" w:after="360"/>
    </w:pPr>
    <w:rPr>
      <w:b/>
      <w:bCs/>
    </w:rPr>
  </w:style>
  <w:style w:type="paragraph" w:customStyle="1" w:styleId="ui-priority-secondary1">
    <w:name w:val="ui-priority-secondary1"/>
    <w:basedOn w:val="Normal"/>
    <w:rsid w:val="00754A72"/>
    <w:pPr>
      <w:spacing w:before="100" w:beforeAutospacing="1" w:after="360"/>
    </w:pPr>
  </w:style>
  <w:style w:type="paragraph" w:customStyle="1" w:styleId="ui-icon1">
    <w:name w:val="ui-icon1"/>
    <w:basedOn w:val="Normal"/>
    <w:rsid w:val="00754A72"/>
    <w:pPr>
      <w:spacing w:before="100" w:beforeAutospacing="1" w:after="360"/>
    </w:pPr>
  </w:style>
  <w:style w:type="paragraph" w:customStyle="1" w:styleId="ui-icon2">
    <w:name w:val="ui-icon2"/>
    <w:basedOn w:val="Normal"/>
    <w:rsid w:val="00754A72"/>
    <w:pPr>
      <w:spacing w:before="100" w:beforeAutospacing="1" w:after="360"/>
    </w:pPr>
  </w:style>
  <w:style w:type="paragraph" w:customStyle="1" w:styleId="ui-icon3">
    <w:name w:val="ui-icon3"/>
    <w:basedOn w:val="Normal"/>
    <w:rsid w:val="00754A72"/>
    <w:pPr>
      <w:spacing w:before="100" w:beforeAutospacing="1" w:after="360"/>
    </w:pPr>
  </w:style>
  <w:style w:type="paragraph" w:customStyle="1" w:styleId="ui-icon4">
    <w:name w:val="ui-icon4"/>
    <w:basedOn w:val="Normal"/>
    <w:rsid w:val="00754A72"/>
    <w:pPr>
      <w:spacing w:before="100" w:beforeAutospacing="1" w:after="360"/>
    </w:pPr>
  </w:style>
  <w:style w:type="paragraph" w:customStyle="1" w:styleId="ui-icon5">
    <w:name w:val="ui-icon5"/>
    <w:basedOn w:val="Normal"/>
    <w:rsid w:val="00754A72"/>
    <w:pPr>
      <w:spacing w:before="100" w:beforeAutospacing="1" w:after="360"/>
    </w:pPr>
  </w:style>
  <w:style w:type="paragraph" w:customStyle="1" w:styleId="ui-icon6">
    <w:name w:val="ui-icon6"/>
    <w:basedOn w:val="Normal"/>
    <w:rsid w:val="00754A72"/>
    <w:pPr>
      <w:spacing w:before="100" w:beforeAutospacing="1" w:after="360"/>
    </w:pPr>
  </w:style>
  <w:style w:type="paragraph" w:customStyle="1" w:styleId="ui-icon7">
    <w:name w:val="ui-icon7"/>
    <w:basedOn w:val="Normal"/>
    <w:rsid w:val="00754A72"/>
    <w:pPr>
      <w:spacing w:before="100" w:beforeAutospacing="1" w:after="360"/>
    </w:pPr>
  </w:style>
  <w:style w:type="paragraph" w:customStyle="1" w:styleId="ui-icon8">
    <w:name w:val="ui-icon8"/>
    <w:basedOn w:val="Normal"/>
    <w:rsid w:val="00754A72"/>
    <w:pPr>
      <w:spacing w:before="100" w:beforeAutospacing="1" w:after="360"/>
    </w:pPr>
  </w:style>
  <w:style w:type="paragraph" w:customStyle="1" w:styleId="ui-icon9">
    <w:name w:val="ui-icon9"/>
    <w:basedOn w:val="Normal"/>
    <w:rsid w:val="00754A72"/>
    <w:pPr>
      <w:spacing w:before="100" w:beforeAutospacing="1" w:after="360"/>
    </w:pPr>
  </w:style>
  <w:style w:type="paragraph" w:customStyle="1" w:styleId="hitarea1">
    <w:name w:val="hitarea1"/>
    <w:basedOn w:val="Normal"/>
    <w:rsid w:val="00754A72"/>
    <w:pPr>
      <w:spacing w:before="30" w:after="360"/>
      <w:ind w:left="-240"/>
    </w:pPr>
  </w:style>
  <w:style w:type="paragraph" w:customStyle="1" w:styleId="hover1">
    <w:name w:val="hover1"/>
    <w:basedOn w:val="Normal"/>
    <w:rsid w:val="00754A72"/>
    <w:pPr>
      <w:spacing w:before="100" w:beforeAutospacing="1" w:after="360"/>
    </w:pPr>
    <w:rPr>
      <w:color w:val="FF0000"/>
    </w:rPr>
  </w:style>
  <w:style w:type="paragraph" w:customStyle="1" w:styleId="hitarea2">
    <w:name w:val="hitarea2"/>
    <w:basedOn w:val="Normal"/>
    <w:rsid w:val="00754A72"/>
    <w:pPr>
      <w:spacing w:before="100" w:beforeAutospacing="1" w:after="360"/>
    </w:pPr>
  </w:style>
  <w:style w:type="paragraph" w:customStyle="1" w:styleId="hitarea3">
    <w:name w:val="hitarea3"/>
    <w:basedOn w:val="Normal"/>
    <w:rsid w:val="00754A72"/>
    <w:pPr>
      <w:spacing w:before="100" w:beforeAutospacing="1" w:after="360"/>
    </w:pPr>
  </w:style>
  <w:style w:type="paragraph" w:customStyle="1" w:styleId="hitarea4">
    <w:name w:val="hitarea4"/>
    <w:basedOn w:val="Normal"/>
    <w:rsid w:val="00754A72"/>
    <w:pPr>
      <w:spacing w:before="100" w:beforeAutospacing="1" w:after="360"/>
    </w:pPr>
  </w:style>
  <w:style w:type="paragraph" w:customStyle="1" w:styleId="hitarea5">
    <w:name w:val="hitarea5"/>
    <w:basedOn w:val="Normal"/>
    <w:rsid w:val="00754A72"/>
    <w:pPr>
      <w:spacing w:before="100" w:beforeAutospacing="1" w:after="360"/>
    </w:pPr>
  </w:style>
  <w:style w:type="character" w:customStyle="1" w:styleId="folder1">
    <w:name w:val="folder1"/>
    <w:basedOn w:val="DefaultParagraphFont"/>
    <w:rsid w:val="00754A72"/>
    <w:rPr>
      <w:vanish w:val="0"/>
      <w:webHidden w:val="0"/>
      <w:specVanish w:val="0"/>
    </w:rPr>
  </w:style>
  <w:style w:type="character" w:customStyle="1" w:styleId="file1">
    <w:name w:val="file1"/>
    <w:basedOn w:val="DefaultParagraphFont"/>
    <w:rsid w:val="00754A72"/>
    <w:rPr>
      <w:vanish w:val="0"/>
      <w:webHidden w:val="0"/>
      <w:specVanish w:val="0"/>
    </w:rPr>
  </w:style>
  <w:style w:type="character" w:customStyle="1" w:styleId="folder2">
    <w:name w:val="folder2"/>
    <w:basedOn w:val="DefaultParagraphFont"/>
    <w:rsid w:val="00754A72"/>
    <w:rPr>
      <w:vanish w:val="0"/>
      <w:webHidden w:val="0"/>
      <w:specVanish w:val="0"/>
    </w:rPr>
  </w:style>
  <w:style w:type="paragraph" w:customStyle="1" w:styleId="rightcontrol1">
    <w:name w:val="right_control1"/>
    <w:basedOn w:val="Normal"/>
    <w:rsid w:val="00754A72"/>
    <w:pPr>
      <w:spacing w:before="100" w:beforeAutospacing="1" w:after="360"/>
      <w:jc w:val="right"/>
    </w:pPr>
  </w:style>
  <w:style w:type="paragraph" w:customStyle="1" w:styleId="rightcontrol2">
    <w:name w:val="right_control2"/>
    <w:basedOn w:val="Normal"/>
    <w:rsid w:val="00754A72"/>
    <w:pPr>
      <w:spacing w:before="100" w:beforeAutospacing="1" w:after="360"/>
      <w:jc w:val="right"/>
    </w:pPr>
  </w:style>
  <w:style w:type="paragraph" w:customStyle="1" w:styleId="rightcontrol3">
    <w:name w:val="right_control3"/>
    <w:basedOn w:val="Normal"/>
    <w:rsid w:val="00754A72"/>
    <w:pPr>
      <w:spacing w:before="100" w:beforeAutospacing="1" w:after="360"/>
      <w:jc w:val="right"/>
    </w:pPr>
  </w:style>
  <w:style w:type="paragraph" w:customStyle="1" w:styleId="rightcontrol4">
    <w:name w:val="right_control4"/>
    <w:basedOn w:val="Normal"/>
    <w:rsid w:val="00754A72"/>
    <w:pPr>
      <w:spacing w:before="100" w:beforeAutospacing="1" w:after="360"/>
      <w:jc w:val="right"/>
    </w:pPr>
  </w:style>
  <w:style w:type="paragraph" w:customStyle="1" w:styleId="titlesheader-resultsblock1">
    <w:name w:val="titlesheader-resultsblock1"/>
    <w:basedOn w:val="Normal"/>
    <w:rsid w:val="00754A72"/>
    <w:pPr>
      <w:pBdr>
        <w:top w:val="single" w:sz="6" w:space="0" w:color="0768A9"/>
        <w:left w:val="single" w:sz="6" w:space="0" w:color="0768A9"/>
        <w:bottom w:val="single" w:sz="6" w:space="0" w:color="0768A9"/>
        <w:right w:val="single" w:sz="6" w:space="0" w:color="0768A9"/>
      </w:pBdr>
      <w:spacing w:before="100" w:beforeAutospacing="1" w:after="360"/>
      <w:ind w:left="6240"/>
    </w:pPr>
  </w:style>
  <w:style w:type="paragraph" w:customStyle="1" w:styleId="titles-ab1">
    <w:name w:val="titles-ab1"/>
    <w:basedOn w:val="Normal"/>
    <w:rsid w:val="00754A72"/>
    <w:pPr>
      <w:shd w:val="clear" w:color="auto" w:fill="DCEEFA"/>
      <w:spacing w:before="100" w:beforeAutospacing="1" w:after="360"/>
    </w:pPr>
  </w:style>
  <w:style w:type="character" w:customStyle="1" w:styleId="value1">
    <w:name w:val="value1"/>
    <w:basedOn w:val="DefaultParagraphFont"/>
    <w:rsid w:val="00754A72"/>
    <w:rPr>
      <w:color w:val="333333"/>
    </w:rPr>
  </w:style>
  <w:style w:type="paragraph" w:customStyle="1" w:styleId="drop-menu1">
    <w:name w:val="drop-menu1"/>
    <w:basedOn w:val="Normal"/>
    <w:rsid w:val="00754A72"/>
    <w:pPr>
      <w:spacing w:before="100" w:beforeAutospacing="1" w:after="360"/>
    </w:pPr>
    <w:rPr>
      <w:vanish/>
    </w:rPr>
  </w:style>
  <w:style w:type="paragraph" w:customStyle="1" w:styleId="error1">
    <w:name w:val="error1"/>
    <w:basedOn w:val="Normal"/>
    <w:rsid w:val="00754A72"/>
    <w:pPr>
      <w:shd w:val="clear" w:color="auto" w:fill="F2EB77"/>
      <w:spacing w:before="90" w:after="300"/>
    </w:pPr>
    <w:rPr>
      <w:b/>
      <w:bCs/>
      <w:color w:val="0A0905"/>
    </w:rPr>
  </w:style>
  <w:style w:type="paragraph" w:customStyle="1" w:styleId="sectionheader1">
    <w:name w:val="sectionheader1"/>
    <w:basedOn w:val="Normal"/>
    <w:rsid w:val="00754A72"/>
    <w:pPr>
      <w:shd w:val="clear" w:color="auto" w:fill="B9B9B9"/>
    </w:pPr>
    <w:rPr>
      <w:b/>
      <w:bCs/>
    </w:rPr>
  </w:style>
  <w:style w:type="paragraph" w:customStyle="1" w:styleId="journalname1">
    <w:name w:val="journalname1"/>
    <w:basedOn w:val="Normal"/>
    <w:rsid w:val="00754A72"/>
    <w:pPr>
      <w:spacing w:before="100" w:beforeAutospacing="1" w:after="30"/>
    </w:pPr>
    <w:rPr>
      <w:b/>
      <w:bCs/>
      <w:color w:val="3B61AA"/>
      <w:sz w:val="27"/>
      <w:szCs w:val="27"/>
    </w:rPr>
  </w:style>
  <w:style w:type="paragraph" w:customStyle="1" w:styleId="citation-links1">
    <w:name w:val="citation-links1"/>
    <w:basedOn w:val="Normal"/>
    <w:rsid w:val="00754A72"/>
    <w:pPr>
      <w:spacing w:before="100" w:beforeAutospacing="1" w:after="360"/>
    </w:pPr>
    <w:rPr>
      <w:color w:val="2D2D2D"/>
      <w:sz w:val="21"/>
      <w:szCs w:val="21"/>
    </w:rPr>
  </w:style>
  <w:style w:type="paragraph" w:customStyle="1" w:styleId="tlink1">
    <w:name w:val="tlink1"/>
    <w:basedOn w:val="Normal"/>
    <w:rsid w:val="00754A72"/>
    <w:pPr>
      <w:spacing w:before="100" w:beforeAutospacing="1" w:after="360"/>
    </w:pPr>
    <w:rPr>
      <w:color w:val="0768A9"/>
      <w:u w:val="single"/>
    </w:rPr>
  </w:style>
  <w:style w:type="paragraph" w:customStyle="1" w:styleId="tlink2">
    <w:name w:val="tlink2"/>
    <w:basedOn w:val="Normal"/>
    <w:rsid w:val="00754A72"/>
    <w:pPr>
      <w:spacing w:before="100" w:beforeAutospacing="1" w:after="360"/>
    </w:pPr>
  </w:style>
  <w:style w:type="paragraph" w:customStyle="1" w:styleId="resourcespopuptitle1">
    <w:name w:val="resources_popup_title1"/>
    <w:basedOn w:val="Normal"/>
    <w:rsid w:val="00754A72"/>
    <w:rPr>
      <w:b/>
      <w:bCs/>
      <w:sz w:val="36"/>
      <w:szCs w:val="36"/>
    </w:rPr>
  </w:style>
  <w:style w:type="character" w:customStyle="1" w:styleId="createdtooltip1">
    <w:name w:val="createdtooltip1"/>
    <w:basedOn w:val="DefaultParagraphFont"/>
    <w:rsid w:val="00754A72"/>
    <w:rPr>
      <w:vanish/>
      <w:webHidden w:val="0"/>
      <w:color w:val="000000"/>
      <w:sz w:val="20"/>
      <w:szCs w:val="20"/>
      <w:bdr w:val="single" w:sz="6" w:space="1" w:color="000000" w:frame="1"/>
      <w:shd w:val="clear" w:color="auto" w:fill="FFFFFF"/>
      <w:specVanish w:val="0"/>
    </w:rPr>
  </w:style>
  <w:style w:type="paragraph" w:customStyle="1" w:styleId="database-popup-close1">
    <w:name w:val="database-popup-close1"/>
    <w:basedOn w:val="Normal"/>
    <w:rsid w:val="00754A72"/>
    <w:pPr>
      <w:ind w:right="-165"/>
      <w:jc w:val="right"/>
    </w:pPr>
    <w:rPr>
      <w:color w:val="474747"/>
    </w:rPr>
  </w:style>
  <w:style w:type="paragraph" w:customStyle="1" w:styleId="personal1">
    <w:name w:val="personal1"/>
    <w:basedOn w:val="Normal"/>
    <w:rsid w:val="00754A72"/>
    <w:pPr>
      <w:spacing w:before="100" w:beforeAutospacing="1" w:after="480"/>
    </w:pPr>
  </w:style>
  <w:style w:type="paragraph" w:customStyle="1" w:styleId="ovid-widget-reorder-icon1">
    <w:name w:val="ovid-widget-reorder-icon1"/>
    <w:basedOn w:val="Normal"/>
    <w:rsid w:val="00754A72"/>
    <w:pPr>
      <w:spacing w:before="100" w:beforeAutospacing="1" w:after="360"/>
    </w:pPr>
  </w:style>
  <w:style w:type="paragraph" w:customStyle="1" w:styleId="ui-widget-header1">
    <w:name w:val="ui-widget-header1"/>
    <w:basedOn w:val="Normal"/>
    <w:rsid w:val="00754A72"/>
    <w:pPr>
      <w:pBdr>
        <w:top w:val="single" w:sz="6" w:space="0" w:color="AAAAAA"/>
        <w:left w:val="single" w:sz="6" w:space="0" w:color="AAAAAA"/>
        <w:bottom w:val="single" w:sz="6" w:space="0" w:color="AAAAAA"/>
        <w:right w:val="single" w:sz="6" w:space="0" w:color="AAAAAA"/>
      </w:pBdr>
      <w:shd w:val="clear" w:color="auto" w:fill="CCCCCC"/>
      <w:spacing w:before="100" w:beforeAutospacing="1" w:after="360"/>
    </w:pPr>
    <w:rPr>
      <w:b/>
      <w:bCs/>
      <w:color w:val="222222"/>
    </w:rPr>
  </w:style>
  <w:style w:type="paragraph" w:customStyle="1" w:styleId="error2">
    <w:name w:val="error2"/>
    <w:basedOn w:val="Normal"/>
    <w:rsid w:val="00754A72"/>
    <w:pPr>
      <w:shd w:val="clear" w:color="auto" w:fill="F2EB77"/>
      <w:spacing w:before="90" w:after="90"/>
      <w:ind w:left="600"/>
    </w:pPr>
    <w:rPr>
      <w:b/>
      <w:bCs/>
      <w:color w:val="0A0905"/>
    </w:rPr>
  </w:style>
  <w:style w:type="paragraph" w:customStyle="1" w:styleId="journalnav-catlink1">
    <w:name w:val="journalnav-catlink1"/>
    <w:basedOn w:val="Normal"/>
    <w:rsid w:val="00754A72"/>
    <w:pPr>
      <w:spacing w:line="375" w:lineRule="atLeast"/>
    </w:pPr>
    <w:rPr>
      <w:color w:val="0768A9"/>
      <w:sz w:val="16"/>
      <w:szCs w:val="16"/>
    </w:rPr>
  </w:style>
  <w:style w:type="paragraph" w:customStyle="1" w:styleId="cc-message1">
    <w:name w:val="cc-message1"/>
    <w:basedOn w:val="Normal"/>
    <w:rsid w:val="00754A72"/>
    <w:pPr>
      <w:spacing w:before="100" w:beforeAutospacing="1" w:after="240"/>
    </w:pPr>
  </w:style>
  <w:style w:type="character" w:customStyle="1" w:styleId="searchhistory-search-term">
    <w:name w:val="searchhistory-search-term"/>
    <w:basedOn w:val="DefaultParagraphFont"/>
    <w:rsid w:val="00754A72"/>
  </w:style>
  <w:style w:type="character" w:customStyle="1" w:styleId="action-drop-menu-arrow">
    <w:name w:val="action-drop-menu-arrow"/>
    <w:basedOn w:val="DefaultParagraphFont"/>
    <w:rsid w:val="00754A72"/>
  </w:style>
  <w:style w:type="character" w:customStyle="1" w:styleId="annotations-widget">
    <w:name w:val="annotations-widget"/>
    <w:basedOn w:val="DefaultParagraphFont"/>
    <w:rsid w:val="00754A72"/>
  </w:style>
  <w:style w:type="table" w:styleId="PlainTable4">
    <w:name w:val="Plain Table 4"/>
    <w:basedOn w:val="TableNormal"/>
    <w:uiPriority w:val="44"/>
    <w:rsid w:val="00754A7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754A72"/>
    <w:rPr>
      <w:sz w:val="22"/>
      <w:szCs w:val="22"/>
    </w:rPr>
  </w:style>
  <w:style w:type="numbering" w:customStyle="1" w:styleId="CurrentList1">
    <w:name w:val="Current List1"/>
    <w:uiPriority w:val="99"/>
    <w:rsid w:val="00754A72"/>
    <w:pPr>
      <w:numPr>
        <w:numId w:val="14"/>
      </w:numPr>
    </w:pPr>
  </w:style>
  <w:style w:type="table" w:customStyle="1" w:styleId="TableGrid1">
    <w:name w:val="Table Grid1"/>
    <w:basedOn w:val="TableNormal"/>
    <w:next w:val="TableGrid"/>
    <w:uiPriority w:val="39"/>
    <w:rsid w:val="00754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4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54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54A72"/>
  </w:style>
  <w:style w:type="character" w:customStyle="1" w:styleId="article-headerdoilabel">
    <w:name w:val="article-header__doi__label"/>
    <w:basedOn w:val="DefaultParagraphFont"/>
    <w:rsid w:val="00754A72"/>
  </w:style>
  <w:style w:type="paragraph" w:styleId="Revision">
    <w:name w:val="Revision"/>
    <w:hidden/>
    <w:uiPriority w:val="99"/>
    <w:semiHidden/>
    <w:rsid w:val="00430058"/>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47997">
      <w:bodyDiv w:val="1"/>
      <w:marLeft w:val="0"/>
      <w:marRight w:val="0"/>
      <w:marTop w:val="0"/>
      <w:marBottom w:val="0"/>
      <w:divBdr>
        <w:top w:val="none" w:sz="0" w:space="0" w:color="auto"/>
        <w:left w:val="none" w:sz="0" w:space="0" w:color="auto"/>
        <w:bottom w:val="none" w:sz="0" w:space="0" w:color="auto"/>
        <w:right w:val="none" w:sz="0" w:space="0" w:color="auto"/>
      </w:divBdr>
      <w:divsChild>
        <w:div w:id="859857036">
          <w:marLeft w:val="0"/>
          <w:marRight w:val="0"/>
          <w:marTop w:val="0"/>
          <w:marBottom w:val="0"/>
          <w:divBdr>
            <w:top w:val="none" w:sz="0" w:space="0" w:color="auto"/>
            <w:left w:val="none" w:sz="0" w:space="0" w:color="auto"/>
            <w:bottom w:val="none" w:sz="0" w:space="0" w:color="auto"/>
            <w:right w:val="none" w:sz="0" w:space="0" w:color="auto"/>
          </w:divBdr>
          <w:divsChild>
            <w:div w:id="1192916591">
              <w:marLeft w:val="0"/>
              <w:marRight w:val="0"/>
              <w:marTop w:val="0"/>
              <w:marBottom w:val="0"/>
              <w:divBdr>
                <w:top w:val="none" w:sz="0" w:space="0" w:color="auto"/>
                <w:left w:val="none" w:sz="0" w:space="0" w:color="auto"/>
                <w:bottom w:val="none" w:sz="0" w:space="0" w:color="auto"/>
                <w:right w:val="none" w:sz="0" w:space="0" w:color="auto"/>
              </w:divBdr>
              <w:divsChild>
                <w:div w:id="1934123804">
                  <w:marLeft w:val="0"/>
                  <w:marRight w:val="0"/>
                  <w:marTop w:val="0"/>
                  <w:marBottom w:val="0"/>
                  <w:divBdr>
                    <w:top w:val="none" w:sz="0" w:space="0" w:color="auto"/>
                    <w:left w:val="none" w:sz="0" w:space="0" w:color="auto"/>
                    <w:bottom w:val="none" w:sz="0" w:space="0" w:color="auto"/>
                    <w:right w:val="none" w:sz="0" w:space="0" w:color="auto"/>
                  </w:divBdr>
                  <w:divsChild>
                    <w:div w:id="14104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303367">
      <w:bodyDiv w:val="1"/>
      <w:marLeft w:val="0"/>
      <w:marRight w:val="0"/>
      <w:marTop w:val="0"/>
      <w:marBottom w:val="0"/>
      <w:divBdr>
        <w:top w:val="none" w:sz="0" w:space="0" w:color="auto"/>
        <w:left w:val="none" w:sz="0" w:space="0" w:color="auto"/>
        <w:bottom w:val="none" w:sz="0" w:space="0" w:color="auto"/>
        <w:right w:val="none" w:sz="0" w:space="0" w:color="auto"/>
      </w:divBdr>
      <w:divsChild>
        <w:div w:id="531653447">
          <w:marLeft w:val="0"/>
          <w:marRight w:val="0"/>
          <w:marTop w:val="0"/>
          <w:marBottom w:val="0"/>
          <w:divBdr>
            <w:top w:val="none" w:sz="0" w:space="0" w:color="auto"/>
            <w:left w:val="none" w:sz="0" w:space="0" w:color="auto"/>
            <w:bottom w:val="none" w:sz="0" w:space="0" w:color="auto"/>
            <w:right w:val="none" w:sz="0" w:space="0" w:color="auto"/>
          </w:divBdr>
          <w:divsChild>
            <w:div w:id="553199099">
              <w:marLeft w:val="0"/>
              <w:marRight w:val="0"/>
              <w:marTop w:val="0"/>
              <w:marBottom w:val="0"/>
              <w:divBdr>
                <w:top w:val="none" w:sz="0" w:space="0" w:color="auto"/>
                <w:left w:val="none" w:sz="0" w:space="0" w:color="auto"/>
                <w:bottom w:val="none" w:sz="0" w:space="0" w:color="auto"/>
                <w:right w:val="none" w:sz="0" w:space="0" w:color="auto"/>
              </w:divBdr>
              <w:divsChild>
                <w:div w:id="11580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0483">
      <w:bodyDiv w:val="1"/>
      <w:marLeft w:val="0"/>
      <w:marRight w:val="0"/>
      <w:marTop w:val="0"/>
      <w:marBottom w:val="0"/>
      <w:divBdr>
        <w:top w:val="none" w:sz="0" w:space="0" w:color="auto"/>
        <w:left w:val="none" w:sz="0" w:space="0" w:color="auto"/>
        <w:bottom w:val="none" w:sz="0" w:space="0" w:color="auto"/>
        <w:right w:val="none" w:sz="0" w:space="0" w:color="auto"/>
      </w:divBdr>
      <w:divsChild>
        <w:div w:id="1116018771">
          <w:marLeft w:val="0"/>
          <w:marRight w:val="0"/>
          <w:marTop w:val="0"/>
          <w:marBottom w:val="0"/>
          <w:divBdr>
            <w:top w:val="none" w:sz="0" w:space="0" w:color="auto"/>
            <w:left w:val="none" w:sz="0" w:space="0" w:color="auto"/>
            <w:bottom w:val="none" w:sz="0" w:space="0" w:color="auto"/>
            <w:right w:val="none" w:sz="0" w:space="0" w:color="auto"/>
          </w:divBdr>
          <w:divsChild>
            <w:div w:id="2007510655">
              <w:marLeft w:val="0"/>
              <w:marRight w:val="0"/>
              <w:marTop w:val="0"/>
              <w:marBottom w:val="0"/>
              <w:divBdr>
                <w:top w:val="none" w:sz="0" w:space="0" w:color="auto"/>
                <w:left w:val="none" w:sz="0" w:space="0" w:color="auto"/>
                <w:bottom w:val="none" w:sz="0" w:space="0" w:color="auto"/>
                <w:right w:val="none" w:sz="0" w:space="0" w:color="auto"/>
              </w:divBdr>
              <w:divsChild>
                <w:div w:id="3262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5425">
      <w:bodyDiv w:val="1"/>
      <w:marLeft w:val="0"/>
      <w:marRight w:val="0"/>
      <w:marTop w:val="0"/>
      <w:marBottom w:val="0"/>
      <w:divBdr>
        <w:top w:val="none" w:sz="0" w:space="0" w:color="auto"/>
        <w:left w:val="none" w:sz="0" w:space="0" w:color="auto"/>
        <w:bottom w:val="none" w:sz="0" w:space="0" w:color="auto"/>
        <w:right w:val="none" w:sz="0" w:space="0" w:color="auto"/>
      </w:divBdr>
    </w:div>
    <w:div w:id="1295403533">
      <w:bodyDiv w:val="1"/>
      <w:marLeft w:val="0"/>
      <w:marRight w:val="0"/>
      <w:marTop w:val="0"/>
      <w:marBottom w:val="0"/>
      <w:divBdr>
        <w:top w:val="none" w:sz="0" w:space="0" w:color="auto"/>
        <w:left w:val="none" w:sz="0" w:space="0" w:color="auto"/>
        <w:bottom w:val="none" w:sz="0" w:space="0" w:color="auto"/>
        <w:right w:val="none" w:sz="0" w:space="0" w:color="auto"/>
      </w:divBdr>
      <w:divsChild>
        <w:div w:id="1835145129">
          <w:marLeft w:val="0"/>
          <w:marRight w:val="0"/>
          <w:marTop w:val="0"/>
          <w:marBottom w:val="0"/>
          <w:divBdr>
            <w:top w:val="none" w:sz="0" w:space="0" w:color="auto"/>
            <w:left w:val="none" w:sz="0" w:space="0" w:color="auto"/>
            <w:bottom w:val="none" w:sz="0" w:space="0" w:color="auto"/>
            <w:right w:val="none" w:sz="0" w:space="0" w:color="auto"/>
          </w:divBdr>
        </w:div>
      </w:divsChild>
    </w:div>
    <w:div w:id="1369913876">
      <w:bodyDiv w:val="1"/>
      <w:marLeft w:val="0"/>
      <w:marRight w:val="0"/>
      <w:marTop w:val="0"/>
      <w:marBottom w:val="0"/>
      <w:divBdr>
        <w:top w:val="none" w:sz="0" w:space="0" w:color="auto"/>
        <w:left w:val="none" w:sz="0" w:space="0" w:color="auto"/>
        <w:bottom w:val="none" w:sz="0" w:space="0" w:color="auto"/>
        <w:right w:val="none" w:sz="0" w:space="0" w:color="auto"/>
      </w:divBdr>
    </w:div>
    <w:div w:id="1407535504">
      <w:bodyDiv w:val="1"/>
      <w:marLeft w:val="0"/>
      <w:marRight w:val="0"/>
      <w:marTop w:val="0"/>
      <w:marBottom w:val="0"/>
      <w:divBdr>
        <w:top w:val="none" w:sz="0" w:space="0" w:color="auto"/>
        <w:left w:val="none" w:sz="0" w:space="0" w:color="auto"/>
        <w:bottom w:val="none" w:sz="0" w:space="0" w:color="auto"/>
        <w:right w:val="none" w:sz="0" w:space="0" w:color="auto"/>
      </w:divBdr>
      <w:divsChild>
        <w:div w:id="1632320094">
          <w:marLeft w:val="0"/>
          <w:marRight w:val="0"/>
          <w:marTop w:val="0"/>
          <w:marBottom w:val="0"/>
          <w:divBdr>
            <w:top w:val="none" w:sz="0" w:space="0" w:color="auto"/>
            <w:left w:val="none" w:sz="0" w:space="0" w:color="auto"/>
            <w:bottom w:val="none" w:sz="0" w:space="0" w:color="auto"/>
            <w:right w:val="none" w:sz="0" w:space="0" w:color="auto"/>
          </w:divBdr>
          <w:divsChild>
            <w:div w:id="1414664185">
              <w:marLeft w:val="0"/>
              <w:marRight w:val="0"/>
              <w:marTop w:val="0"/>
              <w:marBottom w:val="0"/>
              <w:divBdr>
                <w:top w:val="none" w:sz="0" w:space="0" w:color="auto"/>
                <w:left w:val="none" w:sz="0" w:space="0" w:color="auto"/>
                <w:bottom w:val="none" w:sz="0" w:space="0" w:color="auto"/>
                <w:right w:val="none" w:sz="0" w:space="0" w:color="auto"/>
              </w:divBdr>
              <w:divsChild>
                <w:div w:id="63460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96373">
      <w:bodyDiv w:val="1"/>
      <w:marLeft w:val="0"/>
      <w:marRight w:val="0"/>
      <w:marTop w:val="0"/>
      <w:marBottom w:val="0"/>
      <w:divBdr>
        <w:top w:val="none" w:sz="0" w:space="0" w:color="auto"/>
        <w:left w:val="none" w:sz="0" w:space="0" w:color="auto"/>
        <w:bottom w:val="none" w:sz="0" w:space="0" w:color="auto"/>
        <w:right w:val="none" w:sz="0" w:space="0" w:color="auto"/>
      </w:divBdr>
    </w:div>
    <w:div w:id="1434980983">
      <w:bodyDiv w:val="1"/>
      <w:marLeft w:val="0"/>
      <w:marRight w:val="0"/>
      <w:marTop w:val="0"/>
      <w:marBottom w:val="0"/>
      <w:divBdr>
        <w:top w:val="none" w:sz="0" w:space="0" w:color="auto"/>
        <w:left w:val="none" w:sz="0" w:space="0" w:color="auto"/>
        <w:bottom w:val="none" w:sz="0" w:space="0" w:color="auto"/>
        <w:right w:val="none" w:sz="0" w:space="0" w:color="auto"/>
      </w:divBdr>
      <w:divsChild>
        <w:div w:id="1641152838">
          <w:marLeft w:val="0"/>
          <w:marRight w:val="0"/>
          <w:marTop w:val="0"/>
          <w:marBottom w:val="0"/>
          <w:divBdr>
            <w:top w:val="none" w:sz="0" w:space="0" w:color="auto"/>
            <w:left w:val="none" w:sz="0" w:space="0" w:color="auto"/>
            <w:bottom w:val="none" w:sz="0" w:space="0" w:color="auto"/>
            <w:right w:val="none" w:sz="0" w:space="0" w:color="auto"/>
          </w:divBdr>
          <w:divsChild>
            <w:div w:id="879051610">
              <w:marLeft w:val="0"/>
              <w:marRight w:val="0"/>
              <w:marTop w:val="0"/>
              <w:marBottom w:val="0"/>
              <w:divBdr>
                <w:top w:val="none" w:sz="0" w:space="0" w:color="auto"/>
                <w:left w:val="none" w:sz="0" w:space="0" w:color="auto"/>
                <w:bottom w:val="none" w:sz="0" w:space="0" w:color="auto"/>
                <w:right w:val="none" w:sz="0" w:space="0" w:color="auto"/>
              </w:divBdr>
              <w:divsChild>
                <w:div w:id="20480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932391">
      <w:bodyDiv w:val="1"/>
      <w:marLeft w:val="0"/>
      <w:marRight w:val="0"/>
      <w:marTop w:val="0"/>
      <w:marBottom w:val="0"/>
      <w:divBdr>
        <w:top w:val="none" w:sz="0" w:space="0" w:color="auto"/>
        <w:left w:val="none" w:sz="0" w:space="0" w:color="auto"/>
        <w:bottom w:val="none" w:sz="0" w:space="0" w:color="auto"/>
        <w:right w:val="none" w:sz="0" w:space="0" w:color="auto"/>
      </w:divBdr>
      <w:divsChild>
        <w:div w:id="2003850005">
          <w:marLeft w:val="0"/>
          <w:marRight w:val="0"/>
          <w:marTop w:val="0"/>
          <w:marBottom w:val="0"/>
          <w:divBdr>
            <w:top w:val="none" w:sz="0" w:space="0" w:color="auto"/>
            <w:left w:val="none" w:sz="0" w:space="0" w:color="auto"/>
            <w:bottom w:val="none" w:sz="0" w:space="0" w:color="auto"/>
            <w:right w:val="none" w:sz="0" w:space="0" w:color="auto"/>
          </w:divBdr>
          <w:divsChild>
            <w:div w:id="81923893">
              <w:marLeft w:val="0"/>
              <w:marRight w:val="0"/>
              <w:marTop w:val="0"/>
              <w:marBottom w:val="0"/>
              <w:divBdr>
                <w:top w:val="none" w:sz="0" w:space="0" w:color="auto"/>
                <w:left w:val="none" w:sz="0" w:space="0" w:color="auto"/>
                <w:bottom w:val="none" w:sz="0" w:space="0" w:color="auto"/>
                <w:right w:val="none" w:sz="0" w:space="0" w:color="auto"/>
              </w:divBdr>
              <w:divsChild>
                <w:div w:id="1396900784">
                  <w:marLeft w:val="0"/>
                  <w:marRight w:val="0"/>
                  <w:marTop w:val="0"/>
                  <w:marBottom w:val="0"/>
                  <w:divBdr>
                    <w:top w:val="none" w:sz="0" w:space="0" w:color="auto"/>
                    <w:left w:val="none" w:sz="0" w:space="0" w:color="auto"/>
                    <w:bottom w:val="none" w:sz="0" w:space="0" w:color="auto"/>
                    <w:right w:val="none" w:sz="0" w:space="0" w:color="auto"/>
                  </w:divBdr>
                  <w:divsChild>
                    <w:div w:id="3448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170569">
      <w:bodyDiv w:val="1"/>
      <w:marLeft w:val="0"/>
      <w:marRight w:val="0"/>
      <w:marTop w:val="0"/>
      <w:marBottom w:val="0"/>
      <w:divBdr>
        <w:top w:val="none" w:sz="0" w:space="0" w:color="auto"/>
        <w:left w:val="none" w:sz="0" w:space="0" w:color="auto"/>
        <w:bottom w:val="none" w:sz="0" w:space="0" w:color="auto"/>
        <w:right w:val="none" w:sz="0" w:space="0" w:color="auto"/>
      </w:divBdr>
      <w:divsChild>
        <w:div w:id="1258831432">
          <w:marLeft w:val="0"/>
          <w:marRight w:val="0"/>
          <w:marTop w:val="0"/>
          <w:marBottom w:val="0"/>
          <w:divBdr>
            <w:top w:val="none" w:sz="0" w:space="0" w:color="auto"/>
            <w:left w:val="none" w:sz="0" w:space="0" w:color="auto"/>
            <w:bottom w:val="none" w:sz="0" w:space="0" w:color="auto"/>
            <w:right w:val="none" w:sz="0" w:space="0" w:color="auto"/>
          </w:divBdr>
          <w:divsChild>
            <w:div w:id="52854595">
              <w:marLeft w:val="0"/>
              <w:marRight w:val="0"/>
              <w:marTop w:val="0"/>
              <w:marBottom w:val="0"/>
              <w:divBdr>
                <w:top w:val="none" w:sz="0" w:space="0" w:color="auto"/>
                <w:left w:val="none" w:sz="0" w:space="0" w:color="auto"/>
                <w:bottom w:val="none" w:sz="0" w:space="0" w:color="auto"/>
                <w:right w:val="none" w:sz="0" w:space="0" w:color="auto"/>
              </w:divBdr>
              <w:divsChild>
                <w:div w:id="7880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7424">
      <w:bodyDiv w:val="1"/>
      <w:marLeft w:val="0"/>
      <w:marRight w:val="0"/>
      <w:marTop w:val="0"/>
      <w:marBottom w:val="0"/>
      <w:divBdr>
        <w:top w:val="none" w:sz="0" w:space="0" w:color="auto"/>
        <w:left w:val="none" w:sz="0" w:space="0" w:color="auto"/>
        <w:bottom w:val="none" w:sz="0" w:space="0" w:color="auto"/>
        <w:right w:val="none" w:sz="0" w:space="0" w:color="auto"/>
      </w:divBdr>
      <w:divsChild>
        <w:div w:id="1335837821">
          <w:marLeft w:val="0"/>
          <w:marRight w:val="0"/>
          <w:marTop w:val="0"/>
          <w:marBottom w:val="0"/>
          <w:divBdr>
            <w:top w:val="none" w:sz="0" w:space="0" w:color="auto"/>
            <w:left w:val="none" w:sz="0" w:space="0" w:color="auto"/>
            <w:bottom w:val="none" w:sz="0" w:space="0" w:color="auto"/>
            <w:right w:val="none" w:sz="0" w:space="0" w:color="auto"/>
          </w:divBdr>
          <w:divsChild>
            <w:div w:id="274412520">
              <w:marLeft w:val="0"/>
              <w:marRight w:val="0"/>
              <w:marTop w:val="0"/>
              <w:marBottom w:val="0"/>
              <w:divBdr>
                <w:top w:val="none" w:sz="0" w:space="0" w:color="auto"/>
                <w:left w:val="none" w:sz="0" w:space="0" w:color="auto"/>
                <w:bottom w:val="none" w:sz="0" w:space="0" w:color="auto"/>
                <w:right w:val="none" w:sz="0" w:space="0" w:color="auto"/>
              </w:divBdr>
              <w:divsChild>
                <w:div w:id="74465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norris@newcastle.ac.uk" TargetMode="External"/><Relationship Id="rId13" Type="http://schemas.openxmlformats.org/officeDocument/2006/relationships/hyperlink" Target="mailto:adam.todd@newcastle.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nry.cain@nhs.ne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a.cresti@nhs.net" TargetMode="External"/><Relationship Id="rId5" Type="http://schemas.openxmlformats.org/officeDocument/2006/relationships/webSettings" Target="webSettings.xml"/><Relationship Id="rId15" Type="http://schemas.openxmlformats.org/officeDocument/2006/relationships/hyperlink" Target="mailto:linda.sharp@ncl.ac.uk" TargetMode="External"/><Relationship Id="rId10" Type="http://schemas.openxmlformats.org/officeDocument/2006/relationships/hyperlink" Target="mailto:Alastair.Greystoke@newcastle.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osie.Dew@sunderland.ac.uk" TargetMode="External"/><Relationship Id="rId14" Type="http://schemas.openxmlformats.org/officeDocument/2006/relationships/hyperlink" Target="mailto:Linda.Sharp@newcast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F7901-7E52-2F40-AAE7-28A5344A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.~WRD0004</Template>
  <TotalTime>0</TotalTime>
  <Pages>23</Pages>
  <Words>35725</Words>
  <Characters>203639</Characters>
  <Application>Microsoft Office Word</Application>
  <DocSecurity>0</DocSecurity>
  <Lines>1696</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Norris</dc:creator>
  <cp:keywords/>
  <dc:description/>
  <cp:lastModifiedBy>Adam Todd</cp:lastModifiedBy>
  <cp:revision>2</cp:revision>
  <cp:lastPrinted>2024-05-04T10:13:00Z</cp:lastPrinted>
  <dcterms:created xsi:type="dcterms:W3CDTF">2024-07-23T14:49:00Z</dcterms:created>
  <dcterms:modified xsi:type="dcterms:W3CDTF">2024-07-23T14:49:00Z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id="nMalwRdq"/&gt;&lt;style id="http://www.zotero.org/styles/vancouver-superscript" locale="en-GB" hasBibliography="1" bibliographyStyleHasBeenSet="1"/&gt;&lt;prefs&gt;&lt;pref name="fieldType" value="Field"/&gt;&lt;pref na</vt:lpwstr>
  </property>
  <property fmtid="{D5CDD505-2E9C-101B-9397-08002B2CF9AE}" pid="3" name="ZOTERO_PREF_2">
    <vt:lpwstr>me="automaticJournalAbbreviations" value="true"/&gt;&lt;pref name="dontAskDelayCitationUpdates" value="true"/&gt;&lt;/prefs&gt;&lt;/data&gt;</vt:lpwstr>
  </property>
</Properties>
</file>